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3B70" w14:textId="63020EE3" w:rsidR="001B77DD" w:rsidRDefault="00BF0A28">
      <w:r>
        <w:t xml:space="preserve"> </w:t>
      </w:r>
    </w:p>
    <w:p w14:paraId="67533B71" w14:textId="77777777" w:rsidR="001B77DD" w:rsidRDefault="00BF0A28">
      <w:pPr>
        <w:jc w:val="center"/>
      </w:pPr>
      <w:r>
        <w:rPr>
          <w:rFonts w:ascii="Arial" w:eastAsia="宋体" w:hAnsi="Arial" w:cs="Arial"/>
          <w:b/>
          <w:bCs/>
          <w:color w:val="262626"/>
          <w:sz w:val="32"/>
          <w:szCs w:val="32"/>
        </w:rPr>
        <w:t>UNITED STATES SECURITIES AND EXCHANGE COMMISSION</w:t>
      </w:r>
    </w:p>
    <w:p w14:paraId="67533B72" w14:textId="77777777" w:rsidR="001B77DD" w:rsidRDefault="00BF0A28">
      <w:pPr>
        <w:jc w:val="center"/>
      </w:pPr>
      <w:r>
        <w:rPr>
          <w:rFonts w:ascii="Arial" w:eastAsia="宋体" w:hAnsi="Arial" w:cs="Arial"/>
          <w:b/>
          <w:bCs/>
          <w:color w:val="262626"/>
          <w:sz w:val="22"/>
          <w:szCs w:val="22"/>
        </w:rPr>
        <w:t>Washington, D.C. 20549</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1B77DD" w14:paraId="67533B76" w14:textId="77777777">
        <w:trPr>
          <w:jc w:val="center"/>
        </w:trPr>
        <w:tc>
          <w:tcPr>
            <w:tcW w:w="50" w:type="pct"/>
            <w:shd w:val="clear" w:color="auto" w:fill="auto"/>
            <w:vAlign w:val="bottom"/>
          </w:tcPr>
          <w:p w14:paraId="67533B73" w14:textId="77777777" w:rsidR="001B77DD" w:rsidRDefault="001B77DD">
            <w:pPr>
              <w:rPr>
                <w:rFonts w:ascii="宋体"/>
              </w:rPr>
            </w:pPr>
          </w:p>
        </w:tc>
        <w:tc>
          <w:tcPr>
            <w:tcW w:w="4945" w:type="pct"/>
            <w:shd w:val="clear" w:color="auto" w:fill="auto"/>
            <w:vAlign w:val="bottom"/>
          </w:tcPr>
          <w:p w14:paraId="67533B74" w14:textId="77777777" w:rsidR="001B77DD" w:rsidRDefault="001B77DD">
            <w:pPr>
              <w:rPr>
                <w:rFonts w:ascii="宋体"/>
              </w:rPr>
            </w:pPr>
          </w:p>
        </w:tc>
        <w:tc>
          <w:tcPr>
            <w:tcW w:w="5" w:type="pct"/>
            <w:shd w:val="clear" w:color="auto" w:fill="auto"/>
            <w:vAlign w:val="bottom"/>
          </w:tcPr>
          <w:p w14:paraId="67533B75" w14:textId="77777777" w:rsidR="001B77DD" w:rsidRDefault="001B77DD">
            <w:pPr>
              <w:rPr>
                <w:rFonts w:ascii="宋体"/>
              </w:rPr>
            </w:pPr>
          </w:p>
        </w:tc>
      </w:tr>
      <w:tr w:rsidR="001B77DD" w14:paraId="67533B78" w14:textId="77777777">
        <w:trPr>
          <w:trHeight w:val="60"/>
          <w:jc w:val="center"/>
        </w:trPr>
        <w:tc>
          <w:tcPr>
            <w:tcW w:w="0" w:type="auto"/>
            <w:gridSpan w:val="3"/>
            <w:tcBorders>
              <w:top w:val="single" w:sz="8" w:space="0" w:color="333333"/>
            </w:tcBorders>
            <w:shd w:val="clear" w:color="auto" w:fill="auto"/>
            <w:tcMar>
              <w:top w:w="0" w:type="dxa"/>
              <w:left w:w="20" w:type="dxa"/>
              <w:bottom w:w="0" w:type="dxa"/>
              <w:right w:w="20" w:type="dxa"/>
            </w:tcMar>
            <w:vAlign w:val="bottom"/>
          </w:tcPr>
          <w:p w14:paraId="67533B77" w14:textId="77777777" w:rsidR="001B77DD" w:rsidRDefault="001B77DD">
            <w:pPr>
              <w:rPr>
                <w:rFonts w:ascii="宋体"/>
              </w:rPr>
            </w:pPr>
          </w:p>
        </w:tc>
      </w:tr>
    </w:tbl>
    <w:p w14:paraId="67533B79" w14:textId="77777777" w:rsidR="001B77DD" w:rsidRDefault="00BF0A28">
      <w:pPr>
        <w:jc w:val="center"/>
      </w:pPr>
      <w:r>
        <w:rPr>
          <w:rFonts w:ascii="Arial" w:eastAsia="宋体" w:hAnsi="Arial" w:cs="Arial"/>
          <w:b/>
          <w:bCs/>
          <w:color w:val="262626"/>
          <w:sz w:val="32"/>
          <w:szCs w:val="32"/>
        </w:rPr>
        <w:t xml:space="preserve">FORM 10-K </w:t>
      </w:r>
    </w:p>
    <w:p w14:paraId="67533B7A" w14:textId="77777777" w:rsidR="001B77DD" w:rsidRDefault="00BF0A28">
      <w:r>
        <w:rPr>
          <w:rFonts w:ascii="Arial" w:eastAsia="宋体" w:hAnsi="Arial" w:cs="Arial"/>
          <w:b/>
          <w:bCs/>
          <w:color w:val="262626"/>
          <w:sz w:val="18"/>
          <w:szCs w:val="18"/>
        </w:rPr>
        <w:t>(Mark One)</w:t>
      </w:r>
    </w:p>
    <w:tbl>
      <w:tblPr>
        <w:tblW w:w="5000" w:type="pct"/>
        <w:tblCellMar>
          <w:top w:w="15" w:type="dxa"/>
          <w:left w:w="15" w:type="dxa"/>
          <w:bottom w:w="15" w:type="dxa"/>
          <w:right w:w="15" w:type="dxa"/>
        </w:tblCellMar>
        <w:tblLook w:val="04A0" w:firstRow="1" w:lastRow="0" w:firstColumn="1" w:lastColumn="0" w:noHBand="0" w:noVBand="1"/>
      </w:tblPr>
      <w:tblGrid>
        <w:gridCol w:w="74"/>
        <w:gridCol w:w="309"/>
        <w:gridCol w:w="36"/>
        <w:gridCol w:w="69"/>
        <w:gridCol w:w="7811"/>
        <w:gridCol w:w="37"/>
      </w:tblGrid>
      <w:tr w:rsidR="001B77DD" w14:paraId="67533B81" w14:textId="77777777">
        <w:tc>
          <w:tcPr>
            <w:tcW w:w="50" w:type="pct"/>
            <w:shd w:val="clear" w:color="auto" w:fill="auto"/>
            <w:vAlign w:val="bottom"/>
          </w:tcPr>
          <w:p w14:paraId="67533B7B" w14:textId="77777777" w:rsidR="001B77DD" w:rsidRDefault="001B77DD">
            <w:pPr>
              <w:rPr>
                <w:rFonts w:ascii="宋体"/>
              </w:rPr>
            </w:pPr>
          </w:p>
        </w:tc>
        <w:tc>
          <w:tcPr>
            <w:tcW w:w="197" w:type="pct"/>
            <w:shd w:val="clear" w:color="auto" w:fill="auto"/>
            <w:vAlign w:val="bottom"/>
          </w:tcPr>
          <w:p w14:paraId="67533B7C" w14:textId="77777777" w:rsidR="001B77DD" w:rsidRDefault="001B77DD">
            <w:pPr>
              <w:rPr>
                <w:rFonts w:ascii="宋体"/>
              </w:rPr>
            </w:pPr>
          </w:p>
        </w:tc>
        <w:tc>
          <w:tcPr>
            <w:tcW w:w="5" w:type="pct"/>
            <w:shd w:val="clear" w:color="auto" w:fill="auto"/>
            <w:vAlign w:val="bottom"/>
          </w:tcPr>
          <w:p w14:paraId="67533B7D" w14:textId="77777777" w:rsidR="001B77DD" w:rsidRDefault="001B77DD">
            <w:pPr>
              <w:rPr>
                <w:rFonts w:ascii="宋体"/>
              </w:rPr>
            </w:pPr>
          </w:p>
        </w:tc>
        <w:tc>
          <w:tcPr>
            <w:tcW w:w="50" w:type="pct"/>
            <w:shd w:val="clear" w:color="auto" w:fill="auto"/>
            <w:vAlign w:val="bottom"/>
          </w:tcPr>
          <w:p w14:paraId="67533B7E" w14:textId="77777777" w:rsidR="001B77DD" w:rsidRDefault="001B77DD">
            <w:pPr>
              <w:rPr>
                <w:rFonts w:ascii="宋体"/>
              </w:rPr>
            </w:pPr>
          </w:p>
        </w:tc>
        <w:tc>
          <w:tcPr>
            <w:tcW w:w="4692" w:type="pct"/>
            <w:shd w:val="clear" w:color="auto" w:fill="auto"/>
            <w:vAlign w:val="bottom"/>
          </w:tcPr>
          <w:p w14:paraId="67533B7F" w14:textId="77777777" w:rsidR="001B77DD" w:rsidRDefault="001B77DD">
            <w:pPr>
              <w:rPr>
                <w:rFonts w:ascii="宋体"/>
              </w:rPr>
            </w:pPr>
          </w:p>
        </w:tc>
        <w:tc>
          <w:tcPr>
            <w:tcW w:w="5" w:type="pct"/>
            <w:shd w:val="clear" w:color="auto" w:fill="auto"/>
            <w:vAlign w:val="bottom"/>
          </w:tcPr>
          <w:p w14:paraId="67533B80" w14:textId="77777777" w:rsidR="001B77DD" w:rsidRDefault="001B77DD">
            <w:pPr>
              <w:rPr>
                <w:rFonts w:ascii="宋体"/>
              </w:rPr>
            </w:pPr>
          </w:p>
        </w:tc>
      </w:tr>
      <w:tr w:rsidR="001B77DD" w14:paraId="67533B84" w14:textId="77777777">
        <w:tc>
          <w:tcPr>
            <w:tcW w:w="0" w:type="auto"/>
            <w:gridSpan w:val="3"/>
            <w:shd w:val="clear" w:color="auto" w:fill="auto"/>
            <w:tcMar>
              <w:top w:w="40" w:type="dxa"/>
              <w:left w:w="20" w:type="dxa"/>
              <w:bottom w:w="40" w:type="dxa"/>
              <w:right w:w="20" w:type="dxa"/>
            </w:tcMar>
            <w:vAlign w:val="bottom"/>
          </w:tcPr>
          <w:p w14:paraId="67533B82" w14:textId="77777777" w:rsidR="001B77DD" w:rsidRDefault="00BF0A28">
            <w:pPr>
              <w:jc w:val="center"/>
              <w:textAlignment w:val="bottom"/>
            </w:pPr>
            <w:r>
              <w:rPr>
                <w:rFonts w:ascii="Arial Unicode MS" w:eastAsia="Arial Unicode MS" w:hAnsi="Arial Unicode MS" w:cs="Arial Unicode MS"/>
                <w:color w:val="262626"/>
              </w:rPr>
              <w:t>☑</w:t>
            </w:r>
          </w:p>
        </w:tc>
        <w:tc>
          <w:tcPr>
            <w:tcW w:w="0" w:type="auto"/>
            <w:gridSpan w:val="3"/>
            <w:shd w:val="clear" w:color="auto" w:fill="auto"/>
            <w:tcMar>
              <w:top w:w="40" w:type="dxa"/>
              <w:left w:w="20" w:type="dxa"/>
              <w:bottom w:w="40" w:type="dxa"/>
              <w:right w:w="20" w:type="dxa"/>
            </w:tcMar>
            <w:vAlign w:val="bottom"/>
          </w:tcPr>
          <w:p w14:paraId="67533B83" w14:textId="77777777" w:rsidR="001B77DD" w:rsidRDefault="00BF0A28">
            <w:pPr>
              <w:textAlignment w:val="bottom"/>
            </w:pPr>
            <w:r>
              <w:rPr>
                <w:rFonts w:ascii="Arial" w:eastAsia="宋体" w:hAnsi="Arial" w:cs="Arial"/>
                <w:b/>
                <w:bCs/>
                <w:color w:val="262626"/>
                <w:sz w:val="16"/>
                <w:szCs w:val="16"/>
              </w:rPr>
              <w:t>ANNUAL REPORT PURSUANT TO SECTION 13 OR 15(d) OF THE SECURITIES EXCHANGE ACT OF 1934</w:t>
            </w:r>
          </w:p>
        </w:tc>
      </w:tr>
      <w:tr w:rsidR="001B77DD" w14:paraId="67533B87" w14:textId="77777777">
        <w:tc>
          <w:tcPr>
            <w:tcW w:w="0" w:type="auto"/>
            <w:gridSpan w:val="3"/>
            <w:shd w:val="clear" w:color="auto" w:fill="auto"/>
            <w:tcMar>
              <w:top w:w="0" w:type="dxa"/>
              <w:left w:w="20" w:type="dxa"/>
              <w:bottom w:w="0" w:type="dxa"/>
              <w:right w:w="20" w:type="dxa"/>
            </w:tcMar>
            <w:vAlign w:val="bottom"/>
          </w:tcPr>
          <w:p w14:paraId="67533B8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B86" w14:textId="77777777" w:rsidR="001B77DD" w:rsidRDefault="00BF0A28">
            <w:pPr>
              <w:textAlignment w:val="bottom"/>
            </w:pPr>
            <w:r>
              <w:rPr>
                <w:rFonts w:ascii="Arial" w:eastAsia="宋体" w:hAnsi="Arial" w:cs="Arial"/>
                <w:color w:val="262626"/>
                <w:sz w:val="16"/>
                <w:szCs w:val="16"/>
              </w:rPr>
              <w:t>For the fiscal year ended December 25, 2021.</w:t>
            </w:r>
          </w:p>
        </w:tc>
      </w:tr>
      <w:tr w:rsidR="001B77DD" w14:paraId="67533B8A" w14:textId="77777777">
        <w:tc>
          <w:tcPr>
            <w:tcW w:w="0" w:type="auto"/>
            <w:gridSpan w:val="3"/>
            <w:shd w:val="clear" w:color="auto" w:fill="auto"/>
            <w:tcMar>
              <w:top w:w="0" w:type="dxa"/>
              <w:left w:w="20" w:type="dxa"/>
              <w:bottom w:w="0" w:type="dxa"/>
              <w:right w:w="20" w:type="dxa"/>
            </w:tcMar>
            <w:vAlign w:val="bottom"/>
          </w:tcPr>
          <w:p w14:paraId="67533B8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B89" w14:textId="77777777" w:rsidR="001B77DD" w:rsidRDefault="00BF0A28">
            <w:pPr>
              <w:textAlignment w:val="bottom"/>
            </w:pPr>
            <w:r>
              <w:rPr>
                <w:rFonts w:ascii="Arial" w:eastAsia="宋体" w:hAnsi="Arial" w:cs="Arial"/>
                <w:color w:val="262626"/>
                <w:sz w:val="16"/>
                <w:szCs w:val="16"/>
              </w:rPr>
              <w:t>or</w:t>
            </w:r>
          </w:p>
        </w:tc>
      </w:tr>
      <w:tr w:rsidR="001B77DD" w14:paraId="67533B8D" w14:textId="77777777">
        <w:tc>
          <w:tcPr>
            <w:tcW w:w="0" w:type="auto"/>
            <w:gridSpan w:val="3"/>
            <w:shd w:val="clear" w:color="auto" w:fill="auto"/>
            <w:tcMar>
              <w:top w:w="40" w:type="dxa"/>
              <w:left w:w="20" w:type="dxa"/>
              <w:bottom w:w="40" w:type="dxa"/>
              <w:right w:w="20" w:type="dxa"/>
            </w:tcMar>
          </w:tcPr>
          <w:p w14:paraId="67533B8B" w14:textId="77777777" w:rsidR="001B77DD" w:rsidRDefault="00BF0A28">
            <w:pPr>
              <w:jc w:val="cente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vAlign w:val="bottom"/>
          </w:tcPr>
          <w:p w14:paraId="67533B8C" w14:textId="77777777" w:rsidR="001B77DD" w:rsidRDefault="00BF0A28">
            <w:pPr>
              <w:textAlignment w:val="bottom"/>
            </w:pPr>
            <w:r>
              <w:rPr>
                <w:rFonts w:ascii="Arial" w:eastAsia="宋体" w:hAnsi="Arial" w:cs="Arial"/>
                <w:b/>
                <w:bCs/>
                <w:color w:val="262626"/>
                <w:sz w:val="16"/>
                <w:szCs w:val="16"/>
              </w:rPr>
              <w:t>TRANSITION REPORT PURSUANT TO SECTION 13 OR 15(d) OF THE SECURITIES EXCHANGE ACT OF 1934</w:t>
            </w:r>
          </w:p>
        </w:tc>
      </w:tr>
      <w:tr w:rsidR="001B77DD" w14:paraId="67533B90" w14:textId="77777777">
        <w:tc>
          <w:tcPr>
            <w:tcW w:w="0" w:type="auto"/>
            <w:gridSpan w:val="3"/>
            <w:shd w:val="clear" w:color="auto" w:fill="auto"/>
            <w:tcMar>
              <w:top w:w="0" w:type="dxa"/>
              <w:left w:w="20" w:type="dxa"/>
              <w:bottom w:w="0" w:type="dxa"/>
              <w:right w:w="20" w:type="dxa"/>
            </w:tcMar>
            <w:vAlign w:val="bottom"/>
          </w:tcPr>
          <w:p w14:paraId="67533B8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B8F" w14:textId="77777777" w:rsidR="001B77DD" w:rsidRDefault="00BF0A28">
            <w:pPr>
              <w:spacing w:before="40"/>
              <w:textAlignment w:val="bottom"/>
            </w:pPr>
            <w:r>
              <w:rPr>
                <w:rFonts w:ascii="Arial" w:eastAsia="宋体" w:hAnsi="Arial" w:cs="Arial"/>
                <w:color w:val="262626"/>
                <w:sz w:val="16"/>
                <w:szCs w:val="16"/>
              </w:rPr>
              <w:t xml:space="preserve">For the transition period from </w:t>
            </w:r>
            <w:r>
              <w:rPr>
                <w:rFonts w:ascii="Arial" w:eastAsia="宋体" w:hAnsi="Arial" w:cs="Arial"/>
                <w:color w:val="262626"/>
                <w:sz w:val="16"/>
                <w:szCs w:val="16"/>
                <w:u w:val="single"/>
              </w:rPr>
              <w:t>                    </w:t>
            </w:r>
            <w:r>
              <w:rPr>
                <w:rFonts w:ascii="Arial" w:eastAsia="宋体" w:hAnsi="Arial" w:cs="Arial"/>
                <w:color w:val="262626"/>
                <w:sz w:val="16"/>
                <w:szCs w:val="16"/>
              </w:rPr>
              <w:t xml:space="preserve"> to</w:t>
            </w:r>
            <w:r>
              <w:rPr>
                <w:rFonts w:ascii="Arial" w:eastAsia="宋体" w:hAnsi="Arial" w:cs="Arial"/>
                <w:color w:val="262626"/>
                <w:sz w:val="16"/>
                <w:szCs w:val="16"/>
                <w:u w:val="single"/>
              </w:rPr>
              <w:t>                    </w:t>
            </w:r>
            <w:r>
              <w:rPr>
                <w:rFonts w:ascii="Arial" w:eastAsia="宋体" w:hAnsi="Arial" w:cs="Arial"/>
                <w:color w:val="262626"/>
                <w:sz w:val="16"/>
                <w:szCs w:val="16"/>
              </w:rPr>
              <w:t>.</w:t>
            </w:r>
          </w:p>
        </w:tc>
      </w:tr>
    </w:tbl>
    <w:p w14:paraId="67533B91" w14:textId="77777777" w:rsidR="001B77DD" w:rsidRDefault="00BF0A28">
      <w:pPr>
        <w:jc w:val="center"/>
      </w:pPr>
      <w:r>
        <w:rPr>
          <w:rFonts w:ascii="Arial" w:eastAsia="宋体" w:hAnsi="Arial" w:cs="Arial"/>
          <w:b/>
          <w:bCs/>
          <w:color w:val="262626"/>
          <w:sz w:val="18"/>
          <w:szCs w:val="18"/>
        </w:rPr>
        <w:t xml:space="preserve">Commission File Number 000-06217 </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1B77DD" w14:paraId="67533B95" w14:textId="77777777">
        <w:trPr>
          <w:jc w:val="center"/>
        </w:trPr>
        <w:tc>
          <w:tcPr>
            <w:tcW w:w="50" w:type="pct"/>
            <w:shd w:val="clear" w:color="auto" w:fill="auto"/>
            <w:vAlign w:val="bottom"/>
          </w:tcPr>
          <w:p w14:paraId="67533B92" w14:textId="77777777" w:rsidR="001B77DD" w:rsidRDefault="001B77DD">
            <w:pPr>
              <w:rPr>
                <w:rFonts w:ascii="宋体"/>
              </w:rPr>
            </w:pPr>
          </w:p>
        </w:tc>
        <w:tc>
          <w:tcPr>
            <w:tcW w:w="4945" w:type="pct"/>
            <w:shd w:val="clear" w:color="auto" w:fill="auto"/>
            <w:vAlign w:val="bottom"/>
          </w:tcPr>
          <w:p w14:paraId="67533B93" w14:textId="77777777" w:rsidR="001B77DD" w:rsidRDefault="001B77DD">
            <w:pPr>
              <w:rPr>
                <w:rFonts w:ascii="宋体"/>
              </w:rPr>
            </w:pPr>
          </w:p>
        </w:tc>
        <w:tc>
          <w:tcPr>
            <w:tcW w:w="5" w:type="pct"/>
            <w:shd w:val="clear" w:color="auto" w:fill="auto"/>
            <w:vAlign w:val="bottom"/>
          </w:tcPr>
          <w:p w14:paraId="67533B94" w14:textId="77777777" w:rsidR="001B77DD" w:rsidRDefault="001B77DD">
            <w:pPr>
              <w:rPr>
                <w:rFonts w:ascii="宋体"/>
              </w:rPr>
            </w:pPr>
          </w:p>
        </w:tc>
      </w:tr>
      <w:tr w:rsidR="001B77DD" w14:paraId="67533B97" w14:textId="77777777">
        <w:trPr>
          <w:trHeight w:val="60"/>
          <w:jc w:val="center"/>
        </w:trPr>
        <w:tc>
          <w:tcPr>
            <w:tcW w:w="0" w:type="auto"/>
            <w:gridSpan w:val="3"/>
            <w:tcBorders>
              <w:top w:val="single" w:sz="8" w:space="0" w:color="333333"/>
            </w:tcBorders>
            <w:shd w:val="clear" w:color="auto" w:fill="auto"/>
            <w:tcMar>
              <w:top w:w="0" w:type="dxa"/>
              <w:left w:w="20" w:type="dxa"/>
              <w:bottom w:w="0" w:type="dxa"/>
              <w:right w:w="20" w:type="dxa"/>
            </w:tcMar>
            <w:vAlign w:val="bottom"/>
          </w:tcPr>
          <w:p w14:paraId="67533B96" w14:textId="77777777" w:rsidR="001B77DD" w:rsidRDefault="001B77DD">
            <w:pPr>
              <w:rPr>
                <w:rFonts w:ascii="宋体"/>
              </w:rPr>
            </w:pPr>
          </w:p>
        </w:tc>
      </w:tr>
    </w:tbl>
    <w:p w14:paraId="67533B98" w14:textId="77777777" w:rsidR="001B77DD" w:rsidRDefault="00BF0A28">
      <w:pPr>
        <w:spacing w:after="60"/>
        <w:jc w:val="center"/>
      </w:pPr>
      <w:r>
        <w:rPr>
          <w:rFonts w:ascii="Arial" w:eastAsia="宋体" w:hAnsi="Arial" w:cs="Arial"/>
          <w:color w:val="262626"/>
          <w:sz w:val="18"/>
          <w:szCs w:val="18"/>
        </w:rPr>
        <w:br/>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85" wp14:editId="67538D86">
            <wp:extent cx="304800" cy="304800"/>
            <wp:effectExtent l="0" t="0" r="0" b="0"/>
            <wp:docPr id="2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3B99" w14:textId="77777777" w:rsidR="001B77DD" w:rsidRDefault="001B77DD">
      <w:pPr>
        <w:spacing w:after="60"/>
        <w:jc w:val="center"/>
      </w:pPr>
    </w:p>
    <w:p w14:paraId="67533B9A" w14:textId="77777777" w:rsidR="001B77DD" w:rsidRDefault="00BF0A28">
      <w:pPr>
        <w:jc w:val="center"/>
      </w:pPr>
      <w:r>
        <w:rPr>
          <w:rFonts w:ascii="Arial" w:eastAsia="宋体" w:hAnsi="Arial" w:cs="Arial"/>
          <w:b/>
          <w:bCs/>
          <w:color w:val="262626"/>
          <w:sz w:val="44"/>
          <w:szCs w:val="44"/>
        </w:rPr>
        <w:t xml:space="preserve">INTEL CORPORATION </w:t>
      </w:r>
    </w:p>
    <w:p w14:paraId="67533B9B" w14:textId="77777777" w:rsidR="001B77DD" w:rsidRDefault="00BF0A28">
      <w:pPr>
        <w:jc w:val="center"/>
      </w:pPr>
      <w:r>
        <w:rPr>
          <w:rFonts w:ascii="Arial" w:eastAsia="宋体" w:hAnsi="Arial" w:cs="Arial"/>
          <w:color w:val="262626"/>
          <w:sz w:val="16"/>
          <w:szCs w:val="16"/>
        </w:rPr>
        <w:t>(Exact name of registrant as specified in its charter)</w:t>
      </w:r>
    </w:p>
    <w:tbl>
      <w:tblPr>
        <w:tblW w:w="4071" w:type="pct"/>
        <w:jc w:val="center"/>
        <w:tblCellMar>
          <w:top w:w="15" w:type="dxa"/>
          <w:left w:w="15" w:type="dxa"/>
          <w:bottom w:w="15" w:type="dxa"/>
          <w:right w:w="15" w:type="dxa"/>
        </w:tblCellMar>
        <w:tblLook w:val="04A0" w:firstRow="1" w:lastRow="0" w:firstColumn="1" w:lastColumn="0" w:noHBand="0" w:noVBand="1"/>
      </w:tblPr>
      <w:tblGrid>
        <w:gridCol w:w="38"/>
        <w:gridCol w:w="2100"/>
        <w:gridCol w:w="37"/>
        <w:gridCol w:w="42"/>
        <w:gridCol w:w="752"/>
        <w:gridCol w:w="36"/>
        <w:gridCol w:w="83"/>
        <w:gridCol w:w="780"/>
        <w:gridCol w:w="36"/>
        <w:gridCol w:w="36"/>
        <w:gridCol w:w="384"/>
        <w:gridCol w:w="36"/>
        <w:gridCol w:w="37"/>
        <w:gridCol w:w="2354"/>
        <w:gridCol w:w="36"/>
      </w:tblGrid>
      <w:tr w:rsidR="001B77DD" w14:paraId="67533BAB" w14:textId="77777777">
        <w:trPr>
          <w:jc w:val="center"/>
        </w:trPr>
        <w:tc>
          <w:tcPr>
            <w:tcW w:w="50" w:type="pct"/>
            <w:shd w:val="clear" w:color="auto" w:fill="auto"/>
            <w:vAlign w:val="bottom"/>
          </w:tcPr>
          <w:p w14:paraId="67533B9C" w14:textId="77777777" w:rsidR="001B77DD" w:rsidRDefault="001B77DD">
            <w:pPr>
              <w:rPr>
                <w:rFonts w:ascii="宋体"/>
              </w:rPr>
            </w:pPr>
          </w:p>
        </w:tc>
        <w:tc>
          <w:tcPr>
            <w:tcW w:w="1580" w:type="pct"/>
            <w:shd w:val="clear" w:color="auto" w:fill="auto"/>
            <w:vAlign w:val="bottom"/>
          </w:tcPr>
          <w:p w14:paraId="67533B9D" w14:textId="77777777" w:rsidR="001B77DD" w:rsidRDefault="001B77DD">
            <w:pPr>
              <w:rPr>
                <w:rFonts w:ascii="宋体"/>
              </w:rPr>
            </w:pPr>
          </w:p>
        </w:tc>
        <w:tc>
          <w:tcPr>
            <w:tcW w:w="5" w:type="pct"/>
            <w:shd w:val="clear" w:color="auto" w:fill="auto"/>
            <w:vAlign w:val="bottom"/>
          </w:tcPr>
          <w:p w14:paraId="67533B9E" w14:textId="77777777" w:rsidR="001B77DD" w:rsidRDefault="001B77DD">
            <w:pPr>
              <w:rPr>
                <w:rFonts w:ascii="宋体"/>
              </w:rPr>
            </w:pPr>
          </w:p>
        </w:tc>
        <w:tc>
          <w:tcPr>
            <w:tcW w:w="50" w:type="pct"/>
            <w:shd w:val="clear" w:color="auto" w:fill="auto"/>
            <w:vAlign w:val="bottom"/>
          </w:tcPr>
          <w:p w14:paraId="67533B9F" w14:textId="77777777" w:rsidR="001B77DD" w:rsidRDefault="001B77DD">
            <w:pPr>
              <w:rPr>
                <w:rFonts w:ascii="宋体"/>
              </w:rPr>
            </w:pPr>
          </w:p>
        </w:tc>
        <w:tc>
          <w:tcPr>
            <w:tcW w:w="590" w:type="pct"/>
            <w:shd w:val="clear" w:color="auto" w:fill="auto"/>
            <w:vAlign w:val="bottom"/>
          </w:tcPr>
          <w:p w14:paraId="67533BA0" w14:textId="77777777" w:rsidR="001B77DD" w:rsidRDefault="001B77DD">
            <w:pPr>
              <w:rPr>
                <w:rFonts w:ascii="宋体"/>
              </w:rPr>
            </w:pPr>
          </w:p>
        </w:tc>
        <w:tc>
          <w:tcPr>
            <w:tcW w:w="5" w:type="pct"/>
            <w:shd w:val="clear" w:color="auto" w:fill="auto"/>
            <w:vAlign w:val="bottom"/>
          </w:tcPr>
          <w:p w14:paraId="67533BA1" w14:textId="77777777" w:rsidR="001B77DD" w:rsidRDefault="001B77DD">
            <w:pPr>
              <w:rPr>
                <w:rFonts w:ascii="宋体"/>
              </w:rPr>
            </w:pPr>
          </w:p>
        </w:tc>
        <w:tc>
          <w:tcPr>
            <w:tcW w:w="50" w:type="pct"/>
            <w:shd w:val="clear" w:color="auto" w:fill="auto"/>
            <w:vAlign w:val="bottom"/>
          </w:tcPr>
          <w:p w14:paraId="67533BA2" w14:textId="77777777" w:rsidR="001B77DD" w:rsidRDefault="001B77DD">
            <w:pPr>
              <w:rPr>
                <w:rFonts w:ascii="宋体"/>
              </w:rPr>
            </w:pPr>
          </w:p>
        </w:tc>
        <w:tc>
          <w:tcPr>
            <w:tcW w:w="473" w:type="pct"/>
            <w:shd w:val="clear" w:color="auto" w:fill="auto"/>
            <w:vAlign w:val="bottom"/>
          </w:tcPr>
          <w:p w14:paraId="67533BA3" w14:textId="77777777" w:rsidR="001B77DD" w:rsidRDefault="001B77DD">
            <w:pPr>
              <w:rPr>
                <w:rFonts w:ascii="宋体"/>
              </w:rPr>
            </w:pPr>
          </w:p>
        </w:tc>
        <w:tc>
          <w:tcPr>
            <w:tcW w:w="5" w:type="pct"/>
            <w:shd w:val="clear" w:color="auto" w:fill="auto"/>
            <w:vAlign w:val="bottom"/>
          </w:tcPr>
          <w:p w14:paraId="67533BA4" w14:textId="77777777" w:rsidR="001B77DD" w:rsidRDefault="001B77DD">
            <w:pPr>
              <w:rPr>
                <w:rFonts w:ascii="宋体"/>
              </w:rPr>
            </w:pPr>
          </w:p>
        </w:tc>
        <w:tc>
          <w:tcPr>
            <w:tcW w:w="50" w:type="pct"/>
            <w:shd w:val="clear" w:color="auto" w:fill="auto"/>
            <w:vAlign w:val="bottom"/>
          </w:tcPr>
          <w:p w14:paraId="67533BA5" w14:textId="77777777" w:rsidR="001B77DD" w:rsidRDefault="001B77DD">
            <w:pPr>
              <w:rPr>
                <w:rFonts w:ascii="宋体"/>
              </w:rPr>
            </w:pPr>
          </w:p>
        </w:tc>
        <w:tc>
          <w:tcPr>
            <w:tcW w:w="314" w:type="pct"/>
            <w:shd w:val="clear" w:color="auto" w:fill="auto"/>
            <w:vAlign w:val="bottom"/>
          </w:tcPr>
          <w:p w14:paraId="67533BA6" w14:textId="77777777" w:rsidR="001B77DD" w:rsidRDefault="001B77DD">
            <w:pPr>
              <w:rPr>
                <w:rFonts w:ascii="宋体"/>
              </w:rPr>
            </w:pPr>
          </w:p>
        </w:tc>
        <w:tc>
          <w:tcPr>
            <w:tcW w:w="5" w:type="pct"/>
            <w:shd w:val="clear" w:color="auto" w:fill="auto"/>
            <w:vAlign w:val="bottom"/>
          </w:tcPr>
          <w:p w14:paraId="67533BA7" w14:textId="77777777" w:rsidR="001B77DD" w:rsidRDefault="001B77DD">
            <w:pPr>
              <w:rPr>
                <w:rFonts w:ascii="宋体"/>
              </w:rPr>
            </w:pPr>
          </w:p>
        </w:tc>
        <w:tc>
          <w:tcPr>
            <w:tcW w:w="50" w:type="pct"/>
            <w:shd w:val="clear" w:color="auto" w:fill="auto"/>
            <w:vAlign w:val="bottom"/>
          </w:tcPr>
          <w:p w14:paraId="67533BA8" w14:textId="77777777" w:rsidR="001B77DD" w:rsidRDefault="001B77DD">
            <w:pPr>
              <w:rPr>
                <w:rFonts w:ascii="宋体"/>
              </w:rPr>
            </w:pPr>
          </w:p>
        </w:tc>
        <w:tc>
          <w:tcPr>
            <w:tcW w:w="1765" w:type="pct"/>
            <w:shd w:val="clear" w:color="auto" w:fill="auto"/>
            <w:vAlign w:val="bottom"/>
          </w:tcPr>
          <w:p w14:paraId="67533BA9" w14:textId="77777777" w:rsidR="001B77DD" w:rsidRDefault="001B77DD">
            <w:pPr>
              <w:rPr>
                <w:rFonts w:ascii="宋体"/>
              </w:rPr>
            </w:pPr>
          </w:p>
        </w:tc>
        <w:tc>
          <w:tcPr>
            <w:tcW w:w="5" w:type="pct"/>
            <w:shd w:val="clear" w:color="auto" w:fill="auto"/>
            <w:vAlign w:val="bottom"/>
          </w:tcPr>
          <w:p w14:paraId="67533BAA" w14:textId="77777777" w:rsidR="001B77DD" w:rsidRDefault="001B77DD">
            <w:pPr>
              <w:rPr>
                <w:rFonts w:ascii="宋体"/>
              </w:rPr>
            </w:pPr>
          </w:p>
        </w:tc>
      </w:tr>
      <w:tr w:rsidR="001B77DD" w14:paraId="67533BB1" w14:textId="77777777">
        <w:trPr>
          <w:jc w:val="center"/>
        </w:trPr>
        <w:tc>
          <w:tcPr>
            <w:tcW w:w="0" w:type="auto"/>
            <w:gridSpan w:val="3"/>
            <w:shd w:val="clear" w:color="auto" w:fill="auto"/>
            <w:tcMar>
              <w:top w:w="40" w:type="dxa"/>
              <w:left w:w="20" w:type="dxa"/>
              <w:bottom w:w="40" w:type="dxa"/>
              <w:right w:w="20" w:type="dxa"/>
            </w:tcMar>
          </w:tcPr>
          <w:p w14:paraId="67533BAC" w14:textId="77777777" w:rsidR="001B77DD" w:rsidRDefault="00BF0A28">
            <w:pPr>
              <w:jc w:val="right"/>
              <w:textAlignment w:val="top"/>
            </w:pPr>
            <w:r>
              <w:rPr>
                <w:rFonts w:ascii="Arial" w:eastAsia="宋体" w:hAnsi="Arial" w:cs="Arial"/>
                <w:b/>
                <w:bCs/>
                <w:color w:val="262626"/>
                <w:sz w:val="18"/>
                <w:szCs w:val="18"/>
              </w:rPr>
              <w:t>Delaware</w:t>
            </w:r>
          </w:p>
        </w:tc>
        <w:tc>
          <w:tcPr>
            <w:tcW w:w="0" w:type="auto"/>
            <w:gridSpan w:val="3"/>
            <w:shd w:val="clear" w:color="auto" w:fill="auto"/>
            <w:tcMar>
              <w:top w:w="0" w:type="dxa"/>
              <w:left w:w="20" w:type="dxa"/>
              <w:bottom w:w="0" w:type="dxa"/>
              <w:right w:w="20" w:type="dxa"/>
            </w:tcMar>
            <w:vAlign w:val="bottom"/>
          </w:tcPr>
          <w:p w14:paraId="67533BA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BA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BA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BB0" w14:textId="77777777" w:rsidR="001B77DD" w:rsidRDefault="00BF0A28">
            <w:pPr>
              <w:jc w:val="center"/>
              <w:textAlignment w:val="top"/>
            </w:pPr>
            <w:r>
              <w:rPr>
                <w:rFonts w:ascii="Arial" w:eastAsia="宋体" w:hAnsi="Arial" w:cs="Arial"/>
                <w:b/>
                <w:bCs/>
                <w:color w:val="262626"/>
                <w:sz w:val="18"/>
                <w:szCs w:val="18"/>
              </w:rPr>
              <w:t>94-1672743</w:t>
            </w:r>
          </w:p>
        </w:tc>
      </w:tr>
      <w:tr w:rsidR="001B77DD" w14:paraId="67533BB5" w14:textId="77777777">
        <w:trPr>
          <w:jc w:val="center"/>
        </w:trPr>
        <w:tc>
          <w:tcPr>
            <w:tcW w:w="0" w:type="auto"/>
            <w:gridSpan w:val="9"/>
            <w:shd w:val="clear" w:color="auto" w:fill="auto"/>
            <w:tcMar>
              <w:top w:w="40" w:type="dxa"/>
              <w:left w:w="20" w:type="dxa"/>
              <w:bottom w:w="40" w:type="dxa"/>
              <w:right w:w="20" w:type="dxa"/>
            </w:tcMar>
            <w:vAlign w:val="bottom"/>
          </w:tcPr>
          <w:p w14:paraId="67533BB2" w14:textId="77777777" w:rsidR="001B77DD" w:rsidRDefault="00BF0A28">
            <w:pPr>
              <w:jc w:val="center"/>
              <w:textAlignment w:val="bottom"/>
            </w:pPr>
            <w:r>
              <w:rPr>
                <w:rFonts w:ascii="Arial" w:eastAsia="宋体" w:hAnsi="Arial" w:cs="Arial"/>
                <w:color w:val="262626"/>
                <w:sz w:val="16"/>
                <w:szCs w:val="16"/>
              </w:rPr>
              <w:t>(State or other jurisdiction of incorporation or organization)</w:t>
            </w:r>
          </w:p>
        </w:tc>
        <w:tc>
          <w:tcPr>
            <w:tcW w:w="0" w:type="auto"/>
            <w:gridSpan w:val="3"/>
            <w:shd w:val="clear" w:color="auto" w:fill="auto"/>
            <w:tcMar>
              <w:top w:w="0" w:type="dxa"/>
              <w:left w:w="20" w:type="dxa"/>
              <w:bottom w:w="0" w:type="dxa"/>
              <w:right w:w="20" w:type="dxa"/>
            </w:tcMar>
            <w:vAlign w:val="bottom"/>
          </w:tcPr>
          <w:p w14:paraId="67533BB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BB4" w14:textId="77777777" w:rsidR="001B77DD" w:rsidRDefault="00BF0A28">
            <w:pPr>
              <w:jc w:val="center"/>
              <w:textAlignment w:val="bottom"/>
            </w:pPr>
            <w:r>
              <w:rPr>
                <w:rFonts w:ascii="Arial" w:eastAsia="宋体" w:hAnsi="Arial" w:cs="Arial"/>
                <w:color w:val="262626"/>
                <w:sz w:val="16"/>
                <w:szCs w:val="16"/>
              </w:rPr>
              <w:t>(I.R.S. Employer Identification No.)</w:t>
            </w:r>
          </w:p>
        </w:tc>
      </w:tr>
      <w:tr w:rsidR="001B77DD" w14:paraId="67533BBB" w14:textId="77777777">
        <w:trPr>
          <w:trHeight w:val="60"/>
          <w:jc w:val="center"/>
        </w:trPr>
        <w:tc>
          <w:tcPr>
            <w:tcW w:w="0" w:type="auto"/>
            <w:gridSpan w:val="3"/>
            <w:shd w:val="clear" w:color="auto" w:fill="auto"/>
            <w:tcMar>
              <w:top w:w="0" w:type="dxa"/>
              <w:left w:w="20" w:type="dxa"/>
              <w:bottom w:w="0" w:type="dxa"/>
              <w:right w:w="20" w:type="dxa"/>
            </w:tcMar>
            <w:vAlign w:val="bottom"/>
          </w:tcPr>
          <w:p w14:paraId="67533BB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BB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BB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BB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BBA" w14:textId="77777777" w:rsidR="001B77DD" w:rsidRDefault="001B77DD">
            <w:pPr>
              <w:rPr>
                <w:rFonts w:ascii="宋体"/>
              </w:rPr>
            </w:pPr>
          </w:p>
        </w:tc>
      </w:tr>
      <w:tr w:rsidR="001B77DD" w14:paraId="67533BC1" w14:textId="77777777">
        <w:trPr>
          <w:jc w:val="center"/>
        </w:trPr>
        <w:tc>
          <w:tcPr>
            <w:tcW w:w="0" w:type="auto"/>
            <w:gridSpan w:val="3"/>
            <w:shd w:val="clear" w:color="auto" w:fill="auto"/>
            <w:tcMar>
              <w:top w:w="40" w:type="dxa"/>
              <w:left w:w="20" w:type="dxa"/>
              <w:bottom w:w="40" w:type="dxa"/>
              <w:right w:w="20" w:type="dxa"/>
            </w:tcMar>
          </w:tcPr>
          <w:p w14:paraId="67533BBC" w14:textId="77777777" w:rsidR="001B77DD" w:rsidRDefault="00BF0A28">
            <w:pPr>
              <w:jc w:val="right"/>
              <w:textAlignment w:val="top"/>
            </w:pPr>
            <w:r>
              <w:rPr>
                <w:rFonts w:ascii="Arial" w:eastAsia="宋体" w:hAnsi="Arial" w:cs="Arial"/>
                <w:b/>
                <w:bCs/>
                <w:color w:val="262626"/>
                <w:sz w:val="18"/>
                <w:szCs w:val="18"/>
              </w:rPr>
              <w:t xml:space="preserve">2200 Mission College Boulevard, </w:t>
            </w:r>
          </w:p>
        </w:tc>
        <w:tc>
          <w:tcPr>
            <w:tcW w:w="0" w:type="auto"/>
            <w:gridSpan w:val="3"/>
            <w:shd w:val="clear" w:color="auto" w:fill="auto"/>
            <w:tcMar>
              <w:top w:w="40" w:type="dxa"/>
              <w:left w:w="20" w:type="dxa"/>
              <w:bottom w:w="40" w:type="dxa"/>
              <w:right w:w="20" w:type="dxa"/>
            </w:tcMar>
          </w:tcPr>
          <w:p w14:paraId="67533BBD" w14:textId="77777777" w:rsidR="001B77DD" w:rsidRDefault="00BF0A28">
            <w:pPr>
              <w:jc w:val="right"/>
              <w:textAlignment w:val="top"/>
            </w:pPr>
            <w:r>
              <w:rPr>
                <w:rFonts w:ascii="Arial" w:eastAsia="宋体" w:hAnsi="Arial" w:cs="Arial"/>
                <w:b/>
                <w:bCs/>
                <w:color w:val="262626"/>
                <w:sz w:val="18"/>
                <w:szCs w:val="18"/>
              </w:rPr>
              <w:t>Santa Clara,</w:t>
            </w:r>
          </w:p>
        </w:tc>
        <w:tc>
          <w:tcPr>
            <w:tcW w:w="0" w:type="auto"/>
            <w:gridSpan w:val="3"/>
            <w:shd w:val="clear" w:color="auto" w:fill="auto"/>
            <w:tcMar>
              <w:top w:w="40" w:type="dxa"/>
              <w:left w:w="20" w:type="dxa"/>
              <w:bottom w:w="40" w:type="dxa"/>
              <w:right w:w="20" w:type="dxa"/>
            </w:tcMar>
          </w:tcPr>
          <w:p w14:paraId="67533BBE" w14:textId="77777777" w:rsidR="001B77DD" w:rsidRDefault="00BF0A28">
            <w:pPr>
              <w:textAlignment w:val="top"/>
            </w:pPr>
            <w:r>
              <w:rPr>
                <w:rFonts w:ascii="Arial" w:eastAsia="宋体" w:hAnsi="Arial" w:cs="Arial"/>
                <w:b/>
                <w:bCs/>
                <w:color w:val="262626"/>
                <w:sz w:val="18"/>
                <w:szCs w:val="18"/>
              </w:rPr>
              <w:t>California</w:t>
            </w:r>
          </w:p>
        </w:tc>
        <w:tc>
          <w:tcPr>
            <w:tcW w:w="0" w:type="auto"/>
            <w:gridSpan w:val="3"/>
            <w:shd w:val="clear" w:color="auto" w:fill="auto"/>
            <w:tcMar>
              <w:top w:w="0" w:type="dxa"/>
              <w:left w:w="20" w:type="dxa"/>
              <w:bottom w:w="0" w:type="dxa"/>
              <w:right w:w="20" w:type="dxa"/>
            </w:tcMar>
            <w:vAlign w:val="bottom"/>
          </w:tcPr>
          <w:p w14:paraId="67533BB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BC0" w14:textId="77777777" w:rsidR="001B77DD" w:rsidRDefault="00BF0A28">
            <w:pPr>
              <w:jc w:val="center"/>
              <w:textAlignment w:val="top"/>
            </w:pPr>
            <w:r>
              <w:rPr>
                <w:rFonts w:ascii="Arial" w:eastAsia="宋体" w:hAnsi="Arial" w:cs="Arial"/>
                <w:b/>
                <w:bCs/>
                <w:color w:val="262626"/>
                <w:sz w:val="18"/>
                <w:szCs w:val="18"/>
              </w:rPr>
              <w:t>95054-1549</w:t>
            </w:r>
          </w:p>
        </w:tc>
      </w:tr>
      <w:tr w:rsidR="001B77DD" w14:paraId="67533BC5" w14:textId="77777777">
        <w:trPr>
          <w:jc w:val="center"/>
        </w:trPr>
        <w:tc>
          <w:tcPr>
            <w:tcW w:w="0" w:type="auto"/>
            <w:gridSpan w:val="9"/>
            <w:shd w:val="clear" w:color="auto" w:fill="auto"/>
            <w:tcMar>
              <w:top w:w="40" w:type="dxa"/>
              <w:left w:w="20" w:type="dxa"/>
              <w:bottom w:w="40" w:type="dxa"/>
              <w:right w:w="20" w:type="dxa"/>
            </w:tcMar>
          </w:tcPr>
          <w:p w14:paraId="67533BC2" w14:textId="77777777" w:rsidR="001B77DD" w:rsidRDefault="00BF0A28">
            <w:pPr>
              <w:jc w:val="center"/>
              <w:textAlignment w:val="top"/>
            </w:pPr>
            <w:r>
              <w:rPr>
                <w:rFonts w:ascii="Arial" w:eastAsia="宋体" w:hAnsi="Arial" w:cs="Arial"/>
                <w:color w:val="262626"/>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67533BC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BC4" w14:textId="77777777" w:rsidR="001B77DD" w:rsidRDefault="00BF0A28">
            <w:pPr>
              <w:jc w:val="center"/>
              <w:textAlignment w:val="top"/>
            </w:pPr>
            <w:r>
              <w:rPr>
                <w:rFonts w:ascii="Arial" w:eastAsia="宋体" w:hAnsi="Arial" w:cs="Arial"/>
                <w:color w:val="262626"/>
                <w:sz w:val="16"/>
                <w:szCs w:val="16"/>
              </w:rPr>
              <w:t>(Zip Code)</w:t>
            </w:r>
          </w:p>
        </w:tc>
      </w:tr>
    </w:tbl>
    <w:p w14:paraId="67533BC6" w14:textId="77777777" w:rsidR="001B77DD" w:rsidRDefault="00BF0A28">
      <w:pPr>
        <w:jc w:val="center"/>
      </w:pPr>
      <w:r>
        <w:rPr>
          <w:rFonts w:ascii="Arial" w:eastAsia="宋体" w:hAnsi="Arial" w:cs="Arial"/>
          <w:color w:val="262626"/>
          <w:sz w:val="16"/>
          <w:szCs w:val="16"/>
        </w:rPr>
        <w:t xml:space="preserve">Registrant’s telephone number, including area code </w:t>
      </w:r>
      <w:r>
        <w:rPr>
          <w:rFonts w:ascii="Arial" w:eastAsia="宋体" w:hAnsi="Arial" w:cs="Arial"/>
          <w:b/>
          <w:bCs/>
          <w:color w:val="262626"/>
          <w:sz w:val="16"/>
          <w:szCs w:val="16"/>
        </w:rPr>
        <w:t xml:space="preserve">(408) 765-8080 </w:t>
      </w:r>
    </w:p>
    <w:p w14:paraId="67533BC7" w14:textId="77777777" w:rsidR="001B77DD" w:rsidRDefault="00BF0A28">
      <w:pPr>
        <w:jc w:val="center"/>
      </w:pPr>
      <w:r>
        <w:rPr>
          <w:rFonts w:ascii="Arial" w:eastAsia="宋体" w:hAnsi="Arial" w:cs="Arial"/>
          <w:color w:val="262626"/>
          <w:sz w:val="16"/>
          <w:szCs w:val="16"/>
        </w:rPr>
        <w:t>Securities registered pursuant to Section 12(b) of the Act:</w:t>
      </w:r>
    </w:p>
    <w:tbl>
      <w:tblPr>
        <w:tblW w:w="4993" w:type="pct"/>
        <w:tblCellMar>
          <w:top w:w="15" w:type="dxa"/>
          <w:left w:w="15" w:type="dxa"/>
          <w:bottom w:w="15" w:type="dxa"/>
          <w:right w:w="15" w:type="dxa"/>
        </w:tblCellMar>
        <w:tblLook w:val="04A0" w:firstRow="1" w:lastRow="0" w:firstColumn="1" w:lastColumn="0" w:noHBand="0" w:noVBand="1"/>
      </w:tblPr>
      <w:tblGrid>
        <w:gridCol w:w="58"/>
        <w:gridCol w:w="2765"/>
        <w:gridCol w:w="37"/>
        <w:gridCol w:w="36"/>
        <w:gridCol w:w="36"/>
        <w:gridCol w:w="36"/>
        <w:gridCol w:w="39"/>
        <w:gridCol w:w="1934"/>
        <w:gridCol w:w="36"/>
        <w:gridCol w:w="36"/>
        <w:gridCol w:w="36"/>
        <w:gridCol w:w="36"/>
        <w:gridCol w:w="39"/>
        <w:gridCol w:w="3164"/>
        <w:gridCol w:w="36"/>
      </w:tblGrid>
      <w:tr w:rsidR="001B77DD" w14:paraId="67533BD7" w14:textId="77777777">
        <w:tc>
          <w:tcPr>
            <w:tcW w:w="50" w:type="pct"/>
            <w:shd w:val="clear" w:color="auto" w:fill="auto"/>
            <w:vAlign w:val="bottom"/>
          </w:tcPr>
          <w:p w14:paraId="67533BC8" w14:textId="77777777" w:rsidR="001B77DD" w:rsidRDefault="001B77DD">
            <w:pPr>
              <w:rPr>
                <w:rFonts w:ascii="宋体"/>
              </w:rPr>
            </w:pPr>
          </w:p>
        </w:tc>
        <w:tc>
          <w:tcPr>
            <w:tcW w:w="1675" w:type="pct"/>
            <w:shd w:val="clear" w:color="auto" w:fill="auto"/>
            <w:vAlign w:val="bottom"/>
          </w:tcPr>
          <w:p w14:paraId="67533BC9" w14:textId="77777777" w:rsidR="001B77DD" w:rsidRDefault="001B77DD">
            <w:pPr>
              <w:rPr>
                <w:rFonts w:ascii="宋体"/>
              </w:rPr>
            </w:pPr>
          </w:p>
        </w:tc>
        <w:tc>
          <w:tcPr>
            <w:tcW w:w="5" w:type="pct"/>
            <w:shd w:val="clear" w:color="auto" w:fill="auto"/>
            <w:vAlign w:val="bottom"/>
          </w:tcPr>
          <w:p w14:paraId="67533BCA" w14:textId="77777777" w:rsidR="001B77DD" w:rsidRDefault="001B77DD">
            <w:pPr>
              <w:rPr>
                <w:rFonts w:ascii="宋体"/>
              </w:rPr>
            </w:pPr>
          </w:p>
        </w:tc>
        <w:tc>
          <w:tcPr>
            <w:tcW w:w="5" w:type="pct"/>
            <w:shd w:val="clear" w:color="auto" w:fill="auto"/>
            <w:vAlign w:val="bottom"/>
          </w:tcPr>
          <w:p w14:paraId="67533BCB" w14:textId="77777777" w:rsidR="001B77DD" w:rsidRDefault="001B77DD">
            <w:pPr>
              <w:rPr>
                <w:rFonts w:ascii="宋体"/>
              </w:rPr>
            </w:pPr>
          </w:p>
        </w:tc>
        <w:tc>
          <w:tcPr>
            <w:tcW w:w="24" w:type="pct"/>
            <w:shd w:val="clear" w:color="auto" w:fill="auto"/>
            <w:vAlign w:val="bottom"/>
          </w:tcPr>
          <w:p w14:paraId="67533BCC" w14:textId="77777777" w:rsidR="001B77DD" w:rsidRDefault="001B77DD">
            <w:pPr>
              <w:rPr>
                <w:rFonts w:ascii="宋体"/>
              </w:rPr>
            </w:pPr>
          </w:p>
        </w:tc>
        <w:tc>
          <w:tcPr>
            <w:tcW w:w="5" w:type="pct"/>
            <w:shd w:val="clear" w:color="auto" w:fill="auto"/>
            <w:vAlign w:val="bottom"/>
          </w:tcPr>
          <w:p w14:paraId="67533BCD" w14:textId="77777777" w:rsidR="001B77DD" w:rsidRDefault="001B77DD">
            <w:pPr>
              <w:rPr>
                <w:rFonts w:ascii="宋体"/>
              </w:rPr>
            </w:pPr>
          </w:p>
        </w:tc>
        <w:tc>
          <w:tcPr>
            <w:tcW w:w="50" w:type="pct"/>
            <w:shd w:val="clear" w:color="auto" w:fill="auto"/>
            <w:vAlign w:val="bottom"/>
          </w:tcPr>
          <w:p w14:paraId="67533BCE" w14:textId="77777777" w:rsidR="001B77DD" w:rsidRDefault="001B77DD">
            <w:pPr>
              <w:rPr>
                <w:rFonts w:ascii="宋体"/>
              </w:rPr>
            </w:pPr>
          </w:p>
        </w:tc>
        <w:tc>
          <w:tcPr>
            <w:tcW w:w="1176" w:type="pct"/>
            <w:shd w:val="clear" w:color="auto" w:fill="auto"/>
            <w:vAlign w:val="bottom"/>
          </w:tcPr>
          <w:p w14:paraId="67533BCF" w14:textId="77777777" w:rsidR="001B77DD" w:rsidRDefault="001B77DD">
            <w:pPr>
              <w:rPr>
                <w:rFonts w:ascii="宋体"/>
              </w:rPr>
            </w:pPr>
          </w:p>
        </w:tc>
        <w:tc>
          <w:tcPr>
            <w:tcW w:w="5" w:type="pct"/>
            <w:shd w:val="clear" w:color="auto" w:fill="auto"/>
            <w:vAlign w:val="bottom"/>
          </w:tcPr>
          <w:p w14:paraId="67533BD0" w14:textId="77777777" w:rsidR="001B77DD" w:rsidRDefault="001B77DD">
            <w:pPr>
              <w:rPr>
                <w:rFonts w:ascii="宋体"/>
              </w:rPr>
            </w:pPr>
          </w:p>
        </w:tc>
        <w:tc>
          <w:tcPr>
            <w:tcW w:w="5" w:type="pct"/>
            <w:shd w:val="clear" w:color="auto" w:fill="auto"/>
            <w:vAlign w:val="bottom"/>
          </w:tcPr>
          <w:p w14:paraId="67533BD1" w14:textId="77777777" w:rsidR="001B77DD" w:rsidRDefault="001B77DD">
            <w:pPr>
              <w:rPr>
                <w:rFonts w:ascii="宋体"/>
              </w:rPr>
            </w:pPr>
          </w:p>
        </w:tc>
        <w:tc>
          <w:tcPr>
            <w:tcW w:w="24" w:type="pct"/>
            <w:shd w:val="clear" w:color="auto" w:fill="auto"/>
            <w:vAlign w:val="bottom"/>
          </w:tcPr>
          <w:p w14:paraId="67533BD2" w14:textId="77777777" w:rsidR="001B77DD" w:rsidRDefault="001B77DD">
            <w:pPr>
              <w:rPr>
                <w:rFonts w:ascii="宋体"/>
              </w:rPr>
            </w:pPr>
          </w:p>
        </w:tc>
        <w:tc>
          <w:tcPr>
            <w:tcW w:w="5" w:type="pct"/>
            <w:shd w:val="clear" w:color="auto" w:fill="auto"/>
            <w:vAlign w:val="bottom"/>
          </w:tcPr>
          <w:p w14:paraId="67533BD3" w14:textId="77777777" w:rsidR="001B77DD" w:rsidRDefault="001B77DD">
            <w:pPr>
              <w:rPr>
                <w:rFonts w:ascii="宋体"/>
              </w:rPr>
            </w:pPr>
          </w:p>
        </w:tc>
        <w:tc>
          <w:tcPr>
            <w:tcW w:w="50" w:type="pct"/>
            <w:shd w:val="clear" w:color="auto" w:fill="auto"/>
            <w:vAlign w:val="bottom"/>
          </w:tcPr>
          <w:p w14:paraId="67533BD4" w14:textId="77777777" w:rsidR="001B77DD" w:rsidRDefault="001B77DD">
            <w:pPr>
              <w:rPr>
                <w:rFonts w:ascii="宋体"/>
              </w:rPr>
            </w:pPr>
          </w:p>
        </w:tc>
        <w:tc>
          <w:tcPr>
            <w:tcW w:w="1915" w:type="pct"/>
            <w:shd w:val="clear" w:color="auto" w:fill="auto"/>
            <w:vAlign w:val="bottom"/>
          </w:tcPr>
          <w:p w14:paraId="67533BD5" w14:textId="77777777" w:rsidR="001B77DD" w:rsidRDefault="001B77DD">
            <w:pPr>
              <w:rPr>
                <w:rFonts w:ascii="宋体"/>
              </w:rPr>
            </w:pPr>
          </w:p>
        </w:tc>
        <w:tc>
          <w:tcPr>
            <w:tcW w:w="5" w:type="pct"/>
            <w:shd w:val="clear" w:color="auto" w:fill="auto"/>
            <w:vAlign w:val="bottom"/>
          </w:tcPr>
          <w:p w14:paraId="67533BD6" w14:textId="77777777" w:rsidR="001B77DD" w:rsidRDefault="001B77DD">
            <w:pPr>
              <w:rPr>
                <w:rFonts w:ascii="宋体"/>
              </w:rPr>
            </w:pPr>
          </w:p>
        </w:tc>
      </w:tr>
      <w:tr w:rsidR="001B77DD" w14:paraId="67533BDD" w14:textId="77777777">
        <w:tc>
          <w:tcPr>
            <w:tcW w:w="0" w:type="auto"/>
            <w:gridSpan w:val="3"/>
            <w:shd w:val="clear" w:color="auto" w:fill="auto"/>
            <w:tcMar>
              <w:top w:w="40" w:type="dxa"/>
              <w:left w:w="20" w:type="dxa"/>
              <w:bottom w:w="40" w:type="dxa"/>
              <w:right w:w="20" w:type="dxa"/>
            </w:tcMar>
            <w:vAlign w:val="bottom"/>
          </w:tcPr>
          <w:p w14:paraId="67533BD8" w14:textId="77777777" w:rsidR="001B77DD" w:rsidRDefault="00BF0A28">
            <w:pPr>
              <w:jc w:val="center"/>
              <w:textAlignment w:val="bottom"/>
            </w:pPr>
            <w:r>
              <w:rPr>
                <w:rFonts w:ascii="Arial" w:eastAsia="宋体" w:hAnsi="Arial" w:cs="Arial"/>
                <w:b/>
                <w:bCs/>
                <w:color w:val="262626"/>
                <w:sz w:val="16"/>
                <w:szCs w:val="16"/>
                <w:u w:val="single"/>
              </w:rPr>
              <w:t>Title of each class</w:t>
            </w:r>
          </w:p>
        </w:tc>
        <w:tc>
          <w:tcPr>
            <w:tcW w:w="0" w:type="auto"/>
            <w:gridSpan w:val="3"/>
            <w:shd w:val="clear" w:color="auto" w:fill="auto"/>
            <w:tcMar>
              <w:top w:w="0" w:type="dxa"/>
              <w:left w:w="20" w:type="dxa"/>
              <w:bottom w:w="0" w:type="dxa"/>
              <w:right w:w="20" w:type="dxa"/>
            </w:tcMar>
            <w:vAlign w:val="bottom"/>
          </w:tcPr>
          <w:p w14:paraId="67533BD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BDA" w14:textId="77777777" w:rsidR="001B77DD" w:rsidRDefault="00BF0A28">
            <w:pPr>
              <w:jc w:val="center"/>
              <w:textAlignment w:val="bottom"/>
            </w:pPr>
            <w:r>
              <w:rPr>
                <w:rFonts w:ascii="Arial" w:eastAsia="宋体" w:hAnsi="Arial" w:cs="Arial"/>
                <w:b/>
                <w:bCs/>
                <w:color w:val="262626"/>
                <w:sz w:val="16"/>
                <w:szCs w:val="16"/>
                <w:u w:val="single"/>
              </w:rPr>
              <w:t>Trading symbol</w:t>
            </w:r>
          </w:p>
        </w:tc>
        <w:tc>
          <w:tcPr>
            <w:tcW w:w="0" w:type="auto"/>
            <w:gridSpan w:val="3"/>
            <w:shd w:val="clear" w:color="auto" w:fill="auto"/>
            <w:tcMar>
              <w:top w:w="0" w:type="dxa"/>
              <w:left w:w="20" w:type="dxa"/>
              <w:bottom w:w="0" w:type="dxa"/>
              <w:right w:w="20" w:type="dxa"/>
            </w:tcMar>
            <w:vAlign w:val="bottom"/>
          </w:tcPr>
          <w:p w14:paraId="67533BD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BDC" w14:textId="77777777" w:rsidR="001B77DD" w:rsidRDefault="00BF0A28">
            <w:pPr>
              <w:jc w:val="center"/>
              <w:textAlignment w:val="bottom"/>
            </w:pPr>
            <w:r>
              <w:rPr>
                <w:rFonts w:ascii="Arial" w:eastAsia="宋体" w:hAnsi="Arial" w:cs="Arial"/>
                <w:b/>
                <w:bCs/>
                <w:color w:val="262626"/>
                <w:sz w:val="16"/>
                <w:szCs w:val="16"/>
                <w:u w:val="single"/>
              </w:rPr>
              <w:t>Name of each exchange on which registered</w:t>
            </w:r>
          </w:p>
        </w:tc>
      </w:tr>
      <w:tr w:rsidR="001B77DD" w14:paraId="67533BE3" w14:textId="77777777">
        <w:tc>
          <w:tcPr>
            <w:tcW w:w="0" w:type="auto"/>
            <w:gridSpan w:val="3"/>
            <w:shd w:val="clear" w:color="auto" w:fill="auto"/>
            <w:tcMar>
              <w:top w:w="40" w:type="dxa"/>
              <w:left w:w="20" w:type="dxa"/>
              <w:bottom w:w="40" w:type="dxa"/>
              <w:right w:w="20" w:type="dxa"/>
            </w:tcMar>
          </w:tcPr>
          <w:p w14:paraId="67533BDE" w14:textId="77777777" w:rsidR="001B77DD" w:rsidRDefault="00BF0A28">
            <w:pPr>
              <w:jc w:val="center"/>
              <w:textAlignment w:val="top"/>
            </w:pPr>
            <w:r>
              <w:rPr>
                <w:rFonts w:ascii="Arial" w:eastAsia="宋体" w:hAnsi="Arial" w:cs="Arial"/>
                <w:color w:val="262626"/>
                <w:sz w:val="16"/>
                <w:szCs w:val="16"/>
              </w:rPr>
              <w:t xml:space="preserve">Common stock, $0.001 par </w:t>
            </w:r>
            <w:r>
              <w:rPr>
                <w:rFonts w:ascii="Arial" w:eastAsia="宋体" w:hAnsi="Arial" w:cs="Arial"/>
                <w:color w:val="262626"/>
                <w:sz w:val="16"/>
                <w:szCs w:val="16"/>
              </w:rPr>
              <w:t>value</w:t>
            </w:r>
          </w:p>
        </w:tc>
        <w:tc>
          <w:tcPr>
            <w:tcW w:w="0" w:type="auto"/>
            <w:gridSpan w:val="3"/>
            <w:shd w:val="clear" w:color="auto" w:fill="auto"/>
            <w:tcMar>
              <w:top w:w="0" w:type="dxa"/>
              <w:left w:w="20" w:type="dxa"/>
              <w:bottom w:w="0" w:type="dxa"/>
              <w:right w:w="20" w:type="dxa"/>
            </w:tcMar>
            <w:vAlign w:val="bottom"/>
          </w:tcPr>
          <w:p w14:paraId="67533BD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BE0" w14:textId="77777777" w:rsidR="001B77DD" w:rsidRDefault="00BF0A28">
            <w:pPr>
              <w:jc w:val="center"/>
              <w:textAlignment w:val="top"/>
            </w:pPr>
            <w:r>
              <w:rPr>
                <w:rFonts w:ascii="Arial" w:eastAsia="宋体" w:hAnsi="Arial" w:cs="Arial"/>
                <w:color w:val="262626"/>
                <w:sz w:val="16"/>
                <w:szCs w:val="16"/>
              </w:rPr>
              <w:t>INTC</w:t>
            </w:r>
          </w:p>
        </w:tc>
        <w:tc>
          <w:tcPr>
            <w:tcW w:w="0" w:type="auto"/>
            <w:gridSpan w:val="3"/>
            <w:shd w:val="clear" w:color="auto" w:fill="auto"/>
            <w:tcMar>
              <w:top w:w="0" w:type="dxa"/>
              <w:left w:w="20" w:type="dxa"/>
              <w:bottom w:w="0" w:type="dxa"/>
              <w:right w:w="20" w:type="dxa"/>
            </w:tcMar>
            <w:vAlign w:val="bottom"/>
          </w:tcPr>
          <w:p w14:paraId="67533BE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BE2" w14:textId="77777777" w:rsidR="001B77DD" w:rsidRDefault="00BF0A28">
            <w:pPr>
              <w:jc w:val="center"/>
              <w:textAlignment w:val="top"/>
            </w:pPr>
            <w:r>
              <w:rPr>
                <w:rFonts w:ascii="Arial" w:eastAsia="宋体" w:hAnsi="Arial" w:cs="Arial"/>
                <w:color w:val="262626"/>
                <w:sz w:val="16"/>
                <w:szCs w:val="16"/>
              </w:rPr>
              <w:t>Nasdaq Global Select Market</w:t>
            </w:r>
          </w:p>
        </w:tc>
      </w:tr>
    </w:tbl>
    <w:p w14:paraId="67533BE4" w14:textId="77777777" w:rsidR="001B77DD" w:rsidRDefault="00BF0A28">
      <w:pPr>
        <w:jc w:val="center"/>
      </w:pPr>
      <w:r>
        <w:rPr>
          <w:rFonts w:ascii="Arial" w:eastAsia="宋体" w:hAnsi="Arial" w:cs="Arial"/>
          <w:color w:val="262626"/>
          <w:sz w:val="16"/>
          <w:szCs w:val="16"/>
        </w:rPr>
        <w:t>Securities registered pursuant to Section 12(g) of the Act:</w:t>
      </w:r>
    </w:p>
    <w:p w14:paraId="67533BE5" w14:textId="77777777" w:rsidR="001B77DD" w:rsidRDefault="00BF0A28">
      <w:pPr>
        <w:jc w:val="center"/>
      </w:pPr>
      <w:r>
        <w:rPr>
          <w:rFonts w:ascii="Arial" w:eastAsia="宋体" w:hAnsi="Arial" w:cs="Arial"/>
          <w:color w:val="262626"/>
          <w:sz w:val="16"/>
          <w:szCs w:val="16"/>
        </w:rPr>
        <w:t>None</w:t>
      </w:r>
    </w:p>
    <w:tbl>
      <w:tblPr>
        <w:tblW w:w="1824" w:type="pct"/>
        <w:jc w:val="center"/>
        <w:tblCellMar>
          <w:top w:w="15" w:type="dxa"/>
          <w:left w:w="15" w:type="dxa"/>
          <w:bottom w:w="15" w:type="dxa"/>
          <w:right w:w="15" w:type="dxa"/>
        </w:tblCellMar>
        <w:tblLook w:val="04A0" w:firstRow="1" w:lastRow="0" w:firstColumn="1" w:lastColumn="0" w:noHBand="0" w:noVBand="1"/>
      </w:tblPr>
      <w:tblGrid>
        <w:gridCol w:w="36"/>
        <w:gridCol w:w="2969"/>
        <w:gridCol w:w="36"/>
      </w:tblGrid>
      <w:tr w:rsidR="001B77DD" w14:paraId="67533BE9" w14:textId="77777777">
        <w:trPr>
          <w:jc w:val="center"/>
        </w:trPr>
        <w:tc>
          <w:tcPr>
            <w:tcW w:w="50" w:type="pct"/>
            <w:shd w:val="clear" w:color="auto" w:fill="auto"/>
            <w:vAlign w:val="bottom"/>
          </w:tcPr>
          <w:p w14:paraId="67533BE6" w14:textId="77777777" w:rsidR="001B77DD" w:rsidRDefault="001B77DD">
            <w:pPr>
              <w:rPr>
                <w:rFonts w:ascii="宋体"/>
              </w:rPr>
            </w:pPr>
          </w:p>
        </w:tc>
        <w:tc>
          <w:tcPr>
            <w:tcW w:w="4945" w:type="pct"/>
            <w:shd w:val="clear" w:color="auto" w:fill="auto"/>
            <w:vAlign w:val="bottom"/>
          </w:tcPr>
          <w:p w14:paraId="67533BE7" w14:textId="77777777" w:rsidR="001B77DD" w:rsidRDefault="001B77DD">
            <w:pPr>
              <w:rPr>
                <w:rFonts w:ascii="宋体"/>
              </w:rPr>
            </w:pPr>
          </w:p>
        </w:tc>
        <w:tc>
          <w:tcPr>
            <w:tcW w:w="5" w:type="pct"/>
            <w:shd w:val="clear" w:color="auto" w:fill="auto"/>
            <w:vAlign w:val="bottom"/>
          </w:tcPr>
          <w:p w14:paraId="67533BE8" w14:textId="77777777" w:rsidR="001B77DD" w:rsidRDefault="001B77DD">
            <w:pPr>
              <w:rPr>
                <w:rFonts w:ascii="宋体"/>
              </w:rPr>
            </w:pPr>
          </w:p>
        </w:tc>
      </w:tr>
      <w:tr w:rsidR="001B77DD" w14:paraId="67533BEB" w14:textId="77777777">
        <w:trPr>
          <w:trHeight w:val="60"/>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67533BEA" w14:textId="77777777" w:rsidR="001B77DD" w:rsidRDefault="001B77DD">
            <w:pPr>
              <w:rPr>
                <w:rFonts w:ascii="宋体"/>
              </w:rPr>
            </w:pPr>
          </w:p>
        </w:tc>
      </w:tr>
    </w:tbl>
    <w:p w14:paraId="67533BEC" w14:textId="77777777" w:rsidR="001B77DD" w:rsidRDefault="00BF0A28">
      <w:r>
        <w:rPr>
          <w:rFonts w:ascii="Arial" w:eastAsia="宋体" w:hAnsi="Arial" w:cs="Arial"/>
          <w:color w:val="262626"/>
          <w:sz w:val="16"/>
          <w:szCs w:val="16"/>
        </w:rPr>
        <w:t>Indicate by check mark if the registrant is a well-known seasoned issuer, as defined in Rule 405 of the Securities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67533BED" w14:textId="77777777" w:rsidR="001B77DD" w:rsidRDefault="00BF0A28">
      <w:pPr>
        <w:spacing w:before="100"/>
      </w:pPr>
      <w:r>
        <w:rPr>
          <w:rFonts w:ascii="Arial" w:eastAsia="宋体" w:hAnsi="Arial" w:cs="Arial"/>
          <w:color w:val="262626"/>
          <w:sz w:val="16"/>
          <w:szCs w:val="16"/>
        </w:rPr>
        <w:t>Indicate by check mark if the registrant is not required to file reports pursuant to Section 13 or Section 15(d) of the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67533BEE" w14:textId="77777777" w:rsidR="001B77DD" w:rsidRDefault="00BF0A28">
      <w:pPr>
        <w:spacing w:before="100"/>
      </w:pPr>
      <w:r>
        <w:rPr>
          <w:rFonts w:ascii="Arial" w:eastAsia="宋体" w:hAnsi="Arial" w:cs="Arial"/>
          <w:color w:val="262626"/>
          <w:sz w:val="16"/>
          <w:szCs w:val="16"/>
        </w:rPr>
        <w:lastRenderedPageBreak/>
        <w:t xml:space="preserve">Indicate by check mark whether the registrant (1) has filed all reports required to be filed by Section 13 or 15(d) </w:t>
      </w:r>
      <w:r>
        <w:rPr>
          <w:rFonts w:ascii="Arial" w:eastAsia="宋体" w:hAnsi="Arial" w:cs="Arial"/>
          <w:color w:val="262626"/>
          <w:sz w:val="16"/>
          <w:szCs w:val="16"/>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67533BEF" w14:textId="77777777" w:rsidR="001B77DD" w:rsidRDefault="00BF0A28">
      <w:pPr>
        <w:spacing w:before="100"/>
      </w:pPr>
      <w:r>
        <w:rPr>
          <w:rFonts w:ascii="Arial" w:eastAsia="宋体" w:hAnsi="Arial" w:cs="Arial"/>
          <w:color w:val="262626"/>
          <w:sz w:val="16"/>
          <w:szCs w:val="16"/>
        </w:rPr>
        <w:t xml:space="preserve">Indicate by </w:t>
      </w:r>
      <w:r>
        <w:rPr>
          <w:rFonts w:ascii="Arial" w:eastAsia="宋体" w:hAnsi="Arial" w:cs="Arial"/>
          <w:color w:val="262626"/>
          <w:sz w:val="16"/>
          <w:szCs w:val="16"/>
        </w:rPr>
        <w:t>check mark whether the registrant has submitted electronically every interactive data file required to be submitted pursuant to Rule 405 of Regulation S-T (§ 232.405 of this chapter) during the preceding 12 months (or for such shorter period that the regis</w:t>
      </w:r>
      <w:r>
        <w:rPr>
          <w:rFonts w:ascii="Arial" w:eastAsia="宋体" w:hAnsi="Arial" w:cs="Arial"/>
          <w:color w:val="262626"/>
          <w:sz w:val="16"/>
          <w:szCs w:val="16"/>
        </w:rPr>
        <w:t xml:space="preserve">trant was required to submit such files).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67533BF0" w14:textId="77777777" w:rsidR="001B77DD" w:rsidRDefault="00BF0A28">
      <w:pPr>
        <w:spacing w:before="100"/>
      </w:pPr>
      <w:r>
        <w:rPr>
          <w:rFonts w:ascii="Arial" w:eastAsia="宋体" w:hAnsi="Arial" w:cs="Arial"/>
          <w:color w:val="262626"/>
          <w:sz w:val="16"/>
          <w:szCs w:val="16"/>
        </w:rPr>
        <w:t xml:space="preserve">Indicate by check mark whether the registrant is a large accelerated filer, an accelerated filer, a non-accelerated filer, a smaller reporting company, or an emerging growth company. See the </w:t>
      </w:r>
      <w:r>
        <w:rPr>
          <w:rFonts w:ascii="Arial" w:eastAsia="宋体" w:hAnsi="Arial" w:cs="Arial"/>
          <w:color w:val="262626"/>
          <w:sz w:val="16"/>
          <w:szCs w:val="16"/>
        </w:rPr>
        <w:t>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6"/>
        <w:gridCol w:w="1293"/>
        <w:gridCol w:w="36"/>
        <w:gridCol w:w="36"/>
        <w:gridCol w:w="84"/>
        <w:gridCol w:w="1238"/>
        <w:gridCol w:w="36"/>
        <w:gridCol w:w="36"/>
        <w:gridCol w:w="88"/>
        <w:gridCol w:w="1581"/>
        <w:gridCol w:w="36"/>
        <w:gridCol w:w="36"/>
        <w:gridCol w:w="94"/>
        <w:gridCol w:w="2036"/>
        <w:gridCol w:w="36"/>
        <w:gridCol w:w="37"/>
        <w:gridCol w:w="1551"/>
        <w:gridCol w:w="36"/>
      </w:tblGrid>
      <w:tr w:rsidR="001B77DD" w14:paraId="67533C03" w14:textId="77777777">
        <w:tc>
          <w:tcPr>
            <w:tcW w:w="50" w:type="pct"/>
            <w:shd w:val="clear" w:color="auto" w:fill="auto"/>
            <w:vAlign w:val="bottom"/>
          </w:tcPr>
          <w:p w14:paraId="67533BF1" w14:textId="77777777" w:rsidR="001B77DD" w:rsidRDefault="001B77DD">
            <w:pPr>
              <w:rPr>
                <w:rFonts w:ascii="宋体"/>
              </w:rPr>
            </w:pPr>
          </w:p>
        </w:tc>
        <w:tc>
          <w:tcPr>
            <w:tcW w:w="921" w:type="pct"/>
            <w:shd w:val="clear" w:color="auto" w:fill="auto"/>
            <w:vAlign w:val="bottom"/>
          </w:tcPr>
          <w:p w14:paraId="67533BF2" w14:textId="77777777" w:rsidR="001B77DD" w:rsidRDefault="001B77DD">
            <w:pPr>
              <w:rPr>
                <w:rFonts w:ascii="宋体"/>
              </w:rPr>
            </w:pPr>
          </w:p>
        </w:tc>
        <w:tc>
          <w:tcPr>
            <w:tcW w:w="5" w:type="pct"/>
            <w:shd w:val="clear" w:color="auto" w:fill="auto"/>
            <w:vAlign w:val="bottom"/>
          </w:tcPr>
          <w:p w14:paraId="67533BF3" w14:textId="77777777" w:rsidR="001B77DD" w:rsidRDefault="001B77DD">
            <w:pPr>
              <w:rPr>
                <w:rFonts w:ascii="宋体"/>
              </w:rPr>
            </w:pPr>
          </w:p>
        </w:tc>
        <w:tc>
          <w:tcPr>
            <w:tcW w:w="0" w:type="auto"/>
            <w:shd w:val="clear" w:color="auto" w:fill="auto"/>
            <w:vAlign w:val="bottom"/>
          </w:tcPr>
          <w:p w14:paraId="67533BF4" w14:textId="77777777" w:rsidR="001B77DD" w:rsidRDefault="001B77DD">
            <w:pPr>
              <w:rPr>
                <w:rFonts w:ascii="宋体"/>
                <w:vanish/>
              </w:rPr>
            </w:pPr>
          </w:p>
        </w:tc>
        <w:tc>
          <w:tcPr>
            <w:tcW w:w="50" w:type="pct"/>
            <w:shd w:val="clear" w:color="auto" w:fill="auto"/>
            <w:vAlign w:val="bottom"/>
          </w:tcPr>
          <w:p w14:paraId="67533BF5" w14:textId="77777777" w:rsidR="001B77DD" w:rsidRDefault="001B77DD">
            <w:pPr>
              <w:rPr>
                <w:rFonts w:ascii="宋体"/>
              </w:rPr>
            </w:pPr>
          </w:p>
        </w:tc>
        <w:tc>
          <w:tcPr>
            <w:tcW w:w="744" w:type="pct"/>
            <w:shd w:val="clear" w:color="auto" w:fill="auto"/>
            <w:vAlign w:val="bottom"/>
          </w:tcPr>
          <w:p w14:paraId="67533BF6" w14:textId="77777777" w:rsidR="001B77DD" w:rsidRDefault="001B77DD">
            <w:pPr>
              <w:rPr>
                <w:rFonts w:ascii="宋体"/>
              </w:rPr>
            </w:pPr>
          </w:p>
        </w:tc>
        <w:tc>
          <w:tcPr>
            <w:tcW w:w="5" w:type="pct"/>
            <w:shd w:val="clear" w:color="auto" w:fill="auto"/>
            <w:vAlign w:val="bottom"/>
          </w:tcPr>
          <w:p w14:paraId="67533BF7" w14:textId="77777777" w:rsidR="001B77DD" w:rsidRDefault="001B77DD">
            <w:pPr>
              <w:rPr>
                <w:rFonts w:ascii="宋体"/>
              </w:rPr>
            </w:pPr>
          </w:p>
        </w:tc>
        <w:tc>
          <w:tcPr>
            <w:tcW w:w="0" w:type="auto"/>
            <w:shd w:val="clear" w:color="auto" w:fill="auto"/>
            <w:vAlign w:val="bottom"/>
          </w:tcPr>
          <w:p w14:paraId="67533BF8" w14:textId="77777777" w:rsidR="001B77DD" w:rsidRDefault="001B77DD">
            <w:pPr>
              <w:rPr>
                <w:rFonts w:ascii="宋体"/>
                <w:vanish/>
              </w:rPr>
            </w:pPr>
          </w:p>
        </w:tc>
        <w:tc>
          <w:tcPr>
            <w:tcW w:w="50" w:type="pct"/>
            <w:shd w:val="clear" w:color="auto" w:fill="auto"/>
            <w:vAlign w:val="bottom"/>
          </w:tcPr>
          <w:p w14:paraId="67533BF9" w14:textId="77777777" w:rsidR="001B77DD" w:rsidRDefault="001B77DD">
            <w:pPr>
              <w:rPr>
                <w:rFonts w:ascii="宋体"/>
              </w:rPr>
            </w:pPr>
          </w:p>
        </w:tc>
        <w:tc>
          <w:tcPr>
            <w:tcW w:w="901" w:type="pct"/>
            <w:shd w:val="clear" w:color="auto" w:fill="auto"/>
            <w:vAlign w:val="bottom"/>
          </w:tcPr>
          <w:p w14:paraId="67533BFA" w14:textId="77777777" w:rsidR="001B77DD" w:rsidRDefault="001B77DD">
            <w:pPr>
              <w:rPr>
                <w:rFonts w:ascii="宋体"/>
              </w:rPr>
            </w:pPr>
          </w:p>
        </w:tc>
        <w:tc>
          <w:tcPr>
            <w:tcW w:w="5" w:type="pct"/>
            <w:shd w:val="clear" w:color="auto" w:fill="auto"/>
            <w:vAlign w:val="bottom"/>
          </w:tcPr>
          <w:p w14:paraId="67533BFB" w14:textId="77777777" w:rsidR="001B77DD" w:rsidRDefault="001B77DD">
            <w:pPr>
              <w:rPr>
                <w:rFonts w:ascii="宋体"/>
              </w:rPr>
            </w:pPr>
          </w:p>
        </w:tc>
        <w:tc>
          <w:tcPr>
            <w:tcW w:w="0" w:type="auto"/>
            <w:shd w:val="clear" w:color="auto" w:fill="auto"/>
            <w:vAlign w:val="bottom"/>
          </w:tcPr>
          <w:p w14:paraId="67533BFC" w14:textId="77777777" w:rsidR="001B77DD" w:rsidRDefault="001B77DD">
            <w:pPr>
              <w:rPr>
                <w:rFonts w:ascii="宋体"/>
                <w:vanish/>
              </w:rPr>
            </w:pPr>
          </w:p>
        </w:tc>
        <w:tc>
          <w:tcPr>
            <w:tcW w:w="50" w:type="pct"/>
            <w:shd w:val="clear" w:color="auto" w:fill="auto"/>
            <w:vAlign w:val="bottom"/>
          </w:tcPr>
          <w:p w14:paraId="67533BFD" w14:textId="77777777" w:rsidR="001B77DD" w:rsidRDefault="001B77DD">
            <w:pPr>
              <w:rPr>
                <w:rFonts w:ascii="宋体"/>
              </w:rPr>
            </w:pPr>
          </w:p>
        </w:tc>
        <w:tc>
          <w:tcPr>
            <w:tcW w:w="1085" w:type="pct"/>
            <w:shd w:val="clear" w:color="auto" w:fill="auto"/>
            <w:vAlign w:val="bottom"/>
          </w:tcPr>
          <w:p w14:paraId="67533BFE" w14:textId="77777777" w:rsidR="001B77DD" w:rsidRDefault="001B77DD">
            <w:pPr>
              <w:rPr>
                <w:rFonts w:ascii="宋体"/>
              </w:rPr>
            </w:pPr>
          </w:p>
        </w:tc>
        <w:tc>
          <w:tcPr>
            <w:tcW w:w="5" w:type="pct"/>
            <w:shd w:val="clear" w:color="auto" w:fill="auto"/>
            <w:vAlign w:val="bottom"/>
          </w:tcPr>
          <w:p w14:paraId="67533BFF" w14:textId="77777777" w:rsidR="001B77DD" w:rsidRDefault="001B77DD">
            <w:pPr>
              <w:rPr>
                <w:rFonts w:ascii="宋体"/>
              </w:rPr>
            </w:pPr>
          </w:p>
        </w:tc>
        <w:tc>
          <w:tcPr>
            <w:tcW w:w="50" w:type="pct"/>
            <w:shd w:val="clear" w:color="auto" w:fill="auto"/>
            <w:vAlign w:val="bottom"/>
          </w:tcPr>
          <w:p w14:paraId="67533C00" w14:textId="77777777" w:rsidR="001B77DD" w:rsidRDefault="001B77DD">
            <w:pPr>
              <w:rPr>
                <w:rFonts w:ascii="宋体"/>
              </w:rPr>
            </w:pPr>
          </w:p>
        </w:tc>
        <w:tc>
          <w:tcPr>
            <w:tcW w:w="1072" w:type="pct"/>
            <w:shd w:val="clear" w:color="auto" w:fill="auto"/>
            <w:vAlign w:val="bottom"/>
          </w:tcPr>
          <w:p w14:paraId="67533C01" w14:textId="77777777" w:rsidR="001B77DD" w:rsidRDefault="001B77DD">
            <w:pPr>
              <w:rPr>
                <w:rFonts w:ascii="宋体"/>
              </w:rPr>
            </w:pPr>
          </w:p>
        </w:tc>
        <w:tc>
          <w:tcPr>
            <w:tcW w:w="5" w:type="pct"/>
            <w:shd w:val="clear" w:color="auto" w:fill="auto"/>
            <w:vAlign w:val="bottom"/>
          </w:tcPr>
          <w:p w14:paraId="67533C02" w14:textId="77777777" w:rsidR="001B77DD" w:rsidRDefault="001B77DD">
            <w:pPr>
              <w:rPr>
                <w:rFonts w:ascii="宋体"/>
              </w:rPr>
            </w:pPr>
          </w:p>
        </w:tc>
      </w:tr>
      <w:tr w:rsidR="001B77DD" w14:paraId="67533C0C" w14:textId="77777777">
        <w:tc>
          <w:tcPr>
            <w:tcW w:w="0" w:type="auto"/>
            <w:gridSpan w:val="3"/>
            <w:shd w:val="clear" w:color="auto" w:fill="auto"/>
            <w:tcMar>
              <w:top w:w="40" w:type="dxa"/>
              <w:left w:w="20" w:type="dxa"/>
              <w:bottom w:w="40" w:type="dxa"/>
              <w:right w:w="20" w:type="dxa"/>
            </w:tcMar>
            <w:vAlign w:val="bottom"/>
          </w:tcPr>
          <w:p w14:paraId="67533C04" w14:textId="77777777" w:rsidR="001B77DD" w:rsidRDefault="00BF0A28">
            <w:pPr>
              <w:jc w:val="center"/>
              <w:textAlignment w:val="bottom"/>
            </w:pPr>
            <w:r>
              <w:rPr>
                <w:rFonts w:ascii="Arial" w:eastAsia="宋体" w:hAnsi="Arial" w:cs="Arial"/>
                <w:color w:val="262626"/>
                <w:sz w:val="16"/>
                <w:szCs w:val="16"/>
              </w:rPr>
              <w:t>Large Accelerated Filer</w:t>
            </w:r>
          </w:p>
        </w:tc>
        <w:tc>
          <w:tcPr>
            <w:tcW w:w="0" w:type="auto"/>
            <w:shd w:val="clear" w:color="auto" w:fill="auto"/>
            <w:vAlign w:val="bottom"/>
          </w:tcPr>
          <w:p w14:paraId="67533C05"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3C06" w14:textId="77777777" w:rsidR="001B77DD" w:rsidRDefault="00BF0A28">
            <w:pPr>
              <w:jc w:val="right"/>
              <w:textAlignment w:val="bottom"/>
            </w:pPr>
            <w:r>
              <w:rPr>
                <w:rFonts w:ascii="Arial" w:eastAsia="宋体" w:hAnsi="Arial" w:cs="Arial"/>
                <w:color w:val="262626"/>
                <w:sz w:val="16"/>
                <w:szCs w:val="16"/>
              </w:rPr>
              <w:t>Accelerated Filer  </w:t>
            </w:r>
          </w:p>
        </w:tc>
        <w:tc>
          <w:tcPr>
            <w:tcW w:w="0" w:type="auto"/>
            <w:shd w:val="clear" w:color="auto" w:fill="auto"/>
            <w:vAlign w:val="bottom"/>
          </w:tcPr>
          <w:p w14:paraId="67533C07"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3C08" w14:textId="77777777" w:rsidR="001B77DD" w:rsidRDefault="00BF0A28">
            <w:pPr>
              <w:jc w:val="right"/>
              <w:textAlignment w:val="bottom"/>
            </w:pPr>
            <w:r>
              <w:rPr>
                <w:rFonts w:ascii="Arial" w:eastAsia="宋体" w:hAnsi="Arial" w:cs="Arial"/>
                <w:color w:val="262626"/>
                <w:sz w:val="16"/>
                <w:szCs w:val="16"/>
              </w:rPr>
              <w:t>Non-Accelerated Filer  </w:t>
            </w:r>
          </w:p>
        </w:tc>
        <w:tc>
          <w:tcPr>
            <w:tcW w:w="0" w:type="auto"/>
            <w:shd w:val="clear" w:color="auto" w:fill="auto"/>
            <w:vAlign w:val="bottom"/>
          </w:tcPr>
          <w:p w14:paraId="67533C09"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3C0A" w14:textId="77777777" w:rsidR="001B77DD" w:rsidRDefault="00BF0A28">
            <w:pPr>
              <w:jc w:val="right"/>
              <w:textAlignment w:val="bottom"/>
            </w:pPr>
            <w:r>
              <w:rPr>
                <w:rFonts w:ascii="Arial" w:eastAsia="宋体" w:hAnsi="Arial" w:cs="Arial"/>
                <w:color w:val="262626"/>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67533C0B" w14:textId="77777777" w:rsidR="001B77DD" w:rsidRDefault="00BF0A28">
            <w:pPr>
              <w:jc w:val="right"/>
              <w:textAlignment w:val="bottom"/>
            </w:pPr>
            <w:r>
              <w:rPr>
                <w:rFonts w:ascii="Arial" w:eastAsia="宋体" w:hAnsi="Arial" w:cs="Arial"/>
                <w:color w:val="262626"/>
                <w:sz w:val="16"/>
                <w:szCs w:val="16"/>
              </w:rPr>
              <w:t>Emerging Growth Company  </w:t>
            </w:r>
          </w:p>
        </w:tc>
      </w:tr>
      <w:tr w:rsidR="001B77DD" w14:paraId="67533C15" w14:textId="77777777">
        <w:tc>
          <w:tcPr>
            <w:tcW w:w="0" w:type="auto"/>
            <w:gridSpan w:val="3"/>
            <w:shd w:val="clear" w:color="auto" w:fill="auto"/>
            <w:tcMar>
              <w:top w:w="40" w:type="dxa"/>
              <w:left w:w="20" w:type="dxa"/>
              <w:bottom w:w="40" w:type="dxa"/>
              <w:right w:w="20" w:type="dxa"/>
            </w:tcMar>
            <w:vAlign w:val="bottom"/>
          </w:tcPr>
          <w:p w14:paraId="67533C0D" w14:textId="77777777" w:rsidR="001B77DD" w:rsidRDefault="00BF0A28">
            <w:pPr>
              <w:jc w:val="center"/>
              <w:textAlignment w:val="bottom"/>
            </w:pPr>
            <w:r>
              <w:rPr>
                <w:rFonts w:ascii="Arial" w:eastAsia="宋体" w:hAnsi="Arial" w:cs="Arial"/>
                <w:b/>
                <w:bCs/>
                <w:color w:val="262626"/>
                <w:sz w:val="18"/>
                <w:szCs w:val="18"/>
              </w:rPr>
              <w:t>☑</w:t>
            </w:r>
          </w:p>
        </w:tc>
        <w:tc>
          <w:tcPr>
            <w:tcW w:w="0" w:type="auto"/>
            <w:shd w:val="clear" w:color="auto" w:fill="auto"/>
            <w:vAlign w:val="bottom"/>
          </w:tcPr>
          <w:p w14:paraId="67533C0E"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3C0F" w14:textId="77777777" w:rsidR="001B77DD" w:rsidRDefault="00BF0A28">
            <w:pPr>
              <w:jc w:val="center"/>
              <w:textAlignment w:val="bottom"/>
            </w:pPr>
            <w:r>
              <w:rPr>
                <w:rFonts w:ascii="Arial Unicode MS" w:eastAsia="Arial Unicode MS" w:hAnsi="Arial Unicode MS" w:cs="Arial Unicode MS" w:hint="eastAsia"/>
                <w:color w:val="262626"/>
                <w:sz w:val="18"/>
                <w:szCs w:val="18"/>
              </w:rPr>
              <w:t>☐</w:t>
            </w:r>
          </w:p>
        </w:tc>
        <w:tc>
          <w:tcPr>
            <w:tcW w:w="0" w:type="auto"/>
            <w:shd w:val="clear" w:color="auto" w:fill="auto"/>
            <w:vAlign w:val="bottom"/>
          </w:tcPr>
          <w:p w14:paraId="67533C10"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3C11" w14:textId="77777777" w:rsidR="001B77DD" w:rsidRDefault="00BF0A28">
            <w:pPr>
              <w:jc w:val="center"/>
              <w:textAlignment w:val="bottom"/>
            </w:pPr>
            <w:r>
              <w:rPr>
                <w:rFonts w:ascii="Arial Unicode MS" w:eastAsia="Arial Unicode MS" w:hAnsi="Arial Unicode MS" w:cs="Arial Unicode MS" w:hint="eastAsia"/>
                <w:color w:val="262626"/>
                <w:sz w:val="18"/>
                <w:szCs w:val="18"/>
              </w:rPr>
              <w:t>☐</w:t>
            </w:r>
          </w:p>
        </w:tc>
        <w:tc>
          <w:tcPr>
            <w:tcW w:w="0" w:type="auto"/>
            <w:shd w:val="clear" w:color="auto" w:fill="auto"/>
            <w:vAlign w:val="bottom"/>
          </w:tcPr>
          <w:p w14:paraId="67533C12"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3C13" w14:textId="77777777" w:rsidR="001B77DD" w:rsidRDefault="00BF0A28">
            <w:pPr>
              <w:jc w:val="center"/>
              <w:textAlignment w:val="bottom"/>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67533C14" w14:textId="77777777" w:rsidR="001B77DD" w:rsidRDefault="00BF0A28">
            <w:pPr>
              <w:jc w:val="center"/>
              <w:textAlignment w:val="top"/>
            </w:pPr>
            <w:r>
              <w:rPr>
                <w:rFonts w:ascii="Arial Unicode MS" w:eastAsia="Arial Unicode MS" w:hAnsi="Arial Unicode MS" w:cs="Arial Unicode MS" w:hint="eastAsia"/>
                <w:color w:val="262626"/>
                <w:sz w:val="18"/>
                <w:szCs w:val="18"/>
              </w:rPr>
              <w:t>☐</w:t>
            </w:r>
          </w:p>
        </w:tc>
      </w:tr>
    </w:tbl>
    <w:p w14:paraId="67533C16" w14:textId="77777777" w:rsidR="001B77DD" w:rsidRDefault="00BF0A28">
      <w:r>
        <w:rPr>
          <w:rFonts w:ascii="Arial" w:eastAsia="宋体" w:hAnsi="Arial" w:cs="Arial"/>
          <w:color w:val="262626"/>
          <w:sz w:val="16"/>
          <w:szCs w:val="16"/>
        </w:rPr>
        <w:t xml:space="preserve">If an emerging growth company, indicate by check mark if the registrant has elected not to use the extended transition period for complying with any new or </w:t>
      </w:r>
      <w:r>
        <w:rPr>
          <w:rFonts w:ascii="Arial" w:eastAsia="宋体" w:hAnsi="Arial" w:cs="Arial"/>
          <w:color w:val="262626"/>
          <w:sz w:val="16"/>
          <w:szCs w:val="16"/>
        </w:rPr>
        <w:t>revised financial accounting standards provided pursuant to Section 13(a) of the Exchange Act.  </w:t>
      </w:r>
      <w:r>
        <w:rPr>
          <w:rFonts w:ascii="Arial Unicode MS" w:eastAsia="Arial Unicode MS" w:hAnsi="Arial Unicode MS" w:cs="Arial Unicode MS" w:hint="eastAsia"/>
          <w:color w:val="262626"/>
          <w:sz w:val="18"/>
          <w:szCs w:val="18"/>
        </w:rPr>
        <w:t>☐</w:t>
      </w:r>
    </w:p>
    <w:p w14:paraId="67533C17" w14:textId="77777777" w:rsidR="001B77DD" w:rsidRDefault="00BF0A28">
      <w:pPr>
        <w:spacing w:before="100"/>
      </w:pPr>
      <w:r>
        <w:rPr>
          <w:rFonts w:ascii="Arial" w:eastAsia="宋体" w:hAnsi="Arial" w:cs="Arial"/>
          <w:color w:val="262626"/>
          <w:sz w:val="16"/>
          <w:szCs w:val="16"/>
        </w:rPr>
        <w:t>Indicate by check mark whether the registrant has filed a report on and attestation to its management's assessment of the effectiveness of its internal contro</w:t>
      </w:r>
      <w:r>
        <w:rPr>
          <w:rFonts w:ascii="Arial" w:eastAsia="宋体" w:hAnsi="Arial" w:cs="Arial"/>
          <w:color w:val="262626"/>
          <w:sz w:val="16"/>
          <w:szCs w:val="16"/>
        </w:rPr>
        <w:t>l over financial reporting under Section 404(b) of the Sarbanes-Oxley Act (15 U.S.C 7262(b)) by the registered public accounting firm that prepared or issued its audit report.  </w:t>
      </w:r>
      <w:r>
        <w:rPr>
          <w:rFonts w:ascii="Arial Unicode MS" w:eastAsia="Arial Unicode MS" w:hAnsi="Arial Unicode MS" w:cs="Arial Unicode MS" w:hint="eastAsia"/>
          <w:color w:val="262626"/>
          <w:sz w:val="18"/>
          <w:szCs w:val="18"/>
        </w:rPr>
        <w:t>☑</w:t>
      </w:r>
    </w:p>
    <w:p w14:paraId="67533C18" w14:textId="77777777" w:rsidR="001B77DD" w:rsidRDefault="00BF0A28">
      <w:pPr>
        <w:spacing w:before="100" w:after="100"/>
      </w:pPr>
      <w:r>
        <w:rPr>
          <w:rFonts w:ascii="Arial" w:eastAsia="宋体" w:hAnsi="Arial" w:cs="Arial"/>
          <w:color w:val="262626"/>
          <w:sz w:val="16"/>
          <w:szCs w:val="16"/>
        </w:rPr>
        <w:t xml:space="preserve">Indicate by check mark whether the registrant is a shell company (as defined </w:t>
      </w:r>
      <w:r>
        <w:rPr>
          <w:rFonts w:ascii="Arial" w:eastAsia="宋体" w:hAnsi="Arial" w:cs="Arial"/>
          <w:color w:val="262626"/>
          <w:sz w:val="16"/>
          <w:szCs w:val="16"/>
        </w:rPr>
        <w:t>in Rule 12b-2 of the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6"/>
          <w:szCs w:val="16"/>
        </w:rPr>
        <w:t>  No </w:t>
      </w:r>
      <w:r>
        <w:rPr>
          <w:rFonts w:ascii="Arial Unicode MS" w:eastAsia="Arial Unicode MS" w:hAnsi="Arial Unicode MS" w:cs="Arial Unicode MS" w:hint="eastAsia"/>
          <w:color w:val="262626"/>
          <w:sz w:val="18"/>
          <w:szCs w:val="18"/>
        </w:rPr>
        <w:t>☑</w:t>
      </w:r>
    </w:p>
    <w:p w14:paraId="67533C19" w14:textId="77777777" w:rsidR="001B77DD" w:rsidRDefault="00BF0A28">
      <w:pPr>
        <w:spacing w:after="180"/>
      </w:pPr>
      <w:r>
        <w:rPr>
          <w:rFonts w:ascii="Arial" w:eastAsia="宋体" w:hAnsi="Arial" w:cs="Arial"/>
          <w:color w:val="262626"/>
          <w:sz w:val="16"/>
          <w:szCs w:val="16"/>
        </w:rPr>
        <w:t>Aggregate market value of voting and non-voting common equity held by non-affiliates of the registrant as of June 25, 2021, based upon the closing price of the common stock as reported by the Nasdaq Global Select M</w:t>
      </w:r>
      <w:r>
        <w:rPr>
          <w:rFonts w:ascii="Arial" w:eastAsia="宋体" w:hAnsi="Arial" w:cs="Arial"/>
          <w:color w:val="262626"/>
          <w:sz w:val="16"/>
          <w:szCs w:val="16"/>
        </w:rPr>
        <w:t xml:space="preserve">arket on such date, was $226.8 billion. 4,072 million shares of common stock were outstanding as of January 21, 2022. </w:t>
      </w:r>
    </w:p>
    <w:p w14:paraId="67533C1A" w14:textId="77777777" w:rsidR="001B77DD" w:rsidRDefault="00BF0A28">
      <w:pPr>
        <w:spacing w:before="100"/>
        <w:jc w:val="center"/>
      </w:pPr>
      <w:r>
        <w:rPr>
          <w:rFonts w:ascii="Arial" w:eastAsia="宋体" w:hAnsi="Arial" w:cs="Arial"/>
          <w:b/>
          <w:bCs/>
          <w:color w:val="262626"/>
          <w:sz w:val="17"/>
          <w:szCs w:val="17"/>
        </w:rPr>
        <w:t xml:space="preserve">DOCUMENTS INCORPORATED BY REFERENCE </w:t>
      </w:r>
    </w:p>
    <w:p w14:paraId="67533C1B" w14:textId="77777777" w:rsidR="001B77DD" w:rsidRDefault="00BF0A28">
      <w:pPr>
        <w:spacing w:before="60"/>
      </w:pPr>
      <w:r>
        <w:rPr>
          <w:rFonts w:ascii="Arial" w:eastAsia="宋体" w:hAnsi="Arial" w:cs="Arial"/>
          <w:color w:val="262626"/>
          <w:sz w:val="16"/>
          <w:szCs w:val="16"/>
        </w:rPr>
        <w:t xml:space="preserve">Portions of the registrant’s proxy statement related to its 2022 Annual Stockholders' Meeting to be </w:t>
      </w:r>
      <w:r>
        <w:rPr>
          <w:rFonts w:ascii="Arial" w:eastAsia="宋体" w:hAnsi="Arial" w:cs="Arial"/>
          <w:color w:val="262626"/>
          <w:sz w:val="16"/>
          <w:szCs w:val="16"/>
        </w:rPr>
        <w:t xml:space="preserve">filed subsequently are incorporated by reference into Part III of this Form 10-K. Except as expressly incorporated by reference, the registrant's proxy statement shall not be deemed to be part of this report. </w:t>
      </w:r>
    </w:p>
    <w:p w14:paraId="67533C1C" w14:textId="77777777" w:rsidR="001B77DD" w:rsidRDefault="001B77DD"/>
    <w:p w14:paraId="67533C1D" w14:textId="77777777" w:rsidR="001B77DD" w:rsidRDefault="00BF0A28">
      <w:r>
        <w:pict w14:anchorId="67538D87">
          <v:rect id="_x0000_i1025" style="width:415.3pt;height:1.5pt" o:hralign="center" o:hrstd="t" o:hr="t" fillcolor="#a0a0a0" stroked="f"/>
        </w:pict>
      </w:r>
    </w:p>
    <w:p w14:paraId="67533C1E" w14:textId="77777777" w:rsidR="001B77DD" w:rsidRDefault="001B77DD"/>
    <w:p w14:paraId="67533C1F" w14:textId="77777777" w:rsidR="001B77DD" w:rsidRDefault="00BF0A28">
      <w:pPr>
        <w:spacing w:after="180"/>
      </w:pPr>
      <w:r>
        <w:rPr>
          <w:rFonts w:ascii="Arial" w:eastAsia="宋体" w:hAnsi="Arial" w:cs="Arial"/>
          <w:color w:val="0068B5"/>
          <w:sz w:val="36"/>
          <w:szCs w:val="36"/>
        </w:rPr>
        <w:t>Table of Contents</w:t>
      </w:r>
    </w:p>
    <w:p w14:paraId="67533C20" w14:textId="77777777" w:rsidR="001B77DD" w:rsidRDefault="00BF0A28">
      <w:pPr>
        <w:spacing w:after="180"/>
      </w:pPr>
      <w:r>
        <w:rPr>
          <w:rFonts w:ascii="Arial" w:eastAsia="宋体" w:hAnsi="Arial" w:cs="Arial"/>
          <w:color w:val="0068B5"/>
        </w:rPr>
        <w:t xml:space="preserve">Organization of Our Form 10-K </w:t>
      </w:r>
    </w:p>
    <w:p w14:paraId="67533C21" w14:textId="77777777" w:rsidR="001B77DD" w:rsidRDefault="00BF0A28">
      <w:pPr>
        <w:spacing w:after="180"/>
      </w:pPr>
      <w:r>
        <w:rPr>
          <w:rFonts w:ascii="Arial" w:eastAsia="宋体" w:hAnsi="Arial" w:cs="Arial"/>
          <w:color w:val="262626"/>
          <w:sz w:val="18"/>
          <w:szCs w:val="18"/>
        </w:rPr>
        <w:t>The order and presentation of content in our Form 10-K differs from the traditional SEC Form 10-K format. Our format is designed to improve readability and better present how we organize and manage our business. See "Form 10-</w:t>
      </w:r>
      <w:r>
        <w:rPr>
          <w:rFonts w:ascii="Arial" w:eastAsia="宋体" w:hAnsi="Arial" w:cs="Arial"/>
          <w:color w:val="262626"/>
          <w:sz w:val="18"/>
          <w:szCs w:val="18"/>
        </w:rPr>
        <w:t xml:space="preserve">K Cross-Reference Index" within the Financial Statements and Supplemental Details for a cross-reference index to the traditional SEC Form 10-K format. </w:t>
      </w:r>
    </w:p>
    <w:p w14:paraId="67533C22" w14:textId="77777777" w:rsidR="001B77DD" w:rsidRDefault="00BF0A28">
      <w:pPr>
        <w:spacing w:after="180"/>
      </w:pPr>
      <w:r>
        <w:rPr>
          <w:rFonts w:ascii="Arial" w:eastAsia="宋体" w:hAnsi="Arial" w:cs="Arial"/>
          <w:color w:val="262626"/>
          <w:sz w:val="18"/>
          <w:szCs w:val="18"/>
        </w:rPr>
        <w:t xml:space="preserve">We have defined certain terms and abbreviations used throughout our Form 10-K in "Key Terms" within the </w:t>
      </w:r>
      <w:r>
        <w:rPr>
          <w:rFonts w:ascii="Arial" w:eastAsia="宋体" w:hAnsi="Arial" w:cs="Arial"/>
          <w:color w:val="262626"/>
          <w:sz w:val="18"/>
          <w:szCs w:val="18"/>
        </w:rPr>
        <w:t>Financial Statements and Supplemental Details.</w:t>
      </w:r>
    </w:p>
    <w:p w14:paraId="67533C23" w14:textId="77777777" w:rsidR="001B77DD" w:rsidRDefault="00BF0A28">
      <w:pPr>
        <w:spacing w:after="120"/>
      </w:pPr>
      <w:r>
        <w:rPr>
          <w:rFonts w:ascii="Arial" w:eastAsia="宋体" w:hAnsi="Arial" w:cs="Arial"/>
          <w:color w:val="262626"/>
          <w:sz w:val="18"/>
          <w:szCs w:val="18"/>
        </w:rPr>
        <w:t>The preparation of our Consolidated Financial Statements is in conformity with US GAAP. Our Form 10-K includes key metrics that we use to measure our business, some of which are non-GAAP measures. See "Non-GAA</w:t>
      </w:r>
      <w:r>
        <w:rPr>
          <w:rFonts w:ascii="Arial" w:eastAsia="宋体" w:hAnsi="Arial" w:cs="Arial"/>
          <w:color w:val="262626"/>
          <w:sz w:val="18"/>
          <w:szCs w:val="18"/>
        </w:rPr>
        <w:t xml:space="preserve">P Financial Measures" within MD&amp;A for an explanation of these measures and why management uses them and believes they provide investors with useful supplemental information. </w:t>
      </w:r>
    </w:p>
    <w:tbl>
      <w:tblPr>
        <w:tblW w:w="4993" w:type="pct"/>
        <w:tblCellMar>
          <w:top w:w="15" w:type="dxa"/>
          <w:left w:w="15" w:type="dxa"/>
          <w:bottom w:w="15" w:type="dxa"/>
          <w:right w:w="15" w:type="dxa"/>
        </w:tblCellMar>
        <w:tblLook w:val="04A0" w:firstRow="1" w:lastRow="0" w:firstColumn="1" w:lastColumn="0" w:noHBand="0" w:noVBand="1"/>
      </w:tblPr>
      <w:tblGrid>
        <w:gridCol w:w="69"/>
        <w:gridCol w:w="5510"/>
        <w:gridCol w:w="37"/>
        <w:gridCol w:w="69"/>
        <w:gridCol w:w="1090"/>
        <w:gridCol w:w="36"/>
        <w:gridCol w:w="69"/>
        <w:gridCol w:w="1408"/>
        <w:gridCol w:w="36"/>
      </w:tblGrid>
      <w:tr w:rsidR="001B77DD" w14:paraId="67533C2D" w14:textId="77777777">
        <w:tc>
          <w:tcPr>
            <w:tcW w:w="50" w:type="pct"/>
            <w:shd w:val="clear" w:color="auto" w:fill="auto"/>
            <w:vAlign w:val="bottom"/>
          </w:tcPr>
          <w:p w14:paraId="67533C24" w14:textId="77777777" w:rsidR="001B77DD" w:rsidRDefault="001B77DD">
            <w:pPr>
              <w:rPr>
                <w:rFonts w:ascii="宋体"/>
              </w:rPr>
            </w:pPr>
          </w:p>
        </w:tc>
        <w:tc>
          <w:tcPr>
            <w:tcW w:w="3317" w:type="pct"/>
            <w:shd w:val="clear" w:color="auto" w:fill="auto"/>
            <w:vAlign w:val="bottom"/>
          </w:tcPr>
          <w:p w14:paraId="67533C25" w14:textId="77777777" w:rsidR="001B77DD" w:rsidRDefault="001B77DD">
            <w:pPr>
              <w:rPr>
                <w:rFonts w:ascii="宋体"/>
              </w:rPr>
            </w:pPr>
          </w:p>
        </w:tc>
        <w:tc>
          <w:tcPr>
            <w:tcW w:w="5" w:type="pct"/>
            <w:shd w:val="clear" w:color="auto" w:fill="auto"/>
            <w:vAlign w:val="bottom"/>
          </w:tcPr>
          <w:p w14:paraId="67533C26" w14:textId="77777777" w:rsidR="001B77DD" w:rsidRDefault="001B77DD">
            <w:pPr>
              <w:rPr>
                <w:rFonts w:ascii="宋体"/>
              </w:rPr>
            </w:pPr>
          </w:p>
        </w:tc>
        <w:tc>
          <w:tcPr>
            <w:tcW w:w="50" w:type="pct"/>
            <w:shd w:val="clear" w:color="auto" w:fill="auto"/>
            <w:vAlign w:val="bottom"/>
          </w:tcPr>
          <w:p w14:paraId="67533C27" w14:textId="77777777" w:rsidR="001B77DD" w:rsidRDefault="001B77DD">
            <w:pPr>
              <w:rPr>
                <w:rFonts w:ascii="宋体"/>
              </w:rPr>
            </w:pPr>
          </w:p>
        </w:tc>
        <w:tc>
          <w:tcPr>
            <w:tcW w:w="663" w:type="pct"/>
            <w:shd w:val="clear" w:color="auto" w:fill="auto"/>
            <w:vAlign w:val="bottom"/>
          </w:tcPr>
          <w:p w14:paraId="67533C28" w14:textId="77777777" w:rsidR="001B77DD" w:rsidRDefault="001B77DD">
            <w:pPr>
              <w:rPr>
                <w:rFonts w:ascii="宋体"/>
              </w:rPr>
            </w:pPr>
          </w:p>
        </w:tc>
        <w:tc>
          <w:tcPr>
            <w:tcW w:w="5" w:type="pct"/>
            <w:shd w:val="clear" w:color="auto" w:fill="auto"/>
            <w:vAlign w:val="bottom"/>
          </w:tcPr>
          <w:p w14:paraId="67533C29" w14:textId="77777777" w:rsidR="001B77DD" w:rsidRDefault="001B77DD">
            <w:pPr>
              <w:rPr>
                <w:rFonts w:ascii="宋体"/>
              </w:rPr>
            </w:pPr>
          </w:p>
        </w:tc>
        <w:tc>
          <w:tcPr>
            <w:tcW w:w="50" w:type="pct"/>
            <w:shd w:val="clear" w:color="auto" w:fill="auto"/>
            <w:vAlign w:val="bottom"/>
          </w:tcPr>
          <w:p w14:paraId="67533C2A" w14:textId="77777777" w:rsidR="001B77DD" w:rsidRDefault="001B77DD">
            <w:pPr>
              <w:rPr>
                <w:rFonts w:ascii="宋体"/>
              </w:rPr>
            </w:pPr>
          </w:p>
        </w:tc>
        <w:tc>
          <w:tcPr>
            <w:tcW w:w="854" w:type="pct"/>
            <w:shd w:val="clear" w:color="auto" w:fill="auto"/>
            <w:vAlign w:val="bottom"/>
          </w:tcPr>
          <w:p w14:paraId="67533C2B" w14:textId="77777777" w:rsidR="001B77DD" w:rsidRDefault="001B77DD">
            <w:pPr>
              <w:rPr>
                <w:rFonts w:ascii="宋体"/>
              </w:rPr>
            </w:pPr>
          </w:p>
        </w:tc>
        <w:tc>
          <w:tcPr>
            <w:tcW w:w="5" w:type="pct"/>
            <w:shd w:val="clear" w:color="auto" w:fill="auto"/>
            <w:vAlign w:val="bottom"/>
          </w:tcPr>
          <w:p w14:paraId="67533C2C" w14:textId="77777777" w:rsidR="001B77DD" w:rsidRDefault="001B77DD">
            <w:pPr>
              <w:rPr>
                <w:rFonts w:ascii="宋体"/>
              </w:rPr>
            </w:pPr>
          </w:p>
        </w:tc>
      </w:tr>
      <w:tr w:rsidR="001B77DD" w14:paraId="67533C31" w14:textId="77777777">
        <w:tc>
          <w:tcPr>
            <w:tcW w:w="0" w:type="auto"/>
            <w:gridSpan w:val="3"/>
            <w:shd w:val="clear" w:color="auto" w:fill="auto"/>
            <w:tcMar>
              <w:top w:w="40" w:type="dxa"/>
              <w:left w:w="20" w:type="dxa"/>
              <w:bottom w:w="40" w:type="dxa"/>
              <w:right w:w="20" w:type="dxa"/>
            </w:tcMar>
            <w:vAlign w:val="center"/>
          </w:tcPr>
          <w:p w14:paraId="67533C2E" w14:textId="77777777" w:rsidR="001B77DD" w:rsidRDefault="00BF0A28">
            <w:pPr>
              <w:textAlignment w:val="center"/>
            </w:pPr>
            <w:r>
              <w:rPr>
                <w:rFonts w:ascii="Arial" w:eastAsia="宋体" w:hAnsi="Arial" w:cs="Arial"/>
                <w:color w:val="0068B5"/>
                <w:sz w:val="20"/>
                <w:szCs w:val="20"/>
              </w:rPr>
              <w:t>Fundamentals of Our Business</w:t>
            </w:r>
          </w:p>
        </w:tc>
        <w:tc>
          <w:tcPr>
            <w:tcW w:w="0" w:type="auto"/>
            <w:gridSpan w:val="3"/>
            <w:shd w:val="clear" w:color="auto" w:fill="auto"/>
            <w:tcMar>
              <w:top w:w="0" w:type="dxa"/>
              <w:left w:w="20" w:type="dxa"/>
              <w:bottom w:w="0" w:type="dxa"/>
              <w:right w:w="20" w:type="dxa"/>
            </w:tcMar>
            <w:vAlign w:val="bottom"/>
          </w:tcPr>
          <w:p w14:paraId="67533C2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30" w14:textId="77777777" w:rsidR="001B77DD" w:rsidRDefault="00BF0A28">
            <w:pPr>
              <w:jc w:val="center"/>
              <w:textAlignment w:val="center"/>
            </w:pPr>
            <w:r>
              <w:rPr>
                <w:rFonts w:ascii="Arial" w:eastAsia="宋体" w:hAnsi="Arial" w:cs="Arial"/>
                <w:color w:val="0068B5"/>
                <w:sz w:val="20"/>
                <w:szCs w:val="20"/>
              </w:rPr>
              <w:t>Page</w:t>
            </w:r>
          </w:p>
        </w:tc>
      </w:tr>
      <w:tr w:rsidR="001B77DD" w14:paraId="67533C35" w14:textId="77777777">
        <w:tc>
          <w:tcPr>
            <w:tcW w:w="0" w:type="auto"/>
            <w:gridSpan w:val="3"/>
            <w:tcBorders>
              <w:top w:val="single" w:sz="4" w:space="0" w:color="262626"/>
            </w:tcBorders>
            <w:shd w:val="clear" w:color="auto" w:fill="auto"/>
            <w:tcMar>
              <w:top w:w="40" w:type="dxa"/>
              <w:left w:w="20" w:type="dxa"/>
              <w:bottom w:w="40" w:type="dxa"/>
              <w:right w:w="20" w:type="dxa"/>
            </w:tcMar>
            <w:vAlign w:val="center"/>
          </w:tcPr>
          <w:p w14:paraId="67533C32" w14:textId="77777777" w:rsidR="001B77DD" w:rsidRDefault="00BF0A28">
            <w:pPr>
              <w:textAlignment w:val="center"/>
            </w:pPr>
            <w:r>
              <w:rPr>
                <w:rFonts w:ascii="Arial" w:eastAsia="宋体" w:hAnsi="Arial" w:cs="Arial"/>
                <w:color w:val="262626"/>
                <w:sz w:val="18"/>
                <w:szCs w:val="18"/>
              </w:rPr>
              <w:t xml:space="preserve">Introduction to Our </w:t>
            </w:r>
            <w:r>
              <w:rPr>
                <w:rFonts w:ascii="Arial" w:eastAsia="宋体" w:hAnsi="Arial" w:cs="Arial"/>
                <w:color w:val="262626"/>
                <w:sz w:val="18"/>
                <w:szCs w:val="18"/>
              </w:rPr>
              <w:t>Business</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3C33"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center"/>
          </w:tcPr>
          <w:p w14:paraId="67533C34" w14:textId="77777777" w:rsidR="001B77DD" w:rsidRDefault="00BF0A28">
            <w:pPr>
              <w:jc w:val="center"/>
              <w:textAlignment w:val="center"/>
            </w:pPr>
            <w:hyperlink r:id="rId7" w:anchor="i6c9ced68f6b24d58a3dcf326e8c3c699_22" w:history="1">
              <w:r>
                <w:rPr>
                  <w:rStyle w:val="a5"/>
                  <w:rFonts w:ascii="Arial" w:eastAsia="宋体" w:hAnsi="Arial" w:cs="Arial"/>
                  <w:color w:val="262626"/>
                  <w:sz w:val="18"/>
                  <w:szCs w:val="18"/>
                  <w:u w:val="none"/>
                </w:rPr>
                <w:t>2</w:t>
              </w:r>
            </w:hyperlink>
          </w:p>
        </w:tc>
      </w:tr>
      <w:tr w:rsidR="001B77DD" w14:paraId="67533C39" w14:textId="77777777">
        <w:tc>
          <w:tcPr>
            <w:tcW w:w="0" w:type="auto"/>
            <w:gridSpan w:val="3"/>
            <w:shd w:val="clear" w:color="auto" w:fill="auto"/>
            <w:tcMar>
              <w:top w:w="40" w:type="dxa"/>
              <w:left w:w="20" w:type="dxa"/>
              <w:bottom w:w="40" w:type="dxa"/>
              <w:right w:w="20" w:type="dxa"/>
            </w:tcMar>
            <w:vAlign w:val="center"/>
          </w:tcPr>
          <w:p w14:paraId="67533C36" w14:textId="77777777" w:rsidR="001B77DD" w:rsidRDefault="00BF0A28">
            <w:pPr>
              <w:textAlignment w:val="center"/>
            </w:pPr>
            <w:r>
              <w:rPr>
                <w:rFonts w:ascii="Arial" w:eastAsia="宋体" w:hAnsi="Arial" w:cs="Arial"/>
                <w:color w:val="262626"/>
                <w:sz w:val="18"/>
                <w:szCs w:val="18"/>
              </w:rPr>
              <w:t>A Year in Review</w:t>
            </w:r>
          </w:p>
        </w:tc>
        <w:tc>
          <w:tcPr>
            <w:tcW w:w="0" w:type="auto"/>
            <w:gridSpan w:val="3"/>
            <w:shd w:val="clear" w:color="auto" w:fill="auto"/>
            <w:tcMar>
              <w:top w:w="0" w:type="dxa"/>
              <w:left w:w="20" w:type="dxa"/>
              <w:bottom w:w="0" w:type="dxa"/>
              <w:right w:w="20" w:type="dxa"/>
            </w:tcMar>
            <w:vAlign w:val="bottom"/>
          </w:tcPr>
          <w:p w14:paraId="67533C3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38" w14:textId="77777777" w:rsidR="001B77DD" w:rsidRDefault="00BF0A28">
            <w:pPr>
              <w:jc w:val="center"/>
              <w:textAlignment w:val="center"/>
            </w:pPr>
            <w:hyperlink r:id="rId8" w:anchor="i6c9ced68f6b24d58a3dcf326e8c3c699_28" w:history="1">
              <w:r>
                <w:rPr>
                  <w:rStyle w:val="a5"/>
                  <w:rFonts w:ascii="Arial" w:eastAsia="宋体" w:hAnsi="Arial" w:cs="Arial"/>
                  <w:color w:val="262626"/>
                  <w:sz w:val="18"/>
                  <w:szCs w:val="18"/>
                  <w:u w:val="none"/>
                </w:rPr>
                <w:t>4</w:t>
              </w:r>
            </w:hyperlink>
          </w:p>
        </w:tc>
      </w:tr>
      <w:tr w:rsidR="001B77DD" w14:paraId="67533C3D" w14:textId="77777777">
        <w:tc>
          <w:tcPr>
            <w:tcW w:w="0" w:type="auto"/>
            <w:gridSpan w:val="3"/>
            <w:shd w:val="clear" w:color="auto" w:fill="auto"/>
            <w:tcMar>
              <w:top w:w="40" w:type="dxa"/>
              <w:left w:w="20" w:type="dxa"/>
              <w:bottom w:w="40" w:type="dxa"/>
              <w:right w:w="20" w:type="dxa"/>
            </w:tcMar>
            <w:vAlign w:val="center"/>
          </w:tcPr>
          <w:p w14:paraId="67533C3A" w14:textId="77777777" w:rsidR="001B77DD" w:rsidRDefault="00BF0A28">
            <w:pPr>
              <w:textAlignment w:val="center"/>
            </w:pPr>
            <w:r>
              <w:rPr>
                <w:rFonts w:ascii="Arial" w:eastAsia="宋体" w:hAnsi="Arial" w:cs="Arial"/>
                <w:color w:val="262626"/>
                <w:sz w:val="18"/>
                <w:szCs w:val="18"/>
              </w:rPr>
              <w:t>Our Strategy</w:t>
            </w:r>
          </w:p>
        </w:tc>
        <w:tc>
          <w:tcPr>
            <w:tcW w:w="0" w:type="auto"/>
            <w:gridSpan w:val="3"/>
            <w:shd w:val="clear" w:color="auto" w:fill="auto"/>
            <w:tcMar>
              <w:top w:w="0" w:type="dxa"/>
              <w:left w:w="20" w:type="dxa"/>
              <w:bottom w:w="0" w:type="dxa"/>
              <w:right w:w="20" w:type="dxa"/>
            </w:tcMar>
            <w:vAlign w:val="bottom"/>
          </w:tcPr>
          <w:p w14:paraId="67533C3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3C" w14:textId="77777777" w:rsidR="001B77DD" w:rsidRDefault="00BF0A28">
            <w:pPr>
              <w:jc w:val="center"/>
              <w:textAlignment w:val="center"/>
            </w:pPr>
            <w:hyperlink r:id="rId9" w:anchor="i6c9ced68f6b24d58a3dcf326e8c3c699_34" w:history="1">
              <w:r>
                <w:rPr>
                  <w:rStyle w:val="a5"/>
                  <w:rFonts w:ascii="Arial" w:eastAsia="宋体" w:hAnsi="Arial" w:cs="Arial"/>
                  <w:color w:val="262626"/>
                  <w:sz w:val="18"/>
                  <w:szCs w:val="18"/>
                  <w:u w:val="none"/>
                </w:rPr>
                <w:t>6</w:t>
              </w:r>
            </w:hyperlink>
          </w:p>
        </w:tc>
      </w:tr>
      <w:tr w:rsidR="001B77DD" w14:paraId="67533C41" w14:textId="77777777">
        <w:tc>
          <w:tcPr>
            <w:tcW w:w="0" w:type="auto"/>
            <w:gridSpan w:val="3"/>
            <w:shd w:val="clear" w:color="auto" w:fill="auto"/>
            <w:tcMar>
              <w:top w:w="40" w:type="dxa"/>
              <w:left w:w="20" w:type="dxa"/>
              <w:bottom w:w="40" w:type="dxa"/>
              <w:right w:w="20" w:type="dxa"/>
            </w:tcMar>
            <w:vAlign w:val="center"/>
          </w:tcPr>
          <w:p w14:paraId="67533C3E" w14:textId="77777777" w:rsidR="001B77DD" w:rsidRDefault="00BF0A28">
            <w:pPr>
              <w:textAlignment w:val="center"/>
            </w:pPr>
            <w:r>
              <w:rPr>
                <w:rFonts w:ascii="Arial" w:eastAsia="宋体" w:hAnsi="Arial" w:cs="Arial"/>
                <w:color w:val="262626"/>
                <w:sz w:val="18"/>
                <w:szCs w:val="18"/>
              </w:rPr>
              <w:t>Our Capital</w:t>
            </w:r>
          </w:p>
        </w:tc>
        <w:tc>
          <w:tcPr>
            <w:tcW w:w="0" w:type="auto"/>
            <w:gridSpan w:val="3"/>
            <w:shd w:val="clear" w:color="auto" w:fill="auto"/>
            <w:tcMar>
              <w:top w:w="0" w:type="dxa"/>
              <w:left w:w="20" w:type="dxa"/>
              <w:bottom w:w="0" w:type="dxa"/>
              <w:right w:w="20" w:type="dxa"/>
            </w:tcMar>
            <w:vAlign w:val="bottom"/>
          </w:tcPr>
          <w:p w14:paraId="67533C3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40" w14:textId="77777777" w:rsidR="001B77DD" w:rsidRDefault="00BF0A28">
            <w:pPr>
              <w:jc w:val="center"/>
              <w:textAlignment w:val="center"/>
            </w:pPr>
            <w:hyperlink r:id="rId10" w:anchor="i6c9ced68f6b24d58a3dcf326e8c3c699_40" w:history="1">
              <w:r>
                <w:rPr>
                  <w:rStyle w:val="a5"/>
                  <w:rFonts w:ascii="Arial" w:eastAsia="宋体" w:hAnsi="Arial" w:cs="Arial"/>
                  <w:color w:val="262626"/>
                  <w:sz w:val="18"/>
                  <w:szCs w:val="18"/>
                  <w:u w:val="none"/>
                </w:rPr>
                <w:t>8</w:t>
              </w:r>
            </w:hyperlink>
          </w:p>
        </w:tc>
      </w:tr>
      <w:tr w:rsidR="001B77DD" w14:paraId="67533C45" w14:textId="77777777">
        <w:trPr>
          <w:trHeight w:val="100"/>
        </w:trPr>
        <w:tc>
          <w:tcPr>
            <w:tcW w:w="0" w:type="auto"/>
            <w:gridSpan w:val="3"/>
            <w:shd w:val="clear" w:color="auto" w:fill="auto"/>
            <w:tcMar>
              <w:top w:w="0" w:type="dxa"/>
              <w:left w:w="20" w:type="dxa"/>
              <w:bottom w:w="0" w:type="dxa"/>
              <w:right w:w="20" w:type="dxa"/>
            </w:tcMar>
            <w:vAlign w:val="bottom"/>
          </w:tcPr>
          <w:p w14:paraId="67533C4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4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44" w14:textId="77777777" w:rsidR="001B77DD" w:rsidRDefault="001B77DD">
            <w:pPr>
              <w:rPr>
                <w:rFonts w:ascii="宋体"/>
              </w:rPr>
            </w:pPr>
          </w:p>
        </w:tc>
      </w:tr>
      <w:tr w:rsidR="001B77DD" w14:paraId="67533C49" w14:textId="77777777">
        <w:tc>
          <w:tcPr>
            <w:tcW w:w="0" w:type="auto"/>
            <w:gridSpan w:val="3"/>
            <w:shd w:val="clear" w:color="auto" w:fill="auto"/>
            <w:tcMar>
              <w:top w:w="40" w:type="dxa"/>
              <w:left w:w="20" w:type="dxa"/>
              <w:bottom w:w="40" w:type="dxa"/>
              <w:right w:w="20" w:type="dxa"/>
            </w:tcMar>
            <w:vAlign w:val="center"/>
          </w:tcPr>
          <w:p w14:paraId="67533C46" w14:textId="77777777" w:rsidR="001B77DD" w:rsidRDefault="00BF0A28">
            <w:pPr>
              <w:textAlignment w:val="center"/>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vAlign w:val="bottom"/>
          </w:tcPr>
          <w:p w14:paraId="67533C4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48" w14:textId="77777777" w:rsidR="001B77DD" w:rsidRDefault="001B77DD">
            <w:pPr>
              <w:rPr>
                <w:rFonts w:ascii="宋体"/>
              </w:rPr>
            </w:pPr>
          </w:p>
        </w:tc>
      </w:tr>
      <w:tr w:rsidR="001B77DD" w14:paraId="67533C4D" w14:textId="77777777">
        <w:tc>
          <w:tcPr>
            <w:tcW w:w="0" w:type="auto"/>
            <w:gridSpan w:val="3"/>
            <w:tcBorders>
              <w:top w:val="single" w:sz="4" w:space="0" w:color="262626"/>
            </w:tcBorders>
            <w:shd w:val="clear" w:color="auto" w:fill="auto"/>
            <w:tcMar>
              <w:top w:w="40" w:type="dxa"/>
              <w:left w:w="20" w:type="dxa"/>
              <w:bottom w:w="40" w:type="dxa"/>
              <w:right w:w="20" w:type="dxa"/>
            </w:tcMar>
          </w:tcPr>
          <w:p w14:paraId="67533C4A" w14:textId="77777777" w:rsidR="001B77DD" w:rsidRDefault="00BF0A28">
            <w:pPr>
              <w:textAlignment w:val="top"/>
            </w:pPr>
            <w:r>
              <w:rPr>
                <w:rFonts w:ascii="Arial" w:eastAsia="宋体" w:hAnsi="Arial" w:cs="Arial"/>
                <w:color w:val="262626"/>
                <w:sz w:val="18"/>
                <w:szCs w:val="18"/>
              </w:rPr>
              <w:t>Our Products</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3C4B"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7533C4C" w14:textId="77777777" w:rsidR="001B77DD" w:rsidRDefault="00BF0A28">
            <w:pPr>
              <w:spacing w:after="180"/>
              <w:jc w:val="center"/>
              <w:textAlignment w:val="top"/>
            </w:pPr>
            <w:hyperlink r:id="rId11" w:anchor="i6c9ced68f6b24d58a3dcf326e8c3c699_67" w:history="1">
              <w:r>
                <w:rPr>
                  <w:rStyle w:val="a5"/>
                  <w:rFonts w:ascii="Arial" w:eastAsia="宋体" w:hAnsi="Arial" w:cs="Arial"/>
                  <w:color w:val="262626"/>
                  <w:sz w:val="18"/>
                  <w:szCs w:val="18"/>
                  <w:u w:val="none"/>
                </w:rPr>
                <w:t>18</w:t>
              </w:r>
            </w:hyperlink>
          </w:p>
        </w:tc>
      </w:tr>
      <w:tr w:rsidR="001B77DD" w14:paraId="67533C51" w14:textId="77777777">
        <w:tc>
          <w:tcPr>
            <w:tcW w:w="0" w:type="auto"/>
            <w:gridSpan w:val="3"/>
            <w:shd w:val="clear" w:color="auto" w:fill="auto"/>
            <w:tcMar>
              <w:top w:w="40" w:type="dxa"/>
              <w:left w:w="20" w:type="dxa"/>
              <w:bottom w:w="40" w:type="dxa"/>
              <w:right w:w="20" w:type="dxa"/>
            </w:tcMar>
            <w:vAlign w:val="center"/>
          </w:tcPr>
          <w:p w14:paraId="67533C4E" w14:textId="77777777" w:rsidR="001B77DD" w:rsidRDefault="00BF0A28">
            <w:pPr>
              <w:textAlignment w:val="center"/>
            </w:pPr>
            <w:r>
              <w:rPr>
                <w:rFonts w:ascii="Arial" w:eastAsia="宋体" w:hAnsi="Arial" w:cs="Arial"/>
                <w:color w:val="262626"/>
                <w:sz w:val="18"/>
                <w:szCs w:val="18"/>
              </w:rPr>
              <w:t>How We Organize Our Business</w:t>
            </w:r>
          </w:p>
        </w:tc>
        <w:tc>
          <w:tcPr>
            <w:tcW w:w="0" w:type="auto"/>
            <w:gridSpan w:val="3"/>
            <w:shd w:val="clear" w:color="auto" w:fill="auto"/>
            <w:tcMar>
              <w:top w:w="0" w:type="dxa"/>
              <w:left w:w="20" w:type="dxa"/>
              <w:bottom w:w="0" w:type="dxa"/>
              <w:right w:w="20" w:type="dxa"/>
            </w:tcMar>
            <w:vAlign w:val="bottom"/>
          </w:tcPr>
          <w:p w14:paraId="67533C4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50" w14:textId="77777777" w:rsidR="001B77DD" w:rsidRDefault="00BF0A28">
            <w:pPr>
              <w:jc w:val="center"/>
              <w:textAlignment w:val="center"/>
            </w:pPr>
            <w:hyperlink r:id="rId12" w:anchor="i6c9ced68f6b24d58a3dcf326e8c3c699_70" w:history="1">
              <w:r>
                <w:rPr>
                  <w:rStyle w:val="a5"/>
                  <w:rFonts w:ascii="Arial" w:eastAsia="宋体" w:hAnsi="Arial" w:cs="Arial"/>
                  <w:color w:val="262626"/>
                  <w:sz w:val="18"/>
                  <w:szCs w:val="18"/>
                  <w:u w:val="none"/>
                </w:rPr>
                <w:t>19</w:t>
              </w:r>
            </w:hyperlink>
          </w:p>
        </w:tc>
      </w:tr>
      <w:tr w:rsidR="001B77DD" w14:paraId="67533C55" w14:textId="77777777">
        <w:tc>
          <w:tcPr>
            <w:tcW w:w="0" w:type="auto"/>
            <w:gridSpan w:val="3"/>
            <w:shd w:val="clear" w:color="auto" w:fill="auto"/>
            <w:tcMar>
              <w:top w:w="40" w:type="dxa"/>
              <w:left w:w="20" w:type="dxa"/>
              <w:bottom w:w="40" w:type="dxa"/>
              <w:right w:w="20" w:type="dxa"/>
            </w:tcMar>
            <w:vAlign w:val="center"/>
          </w:tcPr>
          <w:p w14:paraId="67533C52" w14:textId="77777777" w:rsidR="001B77DD" w:rsidRDefault="00BF0A28">
            <w:pPr>
              <w:textAlignment w:val="center"/>
            </w:pPr>
            <w:r>
              <w:rPr>
                <w:rFonts w:ascii="Arial" w:eastAsia="宋体" w:hAnsi="Arial" w:cs="Arial"/>
                <w:color w:val="262626"/>
                <w:sz w:val="18"/>
                <w:szCs w:val="18"/>
              </w:rPr>
              <w:t>Segment Trends and Results</w:t>
            </w:r>
          </w:p>
        </w:tc>
        <w:tc>
          <w:tcPr>
            <w:tcW w:w="0" w:type="auto"/>
            <w:gridSpan w:val="3"/>
            <w:shd w:val="clear" w:color="auto" w:fill="auto"/>
            <w:tcMar>
              <w:top w:w="0" w:type="dxa"/>
              <w:left w:w="20" w:type="dxa"/>
              <w:bottom w:w="0" w:type="dxa"/>
              <w:right w:w="20" w:type="dxa"/>
            </w:tcMar>
            <w:vAlign w:val="bottom"/>
          </w:tcPr>
          <w:p w14:paraId="67533C5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54" w14:textId="77777777" w:rsidR="001B77DD" w:rsidRDefault="00BF0A28">
            <w:pPr>
              <w:jc w:val="center"/>
              <w:textAlignment w:val="center"/>
            </w:pPr>
            <w:hyperlink r:id="rId13" w:anchor="i6c9ced68f6b24d58a3dcf326e8c3c699_136" w:history="1">
              <w:r>
                <w:rPr>
                  <w:rStyle w:val="a5"/>
                  <w:rFonts w:ascii="Arial" w:eastAsia="宋体" w:hAnsi="Arial" w:cs="Arial"/>
                  <w:color w:val="262626"/>
                  <w:sz w:val="18"/>
                  <w:szCs w:val="18"/>
                  <w:u w:val="none"/>
                </w:rPr>
                <w:t>20</w:t>
              </w:r>
            </w:hyperlink>
          </w:p>
        </w:tc>
      </w:tr>
      <w:tr w:rsidR="001B77DD" w14:paraId="67533C59" w14:textId="77777777">
        <w:tc>
          <w:tcPr>
            <w:tcW w:w="0" w:type="auto"/>
            <w:gridSpan w:val="3"/>
            <w:shd w:val="clear" w:color="auto" w:fill="auto"/>
            <w:tcMar>
              <w:top w:w="40" w:type="dxa"/>
              <w:left w:w="20" w:type="dxa"/>
              <w:bottom w:w="40" w:type="dxa"/>
              <w:right w:w="20" w:type="dxa"/>
            </w:tcMar>
            <w:vAlign w:val="center"/>
          </w:tcPr>
          <w:p w14:paraId="67533C56" w14:textId="77777777" w:rsidR="001B77DD" w:rsidRDefault="00BF0A28">
            <w:pPr>
              <w:textAlignment w:val="center"/>
            </w:pPr>
            <w:r>
              <w:rPr>
                <w:rFonts w:ascii="Arial" w:eastAsia="宋体" w:hAnsi="Arial" w:cs="Arial"/>
                <w:color w:val="262626"/>
                <w:sz w:val="18"/>
                <w:szCs w:val="18"/>
              </w:rPr>
              <w:t>Consolidated Results of Operations</w:t>
            </w:r>
          </w:p>
        </w:tc>
        <w:tc>
          <w:tcPr>
            <w:tcW w:w="0" w:type="auto"/>
            <w:gridSpan w:val="3"/>
            <w:shd w:val="clear" w:color="auto" w:fill="auto"/>
            <w:tcMar>
              <w:top w:w="0" w:type="dxa"/>
              <w:left w:w="20" w:type="dxa"/>
              <w:bottom w:w="0" w:type="dxa"/>
              <w:right w:w="20" w:type="dxa"/>
            </w:tcMar>
            <w:vAlign w:val="bottom"/>
          </w:tcPr>
          <w:p w14:paraId="67533C5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58" w14:textId="77777777" w:rsidR="001B77DD" w:rsidRDefault="00BF0A28">
            <w:pPr>
              <w:jc w:val="center"/>
              <w:textAlignment w:val="center"/>
            </w:pPr>
            <w:hyperlink r:id="rId14" w:anchor="i6c9ced68f6b24d58a3dcf326e8c3c699_145" w:history="1">
              <w:r>
                <w:rPr>
                  <w:rStyle w:val="a5"/>
                  <w:rFonts w:ascii="Arial" w:eastAsia="宋体" w:hAnsi="Arial" w:cs="Arial"/>
                  <w:color w:val="262626"/>
                  <w:sz w:val="18"/>
                  <w:szCs w:val="18"/>
                  <w:u w:val="none"/>
                </w:rPr>
                <w:t>37</w:t>
              </w:r>
            </w:hyperlink>
          </w:p>
        </w:tc>
      </w:tr>
      <w:tr w:rsidR="001B77DD" w14:paraId="67533C5D" w14:textId="77777777">
        <w:tc>
          <w:tcPr>
            <w:tcW w:w="0" w:type="auto"/>
            <w:gridSpan w:val="3"/>
            <w:shd w:val="clear" w:color="auto" w:fill="auto"/>
            <w:tcMar>
              <w:top w:w="40" w:type="dxa"/>
              <w:left w:w="20" w:type="dxa"/>
              <w:bottom w:w="40" w:type="dxa"/>
              <w:right w:w="20" w:type="dxa"/>
            </w:tcMar>
            <w:vAlign w:val="center"/>
          </w:tcPr>
          <w:p w14:paraId="67533C5A" w14:textId="77777777" w:rsidR="001B77DD" w:rsidRDefault="00BF0A28">
            <w:pPr>
              <w:textAlignment w:val="center"/>
            </w:pPr>
            <w:r>
              <w:rPr>
                <w:rFonts w:ascii="Arial" w:eastAsia="宋体" w:hAnsi="Arial" w:cs="Arial"/>
                <w:color w:val="262626"/>
                <w:sz w:val="18"/>
                <w:szCs w:val="18"/>
              </w:rPr>
              <w:t>Liquidity and Capital Resources</w:t>
            </w:r>
          </w:p>
        </w:tc>
        <w:tc>
          <w:tcPr>
            <w:tcW w:w="0" w:type="auto"/>
            <w:gridSpan w:val="3"/>
            <w:shd w:val="clear" w:color="auto" w:fill="auto"/>
            <w:tcMar>
              <w:top w:w="0" w:type="dxa"/>
              <w:left w:w="20" w:type="dxa"/>
              <w:bottom w:w="0" w:type="dxa"/>
              <w:right w:w="20" w:type="dxa"/>
            </w:tcMar>
            <w:vAlign w:val="bottom"/>
          </w:tcPr>
          <w:p w14:paraId="67533C5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5C" w14:textId="77777777" w:rsidR="001B77DD" w:rsidRDefault="00BF0A28">
            <w:pPr>
              <w:jc w:val="center"/>
              <w:textAlignment w:val="center"/>
            </w:pPr>
            <w:hyperlink r:id="rId15" w:anchor="i6c9ced68f6b24d58a3dcf326e8c3c699_175" w:history="1">
              <w:r>
                <w:rPr>
                  <w:rStyle w:val="a5"/>
                  <w:rFonts w:ascii="Arial" w:eastAsia="宋体" w:hAnsi="Arial" w:cs="Arial"/>
                  <w:color w:val="262626"/>
                  <w:sz w:val="18"/>
                  <w:szCs w:val="18"/>
                  <w:u w:val="none"/>
                </w:rPr>
                <w:t>42</w:t>
              </w:r>
            </w:hyperlink>
          </w:p>
        </w:tc>
      </w:tr>
      <w:tr w:rsidR="001B77DD" w14:paraId="67533C61" w14:textId="77777777">
        <w:trPr>
          <w:hidden/>
        </w:trPr>
        <w:tc>
          <w:tcPr>
            <w:tcW w:w="0" w:type="auto"/>
            <w:gridSpan w:val="3"/>
            <w:shd w:val="clear" w:color="auto" w:fill="auto"/>
            <w:vAlign w:val="bottom"/>
          </w:tcPr>
          <w:p w14:paraId="67533C5E" w14:textId="77777777" w:rsidR="001B77DD" w:rsidRDefault="001B77DD">
            <w:pPr>
              <w:rPr>
                <w:rFonts w:ascii="宋体"/>
                <w:vanish/>
              </w:rPr>
            </w:pPr>
          </w:p>
        </w:tc>
        <w:tc>
          <w:tcPr>
            <w:tcW w:w="0" w:type="auto"/>
            <w:gridSpan w:val="3"/>
            <w:shd w:val="clear" w:color="auto" w:fill="auto"/>
            <w:vAlign w:val="bottom"/>
          </w:tcPr>
          <w:p w14:paraId="67533C5F" w14:textId="77777777" w:rsidR="001B77DD" w:rsidRDefault="001B77DD">
            <w:pPr>
              <w:rPr>
                <w:rFonts w:ascii="宋体"/>
                <w:vanish/>
              </w:rPr>
            </w:pPr>
          </w:p>
        </w:tc>
        <w:tc>
          <w:tcPr>
            <w:tcW w:w="0" w:type="auto"/>
            <w:gridSpan w:val="3"/>
            <w:shd w:val="clear" w:color="auto" w:fill="auto"/>
            <w:vAlign w:val="bottom"/>
          </w:tcPr>
          <w:p w14:paraId="67533C60" w14:textId="77777777" w:rsidR="001B77DD" w:rsidRDefault="001B77DD">
            <w:pPr>
              <w:rPr>
                <w:rFonts w:ascii="宋体"/>
                <w:vanish/>
              </w:rPr>
            </w:pPr>
          </w:p>
        </w:tc>
      </w:tr>
      <w:tr w:rsidR="001B77DD" w14:paraId="67533C65" w14:textId="77777777">
        <w:tc>
          <w:tcPr>
            <w:tcW w:w="0" w:type="auto"/>
            <w:gridSpan w:val="3"/>
            <w:shd w:val="clear" w:color="auto" w:fill="auto"/>
            <w:tcMar>
              <w:top w:w="40" w:type="dxa"/>
              <w:left w:w="20" w:type="dxa"/>
              <w:bottom w:w="40" w:type="dxa"/>
              <w:right w:w="20" w:type="dxa"/>
            </w:tcMar>
            <w:vAlign w:val="center"/>
          </w:tcPr>
          <w:p w14:paraId="67533C62" w14:textId="77777777" w:rsidR="001B77DD" w:rsidRDefault="00BF0A28">
            <w:pPr>
              <w:textAlignment w:val="center"/>
            </w:pPr>
            <w:r>
              <w:rPr>
                <w:rFonts w:ascii="Arial" w:eastAsia="宋体" w:hAnsi="Arial" w:cs="Arial"/>
                <w:color w:val="262626"/>
                <w:sz w:val="18"/>
                <w:szCs w:val="18"/>
              </w:rPr>
              <w:t>Critical Accounting Estimates</w:t>
            </w:r>
          </w:p>
        </w:tc>
        <w:tc>
          <w:tcPr>
            <w:tcW w:w="0" w:type="auto"/>
            <w:gridSpan w:val="3"/>
            <w:shd w:val="clear" w:color="auto" w:fill="auto"/>
            <w:tcMar>
              <w:top w:w="0" w:type="dxa"/>
              <w:left w:w="20" w:type="dxa"/>
              <w:bottom w:w="0" w:type="dxa"/>
              <w:right w:w="20" w:type="dxa"/>
            </w:tcMar>
            <w:vAlign w:val="bottom"/>
          </w:tcPr>
          <w:p w14:paraId="67533C6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64" w14:textId="77777777" w:rsidR="001B77DD" w:rsidRDefault="00BF0A28">
            <w:pPr>
              <w:jc w:val="center"/>
              <w:textAlignment w:val="center"/>
            </w:pPr>
            <w:hyperlink r:id="rId16" w:anchor="i6c9ced68f6b24d58a3dcf326e8c3c699_208" w:history="1">
              <w:r>
                <w:rPr>
                  <w:rStyle w:val="a5"/>
                  <w:rFonts w:ascii="Arial" w:eastAsia="宋体" w:hAnsi="Arial" w:cs="Arial"/>
                  <w:color w:val="262626"/>
                  <w:sz w:val="18"/>
                  <w:szCs w:val="18"/>
                  <w:u w:val="none"/>
                </w:rPr>
                <w:t>44</w:t>
              </w:r>
            </w:hyperlink>
          </w:p>
        </w:tc>
      </w:tr>
      <w:tr w:rsidR="001B77DD" w14:paraId="67533C69" w14:textId="77777777">
        <w:tc>
          <w:tcPr>
            <w:tcW w:w="0" w:type="auto"/>
            <w:gridSpan w:val="3"/>
            <w:shd w:val="clear" w:color="auto" w:fill="auto"/>
            <w:tcMar>
              <w:top w:w="40" w:type="dxa"/>
              <w:left w:w="20" w:type="dxa"/>
              <w:bottom w:w="40" w:type="dxa"/>
              <w:right w:w="20" w:type="dxa"/>
            </w:tcMar>
            <w:vAlign w:val="center"/>
          </w:tcPr>
          <w:p w14:paraId="67533C66" w14:textId="77777777" w:rsidR="001B77DD" w:rsidRDefault="00BF0A28">
            <w:pPr>
              <w:textAlignment w:val="center"/>
            </w:pPr>
            <w:r>
              <w:rPr>
                <w:rFonts w:ascii="Arial" w:eastAsia="宋体" w:hAnsi="Arial" w:cs="Arial"/>
                <w:color w:val="262626"/>
                <w:sz w:val="18"/>
                <w:szCs w:val="18"/>
              </w:rPr>
              <w:t>Non-GAAP Financial Measures</w:t>
            </w:r>
          </w:p>
        </w:tc>
        <w:tc>
          <w:tcPr>
            <w:tcW w:w="0" w:type="auto"/>
            <w:gridSpan w:val="3"/>
            <w:shd w:val="clear" w:color="auto" w:fill="auto"/>
            <w:tcMar>
              <w:top w:w="0" w:type="dxa"/>
              <w:left w:w="20" w:type="dxa"/>
              <w:bottom w:w="0" w:type="dxa"/>
              <w:right w:w="20" w:type="dxa"/>
            </w:tcMar>
            <w:vAlign w:val="bottom"/>
          </w:tcPr>
          <w:p w14:paraId="67533C6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68" w14:textId="77777777" w:rsidR="001B77DD" w:rsidRDefault="00BF0A28">
            <w:pPr>
              <w:jc w:val="center"/>
              <w:textAlignment w:val="center"/>
            </w:pPr>
            <w:hyperlink r:id="rId17" w:anchor="i6c9ced68f6b24d58a3dcf326e8c3c699_14293651165196" w:history="1">
              <w:r>
                <w:rPr>
                  <w:rStyle w:val="a5"/>
                  <w:rFonts w:ascii="Arial" w:eastAsia="宋体" w:hAnsi="Arial" w:cs="Arial"/>
                  <w:color w:val="262626"/>
                  <w:sz w:val="18"/>
                  <w:szCs w:val="18"/>
                  <w:u w:val="none"/>
                </w:rPr>
                <w:t>45</w:t>
              </w:r>
            </w:hyperlink>
          </w:p>
        </w:tc>
      </w:tr>
      <w:tr w:rsidR="001B77DD" w14:paraId="67533C6D" w14:textId="77777777">
        <w:trPr>
          <w:trHeight w:val="100"/>
        </w:trPr>
        <w:tc>
          <w:tcPr>
            <w:tcW w:w="0" w:type="auto"/>
            <w:gridSpan w:val="3"/>
            <w:shd w:val="clear" w:color="auto" w:fill="auto"/>
            <w:tcMar>
              <w:top w:w="0" w:type="dxa"/>
              <w:left w:w="20" w:type="dxa"/>
              <w:bottom w:w="0" w:type="dxa"/>
              <w:right w:w="20" w:type="dxa"/>
            </w:tcMar>
            <w:vAlign w:val="bottom"/>
          </w:tcPr>
          <w:p w14:paraId="67533C6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6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6C" w14:textId="77777777" w:rsidR="001B77DD" w:rsidRDefault="001B77DD">
            <w:pPr>
              <w:rPr>
                <w:rFonts w:ascii="宋体"/>
              </w:rPr>
            </w:pPr>
          </w:p>
        </w:tc>
      </w:tr>
      <w:tr w:rsidR="001B77DD" w14:paraId="67533C71" w14:textId="77777777">
        <w:tc>
          <w:tcPr>
            <w:tcW w:w="0" w:type="auto"/>
            <w:gridSpan w:val="3"/>
            <w:shd w:val="clear" w:color="auto" w:fill="auto"/>
            <w:tcMar>
              <w:top w:w="40" w:type="dxa"/>
              <w:left w:w="20" w:type="dxa"/>
              <w:bottom w:w="40" w:type="dxa"/>
              <w:right w:w="20" w:type="dxa"/>
            </w:tcMar>
            <w:vAlign w:val="center"/>
          </w:tcPr>
          <w:p w14:paraId="67533C6E" w14:textId="77777777" w:rsidR="001B77DD" w:rsidRDefault="00BF0A28">
            <w:pPr>
              <w:textAlignment w:val="center"/>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vAlign w:val="bottom"/>
          </w:tcPr>
          <w:p w14:paraId="67533C6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70" w14:textId="77777777" w:rsidR="001B77DD" w:rsidRDefault="001B77DD">
            <w:pPr>
              <w:rPr>
                <w:rFonts w:ascii="宋体"/>
              </w:rPr>
            </w:pPr>
          </w:p>
        </w:tc>
      </w:tr>
      <w:tr w:rsidR="001B77DD" w14:paraId="67533C75" w14:textId="77777777">
        <w:trPr>
          <w:hidden/>
        </w:trPr>
        <w:tc>
          <w:tcPr>
            <w:tcW w:w="0" w:type="auto"/>
            <w:gridSpan w:val="3"/>
            <w:shd w:val="clear" w:color="auto" w:fill="auto"/>
            <w:vAlign w:val="bottom"/>
          </w:tcPr>
          <w:p w14:paraId="67533C72" w14:textId="77777777" w:rsidR="001B77DD" w:rsidRDefault="001B77DD">
            <w:pPr>
              <w:rPr>
                <w:rFonts w:ascii="宋体"/>
                <w:vanish/>
              </w:rPr>
            </w:pPr>
          </w:p>
        </w:tc>
        <w:tc>
          <w:tcPr>
            <w:tcW w:w="0" w:type="auto"/>
            <w:gridSpan w:val="3"/>
            <w:shd w:val="clear" w:color="auto" w:fill="auto"/>
            <w:vAlign w:val="bottom"/>
          </w:tcPr>
          <w:p w14:paraId="67533C73" w14:textId="77777777" w:rsidR="001B77DD" w:rsidRDefault="001B77DD">
            <w:pPr>
              <w:rPr>
                <w:rFonts w:ascii="宋体"/>
                <w:vanish/>
              </w:rPr>
            </w:pPr>
          </w:p>
        </w:tc>
        <w:tc>
          <w:tcPr>
            <w:tcW w:w="0" w:type="auto"/>
            <w:gridSpan w:val="3"/>
            <w:shd w:val="clear" w:color="auto" w:fill="auto"/>
            <w:vAlign w:val="bottom"/>
          </w:tcPr>
          <w:p w14:paraId="67533C74" w14:textId="77777777" w:rsidR="001B77DD" w:rsidRDefault="001B77DD">
            <w:pPr>
              <w:rPr>
                <w:rFonts w:ascii="宋体"/>
                <w:vanish/>
              </w:rPr>
            </w:pPr>
          </w:p>
        </w:tc>
      </w:tr>
      <w:tr w:rsidR="001B77DD" w14:paraId="67533C79" w14:textId="77777777">
        <w:tc>
          <w:tcPr>
            <w:tcW w:w="0" w:type="auto"/>
            <w:gridSpan w:val="3"/>
            <w:tcBorders>
              <w:top w:val="single" w:sz="4" w:space="0" w:color="262626"/>
            </w:tcBorders>
            <w:shd w:val="clear" w:color="auto" w:fill="auto"/>
            <w:tcMar>
              <w:top w:w="40" w:type="dxa"/>
              <w:left w:w="20" w:type="dxa"/>
              <w:bottom w:w="40" w:type="dxa"/>
              <w:right w:w="20" w:type="dxa"/>
            </w:tcMar>
            <w:vAlign w:val="center"/>
          </w:tcPr>
          <w:p w14:paraId="67533C76" w14:textId="77777777" w:rsidR="001B77DD" w:rsidRDefault="00BF0A28">
            <w:pPr>
              <w:textAlignment w:val="center"/>
            </w:pPr>
            <w:r>
              <w:rPr>
                <w:rFonts w:ascii="Arial" w:eastAsia="宋体" w:hAnsi="Arial" w:cs="Arial"/>
                <w:color w:val="262626"/>
                <w:sz w:val="18"/>
                <w:szCs w:val="18"/>
              </w:rPr>
              <w:t>Sales and Marketing</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3C77"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center"/>
          </w:tcPr>
          <w:p w14:paraId="67533C78" w14:textId="77777777" w:rsidR="001B77DD" w:rsidRDefault="00BF0A28">
            <w:pPr>
              <w:jc w:val="center"/>
              <w:textAlignment w:val="center"/>
            </w:pPr>
            <w:hyperlink r:id="rId18" w:anchor="i6c9ced68f6b24d58a3dcf326e8c3c699_202" w:history="1">
              <w:r>
                <w:rPr>
                  <w:rStyle w:val="a5"/>
                  <w:rFonts w:ascii="Arial" w:eastAsia="宋体" w:hAnsi="Arial" w:cs="Arial"/>
                  <w:color w:val="262626"/>
                  <w:sz w:val="18"/>
                  <w:szCs w:val="18"/>
                  <w:u w:val="none"/>
                </w:rPr>
                <w:t>48</w:t>
              </w:r>
            </w:hyperlink>
          </w:p>
        </w:tc>
      </w:tr>
      <w:tr w:rsidR="001B77DD" w14:paraId="67533C7D" w14:textId="77777777">
        <w:trPr>
          <w:hidden/>
        </w:trPr>
        <w:tc>
          <w:tcPr>
            <w:tcW w:w="0" w:type="auto"/>
            <w:gridSpan w:val="3"/>
            <w:shd w:val="clear" w:color="auto" w:fill="auto"/>
            <w:vAlign w:val="bottom"/>
          </w:tcPr>
          <w:p w14:paraId="67533C7A" w14:textId="77777777" w:rsidR="001B77DD" w:rsidRDefault="001B77DD">
            <w:pPr>
              <w:rPr>
                <w:rFonts w:ascii="宋体"/>
                <w:vanish/>
              </w:rPr>
            </w:pPr>
          </w:p>
        </w:tc>
        <w:tc>
          <w:tcPr>
            <w:tcW w:w="0" w:type="auto"/>
            <w:gridSpan w:val="3"/>
            <w:shd w:val="clear" w:color="auto" w:fill="auto"/>
            <w:vAlign w:val="bottom"/>
          </w:tcPr>
          <w:p w14:paraId="67533C7B" w14:textId="77777777" w:rsidR="001B77DD" w:rsidRDefault="001B77DD">
            <w:pPr>
              <w:rPr>
                <w:rFonts w:ascii="宋体"/>
                <w:vanish/>
              </w:rPr>
            </w:pPr>
          </w:p>
        </w:tc>
        <w:tc>
          <w:tcPr>
            <w:tcW w:w="0" w:type="auto"/>
            <w:gridSpan w:val="3"/>
            <w:shd w:val="clear" w:color="auto" w:fill="auto"/>
            <w:vAlign w:val="bottom"/>
          </w:tcPr>
          <w:p w14:paraId="67533C7C" w14:textId="77777777" w:rsidR="001B77DD" w:rsidRDefault="001B77DD">
            <w:pPr>
              <w:rPr>
                <w:rFonts w:ascii="宋体"/>
                <w:vanish/>
              </w:rPr>
            </w:pPr>
          </w:p>
        </w:tc>
      </w:tr>
      <w:tr w:rsidR="001B77DD" w14:paraId="67533C81" w14:textId="77777777">
        <w:trPr>
          <w:hidden/>
        </w:trPr>
        <w:tc>
          <w:tcPr>
            <w:tcW w:w="0" w:type="auto"/>
            <w:gridSpan w:val="3"/>
            <w:shd w:val="clear" w:color="auto" w:fill="auto"/>
            <w:vAlign w:val="bottom"/>
          </w:tcPr>
          <w:p w14:paraId="67533C7E" w14:textId="77777777" w:rsidR="001B77DD" w:rsidRDefault="001B77DD">
            <w:pPr>
              <w:rPr>
                <w:rFonts w:ascii="宋体"/>
                <w:vanish/>
              </w:rPr>
            </w:pPr>
          </w:p>
        </w:tc>
        <w:tc>
          <w:tcPr>
            <w:tcW w:w="0" w:type="auto"/>
            <w:gridSpan w:val="3"/>
            <w:shd w:val="clear" w:color="auto" w:fill="auto"/>
            <w:vAlign w:val="bottom"/>
          </w:tcPr>
          <w:p w14:paraId="67533C7F" w14:textId="77777777" w:rsidR="001B77DD" w:rsidRDefault="001B77DD">
            <w:pPr>
              <w:rPr>
                <w:rFonts w:ascii="宋体"/>
                <w:vanish/>
              </w:rPr>
            </w:pPr>
          </w:p>
        </w:tc>
        <w:tc>
          <w:tcPr>
            <w:tcW w:w="0" w:type="auto"/>
            <w:gridSpan w:val="3"/>
            <w:shd w:val="clear" w:color="auto" w:fill="auto"/>
            <w:vAlign w:val="bottom"/>
          </w:tcPr>
          <w:p w14:paraId="67533C80" w14:textId="77777777" w:rsidR="001B77DD" w:rsidRDefault="001B77DD">
            <w:pPr>
              <w:rPr>
                <w:rFonts w:ascii="宋体"/>
                <w:vanish/>
              </w:rPr>
            </w:pPr>
          </w:p>
        </w:tc>
      </w:tr>
      <w:tr w:rsidR="001B77DD" w14:paraId="67533C85" w14:textId="77777777">
        <w:trPr>
          <w:hidden/>
        </w:trPr>
        <w:tc>
          <w:tcPr>
            <w:tcW w:w="0" w:type="auto"/>
            <w:gridSpan w:val="3"/>
            <w:shd w:val="clear" w:color="auto" w:fill="auto"/>
            <w:vAlign w:val="bottom"/>
          </w:tcPr>
          <w:p w14:paraId="67533C82" w14:textId="77777777" w:rsidR="001B77DD" w:rsidRDefault="001B77DD">
            <w:pPr>
              <w:rPr>
                <w:rFonts w:ascii="宋体"/>
                <w:vanish/>
              </w:rPr>
            </w:pPr>
          </w:p>
        </w:tc>
        <w:tc>
          <w:tcPr>
            <w:tcW w:w="0" w:type="auto"/>
            <w:gridSpan w:val="3"/>
            <w:shd w:val="clear" w:color="auto" w:fill="auto"/>
            <w:vAlign w:val="bottom"/>
          </w:tcPr>
          <w:p w14:paraId="67533C83" w14:textId="77777777" w:rsidR="001B77DD" w:rsidRDefault="001B77DD">
            <w:pPr>
              <w:rPr>
                <w:rFonts w:ascii="宋体"/>
                <w:vanish/>
              </w:rPr>
            </w:pPr>
          </w:p>
        </w:tc>
        <w:tc>
          <w:tcPr>
            <w:tcW w:w="0" w:type="auto"/>
            <w:gridSpan w:val="3"/>
            <w:shd w:val="clear" w:color="auto" w:fill="auto"/>
            <w:vAlign w:val="bottom"/>
          </w:tcPr>
          <w:p w14:paraId="67533C84" w14:textId="77777777" w:rsidR="001B77DD" w:rsidRDefault="001B77DD">
            <w:pPr>
              <w:rPr>
                <w:rFonts w:ascii="宋体"/>
                <w:vanish/>
              </w:rPr>
            </w:pPr>
          </w:p>
        </w:tc>
      </w:tr>
      <w:tr w:rsidR="001B77DD" w14:paraId="67533C89" w14:textId="77777777">
        <w:tc>
          <w:tcPr>
            <w:tcW w:w="0" w:type="auto"/>
            <w:gridSpan w:val="3"/>
            <w:shd w:val="clear" w:color="auto" w:fill="auto"/>
            <w:tcMar>
              <w:top w:w="40" w:type="dxa"/>
              <w:left w:w="20" w:type="dxa"/>
              <w:bottom w:w="40" w:type="dxa"/>
              <w:right w:w="20" w:type="dxa"/>
            </w:tcMar>
            <w:vAlign w:val="center"/>
          </w:tcPr>
          <w:p w14:paraId="67533C86" w14:textId="77777777" w:rsidR="001B77DD" w:rsidRDefault="00BF0A28">
            <w:pPr>
              <w:textAlignment w:val="center"/>
            </w:pPr>
            <w:r>
              <w:rPr>
                <w:rFonts w:ascii="Arial" w:eastAsia="宋体" w:hAnsi="Arial" w:cs="Arial"/>
                <w:color w:val="262626"/>
                <w:sz w:val="18"/>
                <w:szCs w:val="18"/>
              </w:rPr>
              <w:t>Quantitative and Qualitative Disclosures About Market Risk</w:t>
            </w:r>
          </w:p>
        </w:tc>
        <w:tc>
          <w:tcPr>
            <w:tcW w:w="0" w:type="auto"/>
            <w:gridSpan w:val="3"/>
            <w:shd w:val="clear" w:color="auto" w:fill="auto"/>
            <w:tcMar>
              <w:top w:w="0" w:type="dxa"/>
              <w:left w:w="20" w:type="dxa"/>
              <w:bottom w:w="0" w:type="dxa"/>
              <w:right w:w="20" w:type="dxa"/>
            </w:tcMar>
            <w:vAlign w:val="bottom"/>
          </w:tcPr>
          <w:p w14:paraId="67533C8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88" w14:textId="77777777" w:rsidR="001B77DD" w:rsidRDefault="00BF0A28">
            <w:pPr>
              <w:jc w:val="center"/>
              <w:textAlignment w:val="center"/>
            </w:pPr>
            <w:hyperlink r:id="rId19" w:anchor="i6c9ced68f6b24d58a3dcf326e8c3c699_184" w:history="1">
              <w:r>
                <w:rPr>
                  <w:rStyle w:val="a5"/>
                  <w:rFonts w:ascii="Arial" w:eastAsia="宋体" w:hAnsi="Arial" w:cs="Arial"/>
                  <w:color w:val="262626"/>
                  <w:sz w:val="18"/>
                  <w:szCs w:val="18"/>
                  <w:u w:val="none"/>
                </w:rPr>
                <w:t>49</w:t>
              </w:r>
            </w:hyperlink>
          </w:p>
        </w:tc>
      </w:tr>
      <w:tr w:rsidR="001B77DD" w14:paraId="67533C8D" w14:textId="77777777">
        <w:tc>
          <w:tcPr>
            <w:tcW w:w="0" w:type="auto"/>
            <w:gridSpan w:val="3"/>
            <w:shd w:val="clear" w:color="auto" w:fill="auto"/>
            <w:tcMar>
              <w:top w:w="40" w:type="dxa"/>
              <w:left w:w="20" w:type="dxa"/>
              <w:bottom w:w="40" w:type="dxa"/>
              <w:right w:w="20" w:type="dxa"/>
            </w:tcMar>
          </w:tcPr>
          <w:p w14:paraId="67533C8A" w14:textId="77777777" w:rsidR="001B77DD" w:rsidRDefault="00BF0A28">
            <w:pPr>
              <w:textAlignment w:val="top"/>
            </w:pPr>
            <w:r>
              <w:rPr>
                <w:rFonts w:ascii="Arial" w:eastAsia="宋体" w:hAnsi="Arial" w:cs="Arial"/>
                <w:color w:val="262626"/>
                <w:sz w:val="18"/>
                <w:szCs w:val="18"/>
              </w:rPr>
              <w:t>Risk Factors</w:t>
            </w:r>
          </w:p>
        </w:tc>
        <w:tc>
          <w:tcPr>
            <w:tcW w:w="0" w:type="auto"/>
            <w:gridSpan w:val="3"/>
            <w:shd w:val="clear" w:color="auto" w:fill="auto"/>
            <w:tcMar>
              <w:top w:w="0" w:type="dxa"/>
              <w:left w:w="20" w:type="dxa"/>
              <w:bottom w:w="0" w:type="dxa"/>
              <w:right w:w="20" w:type="dxa"/>
            </w:tcMar>
            <w:vAlign w:val="bottom"/>
          </w:tcPr>
          <w:p w14:paraId="67533C8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C8C" w14:textId="77777777" w:rsidR="001B77DD" w:rsidRDefault="00BF0A28">
            <w:pPr>
              <w:jc w:val="center"/>
              <w:textAlignment w:val="top"/>
            </w:pPr>
            <w:hyperlink r:id="rId20" w:anchor="i6c9ced68f6b24d58a3dcf326e8c3c699_211" w:history="1">
              <w:r>
                <w:rPr>
                  <w:rStyle w:val="a5"/>
                  <w:rFonts w:ascii="Arial" w:eastAsia="宋体" w:hAnsi="Arial" w:cs="Arial"/>
                  <w:color w:val="262626"/>
                  <w:sz w:val="18"/>
                  <w:szCs w:val="18"/>
                  <w:u w:val="none"/>
                </w:rPr>
                <w:t>50</w:t>
              </w:r>
            </w:hyperlink>
          </w:p>
        </w:tc>
      </w:tr>
      <w:tr w:rsidR="001B77DD" w14:paraId="67533C91" w14:textId="77777777">
        <w:tc>
          <w:tcPr>
            <w:tcW w:w="0" w:type="auto"/>
            <w:gridSpan w:val="3"/>
            <w:shd w:val="clear" w:color="auto" w:fill="auto"/>
            <w:tcMar>
              <w:top w:w="40" w:type="dxa"/>
              <w:left w:w="20" w:type="dxa"/>
              <w:bottom w:w="40" w:type="dxa"/>
              <w:right w:w="20" w:type="dxa"/>
            </w:tcMar>
          </w:tcPr>
          <w:p w14:paraId="67533C8E" w14:textId="77777777" w:rsidR="001B77DD" w:rsidRDefault="00BF0A28">
            <w:pPr>
              <w:textAlignment w:val="top"/>
            </w:pPr>
            <w:r>
              <w:rPr>
                <w:rFonts w:ascii="Arial" w:eastAsia="宋体" w:hAnsi="Arial" w:cs="Arial"/>
                <w:color w:val="262626"/>
                <w:sz w:val="18"/>
                <w:szCs w:val="18"/>
              </w:rPr>
              <w:t>Properties</w:t>
            </w:r>
          </w:p>
        </w:tc>
        <w:tc>
          <w:tcPr>
            <w:tcW w:w="0" w:type="auto"/>
            <w:gridSpan w:val="3"/>
            <w:shd w:val="clear" w:color="auto" w:fill="auto"/>
            <w:tcMar>
              <w:top w:w="0" w:type="dxa"/>
              <w:left w:w="20" w:type="dxa"/>
              <w:bottom w:w="0" w:type="dxa"/>
              <w:right w:w="20" w:type="dxa"/>
            </w:tcMar>
            <w:vAlign w:val="bottom"/>
          </w:tcPr>
          <w:p w14:paraId="67533C8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C90" w14:textId="77777777" w:rsidR="001B77DD" w:rsidRDefault="00BF0A28">
            <w:pPr>
              <w:jc w:val="center"/>
              <w:textAlignment w:val="top"/>
            </w:pPr>
            <w:hyperlink r:id="rId21" w:anchor="i6c9ced68f6b24d58a3dcf326e8c3c699_217" w:history="1">
              <w:r>
                <w:rPr>
                  <w:rStyle w:val="a5"/>
                  <w:rFonts w:ascii="Arial" w:eastAsia="宋体" w:hAnsi="Arial" w:cs="Arial"/>
                  <w:color w:val="262626"/>
                  <w:sz w:val="18"/>
                  <w:szCs w:val="18"/>
                  <w:u w:val="none"/>
                </w:rPr>
                <w:t>64</w:t>
              </w:r>
            </w:hyperlink>
          </w:p>
        </w:tc>
      </w:tr>
      <w:tr w:rsidR="001B77DD" w14:paraId="67533C95" w14:textId="77777777">
        <w:tc>
          <w:tcPr>
            <w:tcW w:w="0" w:type="auto"/>
            <w:gridSpan w:val="3"/>
            <w:shd w:val="clear" w:color="auto" w:fill="auto"/>
            <w:tcMar>
              <w:top w:w="40" w:type="dxa"/>
              <w:left w:w="20" w:type="dxa"/>
              <w:bottom w:w="40" w:type="dxa"/>
              <w:right w:w="20" w:type="dxa"/>
            </w:tcMar>
          </w:tcPr>
          <w:p w14:paraId="67533C92" w14:textId="77777777" w:rsidR="001B77DD" w:rsidRDefault="00BF0A28">
            <w:pPr>
              <w:textAlignment w:val="top"/>
            </w:pPr>
            <w:r>
              <w:rPr>
                <w:rFonts w:ascii="Arial" w:eastAsia="宋体" w:hAnsi="Arial" w:cs="Arial"/>
                <w:color w:val="262626"/>
                <w:sz w:val="18"/>
                <w:szCs w:val="18"/>
              </w:rPr>
              <w:t>Market for Our Common Stock</w:t>
            </w:r>
          </w:p>
        </w:tc>
        <w:tc>
          <w:tcPr>
            <w:tcW w:w="0" w:type="auto"/>
            <w:gridSpan w:val="3"/>
            <w:shd w:val="clear" w:color="auto" w:fill="auto"/>
            <w:tcMar>
              <w:top w:w="0" w:type="dxa"/>
              <w:left w:w="20" w:type="dxa"/>
              <w:bottom w:w="0" w:type="dxa"/>
              <w:right w:w="20" w:type="dxa"/>
            </w:tcMar>
            <w:vAlign w:val="bottom"/>
          </w:tcPr>
          <w:p w14:paraId="67533C9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C94" w14:textId="77777777" w:rsidR="001B77DD" w:rsidRDefault="00BF0A28">
            <w:pPr>
              <w:jc w:val="center"/>
              <w:textAlignment w:val="top"/>
            </w:pPr>
            <w:hyperlink r:id="rId22" w:anchor="i6c9ced68f6b24d58a3dcf326e8c3c699_220" w:history="1">
              <w:r>
                <w:rPr>
                  <w:rStyle w:val="a5"/>
                  <w:rFonts w:ascii="Arial" w:eastAsia="宋体" w:hAnsi="Arial" w:cs="Arial"/>
                  <w:color w:val="262626"/>
                  <w:sz w:val="18"/>
                  <w:szCs w:val="18"/>
                  <w:u w:val="none"/>
                </w:rPr>
                <w:t>64</w:t>
              </w:r>
            </w:hyperlink>
          </w:p>
        </w:tc>
      </w:tr>
      <w:tr w:rsidR="001B77DD" w14:paraId="67533C99" w14:textId="77777777">
        <w:tc>
          <w:tcPr>
            <w:tcW w:w="0" w:type="auto"/>
            <w:gridSpan w:val="3"/>
            <w:shd w:val="clear" w:color="auto" w:fill="auto"/>
            <w:tcMar>
              <w:top w:w="40" w:type="dxa"/>
              <w:left w:w="20" w:type="dxa"/>
              <w:bottom w:w="40" w:type="dxa"/>
              <w:right w:w="20" w:type="dxa"/>
            </w:tcMar>
          </w:tcPr>
          <w:p w14:paraId="67533C96" w14:textId="77777777" w:rsidR="001B77DD" w:rsidRDefault="00BF0A28">
            <w:pPr>
              <w:textAlignment w:val="top"/>
            </w:pPr>
            <w:r>
              <w:rPr>
                <w:rFonts w:ascii="Arial" w:eastAsia="宋体" w:hAnsi="Arial" w:cs="Arial"/>
                <w:color w:val="262626"/>
                <w:sz w:val="18"/>
                <w:szCs w:val="18"/>
              </w:rPr>
              <w:t>Information About Our Executive Officers</w:t>
            </w:r>
          </w:p>
        </w:tc>
        <w:tc>
          <w:tcPr>
            <w:tcW w:w="0" w:type="auto"/>
            <w:gridSpan w:val="3"/>
            <w:shd w:val="clear" w:color="auto" w:fill="auto"/>
            <w:tcMar>
              <w:top w:w="0" w:type="dxa"/>
              <w:left w:w="20" w:type="dxa"/>
              <w:bottom w:w="0" w:type="dxa"/>
              <w:right w:w="20" w:type="dxa"/>
            </w:tcMar>
            <w:vAlign w:val="bottom"/>
          </w:tcPr>
          <w:p w14:paraId="67533C9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C98" w14:textId="77777777" w:rsidR="001B77DD" w:rsidRDefault="00BF0A28">
            <w:pPr>
              <w:spacing w:after="180"/>
              <w:jc w:val="center"/>
              <w:textAlignment w:val="top"/>
            </w:pPr>
            <w:hyperlink r:id="rId23" w:anchor="i6c9ced68f6b24d58a3dcf326e8c3c699_229" w:history="1">
              <w:r>
                <w:rPr>
                  <w:rStyle w:val="a5"/>
                  <w:rFonts w:ascii="Arial" w:eastAsia="宋体" w:hAnsi="Arial" w:cs="Arial"/>
                  <w:color w:val="262626"/>
                  <w:sz w:val="18"/>
                  <w:szCs w:val="18"/>
                  <w:u w:val="none"/>
                </w:rPr>
                <w:t>66</w:t>
              </w:r>
            </w:hyperlink>
          </w:p>
        </w:tc>
      </w:tr>
      <w:tr w:rsidR="001B77DD" w14:paraId="67533C9D" w14:textId="77777777">
        <w:tc>
          <w:tcPr>
            <w:tcW w:w="0" w:type="auto"/>
            <w:gridSpan w:val="3"/>
            <w:shd w:val="clear" w:color="auto" w:fill="auto"/>
            <w:tcMar>
              <w:top w:w="40" w:type="dxa"/>
              <w:left w:w="20" w:type="dxa"/>
              <w:bottom w:w="40" w:type="dxa"/>
              <w:right w:w="20" w:type="dxa"/>
            </w:tcMar>
          </w:tcPr>
          <w:p w14:paraId="67533C9A" w14:textId="77777777" w:rsidR="001B77DD" w:rsidRDefault="00BF0A28">
            <w:pPr>
              <w:textAlignment w:val="top"/>
            </w:pPr>
            <w:r>
              <w:rPr>
                <w:rFonts w:ascii="Arial" w:eastAsia="宋体" w:hAnsi="Arial" w:cs="Arial"/>
                <w:color w:val="262626"/>
                <w:sz w:val="18"/>
                <w:szCs w:val="18"/>
              </w:rPr>
              <w:t>Availability of Company Information</w:t>
            </w:r>
          </w:p>
        </w:tc>
        <w:tc>
          <w:tcPr>
            <w:tcW w:w="0" w:type="auto"/>
            <w:gridSpan w:val="3"/>
            <w:shd w:val="clear" w:color="auto" w:fill="auto"/>
            <w:tcMar>
              <w:top w:w="0" w:type="dxa"/>
              <w:left w:w="20" w:type="dxa"/>
              <w:bottom w:w="0" w:type="dxa"/>
              <w:right w:w="20" w:type="dxa"/>
            </w:tcMar>
            <w:vAlign w:val="bottom"/>
          </w:tcPr>
          <w:p w14:paraId="67533C9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C9C" w14:textId="77777777" w:rsidR="001B77DD" w:rsidRDefault="00BF0A28">
            <w:pPr>
              <w:jc w:val="center"/>
              <w:textAlignment w:val="top"/>
            </w:pPr>
            <w:hyperlink r:id="rId24" w:anchor="i6c9ced68f6b24d58a3dcf326e8c3c699_232" w:history="1">
              <w:r>
                <w:rPr>
                  <w:rStyle w:val="a5"/>
                  <w:rFonts w:ascii="Arial" w:eastAsia="宋体" w:hAnsi="Arial" w:cs="Arial"/>
                  <w:color w:val="262626"/>
                  <w:sz w:val="18"/>
                  <w:szCs w:val="18"/>
                  <w:u w:val="none"/>
                </w:rPr>
                <w:t>66</w:t>
              </w:r>
            </w:hyperlink>
          </w:p>
        </w:tc>
      </w:tr>
      <w:tr w:rsidR="001B77DD" w14:paraId="67533CA1" w14:textId="77777777">
        <w:tc>
          <w:tcPr>
            <w:tcW w:w="0" w:type="auto"/>
            <w:gridSpan w:val="3"/>
            <w:shd w:val="clear" w:color="auto" w:fill="auto"/>
            <w:tcMar>
              <w:top w:w="40" w:type="dxa"/>
              <w:left w:w="20" w:type="dxa"/>
              <w:bottom w:w="40" w:type="dxa"/>
              <w:right w:w="20" w:type="dxa"/>
            </w:tcMar>
          </w:tcPr>
          <w:p w14:paraId="67533C9E" w14:textId="77777777" w:rsidR="001B77DD" w:rsidRDefault="00BF0A28">
            <w:pPr>
              <w:textAlignment w:val="top"/>
            </w:pPr>
            <w:r>
              <w:rPr>
                <w:rFonts w:ascii="Arial" w:eastAsia="宋体" w:hAnsi="Arial" w:cs="Arial"/>
                <w:color w:val="262626"/>
                <w:sz w:val="18"/>
                <w:szCs w:val="18"/>
              </w:rPr>
              <w:t>Disclosure Pursuant to Section 13(r) of the Securities Exchange Act of 1934</w:t>
            </w:r>
          </w:p>
        </w:tc>
        <w:tc>
          <w:tcPr>
            <w:tcW w:w="0" w:type="auto"/>
            <w:gridSpan w:val="3"/>
            <w:shd w:val="clear" w:color="auto" w:fill="auto"/>
            <w:tcMar>
              <w:top w:w="0" w:type="dxa"/>
              <w:left w:w="20" w:type="dxa"/>
              <w:bottom w:w="0" w:type="dxa"/>
              <w:right w:w="20" w:type="dxa"/>
            </w:tcMar>
            <w:vAlign w:val="bottom"/>
          </w:tcPr>
          <w:p w14:paraId="67533C9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CA0" w14:textId="77777777" w:rsidR="001B77DD" w:rsidRDefault="00BF0A28">
            <w:pPr>
              <w:jc w:val="center"/>
              <w:textAlignment w:val="top"/>
            </w:pPr>
            <w:hyperlink r:id="rId25" w:anchor="i6c9ced68f6b24d58a3dcf326e8c3c699_4101" w:history="1">
              <w:r>
                <w:rPr>
                  <w:rStyle w:val="a5"/>
                  <w:rFonts w:ascii="Arial" w:eastAsia="宋体" w:hAnsi="Arial" w:cs="Arial"/>
                  <w:color w:val="262626"/>
                  <w:sz w:val="18"/>
                  <w:szCs w:val="18"/>
                  <w:u w:val="none"/>
                </w:rPr>
                <w:t>67</w:t>
              </w:r>
            </w:hyperlink>
          </w:p>
        </w:tc>
      </w:tr>
      <w:tr w:rsidR="001B77DD" w14:paraId="67533CA5" w14:textId="77777777">
        <w:trPr>
          <w:trHeight w:val="100"/>
        </w:trPr>
        <w:tc>
          <w:tcPr>
            <w:tcW w:w="0" w:type="auto"/>
            <w:gridSpan w:val="3"/>
            <w:shd w:val="clear" w:color="auto" w:fill="auto"/>
            <w:tcMar>
              <w:top w:w="0" w:type="dxa"/>
              <w:left w:w="20" w:type="dxa"/>
              <w:bottom w:w="0" w:type="dxa"/>
              <w:right w:w="20" w:type="dxa"/>
            </w:tcMar>
            <w:vAlign w:val="bottom"/>
          </w:tcPr>
          <w:p w14:paraId="67533CA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A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A4" w14:textId="77777777" w:rsidR="001B77DD" w:rsidRDefault="001B77DD">
            <w:pPr>
              <w:rPr>
                <w:rFonts w:ascii="宋体"/>
              </w:rPr>
            </w:pPr>
          </w:p>
        </w:tc>
      </w:tr>
      <w:tr w:rsidR="001B77DD" w14:paraId="67533CA9" w14:textId="77777777">
        <w:tc>
          <w:tcPr>
            <w:tcW w:w="0" w:type="auto"/>
            <w:gridSpan w:val="3"/>
            <w:shd w:val="clear" w:color="auto" w:fill="auto"/>
            <w:tcMar>
              <w:top w:w="40" w:type="dxa"/>
              <w:left w:w="20" w:type="dxa"/>
              <w:bottom w:w="40" w:type="dxa"/>
              <w:right w:w="20" w:type="dxa"/>
            </w:tcMar>
            <w:vAlign w:val="center"/>
          </w:tcPr>
          <w:p w14:paraId="67533CA6" w14:textId="77777777" w:rsidR="001B77DD" w:rsidRDefault="00BF0A28">
            <w:pPr>
              <w:textAlignment w:val="center"/>
            </w:pPr>
            <w:r>
              <w:rPr>
                <w:rFonts w:ascii="Arial" w:eastAsia="宋体" w:hAnsi="Arial" w:cs="Arial"/>
                <w:color w:val="0068B5"/>
                <w:sz w:val="20"/>
                <w:szCs w:val="20"/>
              </w:rPr>
              <w:t>Financial Statements and Supplemental Details</w:t>
            </w:r>
          </w:p>
        </w:tc>
        <w:tc>
          <w:tcPr>
            <w:tcW w:w="0" w:type="auto"/>
            <w:gridSpan w:val="3"/>
            <w:shd w:val="clear" w:color="auto" w:fill="auto"/>
            <w:tcMar>
              <w:top w:w="0" w:type="dxa"/>
              <w:left w:w="20" w:type="dxa"/>
              <w:bottom w:w="0" w:type="dxa"/>
              <w:right w:w="20" w:type="dxa"/>
            </w:tcMar>
            <w:vAlign w:val="bottom"/>
          </w:tcPr>
          <w:p w14:paraId="67533CA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CA8" w14:textId="77777777" w:rsidR="001B77DD" w:rsidRDefault="001B77DD">
            <w:pPr>
              <w:rPr>
                <w:rFonts w:ascii="宋体"/>
              </w:rPr>
            </w:pPr>
          </w:p>
        </w:tc>
      </w:tr>
      <w:tr w:rsidR="001B77DD" w14:paraId="67533CAD" w14:textId="77777777">
        <w:tc>
          <w:tcPr>
            <w:tcW w:w="0" w:type="auto"/>
            <w:gridSpan w:val="3"/>
            <w:tcBorders>
              <w:top w:val="single" w:sz="4" w:space="0" w:color="262626"/>
            </w:tcBorders>
            <w:shd w:val="clear" w:color="auto" w:fill="auto"/>
            <w:tcMar>
              <w:top w:w="40" w:type="dxa"/>
              <w:left w:w="20" w:type="dxa"/>
              <w:bottom w:w="40" w:type="dxa"/>
              <w:right w:w="20" w:type="dxa"/>
            </w:tcMar>
            <w:vAlign w:val="center"/>
          </w:tcPr>
          <w:p w14:paraId="67533CAA" w14:textId="77777777" w:rsidR="001B77DD" w:rsidRDefault="00BF0A28">
            <w:pPr>
              <w:textAlignment w:val="center"/>
            </w:pPr>
            <w:r>
              <w:rPr>
                <w:rFonts w:ascii="Arial" w:eastAsia="宋体" w:hAnsi="Arial" w:cs="Arial"/>
                <w:color w:val="262626"/>
                <w:sz w:val="18"/>
                <w:szCs w:val="18"/>
              </w:rPr>
              <w:t>Auditor's Reports</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3CAB"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center"/>
          </w:tcPr>
          <w:p w14:paraId="67533CAC" w14:textId="77777777" w:rsidR="001B77DD" w:rsidRDefault="00BF0A28">
            <w:pPr>
              <w:jc w:val="center"/>
              <w:textAlignment w:val="center"/>
            </w:pPr>
            <w:hyperlink r:id="rId26" w:anchor="i6c9ced68f6b24d58a3dcf326e8c3c699_238" w:history="1">
              <w:r>
                <w:rPr>
                  <w:rStyle w:val="a5"/>
                  <w:rFonts w:ascii="Arial" w:eastAsia="宋体" w:hAnsi="Arial" w:cs="Arial"/>
                  <w:color w:val="262626"/>
                  <w:sz w:val="18"/>
                  <w:szCs w:val="18"/>
                  <w:u w:val="none"/>
                </w:rPr>
                <w:t>69</w:t>
              </w:r>
            </w:hyperlink>
          </w:p>
        </w:tc>
      </w:tr>
      <w:tr w:rsidR="001B77DD" w14:paraId="67533CB1" w14:textId="77777777">
        <w:tc>
          <w:tcPr>
            <w:tcW w:w="0" w:type="auto"/>
            <w:gridSpan w:val="3"/>
            <w:shd w:val="clear" w:color="auto" w:fill="auto"/>
            <w:tcMar>
              <w:top w:w="40" w:type="dxa"/>
              <w:left w:w="20" w:type="dxa"/>
              <w:bottom w:w="40" w:type="dxa"/>
              <w:right w:w="20" w:type="dxa"/>
            </w:tcMar>
            <w:vAlign w:val="center"/>
          </w:tcPr>
          <w:p w14:paraId="67533CAE" w14:textId="77777777" w:rsidR="001B77DD" w:rsidRDefault="00BF0A28">
            <w:pPr>
              <w:textAlignment w:val="center"/>
            </w:pPr>
            <w:r>
              <w:rPr>
                <w:rFonts w:ascii="Arial" w:eastAsia="宋体" w:hAnsi="Arial" w:cs="Arial"/>
                <w:color w:val="262626"/>
                <w:sz w:val="18"/>
                <w:szCs w:val="18"/>
              </w:rPr>
              <w:t>Consolidated Financial Statements</w:t>
            </w:r>
          </w:p>
        </w:tc>
        <w:tc>
          <w:tcPr>
            <w:tcW w:w="0" w:type="auto"/>
            <w:gridSpan w:val="3"/>
            <w:shd w:val="clear" w:color="auto" w:fill="auto"/>
            <w:tcMar>
              <w:top w:w="0" w:type="dxa"/>
              <w:left w:w="20" w:type="dxa"/>
              <w:bottom w:w="0" w:type="dxa"/>
              <w:right w:w="20" w:type="dxa"/>
            </w:tcMar>
            <w:vAlign w:val="bottom"/>
          </w:tcPr>
          <w:p w14:paraId="67533CA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B0" w14:textId="77777777" w:rsidR="001B77DD" w:rsidRDefault="00BF0A28">
            <w:pPr>
              <w:jc w:val="center"/>
              <w:textAlignment w:val="center"/>
            </w:pPr>
            <w:hyperlink r:id="rId27" w:anchor="i6c9ced68f6b24d58a3dcf326e8c3c699_241" w:history="1">
              <w:r>
                <w:rPr>
                  <w:rStyle w:val="a5"/>
                  <w:rFonts w:ascii="Arial" w:eastAsia="宋体" w:hAnsi="Arial" w:cs="Arial"/>
                  <w:color w:val="262626"/>
                  <w:sz w:val="18"/>
                  <w:szCs w:val="18"/>
                  <w:u w:val="none"/>
                </w:rPr>
                <w:t>72</w:t>
              </w:r>
            </w:hyperlink>
          </w:p>
        </w:tc>
      </w:tr>
      <w:tr w:rsidR="001B77DD" w14:paraId="67533CB5" w14:textId="77777777">
        <w:tc>
          <w:tcPr>
            <w:tcW w:w="0" w:type="auto"/>
            <w:gridSpan w:val="3"/>
            <w:shd w:val="clear" w:color="auto" w:fill="auto"/>
            <w:tcMar>
              <w:top w:w="40" w:type="dxa"/>
              <w:left w:w="20" w:type="dxa"/>
              <w:bottom w:w="40" w:type="dxa"/>
              <w:right w:w="20" w:type="dxa"/>
            </w:tcMar>
            <w:vAlign w:val="center"/>
          </w:tcPr>
          <w:p w14:paraId="67533CB2" w14:textId="77777777" w:rsidR="001B77DD" w:rsidRDefault="00BF0A28">
            <w:pPr>
              <w:textAlignment w:val="center"/>
            </w:pPr>
            <w:r>
              <w:rPr>
                <w:rFonts w:ascii="Arial" w:eastAsia="宋体" w:hAnsi="Arial" w:cs="Arial"/>
                <w:color w:val="262626"/>
                <w:sz w:val="18"/>
                <w:szCs w:val="18"/>
              </w:rPr>
              <w:t>Notes to Consolidated Financial Statements</w:t>
            </w:r>
          </w:p>
        </w:tc>
        <w:tc>
          <w:tcPr>
            <w:tcW w:w="0" w:type="auto"/>
            <w:gridSpan w:val="3"/>
            <w:shd w:val="clear" w:color="auto" w:fill="auto"/>
            <w:tcMar>
              <w:top w:w="0" w:type="dxa"/>
              <w:left w:w="20" w:type="dxa"/>
              <w:bottom w:w="0" w:type="dxa"/>
              <w:right w:w="20" w:type="dxa"/>
            </w:tcMar>
            <w:vAlign w:val="bottom"/>
          </w:tcPr>
          <w:p w14:paraId="67533CB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B4" w14:textId="77777777" w:rsidR="001B77DD" w:rsidRDefault="00BF0A28">
            <w:pPr>
              <w:jc w:val="center"/>
              <w:textAlignment w:val="center"/>
            </w:pPr>
            <w:hyperlink r:id="rId28" w:anchor="i6c9ced68f6b24d58a3dcf326e8c3c699_265" w:history="1">
              <w:r>
                <w:rPr>
                  <w:rStyle w:val="a5"/>
                  <w:rFonts w:ascii="Arial" w:eastAsia="宋体" w:hAnsi="Arial" w:cs="Arial"/>
                  <w:color w:val="262626"/>
                  <w:sz w:val="18"/>
                  <w:szCs w:val="18"/>
                  <w:u w:val="none"/>
                </w:rPr>
                <w:t>77</w:t>
              </w:r>
            </w:hyperlink>
          </w:p>
        </w:tc>
      </w:tr>
      <w:tr w:rsidR="001B77DD" w14:paraId="67533CB9" w14:textId="77777777">
        <w:tc>
          <w:tcPr>
            <w:tcW w:w="0" w:type="auto"/>
            <w:gridSpan w:val="3"/>
            <w:shd w:val="clear" w:color="auto" w:fill="auto"/>
            <w:tcMar>
              <w:top w:w="40" w:type="dxa"/>
              <w:left w:w="20" w:type="dxa"/>
              <w:bottom w:w="40" w:type="dxa"/>
              <w:right w:w="20" w:type="dxa"/>
            </w:tcMar>
            <w:vAlign w:val="center"/>
          </w:tcPr>
          <w:p w14:paraId="67533CB6" w14:textId="77777777" w:rsidR="001B77DD" w:rsidRDefault="00BF0A28">
            <w:pPr>
              <w:textAlignment w:val="center"/>
            </w:pPr>
            <w:r>
              <w:rPr>
                <w:rFonts w:ascii="Arial" w:eastAsia="宋体" w:hAnsi="Arial" w:cs="Arial"/>
                <w:color w:val="262626"/>
                <w:sz w:val="18"/>
                <w:szCs w:val="18"/>
              </w:rPr>
              <w:t>Key Terms</w:t>
            </w:r>
          </w:p>
        </w:tc>
        <w:tc>
          <w:tcPr>
            <w:tcW w:w="0" w:type="auto"/>
            <w:gridSpan w:val="3"/>
            <w:shd w:val="clear" w:color="auto" w:fill="auto"/>
            <w:tcMar>
              <w:top w:w="0" w:type="dxa"/>
              <w:left w:w="20" w:type="dxa"/>
              <w:bottom w:w="0" w:type="dxa"/>
              <w:right w:w="20" w:type="dxa"/>
            </w:tcMar>
            <w:vAlign w:val="bottom"/>
          </w:tcPr>
          <w:p w14:paraId="67533CB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B8" w14:textId="77777777" w:rsidR="001B77DD" w:rsidRDefault="00BF0A28">
            <w:pPr>
              <w:jc w:val="center"/>
              <w:textAlignment w:val="center"/>
            </w:pPr>
            <w:hyperlink r:id="rId29" w:anchor="i6c9ced68f6b24d58a3dcf326e8c3c699_448" w:history="1">
              <w:r>
                <w:rPr>
                  <w:rStyle w:val="a5"/>
                  <w:rFonts w:ascii="Arial" w:eastAsia="宋体" w:hAnsi="Arial" w:cs="Arial"/>
                  <w:color w:val="262626"/>
                  <w:sz w:val="18"/>
                  <w:szCs w:val="18"/>
                  <w:u w:val="none"/>
                </w:rPr>
                <w:t>111</w:t>
              </w:r>
            </w:hyperlink>
          </w:p>
        </w:tc>
      </w:tr>
      <w:tr w:rsidR="001B77DD" w14:paraId="67533CBD" w14:textId="77777777">
        <w:trPr>
          <w:hidden/>
        </w:trPr>
        <w:tc>
          <w:tcPr>
            <w:tcW w:w="0" w:type="auto"/>
            <w:gridSpan w:val="3"/>
            <w:shd w:val="clear" w:color="auto" w:fill="auto"/>
            <w:vAlign w:val="bottom"/>
          </w:tcPr>
          <w:p w14:paraId="67533CBA" w14:textId="77777777" w:rsidR="001B77DD" w:rsidRDefault="001B77DD">
            <w:pPr>
              <w:rPr>
                <w:rFonts w:ascii="宋体"/>
                <w:vanish/>
              </w:rPr>
            </w:pPr>
          </w:p>
        </w:tc>
        <w:tc>
          <w:tcPr>
            <w:tcW w:w="0" w:type="auto"/>
            <w:gridSpan w:val="3"/>
            <w:shd w:val="clear" w:color="auto" w:fill="auto"/>
            <w:vAlign w:val="bottom"/>
          </w:tcPr>
          <w:p w14:paraId="67533CBB" w14:textId="77777777" w:rsidR="001B77DD" w:rsidRDefault="001B77DD">
            <w:pPr>
              <w:rPr>
                <w:rFonts w:ascii="宋体"/>
                <w:vanish/>
              </w:rPr>
            </w:pPr>
          </w:p>
        </w:tc>
        <w:tc>
          <w:tcPr>
            <w:tcW w:w="0" w:type="auto"/>
            <w:gridSpan w:val="3"/>
            <w:shd w:val="clear" w:color="auto" w:fill="auto"/>
            <w:vAlign w:val="bottom"/>
          </w:tcPr>
          <w:p w14:paraId="67533CBC" w14:textId="77777777" w:rsidR="001B77DD" w:rsidRDefault="001B77DD">
            <w:pPr>
              <w:rPr>
                <w:rFonts w:ascii="宋体"/>
                <w:vanish/>
              </w:rPr>
            </w:pPr>
          </w:p>
        </w:tc>
      </w:tr>
      <w:tr w:rsidR="001B77DD" w14:paraId="67533CC1" w14:textId="77777777">
        <w:tc>
          <w:tcPr>
            <w:tcW w:w="0" w:type="auto"/>
            <w:gridSpan w:val="3"/>
            <w:shd w:val="clear" w:color="auto" w:fill="auto"/>
            <w:tcMar>
              <w:top w:w="40" w:type="dxa"/>
              <w:left w:w="20" w:type="dxa"/>
              <w:bottom w:w="40" w:type="dxa"/>
              <w:right w:w="20" w:type="dxa"/>
            </w:tcMar>
            <w:vAlign w:val="center"/>
          </w:tcPr>
          <w:p w14:paraId="67533CBE" w14:textId="77777777" w:rsidR="001B77DD" w:rsidRDefault="00BF0A28">
            <w:pPr>
              <w:textAlignment w:val="center"/>
            </w:pPr>
            <w:r>
              <w:rPr>
                <w:rFonts w:ascii="Arial" w:eastAsia="宋体" w:hAnsi="Arial" w:cs="Arial"/>
                <w:color w:val="262626"/>
                <w:sz w:val="18"/>
                <w:szCs w:val="18"/>
              </w:rPr>
              <w:t>Controls and Procedures</w:t>
            </w:r>
          </w:p>
        </w:tc>
        <w:tc>
          <w:tcPr>
            <w:tcW w:w="0" w:type="auto"/>
            <w:gridSpan w:val="3"/>
            <w:shd w:val="clear" w:color="auto" w:fill="auto"/>
            <w:tcMar>
              <w:top w:w="0" w:type="dxa"/>
              <w:left w:w="20" w:type="dxa"/>
              <w:bottom w:w="0" w:type="dxa"/>
              <w:right w:w="20" w:type="dxa"/>
            </w:tcMar>
            <w:vAlign w:val="bottom"/>
          </w:tcPr>
          <w:p w14:paraId="67533CB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C0" w14:textId="77777777" w:rsidR="001B77DD" w:rsidRDefault="00BF0A28">
            <w:pPr>
              <w:jc w:val="center"/>
              <w:textAlignment w:val="center"/>
            </w:pPr>
            <w:hyperlink r:id="rId30" w:anchor="i6c9ced68f6b24d58a3dcf326e8c3c699_454" w:history="1">
              <w:r>
                <w:rPr>
                  <w:rStyle w:val="a5"/>
                  <w:rFonts w:ascii="Arial" w:eastAsia="宋体" w:hAnsi="Arial" w:cs="Arial"/>
                  <w:color w:val="262626"/>
                  <w:sz w:val="18"/>
                  <w:szCs w:val="18"/>
                  <w:u w:val="none"/>
                </w:rPr>
                <w:t>114</w:t>
              </w:r>
            </w:hyperlink>
          </w:p>
        </w:tc>
      </w:tr>
      <w:tr w:rsidR="001B77DD" w14:paraId="67533CC5" w14:textId="77777777">
        <w:tc>
          <w:tcPr>
            <w:tcW w:w="0" w:type="auto"/>
            <w:gridSpan w:val="3"/>
            <w:shd w:val="clear" w:color="auto" w:fill="auto"/>
            <w:tcMar>
              <w:top w:w="40" w:type="dxa"/>
              <w:left w:w="20" w:type="dxa"/>
              <w:bottom w:w="40" w:type="dxa"/>
              <w:right w:w="20" w:type="dxa"/>
            </w:tcMar>
            <w:vAlign w:val="center"/>
          </w:tcPr>
          <w:p w14:paraId="67533CC2" w14:textId="77777777" w:rsidR="001B77DD" w:rsidRDefault="00BF0A28">
            <w:pPr>
              <w:textAlignment w:val="center"/>
            </w:pPr>
            <w:r>
              <w:rPr>
                <w:rFonts w:ascii="Arial" w:eastAsia="宋体" w:hAnsi="Arial" w:cs="Arial"/>
                <w:color w:val="262626"/>
                <w:sz w:val="18"/>
                <w:szCs w:val="18"/>
              </w:rPr>
              <w:t>Exhibits</w:t>
            </w:r>
          </w:p>
        </w:tc>
        <w:tc>
          <w:tcPr>
            <w:tcW w:w="0" w:type="auto"/>
            <w:gridSpan w:val="3"/>
            <w:shd w:val="clear" w:color="auto" w:fill="auto"/>
            <w:tcMar>
              <w:top w:w="0" w:type="dxa"/>
              <w:left w:w="20" w:type="dxa"/>
              <w:bottom w:w="0" w:type="dxa"/>
              <w:right w:w="20" w:type="dxa"/>
            </w:tcMar>
            <w:vAlign w:val="bottom"/>
          </w:tcPr>
          <w:p w14:paraId="67533CC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C4" w14:textId="77777777" w:rsidR="001B77DD" w:rsidRDefault="00BF0A28">
            <w:pPr>
              <w:jc w:val="center"/>
              <w:textAlignment w:val="center"/>
            </w:pPr>
            <w:hyperlink r:id="rId31" w:anchor="i6c9ced68f6b24d58a3dcf326e8c3c699_457" w:history="1">
              <w:r>
                <w:rPr>
                  <w:rStyle w:val="a5"/>
                  <w:rFonts w:ascii="Arial" w:eastAsia="宋体" w:hAnsi="Arial" w:cs="Arial"/>
                  <w:color w:val="262626"/>
                  <w:sz w:val="18"/>
                  <w:szCs w:val="18"/>
                  <w:u w:val="none"/>
                </w:rPr>
                <w:t>115</w:t>
              </w:r>
            </w:hyperlink>
          </w:p>
        </w:tc>
      </w:tr>
      <w:tr w:rsidR="001B77DD" w14:paraId="67533CC9" w14:textId="77777777">
        <w:tc>
          <w:tcPr>
            <w:tcW w:w="0" w:type="auto"/>
            <w:gridSpan w:val="3"/>
            <w:shd w:val="clear" w:color="auto" w:fill="auto"/>
            <w:tcMar>
              <w:top w:w="40" w:type="dxa"/>
              <w:left w:w="20" w:type="dxa"/>
              <w:bottom w:w="40" w:type="dxa"/>
              <w:right w:w="20" w:type="dxa"/>
            </w:tcMar>
            <w:vAlign w:val="center"/>
          </w:tcPr>
          <w:p w14:paraId="67533CC6" w14:textId="77777777" w:rsidR="001B77DD" w:rsidRDefault="00BF0A28">
            <w:pPr>
              <w:textAlignment w:val="center"/>
            </w:pPr>
            <w:r>
              <w:rPr>
                <w:rFonts w:ascii="Arial" w:eastAsia="宋体" w:hAnsi="Arial" w:cs="Arial"/>
                <w:color w:val="262626"/>
                <w:sz w:val="18"/>
                <w:szCs w:val="18"/>
              </w:rPr>
              <w:t>Form 10-K Cross-Reference Index</w:t>
            </w:r>
          </w:p>
        </w:tc>
        <w:tc>
          <w:tcPr>
            <w:tcW w:w="0" w:type="auto"/>
            <w:gridSpan w:val="3"/>
            <w:shd w:val="clear" w:color="auto" w:fill="auto"/>
            <w:tcMar>
              <w:top w:w="0" w:type="dxa"/>
              <w:left w:w="20" w:type="dxa"/>
              <w:bottom w:w="0" w:type="dxa"/>
              <w:right w:w="20" w:type="dxa"/>
            </w:tcMar>
            <w:vAlign w:val="bottom"/>
          </w:tcPr>
          <w:p w14:paraId="67533CC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CC8" w14:textId="77777777" w:rsidR="001B77DD" w:rsidRDefault="00BF0A28">
            <w:pPr>
              <w:jc w:val="center"/>
              <w:textAlignment w:val="center"/>
            </w:pPr>
            <w:hyperlink r:id="rId32" w:anchor="i6c9ced68f6b24d58a3dcf326e8c3c699_469" w:history="1">
              <w:r>
                <w:rPr>
                  <w:rStyle w:val="a5"/>
                  <w:rFonts w:ascii="Arial" w:eastAsia="宋体" w:hAnsi="Arial" w:cs="Arial"/>
                  <w:color w:val="262626"/>
                  <w:sz w:val="18"/>
                  <w:szCs w:val="18"/>
                  <w:u w:val="none"/>
                </w:rPr>
                <w:t>120</w:t>
              </w:r>
            </w:hyperlink>
          </w:p>
        </w:tc>
      </w:tr>
    </w:tbl>
    <w:p w14:paraId="67533CCA" w14:textId="77777777" w:rsidR="001B77DD" w:rsidRDefault="001B77DD"/>
    <w:p w14:paraId="67533CCB" w14:textId="77777777" w:rsidR="001B77DD" w:rsidRDefault="001B77DD"/>
    <w:p w14:paraId="67533CCC" w14:textId="77777777" w:rsidR="001B77DD" w:rsidRDefault="001B77DD"/>
    <w:p w14:paraId="67533CCD" w14:textId="77777777" w:rsidR="001B77DD" w:rsidRDefault="001B77DD">
      <w:pPr>
        <w:ind w:hanging="180"/>
      </w:pPr>
    </w:p>
    <w:p w14:paraId="67533CCE" w14:textId="77777777" w:rsidR="001B77DD" w:rsidRDefault="001B77DD"/>
    <w:p w14:paraId="67533CCF" w14:textId="77777777" w:rsidR="001B77DD" w:rsidRDefault="00BF0A28">
      <w:r>
        <w:pict w14:anchorId="67538D88">
          <v:rect id="_x0000_i1026" style="width:415.3pt;height:1.5pt" o:hralign="center" o:hrstd="t" o:hr="t" fillcolor="#a0a0a0" stroked="f"/>
        </w:pict>
      </w:r>
    </w:p>
    <w:p w14:paraId="67533CD0" w14:textId="77777777" w:rsidR="001B77DD" w:rsidRDefault="00BF0A28">
      <w:pPr>
        <w:jc w:val="right"/>
      </w:pPr>
      <w:hyperlink r:id="rId33" w:anchor="i6c9ced68f6b24d58a3dcf326e8c3c699_16" w:history="1">
        <w:r>
          <w:rPr>
            <w:rStyle w:val="a5"/>
            <w:rFonts w:ascii="Arial" w:eastAsia="宋体" w:hAnsi="Arial" w:cs="Arial"/>
            <w:b/>
            <w:bCs/>
            <w:sz w:val="16"/>
            <w:szCs w:val="16"/>
          </w:rPr>
          <w:t>Table of Contents</w:t>
        </w:r>
      </w:hyperlink>
    </w:p>
    <w:p w14:paraId="67533CD1" w14:textId="77777777" w:rsidR="001B77DD" w:rsidRDefault="00BF0A28">
      <w:pPr>
        <w:spacing w:after="180"/>
      </w:pPr>
      <w:r>
        <w:rPr>
          <w:rFonts w:ascii="Arial" w:eastAsia="宋体" w:hAnsi="Arial" w:cs="Arial"/>
          <w:color w:val="0068B5"/>
          <w:sz w:val="28"/>
          <w:szCs w:val="28"/>
        </w:rPr>
        <w:t>Forward-Looking Statements</w:t>
      </w:r>
    </w:p>
    <w:p w14:paraId="67533CD2" w14:textId="77777777" w:rsidR="001B77DD" w:rsidRDefault="00BF0A28">
      <w:pPr>
        <w:spacing w:after="180"/>
      </w:pPr>
      <w:r>
        <w:rPr>
          <w:rFonts w:ascii="Arial" w:eastAsia="宋体" w:hAnsi="Arial" w:cs="Arial"/>
          <w:color w:val="262626"/>
          <w:sz w:val="18"/>
          <w:szCs w:val="18"/>
        </w:rPr>
        <w:t>This Form 10-K contains forward-looking statements that involve a number of risks and uncertainties. Words such as "anticipate," "expect," "intend," "aim," "strive," "objective," "goals," "plans," "ambitions," "opportunity," "outlook," "forecast," "predict</w:t>
      </w:r>
      <w:r>
        <w:rPr>
          <w:rFonts w:ascii="Arial" w:eastAsia="宋体" w:hAnsi="Arial" w:cs="Arial"/>
          <w:color w:val="262626"/>
          <w:sz w:val="18"/>
          <w:szCs w:val="18"/>
        </w:rPr>
        <w:t>," "future," "to be," "pending," "roadmap," "achieve," "grow," "committed," "believe," "seek," "targets," "milestones," "estimated," "continue," "likely," "possible," "may," "might," "potentially," "will," "would," "should," "could," "accelerate," "upcomin</w:t>
      </w:r>
      <w:r>
        <w:rPr>
          <w:rFonts w:ascii="Arial" w:eastAsia="宋体" w:hAnsi="Arial" w:cs="Arial"/>
          <w:color w:val="262626"/>
          <w:sz w:val="18"/>
          <w:szCs w:val="18"/>
        </w:rPr>
        <w:t>g," "positioned," "next generation," "progress," "on track," and variations of such words and similar expressions are intended to identify such forward-looking statements. In addition, any statements that refer to Intel’s strategy and the anticipated benef</w:t>
      </w:r>
      <w:r>
        <w:rPr>
          <w:rFonts w:ascii="Arial" w:eastAsia="宋体" w:hAnsi="Arial" w:cs="Arial"/>
          <w:color w:val="262626"/>
          <w:sz w:val="18"/>
          <w:szCs w:val="18"/>
        </w:rPr>
        <w:t>its of our strategy; manufacturing expansion plans; investment plans and impacts of investment plans; business plans; internal and external manufacturing plans, including future internal manufacturing volumes and external foundry usage; future responses to</w:t>
      </w:r>
      <w:r>
        <w:rPr>
          <w:rFonts w:ascii="Arial" w:eastAsia="宋体" w:hAnsi="Arial" w:cs="Arial"/>
          <w:color w:val="262626"/>
          <w:sz w:val="18"/>
          <w:szCs w:val="18"/>
        </w:rPr>
        <w:t xml:space="preserve"> and effects of COVID-19; projections of our future financial performance, including future revenue, gross margins, capital expenditures, and cash flows; future business, social, and environmental performance, goals, measures, and strategies; our anticipat</w:t>
      </w:r>
      <w:r>
        <w:rPr>
          <w:rFonts w:ascii="Arial" w:eastAsia="宋体" w:hAnsi="Arial" w:cs="Arial"/>
          <w:color w:val="262626"/>
          <w:sz w:val="18"/>
          <w:szCs w:val="18"/>
        </w:rPr>
        <w:t xml:space="preserve">ed growth, future market share, and trends in our businesses and operations; projected growth and trends in markets relevant to our businesses; future technology trends; plans and goals related to Intel’s foundry business, including with respect to future </w:t>
      </w:r>
      <w:r>
        <w:rPr>
          <w:rFonts w:ascii="Arial" w:eastAsia="宋体" w:hAnsi="Arial" w:cs="Arial"/>
          <w:color w:val="262626"/>
          <w:sz w:val="18"/>
          <w:szCs w:val="18"/>
        </w:rPr>
        <w:t>manufacturing capacity and foundry service offerings, including technology and IP offerings; future products and technology, and the expected regulation, availability, and benefits of such products and technology, including future process nodes and technol</w:t>
      </w:r>
      <w:r>
        <w:rPr>
          <w:rFonts w:ascii="Arial" w:eastAsia="宋体" w:hAnsi="Arial" w:cs="Arial"/>
          <w:color w:val="262626"/>
          <w:sz w:val="18"/>
          <w:szCs w:val="18"/>
        </w:rPr>
        <w:t>ogy, product roadmaps, future product architectures, expectations regarding process performance per watt parity and leadership, and expectations regarding product leadership; projected cost and yield trends; expected timing and impact of acquisitions, dive</w:t>
      </w:r>
      <w:r>
        <w:rPr>
          <w:rFonts w:ascii="Arial" w:eastAsia="宋体" w:hAnsi="Arial" w:cs="Arial"/>
          <w:color w:val="262626"/>
          <w:sz w:val="18"/>
          <w:szCs w:val="18"/>
        </w:rPr>
        <w:t>stitures, and other significant transactions, including statements relating to the divestiture of our NAND memory business to SK hynix Inc. (SK hynix) and our expected use of proceeds; the proposed IPO of Mobileye; future cash requirements; availability, u</w:t>
      </w:r>
      <w:r>
        <w:rPr>
          <w:rFonts w:ascii="Arial" w:eastAsia="宋体" w:hAnsi="Arial" w:cs="Arial"/>
          <w:color w:val="262626"/>
          <w:sz w:val="18"/>
          <w:szCs w:val="18"/>
        </w:rPr>
        <w:t>ses, sufficiency, and cost of capital of capital resources and sources of funding, including future capital and R&amp;D investments, and expected returns to stockholders such as dividends and share repurchases; expectations regarding government incentives; fut</w:t>
      </w:r>
      <w:r>
        <w:rPr>
          <w:rFonts w:ascii="Arial" w:eastAsia="宋体" w:hAnsi="Arial" w:cs="Arial"/>
          <w:color w:val="262626"/>
          <w:sz w:val="18"/>
          <w:szCs w:val="18"/>
        </w:rPr>
        <w:t>ure production capacity and product supply; anticipated trends and impacts related to industry component, substrate, and foundry capacity shortages and constraints; the future purchase, use, and availability of products, components, and services supplied b</w:t>
      </w:r>
      <w:r>
        <w:rPr>
          <w:rFonts w:ascii="Arial" w:eastAsia="宋体" w:hAnsi="Arial" w:cs="Arial"/>
          <w:color w:val="262626"/>
          <w:sz w:val="18"/>
          <w:szCs w:val="18"/>
        </w:rPr>
        <w:t>y third parties, including third-party IP and foundry services; tax- and accounting-related expectations; LIBOR-related expectations; our role in the Rapid Assured Microelectronics Prototypes - Commercial program; expectations regarding our relationships w</w:t>
      </w:r>
      <w:r>
        <w:rPr>
          <w:rFonts w:ascii="Arial" w:eastAsia="宋体" w:hAnsi="Arial" w:cs="Arial"/>
          <w:color w:val="262626"/>
          <w:sz w:val="18"/>
          <w:szCs w:val="18"/>
        </w:rPr>
        <w:t>ith certain sanctioned parties; uncertain events or assumptions, including statements relating to TAM, market opportunity, or projections of future demand; and other characterizations of future events or circumstances are forward-looking statements. Such s</w:t>
      </w:r>
      <w:r>
        <w:rPr>
          <w:rFonts w:ascii="Arial" w:eastAsia="宋体" w:hAnsi="Arial" w:cs="Arial"/>
          <w:color w:val="262626"/>
          <w:sz w:val="18"/>
          <w:szCs w:val="18"/>
        </w:rPr>
        <w:t>tatements are based on management's expectations as of the date of this filing, unless an earlier date is specified, and involve many risks and uncertainties that could cause our actual results to differ materially from those expressed or implied in our fo</w:t>
      </w:r>
      <w:r>
        <w:rPr>
          <w:rFonts w:ascii="Arial" w:eastAsia="宋体" w:hAnsi="Arial" w:cs="Arial"/>
          <w:color w:val="262626"/>
          <w:sz w:val="18"/>
          <w:szCs w:val="18"/>
        </w:rPr>
        <w:t>rward-looking statements. Such risks and uncertainties include those described throughout this report and particularly in "Risk Factors" within Other Key Information. Given these risks and uncertainties, readers are cautioned not to place undue reliance on</w:t>
      </w:r>
      <w:r>
        <w:rPr>
          <w:rFonts w:ascii="Arial" w:eastAsia="宋体" w:hAnsi="Arial" w:cs="Arial"/>
          <w:color w:val="262626"/>
          <w:sz w:val="18"/>
          <w:szCs w:val="18"/>
        </w:rPr>
        <w:t xml:space="preserve"> such forward-looking statements. Readers are urged to carefully review and consider the various disclosures made in this Form 10-K and in other documents we file from time to time with the SEC that disclose risks and uncertainties that may affect our busi</w:t>
      </w:r>
      <w:r>
        <w:rPr>
          <w:rFonts w:ascii="Arial" w:eastAsia="宋体" w:hAnsi="Arial" w:cs="Arial"/>
          <w:color w:val="262626"/>
          <w:sz w:val="18"/>
          <w:szCs w:val="18"/>
        </w:rPr>
        <w:t>ness. Unless specifically indicated otherwise, the forward-looking statements in this Form 10-K do not reflect the potential impact of any divestitures, mergers, acquisitions, or other business combinations that have not been completed as of the date of th</w:t>
      </w:r>
      <w:r>
        <w:rPr>
          <w:rFonts w:ascii="Arial" w:eastAsia="宋体" w:hAnsi="Arial" w:cs="Arial"/>
          <w:color w:val="262626"/>
          <w:sz w:val="18"/>
          <w:szCs w:val="18"/>
        </w:rPr>
        <w:t>is filing. In addition, the forward-looking statements in this Form 10-K are made as of the date of this filing, unless an earlier date is specified, including expectations based on third-party information and projections that management believes to be rep</w:t>
      </w:r>
      <w:r>
        <w:rPr>
          <w:rFonts w:ascii="Arial" w:eastAsia="宋体" w:hAnsi="Arial" w:cs="Arial"/>
          <w:color w:val="262626"/>
          <w:sz w:val="18"/>
          <w:szCs w:val="18"/>
        </w:rPr>
        <w:t xml:space="preserve">utable, and Intel does not undertake, and expressly disclaims any duty, to update such statements, whether as a result of new information, new developments, or otherwise, except to the extent that disclosure may be required by law. </w:t>
      </w:r>
    </w:p>
    <w:p w14:paraId="67533CD3" w14:textId="77777777" w:rsidR="001B77DD" w:rsidRDefault="00BF0A28">
      <w:pPr>
        <w:spacing w:after="180"/>
      </w:pPr>
      <w:r>
        <w:rPr>
          <w:rFonts w:ascii="Arial" w:eastAsia="宋体" w:hAnsi="Arial" w:cs="Arial"/>
          <w:color w:val="0068B5"/>
          <w:sz w:val="28"/>
          <w:szCs w:val="28"/>
        </w:rPr>
        <w:t>Note Regarding Third-Pa</w:t>
      </w:r>
      <w:r>
        <w:rPr>
          <w:rFonts w:ascii="Arial" w:eastAsia="宋体" w:hAnsi="Arial" w:cs="Arial"/>
          <w:color w:val="0068B5"/>
          <w:sz w:val="28"/>
          <w:szCs w:val="28"/>
        </w:rPr>
        <w:t>rty Information</w:t>
      </w:r>
    </w:p>
    <w:p w14:paraId="67533CD4" w14:textId="77777777" w:rsidR="001B77DD" w:rsidRDefault="00BF0A28">
      <w:pPr>
        <w:spacing w:after="180"/>
      </w:pPr>
      <w:r>
        <w:rPr>
          <w:rFonts w:ascii="Arial" w:eastAsia="宋体" w:hAnsi="Arial" w:cs="Arial"/>
          <w:color w:val="262626"/>
          <w:sz w:val="18"/>
          <w:szCs w:val="18"/>
        </w:rPr>
        <w:t>This Form 10-K includes market data and certain other statistical information and estimates that are based on reports and other publications from industry analysts, market research firms, and other independent sources, as well as management</w:t>
      </w:r>
      <w:r>
        <w:rPr>
          <w:rFonts w:ascii="Arial" w:eastAsia="宋体" w:hAnsi="Arial" w:cs="Arial"/>
          <w:color w:val="262626"/>
          <w:sz w:val="18"/>
          <w:szCs w:val="18"/>
        </w:rPr>
        <w:t>'s own good faith estimates and analyses. Intel believes these third-party reports to be reputable, but has not independently verified the underlying data sources, methodologies, or assumptions. The reports and other publications referenced are generally a</w:t>
      </w:r>
      <w:r>
        <w:rPr>
          <w:rFonts w:ascii="Arial" w:eastAsia="宋体" w:hAnsi="Arial" w:cs="Arial"/>
          <w:color w:val="262626"/>
          <w:sz w:val="18"/>
          <w:szCs w:val="18"/>
        </w:rPr>
        <w:t>vailable to the public and were not commissioned by Intel. Information that is based on estimates, forecasts, projections, market research, or similar methodologies is inherently subject to uncertainties, and actual events or circumstances may differ mater</w:t>
      </w:r>
      <w:r>
        <w:rPr>
          <w:rFonts w:ascii="Arial" w:eastAsia="宋体" w:hAnsi="Arial" w:cs="Arial"/>
          <w:color w:val="262626"/>
          <w:sz w:val="18"/>
          <w:szCs w:val="18"/>
        </w:rPr>
        <w:t>ially from events and circumstances reflected in this information.</w:t>
      </w:r>
    </w:p>
    <w:p w14:paraId="67533CD5" w14:textId="77777777" w:rsidR="001B77DD" w:rsidRDefault="001B77DD">
      <w:pPr>
        <w:spacing w:after="120"/>
      </w:pPr>
    </w:p>
    <w:p w14:paraId="67533CD6" w14:textId="77777777" w:rsidR="001B77DD" w:rsidRDefault="001B77DD">
      <w:pPr>
        <w:spacing w:after="120"/>
      </w:pPr>
    </w:p>
    <w:p w14:paraId="67533CD7" w14:textId="77777777" w:rsidR="001B77DD" w:rsidRDefault="001B77DD">
      <w:pPr>
        <w:spacing w:after="120"/>
      </w:pPr>
    </w:p>
    <w:p w14:paraId="67533CD8" w14:textId="77777777" w:rsidR="001B77DD" w:rsidRDefault="001B77DD">
      <w:pPr>
        <w:spacing w:after="120"/>
      </w:pPr>
    </w:p>
    <w:p w14:paraId="67533CD9" w14:textId="77777777" w:rsidR="001B77DD" w:rsidRDefault="001B77DD">
      <w:pPr>
        <w:spacing w:after="180"/>
        <w:ind w:hanging="180"/>
      </w:pPr>
    </w:p>
    <w:p w14:paraId="67533CDA" w14:textId="77777777" w:rsidR="001B77DD" w:rsidRDefault="001B77DD"/>
    <w:p w14:paraId="67533CDB" w14:textId="77777777" w:rsidR="001B77DD" w:rsidRDefault="00BF0A28">
      <w:r>
        <w:rPr>
          <w:rFonts w:ascii="Arial" w:eastAsia="宋体" w:hAnsi="Arial" w:cs="Arial"/>
          <w:i/>
          <w:iCs/>
          <w:color w:val="262626"/>
          <w:sz w:val="16"/>
          <w:szCs w:val="16"/>
        </w:rPr>
        <w:t>Intel, 3D XPoint, Arc, Arria, Barefoot Networks, Barefoot logo, Celeron, Intel Agilex, Intel Atom, Intel Core, eASIC, the Footsie logo, Intel Evo, Intel Inside, the Intel logo, the In</w:t>
      </w:r>
      <w:r>
        <w:rPr>
          <w:rFonts w:ascii="Arial" w:eastAsia="宋体" w:hAnsi="Arial" w:cs="Arial"/>
          <w:i/>
          <w:iCs/>
          <w:color w:val="262626"/>
          <w:sz w:val="16"/>
          <w:szCs w:val="16"/>
        </w:rPr>
        <w:t xml:space="preserve">tel Inside logo, Intel Optane, Iris, Itanium, Killer, Movidius, Myriad, OpenVINO, OpenVINO logo, Pentium, Quark, Stratix, Thunderbolt and the Thunderbolt logo, Tofino, Intel vPro, and Xeon are trademarks of Intel Corporation or its subsidiaries. </w:t>
      </w:r>
    </w:p>
    <w:p w14:paraId="67533CDC" w14:textId="77777777" w:rsidR="001B77DD" w:rsidRDefault="001B77DD"/>
    <w:p w14:paraId="67533CDD" w14:textId="77777777" w:rsidR="001B77DD" w:rsidRDefault="00BF0A28">
      <w:r>
        <w:rPr>
          <w:rFonts w:ascii="Arial" w:eastAsia="宋体" w:hAnsi="Arial" w:cs="Arial"/>
          <w:i/>
          <w:iCs/>
          <w:color w:val="262626"/>
          <w:sz w:val="16"/>
          <w:szCs w:val="16"/>
        </w:rPr>
        <w:t>The Blue</w:t>
      </w:r>
      <w:r>
        <w:rPr>
          <w:rFonts w:ascii="Arial" w:eastAsia="宋体" w:hAnsi="Arial" w:cs="Arial"/>
          <w:i/>
          <w:iCs/>
          <w:color w:val="262626"/>
          <w:sz w:val="16"/>
          <w:szCs w:val="16"/>
        </w:rPr>
        <w:t>tooth</w:t>
      </w:r>
      <w:r>
        <w:rPr>
          <w:rFonts w:ascii="Arial" w:eastAsia="宋体" w:hAnsi="Arial" w:cs="Arial"/>
          <w:i/>
          <w:iCs/>
          <w:color w:val="262626"/>
          <w:sz w:val="10"/>
          <w:szCs w:val="10"/>
        </w:rPr>
        <w:t>®</w:t>
      </w:r>
      <w:r>
        <w:rPr>
          <w:rFonts w:ascii="Arial" w:eastAsia="宋体" w:hAnsi="Arial" w:cs="Arial"/>
          <w:i/>
          <w:iCs/>
          <w:color w:val="262626"/>
          <w:sz w:val="16"/>
          <w:szCs w:val="16"/>
        </w:rPr>
        <w:t xml:space="preserve"> word mark and logos are registered trademarks owned by Bluetooth SIG, Inc. and any use of such marks by Intel Corporation is under license.</w:t>
      </w:r>
    </w:p>
    <w:p w14:paraId="67533CDE" w14:textId="77777777" w:rsidR="001B77DD" w:rsidRDefault="001B77DD">
      <w:pPr>
        <w:ind w:hanging="180"/>
      </w:pPr>
    </w:p>
    <w:p w14:paraId="67533CDF" w14:textId="77777777" w:rsidR="001B77DD" w:rsidRDefault="00BF0A28">
      <w:r>
        <w:rPr>
          <w:rFonts w:ascii="Arial" w:eastAsia="宋体" w:hAnsi="Arial" w:cs="Arial"/>
          <w:i/>
          <w:iCs/>
          <w:color w:val="262626"/>
          <w:sz w:val="16"/>
          <w:szCs w:val="16"/>
        </w:rPr>
        <w:t xml:space="preserve">*    Other names and brands may be claimed as the property of others.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3CE9" w14:textId="77777777">
        <w:tc>
          <w:tcPr>
            <w:tcW w:w="50" w:type="pct"/>
            <w:shd w:val="clear" w:color="auto" w:fill="auto"/>
            <w:vAlign w:val="bottom"/>
          </w:tcPr>
          <w:p w14:paraId="67533CE0" w14:textId="77777777" w:rsidR="001B77DD" w:rsidRDefault="001B77DD">
            <w:pPr>
              <w:rPr>
                <w:rFonts w:ascii="宋体"/>
              </w:rPr>
            </w:pPr>
          </w:p>
        </w:tc>
        <w:tc>
          <w:tcPr>
            <w:tcW w:w="283" w:type="pct"/>
            <w:shd w:val="clear" w:color="auto" w:fill="auto"/>
            <w:vAlign w:val="bottom"/>
          </w:tcPr>
          <w:p w14:paraId="67533CE1" w14:textId="77777777" w:rsidR="001B77DD" w:rsidRDefault="001B77DD">
            <w:pPr>
              <w:rPr>
                <w:rFonts w:ascii="宋体"/>
              </w:rPr>
            </w:pPr>
          </w:p>
        </w:tc>
        <w:tc>
          <w:tcPr>
            <w:tcW w:w="5" w:type="pct"/>
            <w:shd w:val="clear" w:color="auto" w:fill="auto"/>
            <w:vAlign w:val="bottom"/>
          </w:tcPr>
          <w:p w14:paraId="67533CE2" w14:textId="77777777" w:rsidR="001B77DD" w:rsidRDefault="001B77DD">
            <w:pPr>
              <w:rPr>
                <w:rFonts w:ascii="宋体"/>
              </w:rPr>
            </w:pPr>
          </w:p>
        </w:tc>
        <w:tc>
          <w:tcPr>
            <w:tcW w:w="50" w:type="pct"/>
            <w:shd w:val="clear" w:color="auto" w:fill="auto"/>
            <w:vAlign w:val="bottom"/>
          </w:tcPr>
          <w:p w14:paraId="67533CE3" w14:textId="77777777" w:rsidR="001B77DD" w:rsidRDefault="001B77DD">
            <w:pPr>
              <w:rPr>
                <w:rFonts w:ascii="宋体"/>
              </w:rPr>
            </w:pPr>
          </w:p>
        </w:tc>
        <w:tc>
          <w:tcPr>
            <w:tcW w:w="2656" w:type="pct"/>
            <w:shd w:val="clear" w:color="auto" w:fill="auto"/>
            <w:vAlign w:val="bottom"/>
          </w:tcPr>
          <w:p w14:paraId="67533CE4" w14:textId="77777777" w:rsidR="001B77DD" w:rsidRDefault="001B77DD">
            <w:pPr>
              <w:rPr>
                <w:rFonts w:ascii="宋体"/>
              </w:rPr>
            </w:pPr>
          </w:p>
        </w:tc>
        <w:tc>
          <w:tcPr>
            <w:tcW w:w="5" w:type="pct"/>
            <w:shd w:val="clear" w:color="auto" w:fill="auto"/>
            <w:vAlign w:val="bottom"/>
          </w:tcPr>
          <w:p w14:paraId="67533CE5" w14:textId="77777777" w:rsidR="001B77DD" w:rsidRDefault="001B77DD">
            <w:pPr>
              <w:rPr>
                <w:rFonts w:ascii="宋体"/>
              </w:rPr>
            </w:pPr>
          </w:p>
        </w:tc>
        <w:tc>
          <w:tcPr>
            <w:tcW w:w="50" w:type="pct"/>
            <w:shd w:val="clear" w:color="auto" w:fill="auto"/>
            <w:vAlign w:val="bottom"/>
          </w:tcPr>
          <w:p w14:paraId="67533CE6" w14:textId="77777777" w:rsidR="001B77DD" w:rsidRDefault="001B77DD">
            <w:pPr>
              <w:rPr>
                <w:rFonts w:ascii="宋体"/>
              </w:rPr>
            </w:pPr>
          </w:p>
        </w:tc>
        <w:tc>
          <w:tcPr>
            <w:tcW w:w="1894" w:type="pct"/>
            <w:shd w:val="clear" w:color="auto" w:fill="auto"/>
            <w:vAlign w:val="bottom"/>
          </w:tcPr>
          <w:p w14:paraId="67533CE7" w14:textId="77777777" w:rsidR="001B77DD" w:rsidRDefault="001B77DD">
            <w:pPr>
              <w:rPr>
                <w:rFonts w:ascii="宋体"/>
              </w:rPr>
            </w:pPr>
          </w:p>
        </w:tc>
        <w:tc>
          <w:tcPr>
            <w:tcW w:w="5" w:type="pct"/>
            <w:shd w:val="clear" w:color="auto" w:fill="auto"/>
            <w:vAlign w:val="bottom"/>
          </w:tcPr>
          <w:p w14:paraId="67533CE8" w14:textId="77777777" w:rsidR="001B77DD" w:rsidRDefault="001B77DD">
            <w:pPr>
              <w:rPr>
                <w:rFonts w:ascii="宋体"/>
              </w:rPr>
            </w:pPr>
          </w:p>
        </w:tc>
      </w:tr>
      <w:tr w:rsidR="001B77DD" w14:paraId="67533CE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3CE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89" wp14:editId="67538D8A">
                  <wp:extent cx="304800" cy="304800"/>
                  <wp:effectExtent l="0" t="0" r="0" b="0"/>
                  <wp:docPr id="231" name="图片 3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3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3CEB"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CEC" w14:textId="77777777" w:rsidR="001B77DD" w:rsidRDefault="00BF0A28">
            <w:pPr>
              <w:jc w:val="right"/>
              <w:textAlignment w:val="center"/>
            </w:pPr>
            <w:r>
              <w:rPr>
                <w:rFonts w:ascii="Arial" w:eastAsia="宋体" w:hAnsi="Arial" w:cs="Arial"/>
                <w:color w:val="262626"/>
                <w:sz w:val="16"/>
                <w:szCs w:val="16"/>
              </w:rPr>
              <w:t>1</w:t>
            </w:r>
          </w:p>
        </w:tc>
      </w:tr>
    </w:tbl>
    <w:p w14:paraId="67533CEE" w14:textId="77777777" w:rsidR="001B77DD" w:rsidRDefault="00BF0A28">
      <w:r>
        <w:pict w14:anchorId="67538D8B">
          <v:rect id="_x0000_i1027" style="width:415.3pt;height:1.5pt" o:hralign="center" o:hrstd="t" o:hr="t" fillcolor="#a0a0a0" stroked="f"/>
        </w:pict>
      </w:r>
    </w:p>
    <w:p w14:paraId="67533CEF" w14:textId="77777777" w:rsidR="001B77DD" w:rsidRDefault="001B77DD"/>
    <w:p w14:paraId="67533CF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8C" wp14:editId="67538D8D">
            <wp:extent cx="304800" cy="304800"/>
            <wp:effectExtent l="0" t="0" r="0" b="0"/>
            <wp:docPr id="66"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3CF1" w14:textId="77777777" w:rsidR="001B77DD" w:rsidRDefault="001B77DD"/>
    <w:p w14:paraId="67533CF2" w14:textId="77777777" w:rsidR="001B77DD" w:rsidRDefault="00BF0A28">
      <w:r>
        <w:pict w14:anchorId="67538D8E">
          <v:rect id="_x0000_i1028" style="width:415.3pt;height:1.5pt" o:hralign="center" o:hrstd="t" o:hr="t" fillcolor="#a0a0a0" stroked="f"/>
        </w:pict>
      </w:r>
    </w:p>
    <w:p w14:paraId="67533CF3" w14:textId="77777777" w:rsidR="001B77DD" w:rsidRDefault="001B77DD">
      <w:pPr>
        <w:jc w:val="right"/>
      </w:pPr>
    </w:p>
    <w:p w14:paraId="67533CF4"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w:instrText>
      </w:r>
      <w:r>
        <w:rPr>
          <w:rFonts w:ascii="宋体" w:eastAsia="宋体" w:hAnsi="宋体" w:cs="宋体"/>
        </w:rPr>
        <w:instrText xml:space="preserve">0211225_g4.jpg"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8F" wp14:editId="67538D90">
            <wp:extent cx="304800" cy="304800"/>
            <wp:effectExtent l="0" t="0" r="0" b="0"/>
            <wp:docPr id="235"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41"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3CF5" w14:textId="77777777" w:rsidR="001B77DD" w:rsidRDefault="001B77DD"/>
    <w:p w14:paraId="67533CF6" w14:textId="77777777" w:rsidR="001B77DD" w:rsidRDefault="00BF0A28">
      <w:r>
        <w:pict w14:anchorId="67538D91">
          <v:rect id="_x0000_i1029" style="width:415.3pt;height:1.5pt" o:hralign="center" o:hrstd="t" o:hr="t" fillcolor="#a0a0a0" stroked="f"/>
        </w:pict>
      </w:r>
    </w:p>
    <w:p w14:paraId="67533CF7" w14:textId="77777777" w:rsidR="001B77DD" w:rsidRDefault="00BF0A28">
      <w:pPr>
        <w:spacing w:after="180"/>
        <w:jc w:val="right"/>
      </w:pPr>
      <w:hyperlink r:id="rId34" w:anchor="i6c9ced68f6b24d58a3dcf326e8c3c699_16" w:history="1">
        <w:r>
          <w:rPr>
            <w:rStyle w:val="a5"/>
            <w:rFonts w:ascii="Arial" w:eastAsia="宋体" w:hAnsi="Arial" w:cs="Arial"/>
            <w:sz w:val="18"/>
            <w:szCs w:val="18"/>
          </w:rPr>
          <w:t>Table</w:t>
        </w:r>
      </w:hyperlink>
      <w:hyperlink r:id="rId35" w:anchor="i6c9ced68f6b24d58a3dcf326e8c3c699_16" w:history="1">
        <w:r>
          <w:rPr>
            <w:rStyle w:val="a5"/>
            <w:rFonts w:ascii="Arial" w:eastAsia="宋体" w:hAnsi="Arial" w:cs="Arial"/>
            <w:sz w:val="18"/>
            <w:szCs w:val="18"/>
          </w:rPr>
          <w:t xml:space="preserve"> of </w:t>
        </w:r>
      </w:hyperlink>
      <w:hyperlink r:id="rId36" w:anchor="i6c9ced68f6b24d58a3dcf326e8c3c699_16" w:history="1">
        <w:r>
          <w:rPr>
            <w:rStyle w:val="a5"/>
            <w:rFonts w:ascii="Arial" w:eastAsia="宋体" w:hAnsi="Arial" w:cs="Arial"/>
            <w:sz w:val="18"/>
            <w:szCs w:val="18"/>
          </w:rPr>
          <w:t>C</w:t>
        </w:r>
        <w:r>
          <w:rPr>
            <w:rStyle w:val="a5"/>
            <w:rFonts w:ascii="Arial" w:eastAsia="宋体" w:hAnsi="Arial" w:cs="Arial"/>
            <w:sz w:val="18"/>
            <w:szCs w:val="18"/>
          </w:rPr>
          <w:t>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3CFE" w14:textId="77777777">
        <w:tc>
          <w:tcPr>
            <w:tcW w:w="50" w:type="pct"/>
            <w:shd w:val="clear" w:color="auto" w:fill="auto"/>
            <w:vAlign w:val="bottom"/>
          </w:tcPr>
          <w:p w14:paraId="67533CF8" w14:textId="77777777" w:rsidR="001B77DD" w:rsidRDefault="001B77DD">
            <w:pPr>
              <w:rPr>
                <w:rFonts w:ascii="宋体"/>
              </w:rPr>
            </w:pPr>
          </w:p>
        </w:tc>
        <w:tc>
          <w:tcPr>
            <w:tcW w:w="4870" w:type="pct"/>
            <w:shd w:val="clear" w:color="auto" w:fill="auto"/>
            <w:vAlign w:val="bottom"/>
          </w:tcPr>
          <w:p w14:paraId="67533CF9" w14:textId="77777777" w:rsidR="001B77DD" w:rsidRDefault="001B77DD">
            <w:pPr>
              <w:rPr>
                <w:rFonts w:ascii="宋体"/>
              </w:rPr>
            </w:pPr>
          </w:p>
        </w:tc>
        <w:tc>
          <w:tcPr>
            <w:tcW w:w="5" w:type="pct"/>
            <w:shd w:val="clear" w:color="auto" w:fill="auto"/>
            <w:vAlign w:val="bottom"/>
          </w:tcPr>
          <w:p w14:paraId="67533CFA" w14:textId="77777777" w:rsidR="001B77DD" w:rsidRDefault="001B77DD">
            <w:pPr>
              <w:rPr>
                <w:rFonts w:ascii="宋体"/>
              </w:rPr>
            </w:pPr>
          </w:p>
        </w:tc>
        <w:tc>
          <w:tcPr>
            <w:tcW w:w="5" w:type="pct"/>
            <w:shd w:val="clear" w:color="auto" w:fill="auto"/>
            <w:vAlign w:val="bottom"/>
          </w:tcPr>
          <w:p w14:paraId="67533CFB" w14:textId="77777777" w:rsidR="001B77DD" w:rsidRDefault="001B77DD">
            <w:pPr>
              <w:rPr>
                <w:rFonts w:ascii="宋体"/>
              </w:rPr>
            </w:pPr>
          </w:p>
        </w:tc>
        <w:tc>
          <w:tcPr>
            <w:tcW w:w="64" w:type="pct"/>
            <w:shd w:val="clear" w:color="auto" w:fill="auto"/>
            <w:vAlign w:val="bottom"/>
          </w:tcPr>
          <w:p w14:paraId="67533CFC" w14:textId="77777777" w:rsidR="001B77DD" w:rsidRDefault="001B77DD">
            <w:pPr>
              <w:rPr>
                <w:rFonts w:ascii="宋体"/>
              </w:rPr>
            </w:pPr>
          </w:p>
        </w:tc>
        <w:tc>
          <w:tcPr>
            <w:tcW w:w="5" w:type="pct"/>
            <w:shd w:val="clear" w:color="auto" w:fill="auto"/>
            <w:vAlign w:val="bottom"/>
          </w:tcPr>
          <w:p w14:paraId="67533CFD" w14:textId="77777777" w:rsidR="001B77DD" w:rsidRDefault="001B77DD">
            <w:pPr>
              <w:rPr>
                <w:rFonts w:ascii="宋体"/>
              </w:rPr>
            </w:pPr>
          </w:p>
        </w:tc>
      </w:tr>
      <w:tr w:rsidR="001B77DD" w14:paraId="67533D01" w14:textId="77777777">
        <w:tc>
          <w:tcPr>
            <w:tcW w:w="0" w:type="auto"/>
            <w:gridSpan w:val="3"/>
            <w:shd w:val="clear" w:color="auto" w:fill="004A86"/>
            <w:tcMar>
              <w:top w:w="40" w:type="dxa"/>
              <w:left w:w="20" w:type="dxa"/>
              <w:bottom w:w="40" w:type="dxa"/>
              <w:right w:w="20" w:type="dxa"/>
            </w:tcMar>
            <w:vAlign w:val="center"/>
          </w:tcPr>
          <w:p w14:paraId="67533CFF" w14:textId="77777777" w:rsidR="001B77DD" w:rsidRDefault="00BF0A28">
            <w:pPr>
              <w:textAlignment w:val="center"/>
            </w:pPr>
            <w:r>
              <w:rPr>
                <w:rFonts w:ascii="Arial" w:eastAsia="宋体" w:hAnsi="Arial" w:cs="Arial"/>
                <w:color w:val="FFFFFF"/>
                <w:sz w:val="36"/>
                <w:szCs w:val="36"/>
              </w:rPr>
              <w:t>A Year in Review</w:t>
            </w:r>
          </w:p>
        </w:tc>
        <w:tc>
          <w:tcPr>
            <w:tcW w:w="0" w:type="auto"/>
            <w:gridSpan w:val="3"/>
            <w:shd w:val="clear" w:color="auto" w:fill="auto"/>
            <w:tcMar>
              <w:top w:w="0" w:type="dxa"/>
              <w:left w:w="20" w:type="dxa"/>
              <w:bottom w:w="0" w:type="dxa"/>
              <w:right w:w="20" w:type="dxa"/>
            </w:tcMar>
            <w:vAlign w:val="bottom"/>
          </w:tcPr>
          <w:p w14:paraId="67533D00" w14:textId="77777777" w:rsidR="001B77DD" w:rsidRDefault="001B77DD">
            <w:pPr>
              <w:rPr>
                <w:rFonts w:ascii="宋体"/>
              </w:rPr>
            </w:pPr>
          </w:p>
        </w:tc>
      </w:tr>
      <w:tr w:rsidR="001B77DD" w14:paraId="67533D04" w14:textId="77777777">
        <w:trPr>
          <w:trHeight w:val="60"/>
        </w:trPr>
        <w:tc>
          <w:tcPr>
            <w:tcW w:w="0" w:type="auto"/>
            <w:gridSpan w:val="3"/>
            <w:shd w:val="clear" w:color="auto" w:fill="auto"/>
            <w:tcMar>
              <w:top w:w="0" w:type="dxa"/>
              <w:left w:w="20" w:type="dxa"/>
              <w:bottom w:w="0" w:type="dxa"/>
              <w:right w:w="20" w:type="dxa"/>
            </w:tcMar>
            <w:vAlign w:val="bottom"/>
          </w:tcPr>
          <w:p w14:paraId="67533D02"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3D03" w14:textId="77777777" w:rsidR="001B77DD" w:rsidRDefault="001B77DD">
            <w:pPr>
              <w:rPr>
                <w:rFonts w:ascii="宋体"/>
              </w:rPr>
            </w:pPr>
          </w:p>
        </w:tc>
      </w:tr>
    </w:tbl>
    <w:p w14:paraId="67533D05" w14:textId="77777777" w:rsidR="001B77DD" w:rsidRDefault="001B77DD">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63"/>
        <w:gridCol w:w="6114"/>
        <w:gridCol w:w="63"/>
        <w:gridCol w:w="36"/>
        <w:gridCol w:w="36"/>
        <w:gridCol w:w="56"/>
        <w:gridCol w:w="4556"/>
        <w:gridCol w:w="56"/>
      </w:tblGrid>
      <w:tr w:rsidR="001B77DD" w14:paraId="67533D0E" w14:textId="77777777">
        <w:tc>
          <w:tcPr>
            <w:tcW w:w="20" w:type="dxa"/>
            <w:shd w:val="clear" w:color="auto" w:fill="auto"/>
            <w:vAlign w:val="bottom"/>
          </w:tcPr>
          <w:p w14:paraId="67533D06" w14:textId="77777777" w:rsidR="001B77DD" w:rsidRDefault="001B77DD">
            <w:pPr>
              <w:rPr>
                <w:rFonts w:ascii="宋体"/>
              </w:rPr>
            </w:pPr>
          </w:p>
        </w:tc>
        <w:tc>
          <w:tcPr>
            <w:tcW w:w="5780" w:type="dxa"/>
            <w:shd w:val="clear" w:color="auto" w:fill="auto"/>
            <w:vAlign w:val="bottom"/>
          </w:tcPr>
          <w:p w14:paraId="67533D07" w14:textId="77777777" w:rsidR="001B77DD" w:rsidRDefault="001B77DD">
            <w:pPr>
              <w:rPr>
                <w:rFonts w:ascii="宋体"/>
              </w:rPr>
            </w:pPr>
          </w:p>
        </w:tc>
        <w:tc>
          <w:tcPr>
            <w:tcW w:w="20" w:type="dxa"/>
            <w:shd w:val="clear" w:color="auto" w:fill="auto"/>
            <w:vAlign w:val="bottom"/>
          </w:tcPr>
          <w:p w14:paraId="67533D08" w14:textId="77777777" w:rsidR="001B77DD" w:rsidRDefault="001B77DD">
            <w:pPr>
              <w:rPr>
                <w:rFonts w:ascii="宋体"/>
              </w:rPr>
            </w:pPr>
          </w:p>
        </w:tc>
        <w:tc>
          <w:tcPr>
            <w:tcW w:w="0" w:type="auto"/>
            <w:shd w:val="clear" w:color="auto" w:fill="auto"/>
            <w:vAlign w:val="bottom"/>
          </w:tcPr>
          <w:p w14:paraId="67533D09" w14:textId="77777777" w:rsidR="001B77DD" w:rsidRDefault="001B77DD">
            <w:pPr>
              <w:rPr>
                <w:rFonts w:ascii="宋体"/>
                <w:vanish/>
              </w:rPr>
            </w:pPr>
          </w:p>
        </w:tc>
        <w:tc>
          <w:tcPr>
            <w:tcW w:w="0" w:type="auto"/>
            <w:shd w:val="clear" w:color="auto" w:fill="auto"/>
            <w:vAlign w:val="bottom"/>
          </w:tcPr>
          <w:p w14:paraId="67533D0A" w14:textId="77777777" w:rsidR="001B77DD" w:rsidRDefault="001B77DD">
            <w:pPr>
              <w:rPr>
                <w:rFonts w:ascii="宋体"/>
                <w:vanish/>
              </w:rPr>
            </w:pPr>
          </w:p>
        </w:tc>
        <w:tc>
          <w:tcPr>
            <w:tcW w:w="20" w:type="dxa"/>
            <w:shd w:val="clear" w:color="auto" w:fill="auto"/>
            <w:vAlign w:val="bottom"/>
          </w:tcPr>
          <w:p w14:paraId="67533D0B" w14:textId="77777777" w:rsidR="001B77DD" w:rsidRDefault="001B77DD">
            <w:pPr>
              <w:rPr>
                <w:rFonts w:ascii="宋体"/>
              </w:rPr>
            </w:pPr>
          </w:p>
        </w:tc>
        <w:tc>
          <w:tcPr>
            <w:tcW w:w="5120" w:type="dxa"/>
            <w:shd w:val="clear" w:color="auto" w:fill="auto"/>
            <w:vAlign w:val="bottom"/>
          </w:tcPr>
          <w:p w14:paraId="67533D0C" w14:textId="77777777" w:rsidR="001B77DD" w:rsidRDefault="001B77DD">
            <w:pPr>
              <w:rPr>
                <w:rFonts w:ascii="宋体"/>
              </w:rPr>
            </w:pPr>
          </w:p>
        </w:tc>
        <w:tc>
          <w:tcPr>
            <w:tcW w:w="20" w:type="dxa"/>
            <w:shd w:val="clear" w:color="auto" w:fill="auto"/>
            <w:vAlign w:val="bottom"/>
          </w:tcPr>
          <w:p w14:paraId="67533D0D" w14:textId="77777777" w:rsidR="001B77DD" w:rsidRDefault="001B77DD">
            <w:pPr>
              <w:rPr>
                <w:rFonts w:ascii="宋体"/>
              </w:rPr>
            </w:pPr>
          </w:p>
        </w:tc>
      </w:tr>
      <w:tr w:rsidR="001B77DD" w14:paraId="67533D13" w14:textId="77777777">
        <w:trPr>
          <w:trHeight w:val="1380"/>
        </w:trPr>
        <w:tc>
          <w:tcPr>
            <w:tcW w:w="0" w:type="auto"/>
            <w:gridSpan w:val="3"/>
            <w:vMerge w:val="restart"/>
            <w:shd w:val="clear" w:color="auto" w:fill="auto"/>
            <w:tcMar>
              <w:top w:w="40" w:type="dxa"/>
              <w:left w:w="20" w:type="dxa"/>
              <w:bottom w:w="40" w:type="dxa"/>
              <w:right w:w="20" w:type="dxa"/>
            </w:tcMar>
          </w:tcPr>
          <w:p w14:paraId="67533D0F" w14:textId="77777777" w:rsidR="001B77DD" w:rsidRDefault="00BF0A28">
            <w:pPr>
              <w:textAlignment w:val="top"/>
            </w:pPr>
            <w:r>
              <w:rPr>
                <w:rFonts w:ascii="Arial" w:eastAsia="宋体" w:hAnsi="Arial" w:cs="Arial"/>
                <w:color w:val="262626"/>
                <w:sz w:val="18"/>
                <w:szCs w:val="18"/>
              </w:rPr>
              <w:t xml:space="preserve">Total revenue of $79.0 billion was up year over year, with CCG revenue up 1% and DCG revenue down 1%, both amid the effects of industry-wide supply constraints. We experienced strength in notebook </w:t>
            </w:r>
            <w:r>
              <w:rPr>
                <w:rFonts w:ascii="Arial" w:eastAsia="宋体" w:hAnsi="Arial" w:cs="Arial"/>
                <w:color w:val="262626"/>
                <w:sz w:val="18"/>
                <w:szCs w:val="18"/>
              </w:rPr>
              <w:t>demand and recovery in desktop demand, partially offset by lower notebook ASPs due to strength in the consumer and education market segments. DCG was down on lower ASPs driven by product mix and a competitive environment, partially offset by higher platfor</w:t>
            </w:r>
            <w:r>
              <w:rPr>
                <w:rFonts w:ascii="Arial" w:eastAsia="宋体" w:hAnsi="Arial" w:cs="Arial"/>
                <w:color w:val="262626"/>
                <w:sz w:val="18"/>
                <w:szCs w:val="18"/>
              </w:rPr>
              <w:t>m</w:t>
            </w:r>
            <w:r>
              <w:rPr>
                <w:rFonts w:ascii="Arial" w:eastAsia="宋体" w:hAnsi="Arial" w:cs="Arial"/>
                <w:color w:val="262626"/>
                <w:sz w:val="11"/>
                <w:szCs w:val="11"/>
              </w:rPr>
              <w:t>1</w:t>
            </w:r>
            <w:r>
              <w:rPr>
                <w:rFonts w:ascii="Arial" w:eastAsia="宋体" w:hAnsi="Arial" w:cs="Arial"/>
                <w:color w:val="262626"/>
                <w:sz w:val="18"/>
                <w:szCs w:val="18"/>
              </w:rPr>
              <w:t xml:space="preserve"> volume from recovery in the enterprise and government market segment. IOTG and Mobileye both achieved strong results on higher demand amid recovery from the economic impacts of COVID-19. We invested $15.2 billion in R&amp;D, made capital investments of $18.</w:t>
            </w:r>
            <w:r>
              <w:rPr>
                <w:rFonts w:ascii="Arial" w:eastAsia="宋体" w:hAnsi="Arial" w:cs="Arial"/>
                <w:color w:val="262626"/>
                <w:sz w:val="18"/>
                <w:szCs w:val="18"/>
              </w:rPr>
              <w:t>7 billion, and generated $30.0 billion in cash from operations and $11.3 billion of free cash flow.</w:t>
            </w:r>
          </w:p>
        </w:tc>
        <w:tc>
          <w:tcPr>
            <w:tcW w:w="0" w:type="auto"/>
            <w:shd w:val="clear" w:color="auto" w:fill="auto"/>
            <w:vAlign w:val="bottom"/>
          </w:tcPr>
          <w:p w14:paraId="67533D10" w14:textId="77777777" w:rsidR="001B77DD" w:rsidRDefault="001B77DD">
            <w:pPr>
              <w:rPr>
                <w:rFonts w:ascii="宋体"/>
                <w:vanish/>
              </w:rPr>
            </w:pPr>
          </w:p>
        </w:tc>
        <w:tc>
          <w:tcPr>
            <w:tcW w:w="0" w:type="auto"/>
            <w:shd w:val="clear" w:color="auto" w:fill="auto"/>
            <w:vAlign w:val="bottom"/>
          </w:tcPr>
          <w:p w14:paraId="67533D11" w14:textId="77777777" w:rsidR="001B77DD" w:rsidRDefault="001B77DD">
            <w:pPr>
              <w:rPr>
                <w:rFonts w:ascii="宋体"/>
                <w:vanish/>
              </w:rPr>
            </w:pPr>
          </w:p>
        </w:tc>
        <w:tc>
          <w:tcPr>
            <w:tcW w:w="0" w:type="auto"/>
            <w:gridSpan w:val="3"/>
            <w:vMerge w:val="restart"/>
            <w:shd w:val="clear" w:color="auto" w:fill="auto"/>
            <w:tcMar>
              <w:top w:w="0" w:type="dxa"/>
              <w:left w:w="20" w:type="dxa"/>
              <w:bottom w:w="0" w:type="dxa"/>
              <w:right w:w="20" w:type="dxa"/>
            </w:tcMar>
            <w:vAlign w:val="bottom"/>
          </w:tcPr>
          <w:p w14:paraId="67533D12"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92" wp14:editId="67538D93">
                  <wp:extent cx="304800" cy="304800"/>
                  <wp:effectExtent l="0" t="0" r="0" b="0"/>
                  <wp:docPr id="58" name="图片 4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3"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3D18" w14:textId="77777777">
        <w:trPr>
          <w:trHeight w:val="160"/>
        </w:trPr>
        <w:tc>
          <w:tcPr>
            <w:tcW w:w="0" w:type="auto"/>
            <w:gridSpan w:val="3"/>
            <w:vMerge/>
            <w:shd w:val="clear" w:color="auto" w:fill="auto"/>
            <w:tcMar>
              <w:top w:w="40" w:type="dxa"/>
              <w:left w:w="20" w:type="dxa"/>
              <w:bottom w:w="40" w:type="dxa"/>
              <w:right w:w="20" w:type="dxa"/>
            </w:tcMar>
          </w:tcPr>
          <w:p w14:paraId="67533D14" w14:textId="77777777" w:rsidR="001B77DD" w:rsidRDefault="001B77DD">
            <w:pPr>
              <w:rPr>
                <w:rFonts w:ascii="宋体"/>
              </w:rPr>
            </w:pPr>
          </w:p>
        </w:tc>
        <w:tc>
          <w:tcPr>
            <w:tcW w:w="0" w:type="auto"/>
            <w:shd w:val="clear" w:color="auto" w:fill="auto"/>
            <w:vAlign w:val="bottom"/>
          </w:tcPr>
          <w:p w14:paraId="67533D15" w14:textId="77777777" w:rsidR="001B77DD" w:rsidRDefault="001B77DD">
            <w:pPr>
              <w:rPr>
                <w:rFonts w:ascii="宋体"/>
                <w:vanish/>
              </w:rPr>
            </w:pPr>
          </w:p>
        </w:tc>
        <w:tc>
          <w:tcPr>
            <w:tcW w:w="0" w:type="auto"/>
            <w:shd w:val="clear" w:color="auto" w:fill="auto"/>
            <w:vAlign w:val="bottom"/>
          </w:tcPr>
          <w:p w14:paraId="67533D16"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3D17" w14:textId="77777777" w:rsidR="001B77DD" w:rsidRDefault="001B77DD">
            <w:pPr>
              <w:rPr>
                <w:rFonts w:ascii="宋体"/>
              </w:rPr>
            </w:pPr>
          </w:p>
        </w:tc>
      </w:tr>
      <w:tr w:rsidR="001B77DD" w14:paraId="67533D1E" w14:textId="77777777">
        <w:trPr>
          <w:trHeight w:val="1240"/>
        </w:trPr>
        <w:tc>
          <w:tcPr>
            <w:tcW w:w="0" w:type="auto"/>
            <w:gridSpan w:val="3"/>
            <w:vMerge/>
            <w:shd w:val="clear" w:color="auto" w:fill="auto"/>
            <w:tcMar>
              <w:top w:w="40" w:type="dxa"/>
              <w:left w:w="20" w:type="dxa"/>
              <w:bottom w:w="40" w:type="dxa"/>
              <w:right w:w="20" w:type="dxa"/>
            </w:tcMar>
          </w:tcPr>
          <w:p w14:paraId="67533D19" w14:textId="77777777" w:rsidR="001B77DD" w:rsidRDefault="001B77DD">
            <w:pPr>
              <w:rPr>
                <w:rFonts w:ascii="宋体"/>
              </w:rPr>
            </w:pPr>
          </w:p>
        </w:tc>
        <w:tc>
          <w:tcPr>
            <w:tcW w:w="0" w:type="auto"/>
            <w:shd w:val="clear" w:color="auto" w:fill="auto"/>
            <w:vAlign w:val="bottom"/>
          </w:tcPr>
          <w:p w14:paraId="67533D1A" w14:textId="77777777" w:rsidR="001B77DD" w:rsidRDefault="001B77DD">
            <w:pPr>
              <w:rPr>
                <w:rFonts w:ascii="宋体"/>
                <w:vanish/>
              </w:rPr>
            </w:pPr>
          </w:p>
        </w:tc>
        <w:tc>
          <w:tcPr>
            <w:tcW w:w="0" w:type="auto"/>
            <w:shd w:val="clear" w:color="auto" w:fill="auto"/>
            <w:vAlign w:val="bottom"/>
          </w:tcPr>
          <w:p w14:paraId="67533D1B"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3D1C" w14:textId="77777777" w:rsidR="001B77DD" w:rsidRDefault="00BF0A28">
            <w:pPr>
              <w:spacing w:after="60"/>
              <w:textAlignment w:val="top"/>
            </w:pPr>
            <w:r>
              <w:rPr>
                <w:rFonts w:ascii="Arial" w:eastAsia="宋体" w:hAnsi="Arial" w:cs="Arial"/>
                <w:b/>
                <w:bCs/>
                <w:i/>
                <w:iCs/>
                <w:color w:val="262626"/>
                <w:sz w:val="16"/>
                <w:szCs w:val="16"/>
              </w:rPr>
              <w:t>"We achieved solid results amid a highly constrained industry-wide supply environment while continuing to maintain a strong balance sheet and liquidity position. With our IDM 2.0 strategy, we enter a phase of significant investment, positioning us for pr</w:t>
            </w:r>
            <w:r>
              <w:rPr>
                <w:rFonts w:ascii="Arial" w:eastAsia="宋体" w:hAnsi="Arial" w:cs="Arial"/>
                <w:b/>
                <w:bCs/>
                <w:i/>
                <w:iCs/>
                <w:color w:val="262626"/>
                <w:sz w:val="16"/>
                <w:szCs w:val="16"/>
              </w:rPr>
              <w:t>oduct leadership and long-term growth."</w:t>
            </w:r>
          </w:p>
          <w:p w14:paraId="67533D1D" w14:textId="77777777" w:rsidR="001B77DD" w:rsidRDefault="00BF0A28">
            <w:pPr>
              <w:textAlignment w:val="top"/>
            </w:pPr>
            <w:r>
              <w:rPr>
                <w:rFonts w:ascii="Arial" w:eastAsia="宋体" w:hAnsi="Arial" w:cs="Arial"/>
                <w:b/>
                <w:bCs/>
                <w:i/>
                <w:iCs/>
                <w:color w:val="262626"/>
                <w:sz w:val="16"/>
                <w:szCs w:val="16"/>
              </w:rPr>
              <w:t>—David Zinsner,</w:t>
            </w:r>
            <w:r>
              <w:rPr>
                <w:rFonts w:ascii="Arial" w:eastAsia="宋体" w:hAnsi="Arial" w:cs="Arial"/>
                <w:i/>
                <w:iCs/>
                <w:color w:val="262626"/>
                <w:sz w:val="16"/>
                <w:szCs w:val="16"/>
              </w:rPr>
              <w:t xml:space="preserve"> Chief Financial Officer</w:t>
            </w:r>
          </w:p>
        </w:tc>
      </w:tr>
    </w:tbl>
    <w:p w14:paraId="67533D1F" w14:textId="77777777" w:rsidR="001B77DD" w:rsidRDefault="001B77DD">
      <w:pPr>
        <w:rPr>
          <w:vanish/>
        </w:rPr>
      </w:pPr>
    </w:p>
    <w:tbl>
      <w:tblPr>
        <w:tblW w:w="10965" w:type="dxa"/>
        <w:tblCellMar>
          <w:top w:w="15" w:type="dxa"/>
          <w:left w:w="15" w:type="dxa"/>
          <w:bottom w:w="15" w:type="dxa"/>
          <w:right w:w="15" w:type="dxa"/>
        </w:tblCellMar>
        <w:tblLook w:val="04A0" w:firstRow="1" w:lastRow="0" w:firstColumn="1" w:lastColumn="0" w:noHBand="0" w:noVBand="1"/>
      </w:tblPr>
      <w:tblGrid>
        <w:gridCol w:w="36"/>
        <w:gridCol w:w="2588"/>
        <w:gridCol w:w="36"/>
        <w:gridCol w:w="36"/>
        <w:gridCol w:w="36"/>
        <w:gridCol w:w="36"/>
        <w:gridCol w:w="36"/>
        <w:gridCol w:w="2591"/>
        <w:gridCol w:w="36"/>
        <w:gridCol w:w="36"/>
        <w:gridCol w:w="36"/>
        <w:gridCol w:w="36"/>
        <w:gridCol w:w="36"/>
        <w:gridCol w:w="2588"/>
        <w:gridCol w:w="36"/>
        <w:gridCol w:w="36"/>
        <w:gridCol w:w="36"/>
        <w:gridCol w:w="36"/>
        <w:gridCol w:w="36"/>
        <w:gridCol w:w="2586"/>
        <w:gridCol w:w="36"/>
      </w:tblGrid>
      <w:tr w:rsidR="001B77DD" w14:paraId="67533D35" w14:textId="77777777">
        <w:tc>
          <w:tcPr>
            <w:tcW w:w="20" w:type="dxa"/>
            <w:shd w:val="clear" w:color="auto" w:fill="auto"/>
            <w:vAlign w:val="bottom"/>
          </w:tcPr>
          <w:p w14:paraId="67533D20" w14:textId="77777777" w:rsidR="001B77DD" w:rsidRDefault="001B77DD">
            <w:pPr>
              <w:rPr>
                <w:rFonts w:ascii="宋体"/>
              </w:rPr>
            </w:pPr>
          </w:p>
        </w:tc>
        <w:tc>
          <w:tcPr>
            <w:tcW w:w="2645" w:type="dxa"/>
            <w:shd w:val="clear" w:color="auto" w:fill="auto"/>
            <w:vAlign w:val="bottom"/>
          </w:tcPr>
          <w:p w14:paraId="67533D21" w14:textId="77777777" w:rsidR="001B77DD" w:rsidRDefault="001B77DD">
            <w:pPr>
              <w:rPr>
                <w:rFonts w:ascii="宋体"/>
              </w:rPr>
            </w:pPr>
          </w:p>
        </w:tc>
        <w:tc>
          <w:tcPr>
            <w:tcW w:w="20" w:type="dxa"/>
            <w:shd w:val="clear" w:color="auto" w:fill="auto"/>
            <w:vAlign w:val="bottom"/>
          </w:tcPr>
          <w:p w14:paraId="67533D22" w14:textId="77777777" w:rsidR="001B77DD" w:rsidRDefault="001B77DD">
            <w:pPr>
              <w:rPr>
                <w:rFonts w:ascii="宋体"/>
              </w:rPr>
            </w:pPr>
          </w:p>
        </w:tc>
        <w:tc>
          <w:tcPr>
            <w:tcW w:w="20" w:type="dxa"/>
            <w:shd w:val="clear" w:color="auto" w:fill="auto"/>
            <w:vAlign w:val="bottom"/>
          </w:tcPr>
          <w:p w14:paraId="67533D23" w14:textId="77777777" w:rsidR="001B77DD" w:rsidRDefault="001B77DD">
            <w:pPr>
              <w:rPr>
                <w:rFonts w:ascii="宋体"/>
              </w:rPr>
            </w:pPr>
          </w:p>
        </w:tc>
        <w:tc>
          <w:tcPr>
            <w:tcW w:w="35" w:type="dxa"/>
            <w:shd w:val="clear" w:color="auto" w:fill="auto"/>
            <w:vAlign w:val="bottom"/>
          </w:tcPr>
          <w:p w14:paraId="67533D24" w14:textId="77777777" w:rsidR="001B77DD" w:rsidRDefault="001B77DD">
            <w:pPr>
              <w:rPr>
                <w:rFonts w:ascii="宋体"/>
              </w:rPr>
            </w:pPr>
          </w:p>
        </w:tc>
        <w:tc>
          <w:tcPr>
            <w:tcW w:w="20" w:type="dxa"/>
            <w:shd w:val="clear" w:color="auto" w:fill="auto"/>
            <w:vAlign w:val="bottom"/>
          </w:tcPr>
          <w:p w14:paraId="67533D25" w14:textId="77777777" w:rsidR="001B77DD" w:rsidRDefault="001B77DD">
            <w:pPr>
              <w:rPr>
                <w:rFonts w:ascii="宋体"/>
              </w:rPr>
            </w:pPr>
          </w:p>
        </w:tc>
        <w:tc>
          <w:tcPr>
            <w:tcW w:w="20" w:type="dxa"/>
            <w:shd w:val="clear" w:color="auto" w:fill="auto"/>
            <w:vAlign w:val="bottom"/>
          </w:tcPr>
          <w:p w14:paraId="67533D26" w14:textId="77777777" w:rsidR="001B77DD" w:rsidRDefault="001B77DD">
            <w:pPr>
              <w:rPr>
                <w:rFonts w:ascii="宋体"/>
              </w:rPr>
            </w:pPr>
          </w:p>
        </w:tc>
        <w:tc>
          <w:tcPr>
            <w:tcW w:w="2645" w:type="dxa"/>
            <w:shd w:val="clear" w:color="auto" w:fill="auto"/>
            <w:vAlign w:val="bottom"/>
          </w:tcPr>
          <w:p w14:paraId="67533D27" w14:textId="77777777" w:rsidR="001B77DD" w:rsidRDefault="001B77DD">
            <w:pPr>
              <w:rPr>
                <w:rFonts w:ascii="宋体"/>
              </w:rPr>
            </w:pPr>
          </w:p>
        </w:tc>
        <w:tc>
          <w:tcPr>
            <w:tcW w:w="20" w:type="dxa"/>
            <w:shd w:val="clear" w:color="auto" w:fill="auto"/>
            <w:vAlign w:val="bottom"/>
          </w:tcPr>
          <w:p w14:paraId="67533D28" w14:textId="77777777" w:rsidR="001B77DD" w:rsidRDefault="001B77DD">
            <w:pPr>
              <w:rPr>
                <w:rFonts w:ascii="宋体"/>
              </w:rPr>
            </w:pPr>
          </w:p>
        </w:tc>
        <w:tc>
          <w:tcPr>
            <w:tcW w:w="20" w:type="dxa"/>
            <w:shd w:val="clear" w:color="auto" w:fill="auto"/>
            <w:vAlign w:val="bottom"/>
          </w:tcPr>
          <w:p w14:paraId="67533D29" w14:textId="77777777" w:rsidR="001B77DD" w:rsidRDefault="001B77DD">
            <w:pPr>
              <w:rPr>
                <w:rFonts w:ascii="宋体"/>
              </w:rPr>
            </w:pPr>
          </w:p>
        </w:tc>
        <w:tc>
          <w:tcPr>
            <w:tcW w:w="35" w:type="dxa"/>
            <w:shd w:val="clear" w:color="auto" w:fill="auto"/>
            <w:vAlign w:val="bottom"/>
          </w:tcPr>
          <w:p w14:paraId="67533D2A" w14:textId="77777777" w:rsidR="001B77DD" w:rsidRDefault="001B77DD">
            <w:pPr>
              <w:rPr>
                <w:rFonts w:ascii="宋体"/>
              </w:rPr>
            </w:pPr>
          </w:p>
        </w:tc>
        <w:tc>
          <w:tcPr>
            <w:tcW w:w="20" w:type="dxa"/>
            <w:shd w:val="clear" w:color="auto" w:fill="auto"/>
            <w:vAlign w:val="bottom"/>
          </w:tcPr>
          <w:p w14:paraId="67533D2B" w14:textId="77777777" w:rsidR="001B77DD" w:rsidRDefault="001B77DD">
            <w:pPr>
              <w:rPr>
                <w:rFonts w:ascii="宋体"/>
              </w:rPr>
            </w:pPr>
          </w:p>
        </w:tc>
        <w:tc>
          <w:tcPr>
            <w:tcW w:w="20" w:type="dxa"/>
            <w:shd w:val="clear" w:color="auto" w:fill="auto"/>
            <w:vAlign w:val="bottom"/>
          </w:tcPr>
          <w:p w14:paraId="67533D2C" w14:textId="77777777" w:rsidR="001B77DD" w:rsidRDefault="001B77DD">
            <w:pPr>
              <w:rPr>
                <w:rFonts w:ascii="宋体"/>
              </w:rPr>
            </w:pPr>
          </w:p>
        </w:tc>
        <w:tc>
          <w:tcPr>
            <w:tcW w:w="2645" w:type="dxa"/>
            <w:shd w:val="clear" w:color="auto" w:fill="auto"/>
            <w:vAlign w:val="bottom"/>
          </w:tcPr>
          <w:p w14:paraId="67533D2D" w14:textId="77777777" w:rsidR="001B77DD" w:rsidRDefault="001B77DD">
            <w:pPr>
              <w:rPr>
                <w:rFonts w:ascii="宋体"/>
              </w:rPr>
            </w:pPr>
          </w:p>
        </w:tc>
        <w:tc>
          <w:tcPr>
            <w:tcW w:w="20" w:type="dxa"/>
            <w:shd w:val="clear" w:color="auto" w:fill="auto"/>
            <w:vAlign w:val="bottom"/>
          </w:tcPr>
          <w:p w14:paraId="67533D2E" w14:textId="77777777" w:rsidR="001B77DD" w:rsidRDefault="001B77DD">
            <w:pPr>
              <w:rPr>
                <w:rFonts w:ascii="宋体"/>
              </w:rPr>
            </w:pPr>
          </w:p>
        </w:tc>
        <w:tc>
          <w:tcPr>
            <w:tcW w:w="20" w:type="dxa"/>
            <w:shd w:val="clear" w:color="auto" w:fill="auto"/>
            <w:vAlign w:val="bottom"/>
          </w:tcPr>
          <w:p w14:paraId="67533D2F" w14:textId="77777777" w:rsidR="001B77DD" w:rsidRDefault="001B77DD">
            <w:pPr>
              <w:rPr>
                <w:rFonts w:ascii="宋体"/>
              </w:rPr>
            </w:pPr>
          </w:p>
        </w:tc>
        <w:tc>
          <w:tcPr>
            <w:tcW w:w="35" w:type="dxa"/>
            <w:shd w:val="clear" w:color="auto" w:fill="auto"/>
            <w:vAlign w:val="bottom"/>
          </w:tcPr>
          <w:p w14:paraId="67533D30" w14:textId="77777777" w:rsidR="001B77DD" w:rsidRDefault="001B77DD">
            <w:pPr>
              <w:rPr>
                <w:rFonts w:ascii="宋体"/>
              </w:rPr>
            </w:pPr>
          </w:p>
        </w:tc>
        <w:tc>
          <w:tcPr>
            <w:tcW w:w="20" w:type="dxa"/>
            <w:shd w:val="clear" w:color="auto" w:fill="auto"/>
            <w:vAlign w:val="bottom"/>
          </w:tcPr>
          <w:p w14:paraId="67533D31" w14:textId="77777777" w:rsidR="001B77DD" w:rsidRDefault="001B77DD">
            <w:pPr>
              <w:rPr>
                <w:rFonts w:ascii="宋体"/>
              </w:rPr>
            </w:pPr>
          </w:p>
        </w:tc>
        <w:tc>
          <w:tcPr>
            <w:tcW w:w="20" w:type="dxa"/>
            <w:shd w:val="clear" w:color="auto" w:fill="auto"/>
            <w:vAlign w:val="bottom"/>
          </w:tcPr>
          <w:p w14:paraId="67533D32" w14:textId="77777777" w:rsidR="001B77DD" w:rsidRDefault="001B77DD">
            <w:pPr>
              <w:rPr>
                <w:rFonts w:ascii="宋体"/>
              </w:rPr>
            </w:pPr>
          </w:p>
        </w:tc>
        <w:tc>
          <w:tcPr>
            <w:tcW w:w="2645" w:type="dxa"/>
            <w:shd w:val="clear" w:color="auto" w:fill="auto"/>
            <w:vAlign w:val="bottom"/>
          </w:tcPr>
          <w:p w14:paraId="67533D33" w14:textId="77777777" w:rsidR="001B77DD" w:rsidRDefault="001B77DD">
            <w:pPr>
              <w:rPr>
                <w:rFonts w:ascii="宋体"/>
              </w:rPr>
            </w:pPr>
          </w:p>
        </w:tc>
        <w:tc>
          <w:tcPr>
            <w:tcW w:w="20" w:type="dxa"/>
            <w:shd w:val="clear" w:color="auto" w:fill="auto"/>
            <w:vAlign w:val="bottom"/>
          </w:tcPr>
          <w:p w14:paraId="67533D34" w14:textId="77777777" w:rsidR="001B77DD" w:rsidRDefault="001B77DD">
            <w:pPr>
              <w:rPr>
                <w:rFonts w:ascii="宋体"/>
              </w:rPr>
            </w:pPr>
          </w:p>
        </w:tc>
      </w:tr>
      <w:tr w:rsidR="001B77DD" w14:paraId="67533D3D" w14:textId="77777777">
        <w:trPr>
          <w:trHeight w:val="300"/>
        </w:trPr>
        <w:tc>
          <w:tcPr>
            <w:tcW w:w="0" w:type="auto"/>
            <w:gridSpan w:val="3"/>
            <w:shd w:val="clear" w:color="auto" w:fill="004A86"/>
            <w:tcMar>
              <w:top w:w="40" w:type="dxa"/>
              <w:left w:w="20" w:type="dxa"/>
              <w:bottom w:w="40" w:type="dxa"/>
              <w:right w:w="20" w:type="dxa"/>
            </w:tcMar>
            <w:vAlign w:val="bottom"/>
          </w:tcPr>
          <w:p w14:paraId="67533D36" w14:textId="77777777" w:rsidR="001B77DD" w:rsidRDefault="00BF0A28">
            <w:pPr>
              <w:textAlignment w:val="bottom"/>
            </w:pPr>
            <w:r>
              <w:rPr>
                <w:rFonts w:ascii="Arial" w:eastAsia="宋体" w:hAnsi="Arial" w:cs="Arial"/>
                <w:color w:val="FFFFFF"/>
                <w:sz w:val="20"/>
                <w:szCs w:val="20"/>
              </w:rPr>
              <w:t>Revenue</w:t>
            </w:r>
          </w:p>
        </w:tc>
        <w:tc>
          <w:tcPr>
            <w:tcW w:w="0" w:type="auto"/>
            <w:gridSpan w:val="3"/>
            <w:shd w:val="clear" w:color="auto" w:fill="auto"/>
            <w:tcMar>
              <w:top w:w="0" w:type="dxa"/>
              <w:left w:w="20" w:type="dxa"/>
              <w:bottom w:w="0" w:type="dxa"/>
              <w:right w:w="20" w:type="dxa"/>
            </w:tcMar>
            <w:vAlign w:val="bottom"/>
          </w:tcPr>
          <w:p w14:paraId="67533D37" w14:textId="77777777" w:rsidR="001B77DD" w:rsidRDefault="001B77DD">
            <w:pPr>
              <w:rPr>
                <w:rFonts w:ascii="宋体"/>
              </w:rPr>
            </w:pPr>
          </w:p>
        </w:tc>
        <w:tc>
          <w:tcPr>
            <w:tcW w:w="0" w:type="auto"/>
            <w:gridSpan w:val="3"/>
            <w:shd w:val="clear" w:color="auto" w:fill="0068B5"/>
            <w:tcMar>
              <w:top w:w="40" w:type="dxa"/>
              <w:left w:w="20" w:type="dxa"/>
              <w:bottom w:w="40" w:type="dxa"/>
              <w:right w:w="20" w:type="dxa"/>
            </w:tcMar>
            <w:vAlign w:val="bottom"/>
          </w:tcPr>
          <w:p w14:paraId="67533D38" w14:textId="77777777" w:rsidR="001B77DD" w:rsidRDefault="00BF0A28">
            <w:pPr>
              <w:textAlignment w:val="bottom"/>
            </w:pPr>
            <w:r>
              <w:rPr>
                <w:rFonts w:ascii="Arial" w:eastAsia="宋体" w:hAnsi="Arial" w:cs="Arial"/>
                <w:color w:val="FFFFFF"/>
                <w:sz w:val="20"/>
                <w:szCs w:val="20"/>
              </w:rPr>
              <w:t>Operating Income</w:t>
            </w:r>
          </w:p>
        </w:tc>
        <w:tc>
          <w:tcPr>
            <w:tcW w:w="0" w:type="auto"/>
            <w:gridSpan w:val="3"/>
            <w:shd w:val="clear" w:color="auto" w:fill="auto"/>
            <w:tcMar>
              <w:top w:w="0" w:type="dxa"/>
              <w:left w:w="20" w:type="dxa"/>
              <w:bottom w:w="0" w:type="dxa"/>
              <w:right w:w="20" w:type="dxa"/>
            </w:tcMar>
            <w:vAlign w:val="bottom"/>
          </w:tcPr>
          <w:p w14:paraId="67533D39" w14:textId="77777777" w:rsidR="001B77DD" w:rsidRDefault="001B77DD">
            <w:pPr>
              <w:rPr>
                <w:rFonts w:ascii="宋体"/>
              </w:rPr>
            </w:pPr>
          </w:p>
        </w:tc>
        <w:tc>
          <w:tcPr>
            <w:tcW w:w="0" w:type="auto"/>
            <w:gridSpan w:val="3"/>
            <w:shd w:val="clear" w:color="auto" w:fill="00A3F6"/>
            <w:tcMar>
              <w:top w:w="40" w:type="dxa"/>
              <w:left w:w="20" w:type="dxa"/>
              <w:bottom w:w="40" w:type="dxa"/>
              <w:right w:w="20" w:type="dxa"/>
            </w:tcMar>
            <w:vAlign w:val="bottom"/>
          </w:tcPr>
          <w:p w14:paraId="67533D3A" w14:textId="77777777" w:rsidR="001B77DD" w:rsidRDefault="00BF0A28">
            <w:pPr>
              <w:textAlignment w:val="bottom"/>
            </w:pPr>
            <w:r>
              <w:rPr>
                <w:rFonts w:ascii="Arial" w:eastAsia="宋体" w:hAnsi="Arial" w:cs="Arial"/>
                <w:color w:val="FFFFFF"/>
                <w:sz w:val="20"/>
                <w:szCs w:val="20"/>
              </w:rPr>
              <w:t>Diluted EPS</w:t>
            </w:r>
          </w:p>
        </w:tc>
        <w:tc>
          <w:tcPr>
            <w:tcW w:w="0" w:type="auto"/>
            <w:gridSpan w:val="3"/>
            <w:shd w:val="clear" w:color="auto" w:fill="auto"/>
            <w:tcMar>
              <w:top w:w="0" w:type="dxa"/>
              <w:left w:w="20" w:type="dxa"/>
              <w:bottom w:w="0" w:type="dxa"/>
              <w:right w:w="20" w:type="dxa"/>
            </w:tcMar>
            <w:vAlign w:val="bottom"/>
          </w:tcPr>
          <w:p w14:paraId="67533D3B" w14:textId="77777777" w:rsidR="001B77DD" w:rsidRDefault="001B77DD">
            <w:pPr>
              <w:rPr>
                <w:rFonts w:ascii="宋体"/>
              </w:rPr>
            </w:pPr>
          </w:p>
        </w:tc>
        <w:tc>
          <w:tcPr>
            <w:tcW w:w="0" w:type="auto"/>
            <w:gridSpan w:val="3"/>
            <w:shd w:val="clear" w:color="auto" w:fill="AEAEAE"/>
            <w:tcMar>
              <w:top w:w="40" w:type="dxa"/>
              <w:left w:w="20" w:type="dxa"/>
              <w:bottom w:w="40" w:type="dxa"/>
              <w:right w:w="20" w:type="dxa"/>
            </w:tcMar>
            <w:vAlign w:val="bottom"/>
          </w:tcPr>
          <w:p w14:paraId="67533D3C" w14:textId="77777777" w:rsidR="001B77DD" w:rsidRDefault="00BF0A28">
            <w:pPr>
              <w:textAlignment w:val="bottom"/>
            </w:pPr>
            <w:r>
              <w:rPr>
                <w:rFonts w:ascii="Arial" w:eastAsia="宋体" w:hAnsi="Arial" w:cs="Arial"/>
                <w:color w:val="FFFFFF"/>
                <w:sz w:val="20"/>
                <w:szCs w:val="20"/>
              </w:rPr>
              <w:t>Cash Flows</w:t>
            </w:r>
          </w:p>
        </w:tc>
      </w:tr>
      <w:tr w:rsidR="001B77DD" w14:paraId="67533D46" w14:textId="77777777">
        <w:trPr>
          <w:trHeight w:val="400"/>
        </w:trPr>
        <w:tc>
          <w:tcPr>
            <w:tcW w:w="0" w:type="auto"/>
            <w:gridSpan w:val="3"/>
            <w:shd w:val="clear" w:color="auto" w:fill="auto"/>
            <w:tcMar>
              <w:top w:w="40" w:type="dxa"/>
              <w:left w:w="20" w:type="dxa"/>
              <w:bottom w:w="40" w:type="dxa"/>
              <w:right w:w="20" w:type="dxa"/>
            </w:tcMar>
            <w:vAlign w:val="center"/>
          </w:tcPr>
          <w:p w14:paraId="67533D3E" w14:textId="77777777" w:rsidR="001B77DD" w:rsidRDefault="00BF0A2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 xml:space="preserve">GAAP $B </w:t>
            </w:r>
            <w:r>
              <w:rPr>
                <w:rFonts w:ascii="Arial" w:eastAsia="宋体" w:hAnsi="Arial" w:cs="Arial"/>
                <w:color w:val="00A3F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Non-GAAP $B</w:t>
            </w:r>
          </w:p>
        </w:tc>
        <w:tc>
          <w:tcPr>
            <w:tcW w:w="0" w:type="auto"/>
            <w:gridSpan w:val="3"/>
            <w:shd w:val="clear" w:color="auto" w:fill="auto"/>
            <w:tcMar>
              <w:top w:w="0" w:type="dxa"/>
              <w:left w:w="20" w:type="dxa"/>
              <w:bottom w:w="0" w:type="dxa"/>
              <w:right w:w="20" w:type="dxa"/>
            </w:tcMar>
            <w:vAlign w:val="bottom"/>
          </w:tcPr>
          <w:p w14:paraId="67533D3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D40" w14:textId="77777777" w:rsidR="001B77DD" w:rsidRDefault="00BF0A2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GAAP $B</w:t>
            </w:r>
            <w:r>
              <w:rPr>
                <w:rFonts w:ascii="Arial" w:eastAsia="宋体" w:hAnsi="Arial" w:cs="Arial"/>
                <w:color w:val="262626"/>
                <w:sz w:val="18"/>
                <w:szCs w:val="18"/>
              </w:rPr>
              <w:t xml:space="preserve"> </w:t>
            </w: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Non-GAAP $B</w:t>
            </w:r>
          </w:p>
        </w:tc>
        <w:tc>
          <w:tcPr>
            <w:tcW w:w="0" w:type="auto"/>
            <w:gridSpan w:val="3"/>
            <w:shd w:val="clear" w:color="auto" w:fill="auto"/>
            <w:tcMar>
              <w:top w:w="0" w:type="dxa"/>
              <w:left w:w="20" w:type="dxa"/>
              <w:bottom w:w="0" w:type="dxa"/>
              <w:right w:w="20" w:type="dxa"/>
            </w:tcMar>
            <w:vAlign w:val="bottom"/>
          </w:tcPr>
          <w:p w14:paraId="67533D4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D42" w14:textId="77777777" w:rsidR="001B77DD" w:rsidRDefault="00BF0A2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GAAP</w:t>
            </w:r>
            <w:r>
              <w:rPr>
                <w:rFonts w:ascii="Arial" w:eastAsia="宋体" w:hAnsi="Arial" w:cs="Arial"/>
                <w:color w:val="262626"/>
                <w:sz w:val="18"/>
                <w:szCs w:val="18"/>
              </w:rPr>
              <w:t xml:space="preserve"> </w:t>
            </w:r>
            <w:r>
              <w:rPr>
                <w:rFonts w:ascii="Arial" w:eastAsia="宋体" w:hAnsi="Arial" w:cs="Arial"/>
                <w:color w:val="00A3F6"/>
                <w:sz w:val="18"/>
                <w:szCs w:val="18"/>
              </w:rPr>
              <w:t xml:space="preserve">■ </w:t>
            </w:r>
            <w:r>
              <w:rPr>
                <w:rFonts w:ascii="Arial" w:eastAsia="宋体" w:hAnsi="Arial" w:cs="Arial"/>
                <w:color w:val="262626"/>
                <w:sz w:val="16"/>
                <w:szCs w:val="16"/>
              </w:rPr>
              <w:t>Non-GAAP</w:t>
            </w:r>
          </w:p>
        </w:tc>
        <w:tc>
          <w:tcPr>
            <w:tcW w:w="0" w:type="auto"/>
            <w:gridSpan w:val="3"/>
            <w:shd w:val="clear" w:color="auto" w:fill="auto"/>
            <w:tcMar>
              <w:top w:w="0" w:type="dxa"/>
              <w:left w:w="20" w:type="dxa"/>
              <w:bottom w:w="0" w:type="dxa"/>
              <w:right w:w="20" w:type="dxa"/>
            </w:tcMar>
            <w:vAlign w:val="bottom"/>
          </w:tcPr>
          <w:p w14:paraId="67533D4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3D44" w14:textId="77777777" w:rsidR="001B77DD" w:rsidRDefault="00BF0A2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Operating Cash Flow $B</w:t>
            </w:r>
          </w:p>
          <w:p w14:paraId="67533D45" w14:textId="77777777" w:rsidR="001B77DD" w:rsidRDefault="00BF0A28">
            <w:pP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262626"/>
                <w:sz w:val="16"/>
                <w:szCs w:val="16"/>
              </w:rPr>
              <w:t>Free Cash Flow</w:t>
            </w:r>
            <w:r>
              <w:rPr>
                <w:rFonts w:ascii="Arial" w:eastAsia="宋体" w:hAnsi="Arial" w:cs="Arial"/>
                <w:color w:val="000000"/>
                <w:sz w:val="11"/>
                <w:szCs w:val="11"/>
              </w:rPr>
              <w:t>2</w:t>
            </w:r>
            <w:r>
              <w:rPr>
                <w:rFonts w:ascii="Arial" w:eastAsia="宋体" w:hAnsi="Arial" w:cs="Arial"/>
                <w:color w:val="262626"/>
                <w:sz w:val="16"/>
                <w:szCs w:val="16"/>
              </w:rPr>
              <w:t xml:space="preserve"> $B</w:t>
            </w:r>
          </w:p>
        </w:tc>
      </w:tr>
    </w:tbl>
    <w:p w14:paraId="67533D47"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94" wp14:editId="67538D95">
            <wp:extent cx="304800" cy="304800"/>
            <wp:effectExtent l="0" t="0" r="0" b="0"/>
            <wp:docPr id="238" name="图片 4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44"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Viewer4_files/intc-202112</w:instrText>
      </w:r>
      <w:r>
        <w:rPr>
          <w:rFonts w:ascii="宋体" w:eastAsia="宋体" w:hAnsi="宋体" w:cs="宋体"/>
        </w:rPr>
        <w:instrText xml:space="preserve">25_g7.jpg"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96" wp14:editId="67538D97">
            <wp:extent cx="304800" cy="304800"/>
            <wp:effectExtent l="0" t="0" r="0" b="0"/>
            <wp:docPr id="241" name="图片 4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45"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98" wp14:editId="67538D99">
            <wp:extent cx="304800" cy="304800"/>
            <wp:effectExtent l="0" t="0" r="0" b="0"/>
            <wp:docPr id="253" name="图片 4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46"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w:instrText>
      </w:r>
      <w:r>
        <w:rPr>
          <w:rFonts w:ascii="宋体" w:eastAsia="宋体" w:hAnsi="宋体" w:cs="宋体"/>
        </w:rPr>
        <w:instrText xml:space="preserve">ine XBRL Viewer4_files/intc-20211225_g9.jpg"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9A" wp14:editId="67538D9B">
            <wp:extent cx="304800" cy="304800"/>
            <wp:effectExtent l="0" t="0" r="0" b="0"/>
            <wp:docPr id="256" name="图片 4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47"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7"/>
        <w:gridCol w:w="1177"/>
        <w:gridCol w:w="38"/>
        <w:gridCol w:w="38"/>
        <w:gridCol w:w="1178"/>
        <w:gridCol w:w="38"/>
        <w:gridCol w:w="36"/>
        <w:gridCol w:w="36"/>
        <w:gridCol w:w="36"/>
        <w:gridCol w:w="44"/>
        <w:gridCol w:w="1392"/>
        <w:gridCol w:w="44"/>
        <w:gridCol w:w="37"/>
        <w:gridCol w:w="37"/>
        <w:gridCol w:w="37"/>
        <w:gridCol w:w="44"/>
        <w:gridCol w:w="1388"/>
        <w:gridCol w:w="44"/>
        <w:gridCol w:w="36"/>
        <w:gridCol w:w="36"/>
        <w:gridCol w:w="36"/>
        <w:gridCol w:w="40"/>
        <w:gridCol w:w="1013"/>
        <w:gridCol w:w="40"/>
        <w:gridCol w:w="37"/>
        <w:gridCol w:w="37"/>
        <w:gridCol w:w="37"/>
        <w:gridCol w:w="40"/>
        <w:gridCol w:w="1022"/>
        <w:gridCol w:w="40"/>
        <w:gridCol w:w="36"/>
        <w:gridCol w:w="36"/>
        <w:gridCol w:w="36"/>
        <w:gridCol w:w="40"/>
        <w:gridCol w:w="1263"/>
        <w:gridCol w:w="40"/>
        <w:gridCol w:w="38"/>
        <w:gridCol w:w="38"/>
        <w:gridCol w:w="38"/>
        <w:gridCol w:w="40"/>
        <w:gridCol w:w="1240"/>
        <w:gridCol w:w="40"/>
      </w:tblGrid>
      <w:tr w:rsidR="001B77DD" w14:paraId="67533D72" w14:textId="77777777">
        <w:tc>
          <w:tcPr>
            <w:tcW w:w="20" w:type="dxa"/>
            <w:shd w:val="clear" w:color="auto" w:fill="auto"/>
            <w:vAlign w:val="bottom"/>
          </w:tcPr>
          <w:p w14:paraId="67533D48" w14:textId="77777777" w:rsidR="001B77DD" w:rsidRDefault="001B77DD">
            <w:pPr>
              <w:rPr>
                <w:rFonts w:ascii="宋体"/>
              </w:rPr>
            </w:pPr>
          </w:p>
        </w:tc>
        <w:tc>
          <w:tcPr>
            <w:tcW w:w="1295" w:type="dxa"/>
            <w:shd w:val="clear" w:color="auto" w:fill="auto"/>
            <w:vAlign w:val="bottom"/>
          </w:tcPr>
          <w:p w14:paraId="67533D49" w14:textId="77777777" w:rsidR="001B77DD" w:rsidRDefault="001B77DD">
            <w:pPr>
              <w:rPr>
                <w:rFonts w:ascii="宋体"/>
              </w:rPr>
            </w:pPr>
          </w:p>
        </w:tc>
        <w:tc>
          <w:tcPr>
            <w:tcW w:w="20" w:type="dxa"/>
            <w:shd w:val="clear" w:color="auto" w:fill="auto"/>
            <w:vAlign w:val="bottom"/>
          </w:tcPr>
          <w:p w14:paraId="67533D4A" w14:textId="77777777" w:rsidR="001B77DD" w:rsidRDefault="001B77DD">
            <w:pPr>
              <w:rPr>
                <w:rFonts w:ascii="宋体"/>
              </w:rPr>
            </w:pPr>
          </w:p>
        </w:tc>
        <w:tc>
          <w:tcPr>
            <w:tcW w:w="20" w:type="dxa"/>
            <w:shd w:val="clear" w:color="auto" w:fill="auto"/>
            <w:vAlign w:val="bottom"/>
          </w:tcPr>
          <w:p w14:paraId="67533D4B" w14:textId="77777777" w:rsidR="001B77DD" w:rsidRDefault="001B77DD">
            <w:pPr>
              <w:rPr>
                <w:rFonts w:ascii="宋体"/>
              </w:rPr>
            </w:pPr>
          </w:p>
        </w:tc>
        <w:tc>
          <w:tcPr>
            <w:tcW w:w="1325" w:type="dxa"/>
            <w:shd w:val="clear" w:color="auto" w:fill="auto"/>
            <w:vAlign w:val="bottom"/>
          </w:tcPr>
          <w:p w14:paraId="67533D4C" w14:textId="77777777" w:rsidR="001B77DD" w:rsidRDefault="001B77DD">
            <w:pPr>
              <w:rPr>
                <w:rFonts w:ascii="宋体"/>
              </w:rPr>
            </w:pPr>
          </w:p>
        </w:tc>
        <w:tc>
          <w:tcPr>
            <w:tcW w:w="20" w:type="dxa"/>
            <w:shd w:val="clear" w:color="auto" w:fill="auto"/>
            <w:vAlign w:val="bottom"/>
          </w:tcPr>
          <w:p w14:paraId="67533D4D" w14:textId="77777777" w:rsidR="001B77DD" w:rsidRDefault="001B77DD">
            <w:pPr>
              <w:rPr>
                <w:rFonts w:ascii="宋体"/>
              </w:rPr>
            </w:pPr>
          </w:p>
        </w:tc>
        <w:tc>
          <w:tcPr>
            <w:tcW w:w="20" w:type="dxa"/>
            <w:shd w:val="clear" w:color="auto" w:fill="auto"/>
            <w:vAlign w:val="bottom"/>
          </w:tcPr>
          <w:p w14:paraId="67533D4E" w14:textId="77777777" w:rsidR="001B77DD" w:rsidRDefault="001B77DD">
            <w:pPr>
              <w:rPr>
                <w:rFonts w:ascii="宋体"/>
              </w:rPr>
            </w:pPr>
          </w:p>
        </w:tc>
        <w:tc>
          <w:tcPr>
            <w:tcW w:w="35" w:type="dxa"/>
            <w:shd w:val="clear" w:color="auto" w:fill="auto"/>
            <w:vAlign w:val="bottom"/>
          </w:tcPr>
          <w:p w14:paraId="67533D4F" w14:textId="77777777" w:rsidR="001B77DD" w:rsidRDefault="001B77DD">
            <w:pPr>
              <w:rPr>
                <w:rFonts w:ascii="宋体"/>
              </w:rPr>
            </w:pPr>
          </w:p>
        </w:tc>
        <w:tc>
          <w:tcPr>
            <w:tcW w:w="20" w:type="dxa"/>
            <w:shd w:val="clear" w:color="auto" w:fill="auto"/>
            <w:vAlign w:val="bottom"/>
          </w:tcPr>
          <w:p w14:paraId="67533D50" w14:textId="77777777" w:rsidR="001B77DD" w:rsidRDefault="001B77DD">
            <w:pPr>
              <w:rPr>
                <w:rFonts w:ascii="宋体"/>
              </w:rPr>
            </w:pPr>
          </w:p>
        </w:tc>
        <w:tc>
          <w:tcPr>
            <w:tcW w:w="20" w:type="dxa"/>
            <w:shd w:val="clear" w:color="auto" w:fill="auto"/>
            <w:vAlign w:val="bottom"/>
          </w:tcPr>
          <w:p w14:paraId="67533D51" w14:textId="77777777" w:rsidR="001B77DD" w:rsidRDefault="001B77DD">
            <w:pPr>
              <w:rPr>
                <w:rFonts w:ascii="宋体"/>
              </w:rPr>
            </w:pPr>
          </w:p>
        </w:tc>
        <w:tc>
          <w:tcPr>
            <w:tcW w:w="1265" w:type="dxa"/>
            <w:shd w:val="clear" w:color="auto" w:fill="auto"/>
            <w:vAlign w:val="bottom"/>
          </w:tcPr>
          <w:p w14:paraId="67533D52" w14:textId="77777777" w:rsidR="001B77DD" w:rsidRDefault="001B77DD">
            <w:pPr>
              <w:rPr>
                <w:rFonts w:ascii="宋体"/>
              </w:rPr>
            </w:pPr>
          </w:p>
        </w:tc>
        <w:tc>
          <w:tcPr>
            <w:tcW w:w="20" w:type="dxa"/>
            <w:shd w:val="clear" w:color="auto" w:fill="auto"/>
            <w:vAlign w:val="bottom"/>
          </w:tcPr>
          <w:p w14:paraId="67533D53" w14:textId="77777777" w:rsidR="001B77DD" w:rsidRDefault="001B77DD">
            <w:pPr>
              <w:rPr>
                <w:rFonts w:ascii="宋体"/>
              </w:rPr>
            </w:pPr>
          </w:p>
        </w:tc>
        <w:tc>
          <w:tcPr>
            <w:tcW w:w="20" w:type="dxa"/>
            <w:shd w:val="clear" w:color="auto" w:fill="auto"/>
            <w:vAlign w:val="bottom"/>
          </w:tcPr>
          <w:p w14:paraId="67533D54" w14:textId="77777777" w:rsidR="001B77DD" w:rsidRDefault="001B77DD">
            <w:pPr>
              <w:rPr>
                <w:rFonts w:ascii="宋体"/>
              </w:rPr>
            </w:pPr>
          </w:p>
        </w:tc>
        <w:tc>
          <w:tcPr>
            <w:tcW w:w="35" w:type="dxa"/>
            <w:shd w:val="clear" w:color="auto" w:fill="auto"/>
            <w:vAlign w:val="bottom"/>
          </w:tcPr>
          <w:p w14:paraId="67533D55" w14:textId="77777777" w:rsidR="001B77DD" w:rsidRDefault="001B77DD">
            <w:pPr>
              <w:rPr>
                <w:rFonts w:ascii="宋体"/>
              </w:rPr>
            </w:pPr>
          </w:p>
        </w:tc>
        <w:tc>
          <w:tcPr>
            <w:tcW w:w="20" w:type="dxa"/>
            <w:shd w:val="clear" w:color="auto" w:fill="auto"/>
            <w:vAlign w:val="bottom"/>
          </w:tcPr>
          <w:p w14:paraId="67533D56" w14:textId="77777777" w:rsidR="001B77DD" w:rsidRDefault="001B77DD">
            <w:pPr>
              <w:rPr>
                <w:rFonts w:ascii="宋体"/>
              </w:rPr>
            </w:pPr>
          </w:p>
        </w:tc>
        <w:tc>
          <w:tcPr>
            <w:tcW w:w="20" w:type="dxa"/>
            <w:shd w:val="clear" w:color="auto" w:fill="auto"/>
            <w:vAlign w:val="bottom"/>
          </w:tcPr>
          <w:p w14:paraId="67533D57" w14:textId="77777777" w:rsidR="001B77DD" w:rsidRDefault="001B77DD">
            <w:pPr>
              <w:rPr>
                <w:rFonts w:ascii="宋体"/>
              </w:rPr>
            </w:pPr>
          </w:p>
        </w:tc>
        <w:tc>
          <w:tcPr>
            <w:tcW w:w="1265" w:type="dxa"/>
            <w:shd w:val="clear" w:color="auto" w:fill="auto"/>
            <w:vAlign w:val="bottom"/>
          </w:tcPr>
          <w:p w14:paraId="67533D58" w14:textId="77777777" w:rsidR="001B77DD" w:rsidRDefault="001B77DD">
            <w:pPr>
              <w:rPr>
                <w:rFonts w:ascii="宋体"/>
              </w:rPr>
            </w:pPr>
          </w:p>
        </w:tc>
        <w:tc>
          <w:tcPr>
            <w:tcW w:w="20" w:type="dxa"/>
            <w:shd w:val="clear" w:color="auto" w:fill="auto"/>
            <w:vAlign w:val="bottom"/>
          </w:tcPr>
          <w:p w14:paraId="67533D59" w14:textId="77777777" w:rsidR="001B77DD" w:rsidRDefault="001B77DD">
            <w:pPr>
              <w:rPr>
                <w:rFonts w:ascii="宋体"/>
              </w:rPr>
            </w:pPr>
          </w:p>
        </w:tc>
        <w:tc>
          <w:tcPr>
            <w:tcW w:w="20" w:type="dxa"/>
            <w:shd w:val="clear" w:color="auto" w:fill="auto"/>
            <w:vAlign w:val="bottom"/>
          </w:tcPr>
          <w:p w14:paraId="67533D5A" w14:textId="77777777" w:rsidR="001B77DD" w:rsidRDefault="001B77DD">
            <w:pPr>
              <w:rPr>
                <w:rFonts w:ascii="宋体"/>
              </w:rPr>
            </w:pPr>
          </w:p>
        </w:tc>
        <w:tc>
          <w:tcPr>
            <w:tcW w:w="35" w:type="dxa"/>
            <w:shd w:val="clear" w:color="auto" w:fill="auto"/>
            <w:vAlign w:val="bottom"/>
          </w:tcPr>
          <w:p w14:paraId="67533D5B" w14:textId="77777777" w:rsidR="001B77DD" w:rsidRDefault="001B77DD">
            <w:pPr>
              <w:rPr>
                <w:rFonts w:ascii="宋体"/>
              </w:rPr>
            </w:pPr>
          </w:p>
        </w:tc>
        <w:tc>
          <w:tcPr>
            <w:tcW w:w="20" w:type="dxa"/>
            <w:shd w:val="clear" w:color="auto" w:fill="auto"/>
            <w:vAlign w:val="bottom"/>
          </w:tcPr>
          <w:p w14:paraId="67533D5C" w14:textId="77777777" w:rsidR="001B77DD" w:rsidRDefault="001B77DD">
            <w:pPr>
              <w:rPr>
                <w:rFonts w:ascii="宋体"/>
              </w:rPr>
            </w:pPr>
          </w:p>
        </w:tc>
        <w:tc>
          <w:tcPr>
            <w:tcW w:w="20" w:type="dxa"/>
            <w:shd w:val="clear" w:color="auto" w:fill="auto"/>
            <w:vAlign w:val="bottom"/>
          </w:tcPr>
          <w:p w14:paraId="67533D5D" w14:textId="77777777" w:rsidR="001B77DD" w:rsidRDefault="001B77DD">
            <w:pPr>
              <w:rPr>
                <w:rFonts w:ascii="宋体"/>
              </w:rPr>
            </w:pPr>
          </w:p>
        </w:tc>
        <w:tc>
          <w:tcPr>
            <w:tcW w:w="1265" w:type="dxa"/>
            <w:shd w:val="clear" w:color="auto" w:fill="auto"/>
            <w:vAlign w:val="bottom"/>
          </w:tcPr>
          <w:p w14:paraId="67533D5E" w14:textId="77777777" w:rsidR="001B77DD" w:rsidRDefault="001B77DD">
            <w:pPr>
              <w:rPr>
                <w:rFonts w:ascii="宋体"/>
              </w:rPr>
            </w:pPr>
          </w:p>
        </w:tc>
        <w:tc>
          <w:tcPr>
            <w:tcW w:w="20" w:type="dxa"/>
            <w:shd w:val="clear" w:color="auto" w:fill="auto"/>
            <w:vAlign w:val="bottom"/>
          </w:tcPr>
          <w:p w14:paraId="67533D5F" w14:textId="77777777" w:rsidR="001B77DD" w:rsidRDefault="001B77DD">
            <w:pPr>
              <w:rPr>
                <w:rFonts w:ascii="宋体"/>
              </w:rPr>
            </w:pPr>
          </w:p>
        </w:tc>
        <w:tc>
          <w:tcPr>
            <w:tcW w:w="20" w:type="dxa"/>
            <w:shd w:val="clear" w:color="auto" w:fill="auto"/>
            <w:vAlign w:val="bottom"/>
          </w:tcPr>
          <w:p w14:paraId="67533D60" w14:textId="77777777" w:rsidR="001B77DD" w:rsidRDefault="001B77DD">
            <w:pPr>
              <w:rPr>
                <w:rFonts w:ascii="宋体"/>
              </w:rPr>
            </w:pPr>
          </w:p>
        </w:tc>
        <w:tc>
          <w:tcPr>
            <w:tcW w:w="35" w:type="dxa"/>
            <w:shd w:val="clear" w:color="auto" w:fill="auto"/>
            <w:vAlign w:val="bottom"/>
          </w:tcPr>
          <w:p w14:paraId="67533D61" w14:textId="77777777" w:rsidR="001B77DD" w:rsidRDefault="001B77DD">
            <w:pPr>
              <w:rPr>
                <w:rFonts w:ascii="宋体"/>
              </w:rPr>
            </w:pPr>
          </w:p>
        </w:tc>
        <w:tc>
          <w:tcPr>
            <w:tcW w:w="20" w:type="dxa"/>
            <w:shd w:val="clear" w:color="auto" w:fill="auto"/>
            <w:vAlign w:val="bottom"/>
          </w:tcPr>
          <w:p w14:paraId="67533D62" w14:textId="77777777" w:rsidR="001B77DD" w:rsidRDefault="001B77DD">
            <w:pPr>
              <w:rPr>
                <w:rFonts w:ascii="宋体"/>
              </w:rPr>
            </w:pPr>
          </w:p>
        </w:tc>
        <w:tc>
          <w:tcPr>
            <w:tcW w:w="20" w:type="dxa"/>
            <w:shd w:val="clear" w:color="auto" w:fill="auto"/>
            <w:vAlign w:val="bottom"/>
          </w:tcPr>
          <w:p w14:paraId="67533D63" w14:textId="77777777" w:rsidR="001B77DD" w:rsidRDefault="001B77DD">
            <w:pPr>
              <w:rPr>
                <w:rFonts w:ascii="宋体"/>
              </w:rPr>
            </w:pPr>
          </w:p>
        </w:tc>
        <w:tc>
          <w:tcPr>
            <w:tcW w:w="1265" w:type="dxa"/>
            <w:shd w:val="clear" w:color="auto" w:fill="auto"/>
            <w:vAlign w:val="bottom"/>
          </w:tcPr>
          <w:p w14:paraId="67533D64" w14:textId="77777777" w:rsidR="001B77DD" w:rsidRDefault="001B77DD">
            <w:pPr>
              <w:rPr>
                <w:rFonts w:ascii="宋体"/>
              </w:rPr>
            </w:pPr>
          </w:p>
        </w:tc>
        <w:tc>
          <w:tcPr>
            <w:tcW w:w="20" w:type="dxa"/>
            <w:shd w:val="clear" w:color="auto" w:fill="auto"/>
            <w:vAlign w:val="bottom"/>
          </w:tcPr>
          <w:p w14:paraId="67533D65" w14:textId="77777777" w:rsidR="001B77DD" w:rsidRDefault="001B77DD">
            <w:pPr>
              <w:rPr>
                <w:rFonts w:ascii="宋体"/>
              </w:rPr>
            </w:pPr>
          </w:p>
        </w:tc>
        <w:tc>
          <w:tcPr>
            <w:tcW w:w="20" w:type="dxa"/>
            <w:shd w:val="clear" w:color="auto" w:fill="auto"/>
            <w:vAlign w:val="bottom"/>
          </w:tcPr>
          <w:p w14:paraId="67533D66" w14:textId="77777777" w:rsidR="001B77DD" w:rsidRDefault="001B77DD">
            <w:pPr>
              <w:rPr>
                <w:rFonts w:ascii="宋体"/>
              </w:rPr>
            </w:pPr>
          </w:p>
        </w:tc>
        <w:tc>
          <w:tcPr>
            <w:tcW w:w="35" w:type="dxa"/>
            <w:shd w:val="clear" w:color="auto" w:fill="auto"/>
            <w:vAlign w:val="bottom"/>
          </w:tcPr>
          <w:p w14:paraId="67533D67" w14:textId="77777777" w:rsidR="001B77DD" w:rsidRDefault="001B77DD">
            <w:pPr>
              <w:rPr>
                <w:rFonts w:ascii="宋体"/>
              </w:rPr>
            </w:pPr>
          </w:p>
        </w:tc>
        <w:tc>
          <w:tcPr>
            <w:tcW w:w="20" w:type="dxa"/>
            <w:shd w:val="clear" w:color="auto" w:fill="auto"/>
            <w:vAlign w:val="bottom"/>
          </w:tcPr>
          <w:p w14:paraId="67533D68" w14:textId="77777777" w:rsidR="001B77DD" w:rsidRDefault="001B77DD">
            <w:pPr>
              <w:rPr>
                <w:rFonts w:ascii="宋体"/>
              </w:rPr>
            </w:pPr>
          </w:p>
        </w:tc>
        <w:tc>
          <w:tcPr>
            <w:tcW w:w="20" w:type="dxa"/>
            <w:shd w:val="clear" w:color="auto" w:fill="auto"/>
            <w:vAlign w:val="bottom"/>
          </w:tcPr>
          <w:p w14:paraId="67533D69" w14:textId="77777777" w:rsidR="001B77DD" w:rsidRDefault="001B77DD">
            <w:pPr>
              <w:rPr>
                <w:rFonts w:ascii="宋体"/>
              </w:rPr>
            </w:pPr>
          </w:p>
        </w:tc>
        <w:tc>
          <w:tcPr>
            <w:tcW w:w="1265" w:type="dxa"/>
            <w:shd w:val="clear" w:color="auto" w:fill="auto"/>
            <w:vAlign w:val="bottom"/>
          </w:tcPr>
          <w:p w14:paraId="67533D6A" w14:textId="77777777" w:rsidR="001B77DD" w:rsidRDefault="001B77DD">
            <w:pPr>
              <w:rPr>
                <w:rFonts w:ascii="宋体"/>
              </w:rPr>
            </w:pPr>
          </w:p>
        </w:tc>
        <w:tc>
          <w:tcPr>
            <w:tcW w:w="20" w:type="dxa"/>
            <w:shd w:val="clear" w:color="auto" w:fill="auto"/>
            <w:vAlign w:val="bottom"/>
          </w:tcPr>
          <w:p w14:paraId="67533D6B" w14:textId="77777777" w:rsidR="001B77DD" w:rsidRDefault="001B77DD">
            <w:pPr>
              <w:rPr>
                <w:rFonts w:ascii="宋体"/>
              </w:rPr>
            </w:pPr>
          </w:p>
        </w:tc>
        <w:tc>
          <w:tcPr>
            <w:tcW w:w="20" w:type="dxa"/>
            <w:shd w:val="clear" w:color="auto" w:fill="auto"/>
            <w:vAlign w:val="bottom"/>
          </w:tcPr>
          <w:p w14:paraId="67533D6C" w14:textId="77777777" w:rsidR="001B77DD" w:rsidRDefault="001B77DD">
            <w:pPr>
              <w:rPr>
                <w:rFonts w:ascii="宋体"/>
              </w:rPr>
            </w:pPr>
          </w:p>
        </w:tc>
        <w:tc>
          <w:tcPr>
            <w:tcW w:w="35" w:type="dxa"/>
            <w:shd w:val="clear" w:color="auto" w:fill="auto"/>
            <w:vAlign w:val="bottom"/>
          </w:tcPr>
          <w:p w14:paraId="67533D6D" w14:textId="77777777" w:rsidR="001B77DD" w:rsidRDefault="001B77DD">
            <w:pPr>
              <w:rPr>
                <w:rFonts w:ascii="宋体"/>
              </w:rPr>
            </w:pPr>
          </w:p>
        </w:tc>
        <w:tc>
          <w:tcPr>
            <w:tcW w:w="20" w:type="dxa"/>
            <w:shd w:val="clear" w:color="auto" w:fill="auto"/>
            <w:vAlign w:val="bottom"/>
          </w:tcPr>
          <w:p w14:paraId="67533D6E" w14:textId="77777777" w:rsidR="001B77DD" w:rsidRDefault="001B77DD">
            <w:pPr>
              <w:rPr>
                <w:rFonts w:ascii="宋体"/>
              </w:rPr>
            </w:pPr>
          </w:p>
        </w:tc>
        <w:tc>
          <w:tcPr>
            <w:tcW w:w="20" w:type="dxa"/>
            <w:shd w:val="clear" w:color="auto" w:fill="auto"/>
            <w:vAlign w:val="bottom"/>
          </w:tcPr>
          <w:p w14:paraId="67533D6F" w14:textId="77777777" w:rsidR="001B77DD" w:rsidRDefault="001B77DD">
            <w:pPr>
              <w:rPr>
                <w:rFonts w:ascii="宋体"/>
              </w:rPr>
            </w:pPr>
          </w:p>
        </w:tc>
        <w:tc>
          <w:tcPr>
            <w:tcW w:w="1265" w:type="dxa"/>
            <w:shd w:val="clear" w:color="auto" w:fill="auto"/>
            <w:vAlign w:val="bottom"/>
          </w:tcPr>
          <w:p w14:paraId="67533D70" w14:textId="77777777" w:rsidR="001B77DD" w:rsidRDefault="001B77DD">
            <w:pPr>
              <w:rPr>
                <w:rFonts w:ascii="宋体"/>
              </w:rPr>
            </w:pPr>
          </w:p>
        </w:tc>
        <w:tc>
          <w:tcPr>
            <w:tcW w:w="20" w:type="dxa"/>
            <w:shd w:val="clear" w:color="auto" w:fill="auto"/>
            <w:vAlign w:val="bottom"/>
          </w:tcPr>
          <w:p w14:paraId="67533D71" w14:textId="77777777" w:rsidR="001B77DD" w:rsidRDefault="001B77DD">
            <w:pPr>
              <w:rPr>
                <w:rFonts w:ascii="宋体"/>
              </w:rPr>
            </w:pPr>
          </w:p>
        </w:tc>
      </w:tr>
      <w:tr w:rsidR="001B77DD" w14:paraId="67533D7A" w14:textId="77777777">
        <w:trPr>
          <w:trHeight w:val="100"/>
        </w:trPr>
        <w:tc>
          <w:tcPr>
            <w:tcW w:w="0" w:type="auto"/>
            <w:gridSpan w:val="6"/>
            <w:shd w:val="clear" w:color="auto" w:fill="004A86"/>
            <w:tcMar>
              <w:top w:w="0" w:type="dxa"/>
              <w:left w:w="20" w:type="dxa"/>
              <w:bottom w:w="0" w:type="dxa"/>
              <w:right w:w="20" w:type="dxa"/>
            </w:tcMar>
            <w:vAlign w:val="bottom"/>
          </w:tcPr>
          <w:p w14:paraId="67533D7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D74" w14:textId="77777777" w:rsidR="001B77DD" w:rsidRDefault="001B77DD">
            <w:pPr>
              <w:rPr>
                <w:rFonts w:ascii="宋体"/>
              </w:rPr>
            </w:pPr>
          </w:p>
        </w:tc>
        <w:tc>
          <w:tcPr>
            <w:tcW w:w="0" w:type="auto"/>
            <w:gridSpan w:val="9"/>
            <w:shd w:val="clear" w:color="auto" w:fill="0068B5"/>
            <w:tcMar>
              <w:top w:w="0" w:type="dxa"/>
              <w:left w:w="20" w:type="dxa"/>
              <w:bottom w:w="0" w:type="dxa"/>
              <w:right w:w="20" w:type="dxa"/>
            </w:tcMar>
            <w:vAlign w:val="bottom"/>
          </w:tcPr>
          <w:p w14:paraId="67533D7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D76" w14:textId="77777777" w:rsidR="001B77DD" w:rsidRDefault="001B77DD">
            <w:pPr>
              <w:rPr>
                <w:rFonts w:ascii="宋体"/>
              </w:rPr>
            </w:pPr>
          </w:p>
        </w:tc>
        <w:tc>
          <w:tcPr>
            <w:tcW w:w="0" w:type="auto"/>
            <w:gridSpan w:val="9"/>
            <w:shd w:val="clear" w:color="auto" w:fill="00A3F6"/>
            <w:tcMar>
              <w:top w:w="0" w:type="dxa"/>
              <w:left w:w="20" w:type="dxa"/>
              <w:bottom w:w="0" w:type="dxa"/>
              <w:right w:w="20" w:type="dxa"/>
            </w:tcMar>
            <w:vAlign w:val="bottom"/>
          </w:tcPr>
          <w:p w14:paraId="67533D7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D78" w14:textId="77777777" w:rsidR="001B77DD" w:rsidRDefault="001B77DD">
            <w:pPr>
              <w:rPr>
                <w:rFonts w:ascii="宋体"/>
              </w:rPr>
            </w:pPr>
          </w:p>
        </w:tc>
        <w:tc>
          <w:tcPr>
            <w:tcW w:w="0" w:type="auto"/>
            <w:gridSpan w:val="9"/>
            <w:shd w:val="clear" w:color="auto" w:fill="AEAEAE"/>
            <w:tcMar>
              <w:top w:w="0" w:type="dxa"/>
              <w:left w:w="20" w:type="dxa"/>
              <w:bottom w:w="0" w:type="dxa"/>
              <w:right w:w="20" w:type="dxa"/>
            </w:tcMar>
            <w:vAlign w:val="bottom"/>
          </w:tcPr>
          <w:p w14:paraId="67533D79" w14:textId="77777777" w:rsidR="001B77DD" w:rsidRDefault="001B77DD">
            <w:pPr>
              <w:rPr>
                <w:rFonts w:ascii="宋体"/>
              </w:rPr>
            </w:pPr>
          </w:p>
        </w:tc>
      </w:tr>
      <w:tr w:rsidR="001B77DD" w14:paraId="67533D89" w14:textId="77777777">
        <w:trPr>
          <w:trHeight w:val="180"/>
        </w:trPr>
        <w:tc>
          <w:tcPr>
            <w:tcW w:w="0" w:type="auto"/>
            <w:gridSpan w:val="3"/>
            <w:vMerge w:val="restart"/>
            <w:shd w:val="clear" w:color="auto" w:fill="auto"/>
            <w:tcMar>
              <w:top w:w="40" w:type="dxa"/>
              <w:left w:w="20" w:type="dxa"/>
              <w:bottom w:w="40" w:type="dxa"/>
              <w:right w:w="20" w:type="dxa"/>
            </w:tcMar>
          </w:tcPr>
          <w:p w14:paraId="67533D7B" w14:textId="77777777" w:rsidR="001B77DD" w:rsidRDefault="00BF0A28">
            <w:pPr>
              <w:textAlignment w:val="top"/>
            </w:pPr>
            <w:r>
              <w:rPr>
                <w:rFonts w:ascii="Arial" w:eastAsia="宋体" w:hAnsi="Arial" w:cs="Arial"/>
                <w:color w:val="004A86"/>
                <w:sz w:val="36"/>
                <w:szCs w:val="36"/>
              </w:rPr>
              <w:t>$79.0B</w:t>
            </w:r>
          </w:p>
        </w:tc>
        <w:tc>
          <w:tcPr>
            <w:tcW w:w="0" w:type="auto"/>
            <w:gridSpan w:val="3"/>
            <w:vMerge w:val="restart"/>
            <w:shd w:val="clear" w:color="auto" w:fill="auto"/>
            <w:tcMar>
              <w:top w:w="40" w:type="dxa"/>
              <w:left w:w="20" w:type="dxa"/>
              <w:bottom w:w="40" w:type="dxa"/>
              <w:right w:w="20" w:type="dxa"/>
            </w:tcMar>
          </w:tcPr>
          <w:p w14:paraId="67533D7C" w14:textId="77777777" w:rsidR="001B77DD" w:rsidRDefault="00BF0A28">
            <w:pPr>
              <w:textAlignment w:val="top"/>
            </w:pPr>
            <w:r>
              <w:rPr>
                <w:rFonts w:ascii="Arial" w:eastAsia="宋体" w:hAnsi="Arial" w:cs="Arial"/>
                <w:color w:val="0068B5"/>
                <w:sz w:val="36"/>
                <w:szCs w:val="36"/>
              </w:rPr>
              <w:t>$74.7B</w:t>
            </w:r>
          </w:p>
        </w:tc>
        <w:tc>
          <w:tcPr>
            <w:tcW w:w="0" w:type="auto"/>
            <w:gridSpan w:val="3"/>
            <w:shd w:val="clear" w:color="auto" w:fill="auto"/>
            <w:tcMar>
              <w:top w:w="0" w:type="dxa"/>
              <w:left w:w="20" w:type="dxa"/>
              <w:bottom w:w="0" w:type="dxa"/>
              <w:right w:w="20" w:type="dxa"/>
            </w:tcMar>
            <w:vAlign w:val="bottom"/>
          </w:tcPr>
          <w:p w14:paraId="67533D7D"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tcPr>
          <w:p w14:paraId="67533D7E" w14:textId="77777777" w:rsidR="001B77DD" w:rsidRDefault="00BF0A28">
            <w:pPr>
              <w:textAlignment w:val="top"/>
            </w:pPr>
            <w:r>
              <w:rPr>
                <w:rFonts w:ascii="Arial" w:eastAsia="宋体" w:hAnsi="Arial" w:cs="Arial"/>
                <w:color w:val="004A86"/>
                <w:sz w:val="36"/>
                <w:szCs w:val="36"/>
              </w:rPr>
              <w:t>$19.5B</w:t>
            </w:r>
          </w:p>
        </w:tc>
        <w:tc>
          <w:tcPr>
            <w:tcW w:w="0" w:type="auto"/>
            <w:gridSpan w:val="3"/>
            <w:vMerge w:val="restart"/>
            <w:shd w:val="clear" w:color="auto" w:fill="auto"/>
            <w:tcMar>
              <w:top w:w="0" w:type="dxa"/>
              <w:left w:w="20" w:type="dxa"/>
              <w:bottom w:w="0" w:type="dxa"/>
              <w:right w:w="20" w:type="dxa"/>
            </w:tcMar>
            <w:vAlign w:val="bottom"/>
          </w:tcPr>
          <w:p w14:paraId="67533D7F"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tcPr>
          <w:p w14:paraId="67533D80" w14:textId="77777777" w:rsidR="001B77DD" w:rsidRDefault="00BF0A28">
            <w:pPr>
              <w:textAlignment w:val="top"/>
            </w:pPr>
            <w:r>
              <w:rPr>
                <w:rFonts w:ascii="Arial" w:eastAsia="宋体" w:hAnsi="Arial" w:cs="Arial"/>
                <w:color w:val="0068B5"/>
                <w:sz w:val="36"/>
                <w:szCs w:val="36"/>
              </w:rPr>
              <w:t>$22.2B</w:t>
            </w:r>
          </w:p>
        </w:tc>
        <w:tc>
          <w:tcPr>
            <w:tcW w:w="0" w:type="auto"/>
            <w:gridSpan w:val="3"/>
            <w:shd w:val="clear" w:color="auto" w:fill="auto"/>
            <w:tcMar>
              <w:top w:w="0" w:type="dxa"/>
              <w:left w:w="20" w:type="dxa"/>
              <w:bottom w:w="0" w:type="dxa"/>
              <w:right w:w="20" w:type="dxa"/>
            </w:tcMar>
            <w:vAlign w:val="bottom"/>
          </w:tcPr>
          <w:p w14:paraId="67533D81"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tcPr>
          <w:p w14:paraId="67533D82" w14:textId="77777777" w:rsidR="001B77DD" w:rsidRDefault="00BF0A28">
            <w:pPr>
              <w:textAlignment w:val="top"/>
            </w:pPr>
            <w:r>
              <w:rPr>
                <w:rFonts w:ascii="Arial" w:eastAsia="宋体" w:hAnsi="Arial" w:cs="Arial"/>
                <w:color w:val="004A86"/>
                <w:sz w:val="36"/>
                <w:szCs w:val="36"/>
              </w:rPr>
              <w:t>$4.86</w:t>
            </w:r>
          </w:p>
        </w:tc>
        <w:tc>
          <w:tcPr>
            <w:tcW w:w="0" w:type="auto"/>
            <w:gridSpan w:val="3"/>
            <w:shd w:val="clear" w:color="auto" w:fill="auto"/>
            <w:tcMar>
              <w:top w:w="0" w:type="dxa"/>
              <w:left w:w="20" w:type="dxa"/>
              <w:bottom w:w="0" w:type="dxa"/>
              <w:right w:w="20" w:type="dxa"/>
            </w:tcMar>
            <w:vAlign w:val="bottom"/>
          </w:tcPr>
          <w:p w14:paraId="67533D83"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tcPr>
          <w:p w14:paraId="67533D84" w14:textId="77777777" w:rsidR="001B77DD" w:rsidRDefault="00BF0A28">
            <w:pPr>
              <w:textAlignment w:val="top"/>
            </w:pPr>
            <w:r>
              <w:rPr>
                <w:rFonts w:ascii="Arial" w:eastAsia="宋体" w:hAnsi="Arial" w:cs="Arial"/>
                <w:color w:val="0068B5"/>
                <w:sz w:val="36"/>
                <w:szCs w:val="36"/>
              </w:rPr>
              <w:t>$5.47</w:t>
            </w:r>
          </w:p>
        </w:tc>
        <w:tc>
          <w:tcPr>
            <w:tcW w:w="0" w:type="auto"/>
            <w:gridSpan w:val="3"/>
            <w:shd w:val="clear" w:color="auto" w:fill="auto"/>
            <w:tcMar>
              <w:top w:w="0" w:type="dxa"/>
              <w:left w:w="20" w:type="dxa"/>
              <w:bottom w:w="0" w:type="dxa"/>
              <w:right w:w="20" w:type="dxa"/>
            </w:tcMar>
            <w:vAlign w:val="bottom"/>
          </w:tcPr>
          <w:p w14:paraId="67533D85"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tcPr>
          <w:p w14:paraId="67533D86" w14:textId="77777777" w:rsidR="001B77DD" w:rsidRDefault="00BF0A28">
            <w:pPr>
              <w:textAlignment w:val="top"/>
            </w:pPr>
            <w:r>
              <w:rPr>
                <w:rFonts w:ascii="Arial" w:eastAsia="宋体" w:hAnsi="Arial" w:cs="Arial"/>
                <w:color w:val="004A86"/>
                <w:sz w:val="36"/>
                <w:szCs w:val="36"/>
              </w:rPr>
              <w:t>$30.0B</w:t>
            </w:r>
          </w:p>
        </w:tc>
        <w:tc>
          <w:tcPr>
            <w:tcW w:w="0" w:type="auto"/>
            <w:gridSpan w:val="3"/>
            <w:vMerge w:val="restart"/>
            <w:shd w:val="clear" w:color="auto" w:fill="auto"/>
            <w:tcMar>
              <w:top w:w="0" w:type="dxa"/>
              <w:left w:w="20" w:type="dxa"/>
              <w:bottom w:w="0" w:type="dxa"/>
              <w:right w:w="20" w:type="dxa"/>
            </w:tcMar>
            <w:vAlign w:val="bottom"/>
          </w:tcPr>
          <w:p w14:paraId="67533D87"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tcPr>
          <w:p w14:paraId="67533D88" w14:textId="77777777" w:rsidR="001B77DD" w:rsidRDefault="00BF0A28">
            <w:pPr>
              <w:textAlignment w:val="top"/>
            </w:pPr>
            <w:r>
              <w:rPr>
                <w:rFonts w:ascii="Arial" w:eastAsia="宋体" w:hAnsi="Arial" w:cs="Arial"/>
                <w:color w:val="0068B5"/>
                <w:sz w:val="36"/>
                <w:szCs w:val="36"/>
              </w:rPr>
              <w:t>$11.3B</w:t>
            </w:r>
          </w:p>
        </w:tc>
      </w:tr>
      <w:tr w:rsidR="001B77DD" w14:paraId="67533D98" w14:textId="77777777">
        <w:trPr>
          <w:trHeight w:val="180"/>
        </w:trPr>
        <w:tc>
          <w:tcPr>
            <w:tcW w:w="0" w:type="auto"/>
            <w:gridSpan w:val="3"/>
            <w:vMerge/>
            <w:shd w:val="clear" w:color="auto" w:fill="auto"/>
            <w:tcMar>
              <w:top w:w="40" w:type="dxa"/>
              <w:left w:w="20" w:type="dxa"/>
              <w:bottom w:w="40" w:type="dxa"/>
              <w:right w:w="20" w:type="dxa"/>
            </w:tcMar>
          </w:tcPr>
          <w:p w14:paraId="67533D8A"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tcPr>
          <w:p w14:paraId="67533D8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D8C"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tcPr>
          <w:p w14:paraId="67533D8D"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3D8E"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tcPr>
          <w:p w14:paraId="67533D8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D90"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tcPr>
          <w:p w14:paraId="67533D9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D92"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tcPr>
          <w:p w14:paraId="67533D9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D94"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tcPr>
          <w:p w14:paraId="67533D95"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3D96"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tcPr>
          <w:p w14:paraId="67533D97" w14:textId="77777777" w:rsidR="001B77DD" w:rsidRDefault="001B77DD">
            <w:pPr>
              <w:rPr>
                <w:rFonts w:ascii="宋体"/>
              </w:rPr>
            </w:pPr>
          </w:p>
        </w:tc>
      </w:tr>
      <w:tr w:rsidR="001B77DD" w14:paraId="67533DA7" w14:textId="77777777">
        <w:trPr>
          <w:trHeight w:val="220"/>
        </w:trPr>
        <w:tc>
          <w:tcPr>
            <w:tcW w:w="0" w:type="auto"/>
            <w:gridSpan w:val="3"/>
            <w:shd w:val="clear" w:color="auto" w:fill="auto"/>
            <w:tcMar>
              <w:top w:w="40" w:type="dxa"/>
              <w:left w:w="20" w:type="dxa"/>
              <w:bottom w:w="40" w:type="dxa"/>
              <w:right w:w="20" w:type="dxa"/>
            </w:tcMar>
            <w:vAlign w:val="bottom"/>
          </w:tcPr>
          <w:p w14:paraId="67533D99" w14:textId="77777777" w:rsidR="001B77DD" w:rsidRDefault="00BF0A28">
            <w:pPr>
              <w:textAlignment w:val="bottom"/>
            </w:pPr>
            <w:r>
              <w:rPr>
                <w:rFonts w:ascii="Arial" w:eastAsia="宋体" w:hAnsi="Arial" w:cs="Arial"/>
                <w:color w:val="004A86"/>
                <w:sz w:val="18"/>
                <w:szCs w:val="18"/>
              </w:rPr>
              <w:t>GAAP</w:t>
            </w:r>
          </w:p>
        </w:tc>
        <w:tc>
          <w:tcPr>
            <w:tcW w:w="0" w:type="auto"/>
            <w:gridSpan w:val="3"/>
            <w:shd w:val="clear" w:color="auto" w:fill="auto"/>
            <w:tcMar>
              <w:top w:w="40" w:type="dxa"/>
              <w:left w:w="20" w:type="dxa"/>
              <w:bottom w:w="40" w:type="dxa"/>
              <w:right w:w="20" w:type="dxa"/>
            </w:tcMar>
            <w:vAlign w:val="bottom"/>
          </w:tcPr>
          <w:p w14:paraId="67533D9A" w14:textId="77777777" w:rsidR="001B77DD" w:rsidRDefault="00BF0A28">
            <w:pPr>
              <w:textAlignment w:val="bottom"/>
            </w:pPr>
            <w:r>
              <w:rPr>
                <w:rFonts w:ascii="Arial" w:eastAsia="宋体" w:hAnsi="Arial" w:cs="Arial"/>
                <w:color w:val="0068B5"/>
                <w:sz w:val="18"/>
                <w:szCs w:val="18"/>
              </w:rPr>
              <w:t>non-GAAP</w:t>
            </w:r>
            <w:r>
              <w:rPr>
                <w:rFonts w:ascii="Arial" w:eastAsia="宋体" w:hAnsi="Arial" w:cs="Arial"/>
                <w:color w:val="0068B5"/>
                <w:sz w:val="11"/>
                <w:szCs w:val="11"/>
              </w:rPr>
              <w:t>2</w:t>
            </w:r>
          </w:p>
        </w:tc>
        <w:tc>
          <w:tcPr>
            <w:tcW w:w="0" w:type="auto"/>
            <w:gridSpan w:val="3"/>
            <w:shd w:val="clear" w:color="auto" w:fill="auto"/>
            <w:tcMar>
              <w:top w:w="0" w:type="dxa"/>
              <w:left w:w="20" w:type="dxa"/>
              <w:bottom w:w="0" w:type="dxa"/>
              <w:right w:w="20" w:type="dxa"/>
            </w:tcMar>
            <w:vAlign w:val="bottom"/>
          </w:tcPr>
          <w:p w14:paraId="67533D9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D9C" w14:textId="77777777" w:rsidR="001B77DD" w:rsidRDefault="00BF0A2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7533D9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D9E" w14:textId="77777777" w:rsidR="001B77DD" w:rsidRDefault="00BF0A28">
            <w:pPr>
              <w:textAlignment w:val="bottom"/>
            </w:pPr>
            <w:r>
              <w:rPr>
                <w:rFonts w:ascii="Arial" w:eastAsia="宋体" w:hAnsi="Arial" w:cs="Arial"/>
                <w:color w:val="0068B5"/>
                <w:sz w:val="18"/>
                <w:szCs w:val="18"/>
              </w:rPr>
              <w:t>non-GAAP</w:t>
            </w:r>
            <w:r>
              <w:rPr>
                <w:rFonts w:ascii="Arial" w:eastAsia="宋体" w:hAnsi="Arial" w:cs="Arial"/>
                <w:color w:val="0068B5"/>
                <w:sz w:val="11"/>
                <w:szCs w:val="11"/>
              </w:rPr>
              <w:t>2</w:t>
            </w:r>
          </w:p>
        </w:tc>
        <w:tc>
          <w:tcPr>
            <w:tcW w:w="0" w:type="auto"/>
            <w:gridSpan w:val="3"/>
            <w:shd w:val="clear" w:color="auto" w:fill="auto"/>
            <w:tcMar>
              <w:top w:w="0" w:type="dxa"/>
              <w:left w:w="20" w:type="dxa"/>
              <w:bottom w:w="0" w:type="dxa"/>
              <w:right w:w="20" w:type="dxa"/>
            </w:tcMar>
            <w:vAlign w:val="bottom"/>
          </w:tcPr>
          <w:p w14:paraId="67533D9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DA0" w14:textId="77777777" w:rsidR="001B77DD" w:rsidRDefault="00BF0A2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7533DA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DA2" w14:textId="77777777" w:rsidR="001B77DD" w:rsidRDefault="00BF0A28">
            <w:pPr>
              <w:textAlignment w:val="bottom"/>
            </w:pPr>
            <w:r>
              <w:rPr>
                <w:rFonts w:ascii="Arial" w:eastAsia="宋体" w:hAnsi="Arial" w:cs="Arial"/>
                <w:color w:val="0068B5"/>
                <w:sz w:val="18"/>
                <w:szCs w:val="18"/>
              </w:rPr>
              <w:t>non-GAAP</w:t>
            </w:r>
            <w:r>
              <w:rPr>
                <w:rFonts w:ascii="Arial" w:eastAsia="宋体" w:hAnsi="Arial" w:cs="Arial"/>
                <w:color w:val="0068B5"/>
                <w:sz w:val="11"/>
                <w:szCs w:val="11"/>
              </w:rPr>
              <w:t>2</w:t>
            </w:r>
          </w:p>
        </w:tc>
        <w:tc>
          <w:tcPr>
            <w:tcW w:w="0" w:type="auto"/>
            <w:gridSpan w:val="3"/>
            <w:shd w:val="clear" w:color="auto" w:fill="auto"/>
            <w:tcMar>
              <w:top w:w="0" w:type="dxa"/>
              <w:left w:w="20" w:type="dxa"/>
              <w:bottom w:w="0" w:type="dxa"/>
              <w:right w:w="20" w:type="dxa"/>
            </w:tcMar>
            <w:vAlign w:val="bottom"/>
          </w:tcPr>
          <w:p w14:paraId="67533DA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DA4" w14:textId="77777777" w:rsidR="001B77DD" w:rsidRDefault="00BF0A2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7533DA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3DA6" w14:textId="77777777" w:rsidR="001B77DD" w:rsidRDefault="00BF0A28">
            <w:pPr>
              <w:textAlignment w:val="bottom"/>
            </w:pPr>
            <w:r>
              <w:rPr>
                <w:rFonts w:ascii="Arial" w:eastAsia="宋体" w:hAnsi="Arial" w:cs="Arial"/>
                <w:color w:val="0068B5"/>
                <w:sz w:val="18"/>
                <w:szCs w:val="18"/>
              </w:rPr>
              <w:t>non-GAAP</w:t>
            </w:r>
            <w:r>
              <w:rPr>
                <w:rFonts w:ascii="Arial" w:eastAsia="宋体" w:hAnsi="Arial" w:cs="Arial"/>
                <w:color w:val="0068B5"/>
                <w:sz w:val="11"/>
                <w:szCs w:val="11"/>
              </w:rPr>
              <w:t>2</w:t>
            </w:r>
          </w:p>
        </w:tc>
      </w:tr>
      <w:tr w:rsidR="001B77DD" w14:paraId="67533DB6" w14:textId="77777777">
        <w:trPr>
          <w:trHeight w:val="1180"/>
        </w:trPr>
        <w:tc>
          <w:tcPr>
            <w:tcW w:w="0" w:type="auto"/>
            <w:gridSpan w:val="3"/>
            <w:tcBorders>
              <w:top w:val="single" w:sz="4" w:space="0" w:color="004A86"/>
            </w:tcBorders>
            <w:shd w:val="clear" w:color="auto" w:fill="FFFFFF"/>
            <w:tcMar>
              <w:top w:w="40" w:type="dxa"/>
              <w:left w:w="20" w:type="dxa"/>
              <w:bottom w:w="40" w:type="dxa"/>
              <w:right w:w="20" w:type="dxa"/>
            </w:tcMar>
          </w:tcPr>
          <w:p w14:paraId="67533DA8" w14:textId="77777777" w:rsidR="001B77DD" w:rsidRDefault="00BF0A28">
            <w:pPr>
              <w:textAlignment w:val="top"/>
            </w:pPr>
            <w:r>
              <w:rPr>
                <w:rFonts w:ascii="Arial" w:eastAsia="宋体" w:hAnsi="Arial" w:cs="Arial"/>
                <w:color w:val="262626"/>
                <w:sz w:val="16"/>
                <w:szCs w:val="16"/>
              </w:rPr>
              <w:t>Revenue up 1% from 2020</w:t>
            </w:r>
          </w:p>
        </w:tc>
        <w:tc>
          <w:tcPr>
            <w:tcW w:w="0" w:type="auto"/>
            <w:gridSpan w:val="3"/>
            <w:tcBorders>
              <w:top w:val="single" w:sz="4" w:space="0" w:color="004A86"/>
            </w:tcBorders>
            <w:shd w:val="clear" w:color="auto" w:fill="FFFFFF"/>
            <w:tcMar>
              <w:top w:w="40" w:type="dxa"/>
              <w:left w:w="20" w:type="dxa"/>
              <w:bottom w:w="40" w:type="dxa"/>
              <w:right w:w="20" w:type="dxa"/>
            </w:tcMar>
          </w:tcPr>
          <w:p w14:paraId="67533DA9" w14:textId="77777777" w:rsidR="001B77DD" w:rsidRDefault="00BF0A28">
            <w:pPr>
              <w:textAlignment w:val="top"/>
            </w:pPr>
            <w:r>
              <w:rPr>
                <w:rFonts w:ascii="Arial" w:eastAsia="宋体" w:hAnsi="Arial" w:cs="Arial"/>
                <w:color w:val="262626"/>
                <w:sz w:val="16"/>
                <w:szCs w:val="16"/>
              </w:rPr>
              <w:t>Revenue up 2% from 2020</w:t>
            </w:r>
          </w:p>
        </w:tc>
        <w:tc>
          <w:tcPr>
            <w:tcW w:w="0" w:type="auto"/>
            <w:gridSpan w:val="3"/>
            <w:shd w:val="clear" w:color="auto" w:fill="FFFFFF"/>
            <w:tcMar>
              <w:top w:w="0" w:type="dxa"/>
              <w:left w:w="20" w:type="dxa"/>
              <w:bottom w:w="0" w:type="dxa"/>
              <w:right w:w="20" w:type="dxa"/>
            </w:tcMar>
            <w:vAlign w:val="bottom"/>
          </w:tcPr>
          <w:p w14:paraId="67533DAA" w14:textId="77777777" w:rsidR="001B77DD" w:rsidRDefault="001B77DD">
            <w:pPr>
              <w:rPr>
                <w:rFonts w:ascii="宋体"/>
              </w:rPr>
            </w:pPr>
          </w:p>
        </w:tc>
        <w:tc>
          <w:tcPr>
            <w:tcW w:w="0" w:type="auto"/>
            <w:gridSpan w:val="3"/>
            <w:tcBorders>
              <w:top w:val="single" w:sz="4" w:space="0" w:color="0068B5"/>
            </w:tcBorders>
            <w:shd w:val="clear" w:color="auto" w:fill="FFFFFF"/>
            <w:tcMar>
              <w:top w:w="40" w:type="dxa"/>
              <w:left w:w="20" w:type="dxa"/>
              <w:bottom w:w="40" w:type="dxa"/>
              <w:right w:w="20" w:type="dxa"/>
            </w:tcMar>
          </w:tcPr>
          <w:p w14:paraId="67533DAB" w14:textId="77777777" w:rsidR="001B77DD" w:rsidRDefault="00BF0A28">
            <w:pPr>
              <w:textAlignment w:val="top"/>
            </w:pPr>
            <w:r>
              <w:rPr>
                <w:rFonts w:ascii="Arial" w:eastAsia="宋体" w:hAnsi="Arial" w:cs="Arial"/>
                <w:color w:val="262626"/>
                <w:sz w:val="16"/>
                <w:szCs w:val="16"/>
              </w:rPr>
              <w:t>Operating income down $4.2B or 18% from 2020; 2021 operating margin at 25%</w:t>
            </w:r>
          </w:p>
        </w:tc>
        <w:tc>
          <w:tcPr>
            <w:tcW w:w="0" w:type="auto"/>
            <w:gridSpan w:val="3"/>
            <w:shd w:val="clear" w:color="auto" w:fill="FFFFFF"/>
            <w:tcMar>
              <w:top w:w="0" w:type="dxa"/>
              <w:left w:w="20" w:type="dxa"/>
              <w:bottom w:w="0" w:type="dxa"/>
              <w:right w:w="20" w:type="dxa"/>
            </w:tcMar>
            <w:vAlign w:val="bottom"/>
          </w:tcPr>
          <w:p w14:paraId="67533DAC" w14:textId="77777777" w:rsidR="001B77DD" w:rsidRDefault="001B77DD">
            <w:pPr>
              <w:rPr>
                <w:rFonts w:ascii="宋体"/>
              </w:rPr>
            </w:pPr>
          </w:p>
        </w:tc>
        <w:tc>
          <w:tcPr>
            <w:tcW w:w="0" w:type="auto"/>
            <w:gridSpan w:val="3"/>
            <w:tcBorders>
              <w:top w:val="single" w:sz="4" w:space="0" w:color="0068B5"/>
            </w:tcBorders>
            <w:shd w:val="clear" w:color="auto" w:fill="FFFFFF"/>
            <w:tcMar>
              <w:top w:w="40" w:type="dxa"/>
              <w:left w:w="20" w:type="dxa"/>
              <w:bottom w:w="40" w:type="dxa"/>
              <w:right w:w="20" w:type="dxa"/>
            </w:tcMar>
          </w:tcPr>
          <w:p w14:paraId="67533DAD" w14:textId="77777777" w:rsidR="001B77DD" w:rsidRDefault="00BF0A28">
            <w:pPr>
              <w:textAlignment w:val="top"/>
            </w:pPr>
            <w:r>
              <w:rPr>
                <w:rFonts w:ascii="Arial" w:eastAsia="宋体" w:hAnsi="Arial" w:cs="Arial"/>
                <w:color w:val="262626"/>
                <w:sz w:val="16"/>
                <w:szCs w:val="16"/>
              </w:rPr>
              <w:t>Operating income down $2.2B or 9% from 2020; 2021 operating margin at 30%</w:t>
            </w:r>
          </w:p>
        </w:tc>
        <w:tc>
          <w:tcPr>
            <w:tcW w:w="0" w:type="auto"/>
            <w:gridSpan w:val="3"/>
            <w:shd w:val="clear" w:color="auto" w:fill="FFFFFF"/>
            <w:tcMar>
              <w:top w:w="0" w:type="dxa"/>
              <w:left w:w="20" w:type="dxa"/>
              <w:bottom w:w="0" w:type="dxa"/>
              <w:right w:w="20" w:type="dxa"/>
            </w:tcMar>
            <w:vAlign w:val="bottom"/>
          </w:tcPr>
          <w:p w14:paraId="67533DAE" w14:textId="77777777" w:rsidR="001B77DD" w:rsidRDefault="001B77DD">
            <w:pPr>
              <w:rPr>
                <w:rFonts w:ascii="宋体"/>
              </w:rPr>
            </w:pPr>
          </w:p>
        </w:tc>
        <w:tc>
          <w:tcPr>
            <w:tcW w:w="0" w:type="auto"/>
            <w:gridSpan w:val="3"/>
            <w:tcBorders>
              <w:top w:val="single" w:sz="4" w:space="0" w:color="00A3F6"/>
            </w:tcBorders>
            <w:shd w:val="clear" w:color="auto" w:fill="FFFFFF"/>
            <w:tcMar>
              <w:top w:w="40" w:type="dxa"/>
              <w:left w:w="20" w:type="dxa"/>
              <w:bottom w:w="40" w:type="dxa"/>
              <w:right w:w="20" w:type="dxa"/>
            </w:tcMar>
          </w:tcPr>
          <w:p w14:paraId="67533DAF" w14:textId="77777777" w:rsidR="001B77DD" w:rsidRDefault="00BF0A28">
            <w:pPr>
              <w:textAlignment w:val="top"/>
            </w:pPr>
            <w:r>
              <w:rPr>
                <w:rFonts w:ascii="Arial" w:eastAsia="宋体" w:hAnsi="Arial" w:cs="Arial"/>
                <w:color w:val="262626"/>
                <w:sz w:val="16"/>
                <w:szCs w:val="16"/>
              </w:rPr>
              <w:t xml:space="preserve">Diluted EPS down $0.08 or 2% from 2020 </w:t>
            </w:r>
          </w:p>
        </w:tc>
        <w:tc>
          <w:tcPr>
            <w:tcW w:w="0" w:type="auto"/>
            <w:gridSpan w:val="3"/>
            <w:shd w:val="clear" w:color="auto" w:fill="FFFFFF"/>
            <w:tcMar>
              <w:top w:w="0" w:type="dxa"/>
              <w:left w:w="20" w:type="dxa"/>
              <w:bottom w:w="0" w:type="dxa"/>
              <w:right w:w="20" w:type="dxa"/>
            </w:tcMar>
            <w:vAlign w:val="bottom"/>
          </w:tcPr>
          <w:p w14:paraId="67533DB0" w14:textId="77777777" w:rsidR="001B77DD" w:rsidRDefault="001B77DD">
            <w:pPr>
              <w:rPr>
                <w:rFonts w:ascii="宋体"/>
              </w:rPr>
            </w:pPr>
          </w:p>
        </w:tc>
        <w:tc>
          <w:tcPr>
            <w:tcW w:w="0" w:type="auto"/>
            <w:gridSpan w:val="3"/>
            <w:tcBorders>
              <w:top w:val="single" w:sz="4" w:space="0" w:color="00A3F6"/>
            </w:tcBorders>
            <w:shd w:val="clear" w:color="auto" w:fill="FFFFFF"/>
            <w:tcMar>
              <w:top w:w="40" w:type="dxa"/>
              <w:left w:w="20" w:type="dxa"/>
              <w:bottom w:w="40" w:type="dxa"/>
              <w:right w:w="20" w:type="dxa"/>
            </w:tcMar>
          </w:tcPr>
          <w:p w14:paraId="67533DB1" w14:textId="77777777" w:rsidR="001B77DD" w:rsidRDefault="00BF0A28">
            <w:pPr>
              <w:textAlignment w:val="top"/>
            </w:pPr>
            <w:r>
              <w:rPr>
                <w:rFonts w:ascii="Arial" w:eastAsia="宋体" w:hAnsi="Arial" w:cs="Arial"/>
                <w:color w:val="262626"/>
                <w:sz w:val="16"/>
                <w:szCs w:val="16"/>
              </w:rPr>
              <w:t>Dil</w:t>
            </w:r>
            <w:r>
              <w:rPr>
                <w:rFonts w:ascii="Arial" w:eastAsia="宋体" w:hAnsi="Arial" w:cs="Arial"/>
                <w:color w:val="262626"/>
                <w:sz w:val="16"/>
                <w:szCs w:val="16"/>
              </w:rPr>
              <w:t>uted EPS up $0.37 or 7% from 2020</w:t>
            </w:r>
          </w:p>
        </w:tc>
        <w:tc>
          <w:tcPr>
            <w:tcW w:w="0" w:type="auto"/>
            <w:gridSpan w:val="3"/>
            <w:shd w:val="clear" w:color="auto" w:fill="FFFFFF"/>
            <w:tcMar>
              <w:top w:w="0" w:type="dxa"/>
              <w:left w:w="20" w:type="dxa"/>
              <w:bottom w:w="0" w:type="dxa"/>
              <w:right w:w="20" w:type="dxa"/>
            </w:tcMar>
            <w:vAlign w:val="bottom"/>
          </w:tcPr>
          <w:p w14:paraId="67533DB2" w14:textId="77777777" w:rsidR="001B77DD" w:rsidRDefault="001B77DD">
            <w:pPr>
              <w:rPr>
                <w:rFonts w:ascii="宋体"/>
              </w:rPr>
            </w:pPr>
          </w:p>
        </w:tc>
        <w:tc>
          <w:tcPr>
            <w:tcW w:w="0" w:type="auto"/>
            <w:gridSpan w:val="3"/>
            <w:tcBorders>
              <w:top w:val="single" w:sz="4" w:space="0" w:color="AEAEAE"/>
            </w:tcBorders>
            <w:shd w:val="clear" w:color="auto" w:fill="FFFFFF"/>
            <w:tcMar>
              <w:top w:w="40" w:type="dxa"/>
              <w:left w:w="20" w:type="dxa"/>
              <w:bottom w:w="40" w:type="dxa"/>
              <w:right w:w="20" w:type="dxa"/>
            </w:tcMar>
          </w:tcPr>
          <w:p w14:paraId="67533DB3" w14:textId="77777777" w:rsidR="001B77DD" w:rsidRDefault="00BF0A28">
            <w:pPr>
              <w:textAlignment w:val="top"/>
            </w:pPr>
            <w:r>
              <w:rPr>
                <w:rFonts w:ascii="Arial" w:eastAsia="宋体" w:hAnsi="Arial" w:cs="Arial"/>
                <w:color w:val="262626"/>
                <w:sz w:val="16"/>
                <w:szCs w:val="16"/>
              </w:rPr>
              <w:t>Operating cash flow down $5.4B or 15%</w:t>
            </w:r>
          </w:p>
        </w:tc>
        <w:tc>
          <w:tcPr>
            <w:tcW w:w="0" w:type="auto"/>
            <w:gridSpan w:val="3"/>
            <w:shd w:val="clear" w:color="auto" w:fill="FFFFFF"/>
            <w:tcMar>
              <w:top w:w="0" w:type="dxa"/>
              <w:left w:w="20" w:type="dxa"/>
              <w:bottom w:w="0" w:type="dxa"/>
              <w:right w:w="20" w:type="dxa"/>
            </w:tcMar>
            <w:vAlign w:val="bottom"/>
          </w:tcPr>
          <w:p w14:paraId="67533DB4" w14:textId="77777777" w:rsidR="001B77DD" w:rsidRDefault="001B77DD">
            <w:pPr>
              <w:rPr>
                <w:rFonts w:ascii="宋体"/>
              </w:rPr>
            </w:pPr>
          </w:p>
        </w:tc>
        <w:tc>
          <w:tcPr>
            <w:tcW w:w="0" w:type="auto"/>
            <w:gridSpan w:val="3"/>
            <w:tcBorders>
              <w:top w:val="single" w:sz="4" w:space="0" w:color="AEAEAE"/>
            </w:tcBorders>
            <w:shd w:val="clear" w:color="auto" w:fill="FFFFFF"/>
            <w:tcMar>
              <w:top w:w="40" w:type="dxa"/>
              <w:left w:w="20" w:type="dxa"/>
              <w:bottom w:w="40" w:type="dxa"/>
              <w:right w:w="20" w:type="dxa"/>
            </w:tcMar>
          </w:tcPr>
          <w:p w14:paraId="67533DB5" w14:textId="77777777" w:rsidR="001B77DD" w:rsidRDefault="00BF0A28">
            <w:pPr>
              <w:textAlignment w:val="top"/>
            </w:pPr>
            <w:r>
              <w:rPr>
                <w:rFonts w:ascii="Arial" w:eastAsia="宋体" w:hAnsi="Arial" w:cs="Arial"/>
                <w:color w:val="262626"/>
                <w:sz w:val="16"/>
                <w:szCs w:val="16"/>
              </w:rPr>
              <w:t>Free cash flow down $9.9B or 47%</w:t>
            </w:r>
          </w:p>
        </w:tc>
      </w:tr>
      <w:tr w:rsidR="001B77DD" w14:paraId="67533DC7" w14:textId="77777777">
        <w:trPr>
          <w:hidden/>
        </w:trPr>
        <w:tc>
          <w:tcPr>
            <w:tcW w:w="0" w:type="auto"/>
            <w:gridSpan w:val="3"/>
            <w:shd w:val="clear" w:color="auto" w:fill="auto"/>
            <w:vAlign w:val="bottom"/>
          </w:tcPr>
          <w:p w14:paraId="67533DB7" w14:textId="77777777" w:rsidR="001B77DD" w:rsidRDefault="001B77DD">
            <w:pPr>
              <w:rPr>
                <w:rFonts w:ascii="宋体"/>
                <w:vanish/>
              </w:rPr>
            </w:pPr>
          </w:p>
        </w:tc>
        <w:tc>
          <w:tcPr>
            <w:tcW w:w="0" w:type="auto"/>
            <w:gridSpan w:val="3"/>
            <w:shd w:val="clear" w:color="auto" w:fill="auto"/>
            <w:vAlign w:val="bottom"/>
          </w:tcPr>
          <w:p w14:paraId="67533DB8" w14:textId="77777777" w:rsidR="001B77DD" w:rsidRDefault="001B77DD">
            <w:pPr>
              <w:rPr>
                <w:rFonts w:ascii="宋体"/>
                <w:vanish/>
              </w:rPr>
            </w:pPr>
          </w:p>
        </w:tc>
        <w:tc>
          <w:tcPr>
            <w:tcW w:w="0" w:type="auto"/>
            <w:gridSpan w:val="3"/>
            <w:shd w:val="clear" w:color="auto" w:fill="auto"/>
            <w:vAlign w:val="bottom"/>
          </w:tcPr>
          <w:p w14:paraId="67533DB9" w14:textId="77777777" w:rsidR="001B77DD" w:rsidRDefault="001B77DD">
            <w:pPr>
              <w:rPr>
                <w:rFonts w:ascii="宋体"/>
                <w:vanish/>
              </w:rPr>
            </w:pPr>
          </w:p>
        </w:tc>
        <w:tc>
          <w:tcPr>
            <w:tcW w:w="0" w:type="auto"/>
            <w:gridSpan w:val="3"/>
            <w:shd w:val="clear" w:color="auto" w:fill="auto"/>
            <w:vAlign w:val="bottom"/>
          </w:tcPr>
          <w:p w14:paraId="67533DBA" w14:textId="77777777" w:rsidR="001B77DD" w:rsidRDefault="001B77DD">
            <w:pPr>
              <w:rPr>
                <w:rFonts w:ascii="宋体"/>
                <w:vanish/>
              </w:rPr>
            </w:pPr>
          </w:p>
        </w:tc>
        <w:tc>
          <w:tcPr>
            <w:tcW w:w="0" w:type="auto"/>
            <w:gridSpan w:val="3"/>
            <w:shd w:val="clear" w:color="auto" w:fill="auto"/>
            <w:vAlign w:val="bottom"/>
          </w:tcPr>
          <w:p w14:paraId="67533DBB" w14:textId="77777777" w:rsidR="001B77DD" w:rsidRDefault="001B77DD">
            <w:pPr>
              <w:rPr>
                <w:rFonts w:ascii="宋体"/>
                <w:vanish/>
              </w:rPr>
            </w:pPr>
          </w:p>
        </w:tc>
        <w:tc>
          <w:tcPr>
            <w:tcW w:w="0" w:type="auto"/>
            <w:gridSpan w:val="3"/>
            <w:shd w:val="clear" w:color="auto" w:fill="auto"/>
            <w:vAlign w:val="bottom"/>
          </w:tcPr>
          <w:p w14:paraId="67533DBC" w14:textId="77777777" w:rsidR="001B77DD" w:rsidRDefault="001B77DD">
            <w:pPr>
              <w:rPr>
                <w:rFonts w:ascii="宋体"/>
                <w:vanish/>
              </w:rPr>
            </w:pPr>
          </w:p>
        </w:tc>
        <w:tc>
          <w:tcPr>
            <w:tcW w:w="0" w:type="auto"/>
            <w:gridSpan w:val="3"/>
            <w:shd w:val="clear" w:color="auto" w:fill="auto"/>
            <w:vAlign w:val="bottom"/>
          </w:tcPr>
          <w:p w14:paraId="67533DBD" w14:textId="77777777" w:rsidR="001B77DD" w:rsidRDefault="001B77DD">
            <w:pPr>
              <w:rPr>
                <w:rFonts w:ascii="宋体"/>
                <w:vanish/>
              </w:rPr>
            </w:pPr>
          </w:p>
        </w:tc>
        <w:tc>
          <w:tcPr>
            <w:tcW w:w="0" w:type="auto"/>
            <w:gridSpan w:val="3"/>
            <w:shd w:val="clear" w:color="auto" w:fill="auto"/>
            <w:vAlign w:val="bottom"/>
          </w:tcPr>
          <w:p w14:paraId="67533DBE" w14:textId="77777777" w:rsidR="001B77DD" w:rsidRDefault="001B77DD">
            <w:pPr>
              <w:rPr>
                <w:rFonts w:ascii="宋体"/>
                <w:vanish/>
              </w:rPr>
            </w:pPr>
          </w:p>
        </w:tc>
        <w:tc>
          <w:tcPr>
            <w:tcW w:w="0" w:type="auto"/>
            <w:gridSpan w:val="3"/>
            <w:shd w:val="clear" w:color="auto" w:fill="auto"/>
            <w:vAlign w:val="bottom"/>
          </w:tcPr>
          <w:p w14:paraId="67533DBF" w14:textId="77777777" w:rsidR="001B77DD" w:rsidRDefault="001B77DD">
            <w:pPr>
              <w:rPr>
                <w:rFonts w:ascii="宋体"/>
                <w:vanish/>
              </w:rPr>
            </w:pPr>
          </w:p>
        </w:tc>
        <w:tc>
          <w:tcPr>
            <w:tcW w:w="0" w:type="auto"/>
            <w:gridSpan w:val="3"/>
            <w:shd w:val="clear" w:color="auto" w:fill="auto"/>
            <w:vAlign w:val="bottom"/>
          </w:tcPr>
          <w:p w14:paraId="67533DC0" w14:textId="77777777" w:rsidR="001B77DD" w:rsidRDefault="001B77DD">
            <w:pPr>
              <w:rPr>
                <w:rFonts w:ascii="宋体"/>
                <w:vanish/>
              </w:rPr>
            </w:pPr>
          </w:p>
        </w:tc>
        <w:tc>
          <w:tcPr>
            <w:tcW w:w="0" w:type="auto"/>
            <w:gridSpan w:val="3"/>
            <w:shd w:val="clear" w:color="auto" w:fill="auto"/>
            <w:vAlign w:val="bottom"/>
          </w:tcPr>
          <w:p w14:paraId="67533DC1" w14:textId="77777777" w:rsidR="001B77DD" w:rsidRDefault="001B77DD">
            <w:pPr>
              <w:rPr>
                <w:rFonts w:ascii="宋体"/>
                <w:vanish/>
              </w:rPr>
            </w:pPr>
          </w:p>
        </w:tc>
        <w:tc>
          <w:tcPr>
            <w:tcW w:w="0" w:type="auto"/>
            <w:gridSpan w:val="3"/>
            <w:shd w:val="clear" w:color="auto" w:fill="auto"/>
            <w:vAlign w:val="bottom"/>
          </w:tcPr>
          <w:p w14:paraId="67533DC2" w14:textId="77777777" w:rsidR="001B77DD" w:rsidRDefault="001B77DD">
            <w:pPr>
              <w:rPr>
                <w:rFonts w:ascii="宋体"/>
                <w:vanish/>
              </w:rPr>
            </w:pPr>
          </w:p>
        </w:tc>
        <w:tc>
          <w:tcPr>
            <w:tcW w:w="0" w:type="auto"/>
            <w:gridSpan w:val="3"/>
            <w:shd w:val="clear" w:color="auto" w:fill="auto"/>
            <w:vAlign w:val="bottom"/>
          </w:tcPr>
          <w:p w14:paraId="67533DC3" w14:textId="77777777" w:rsidR="001B77DD" w:rsidRDefault="001B77DD">
            <w:pPr>
              <w:rPr>
                <w:rFonts w:ascii="宋体"/>
                <w:vanish/>
              </w:rPr>
            </w:pPr>
          </w:p>
        </w:tc>
        <w:tc>
          <w:tcPr>
            <w:tcW w:w="0" w:type="auto"/>
            <w:shd w:val="clear" w:color="auto" w:fill="auto"/>
            <w:vAlign w:val="bottom"/>
          </w:tcPr>
          <w:p w14:paraId="67533DC4" w14:textId="77777777" w:rsidR="001B77DD" w:rsidRDefault="001B77DD">
            <w:pPr>
              <w:rPr>
                <w:rFonts w:ascii="宋体"/>
              </w:rPr>
            </w:pPr>
          </w:p>
        </w:tc>
        <w:tc>
          <w:tcPr>
            <w:tcW w:w="0" w:type="auto"/>
            <w:shd w:val="clear" w:color="auto" w:fill="auto"/>
            <w:vAlign w:val="bottom"/>
          </w:tcPr>
          <w:p w14:paraId="67533DC5" w14:textId="77777777" w:rsidR="001B77DD" w:rsidRDefault="001B77DD">
            <w:pPr>
              <w:rPr>
                <w:rFonts w:ascii="宋体"/>
              </w:rPr>
            </w:pPr>
          </w:p>
        </w:tc>
        <w:tc>
          <w:tcPr>
            <w:tcW w:w="0" w:type="auto"/>
            <w:shd w:val="clear" w:color="auto" w:fill="auto"/>
            <w:vAlign w:val="bottom"/>
          </w:tcPr>
          <w:p w14:paraId="67533DC6" w14:textId="77777777" w:rsidR="001B77DD" w:rsidRDefault="001B77DD">
            <w:pPr>
              <w:rPr>
                <w:rFonts w:ascii="宋体"/>
              </w:rPr>
            </w:pPr>
          </w:p>
        </w:tc>
      </w:tr>
      <w:tr w:rsidR="001B77DD" w14:paraId="67533DCF" w14:textId="77777777">
        <w:trPr>
          <w:trHeight w:val="3000"/>
        </w:trPr>
        <w:tc>
          <w:tcPr>
            <w:tcW w:w="0" w:type="auto"/>
            <w:gridSpan w:val="6"/>
            <w:shd w:val="clear" w:color="auto" w:fill="auto"/>
            <w:tcMar>
              <w:top w:w="40" w:type="dxa"/>
              <w:left w:w="20" w:type="dxa"/>
              <w:bottom w:w="40" w:type="dxa"/>
              <w:right w:w="20" w:type="dxa"/>
            </w:tcMar>
          </w:tcPr>
          <w:p w14:paraId="67533DC8" w14:textId="77777777" w:rsidR="001B77DD" w:rsidRDefault="00BF0A28">
            <w:pPr>
              <w:textAlignment w:val="top"/>
            </w:pPr>
            <w:r>
              <w:rPr>
                <w:rFonts w:ascii="Arial" w:eastAsia="宋体" w:hAnsi="Arial" w:cs="Arial"/>
                <w:color w:val="262626"/>
                <w:sz w:val="16"/>
                <w:szCs w:val="16"/>
              </w:rPr>
              <w:t xml:space="preserve">Higher revenue in CCG, IOTG, Mobileye, and PSG, </w:t>
            </w:r>
            <w:r>
              <w:rPr>
                <w:rFonts w:ascii="Arial" w:eastAsia="宋体" w:hAnsi="Arial" w:cs="Arial"/>
                <w:color w:val="262626"/>
                <w:sz w:val="16"/>
                <w:szCs w:val="16"/>
              </w:rPr>
              <w:t>partially offset by declines in DCG and NSG. Non-GAAP revenue excludes NSG.</w:t>
            </w:r>
          </w:p>
        </w:tc>
        <w:tc>
          <w:tcPr>
            <w:tcW w:w="0" w:type="auto"/>
            <w:gridSpan w:val="3"/>
            <w:shd w:val="clear" w:color="auto" w:fill="auto"/>
            <w:tcMar>
              <w:top w:w="0" w:type="dxa"/>
              <w:left w:w="20" w:type="dxa"/>
              <w:bottom w:w="0" w:type="dxa"/>
              <w:right w:w="20" w:type="dxa"/>
            </w:tcMar>
            <w:vAlign w:val="bottom"/>
          </w:tcPr>
          <w:p w14:paraId="67533DC9"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tcPr>
          <w:p w14:paraId="67533DCA" w14:textId="77777777" w:rsidR="001B77DD" w:rsidRDefault="00BF0A28">
            <w:pPr>
              <w:textAlignment w:val="top"/>
            </w:pPr>
            <w:r>
              <w:rPr>
                <w:rFonts w:ascii="Arial" w:eastAsia="宋体" w:hAnsi="Arial" w:cs="Arial"/>
                <w:color w:val="262626"/>
                <w:sz w:val="16"/>
                <w:szCs w:val="16"/>
              </w:rPr>
              <w:t>Higher gross margin from higher platform and adjacent</w:t>
            </w:r>
            <w:r>
              <w:rPr>
                <w:rFonts w:ascii="Arial" w:eastAsia="宋体" w:hAnsi="Arial" w:cs="Arial"/>
                <w:color w:val="262626"/>
                <w:sz w:val="10"/>
                <w:szCs w:val="10"/>
              </w:rPr>
              <w:t xml:space="preserve">1 </w:t>
            </w:r>
            <w:r>
              <w:rPr>
                <w:rFonts w:ascii="Arial" w:eastAsia="宋体" w:hAnsi="Arial" w:cs="Arial"/>
                <w:color w:val="262626"/>
                <w:sz w:val="16"/>
                <w:szCs w:val="16"/>
              </w:rPr>
              <w:t xml:space="preserve">revenue and Corporate revenue from a prepaid customer supply agreement, partially offset by a Corporate charge </w:t>
            </w:r>
            <w:r>
              <w:rPr>
                <w:rFonts w:ascii="Arial" w:eastAsia="宋体" w:hAnsi="Arial" w:cs="Arial"/>
                <w:color w:val="262626"/>
                <w:sz w:val="16"/>
                <w:szCs w:val="16"/>
              </w:rPr>
              <w:t>related to VLSI litigation, higher period charges from ramp of process technology, and higher operating expenses on increased R&amp;D investment. Non-GAAP operating income incrementally excludes, amortization of acquisition-related intangibles, restructuring a</w:t>
            </w:r>
            <w:r>
              <w:rPr>
                <w:rFonts w:ascii="Arial" w:eastAsia="宋体" w:hAnsi="Arial" w:cs="Arial"/>
                <w:color w:val="262626"/>
                <w:sz w:val="16"/>
                <w:szCs w:val="16"/>
              </w:rPr>
              <w:t>nd the charge related to VLSI litigation.</w:t>
            </w:r>
          </w:p>
        </w:tc>
        <w:tc>
          <w:tcPr>
            <w:tcW w:w="0" w:type="auto"/>
            <w:gridSpan w:val="3"/>
            <w:shd w:val="clear" w:color="auto" w:fill="auto"/>
            <w:tcMar>
              <w:top w:w="0" w:type="dxa"/>
              <w:left w:w="20" w:type="dxa"/>
              <w:bottom w:w="0" w:type="dxa"/>
              <w:right w:w="20" w:type="dxa"/>
            </w:tcMar>
            <w:vAlign w:val="bottom"/>
          </w:tcPr>
          <w:p w14:paraId="67533DCB"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tcPr>
          <w:p w14:paraId="67533DCC" w14:textId="77777777" w:rsidR="001B77DD" w:rsidRDefault="00BF0A28">
            <w:pPr>
              <w:textAlignment w:val="top"/>
            </w:pPr>
            <w:r>
              <w:rPr>
                <w:rFonts w:ascii="Arial" w:eastAsia="宋体" w:hAnsi="Arial" w:cs="Arial"/>
                <w:color w:val="262626"/>
                <w:sz w:val="16"/>
                <w:szCs w:val="16"/>
              </w:rPr>
              <w:t>Lower operating income partially offset by equity investment gains, lower effective tax rate, and lower shares. Non-GAAP results incrementally exclude ongoing mark-to-market adjustments and tax impacts of non-GAAP</w:t>
            </w:r>
            <w:r>
              <w:rPr>
                <w:rFonts w:ascii="Arial" w:eastAsia="宋体" w:hAnsi="Arial" w:cs="Arial"/>
                <w:color w:val="262626"/>
                <w:sz w:val="16"/>
                <w:szCs w:val="16"/>
              </w:rPr>
              <w:t xml:space="preserve"> adjustments.</w:t>
            </w:r>
          </w:p>
        </w:tc>
        <w:tc>
          <w:tcPr>
            <w:tcW w:w="0" w:type="auto"/>
            <w:gridSpan w:val="3"/>
            <w:shd w:val="clear" w:color="auto" w:fill="auto"/>
            <w:tcMar>
              <w:top w:w="0" w:type="dxa"/>
              <w:left w:w="20" w:type="dxa"/>
              <w:bottom w:w="0" w:type="dxa"/>
              <w:right w:w="20" w:type="dxa"/>
            </w:tcMar>
            <w:vAlign w:val="bottom"/>
          </w:tcPr>
          <w:p w14:paraId="67533DCD"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tcPr>
          <w:p w14:paraId="67533DCE" w14:textId="77777777" w:rsidR="001B77DD" w:rsidRDefault="00BF0A28">
            <w:pPr>
              <w:textAlignment w:val="top"/>
            </w:pPr>
            <w:r>
              <w:rPr>
                <w:rFonts w:ascii="Arial" w:eastAsia="宋体" w:hAnsi="Arial" w:cs="Arial"/>
                <w:color w:val="262626"/>
                <w:sz w:val="16"/>
                <w:szCs w:val="16"/>
              </w:rPr>
              <w:t>Lower operating cash flow driven by a decrease in net working capital</w:t>
            </w:r>
            <w:r>
              <w:rPr>
                <w:rFonts w:ascii="Arial" w:eastAsia="宋体" w:hAnsi="Arial" w:cs="Arial"/>
                <w:color w:val="262626"/>
                <w:sz w:val="16"/>
                <w:szCs w:val="16"/>
              </w:rPr>
              <w:br/>
              <w:t xml:space="preserve">contributions and cash paid to settle a prepaid customer supply agreement in Q1 2021, partially offset by a McAfee special dividend received in Q3 2021. Free cash flow </w:t>
            </w:r>
            <w:r>
              <w:rPr>
                <w:rFonts w:ascii="Arial" w:eastAsia="宋体" w:hAnsi="Arial" w:cs="Arial"/>
                <w:color w:val="262626"/>
                <w:sz w:val="16"/>
                <w:szCs w:val="16"/>
              </w:rPr>
              <w:t>decreased due to lower operating cash flow and higher capital expenditures.</w:t>
            </w:r>
          </w:p>
        </w:tc>
      </w:tr>
    </w:tbl>
    <w:p w14:paraId="67533DD0" w14:textId="77777777" w:rsidR="001B77DD" w:rsidRDefault="00BF0A28">
      <w:pPr>
        <w:spacing w:after="120"/>
      </w:pPr>
      <w:r>
        <w:rPr>
          <w:rFonts w:ascii="Arial" w:eastAsia="宋体" w:hAnsi="Arial" w:cs="Arial"/>
          <w:color w:val="0068B5"/>
          <w:sz w:val="20"/>
          <w:szCs w:val="20"/>
        </w:rPr>
        <w:t>Investing in our IDM 2.0 strategy for the long term</w:t>
      </w:r>
    </w:p>
    <w:p w14:paraId="67533DD1" w14:textId="77777777" w:rsidR="001B77DD" w:rsidRDefault="00BF0A28">
      <w:pPr>
        <w:spacing w:after="60"/>
      </w:pPr>
      <w:r>
        <w:rPr>
          <w:rFonts w:ascii="Arial" w:eastAsia="宋体" w:hAnsi="Arial" w:cs="Arial"/>
          <w:color w:val="262626"/>
          <w:sz w:val="18"/>
          <w:szCs w:val="18"/>
        </w:rPr>
        <w:t>To support our IDM 2.0 strategy, we are making significant capital investments to increase our manufacturing capacity and accel</w:t>
      </w:r>
      <w:r>
        <w:rPr>
          <w:rFonts w:ascii="Arial" w:eastAsia="宋体" w:hAnsi="Arial" w:cs="Arial"/>
          <w:color w:val="262626"/>
          <w:sz w:val="18"/>
          <w:szCs w:val="18"/>
        </w:rPr>
        <w:t>erate our process technology roadmap, as well as increasing our investments in R&amp;D. We believe these investments will position us for accelerating long-term revenue growth. We expect our long-term revenue outlook to accelerate to a 10% to 12% year-over-yea</w:t>
      </w:r>
      <w:r>
        <w:rPr>
          <w:rFonts w:ascii="Arial" w:eastAsia="宋体" w:hAnsi="Arial" w:cs="Arial"/>
          <w:color w:val="262626"/>
          <w:sz w:val="18"/>
          <w:szCs w:val="18"/>
        </w:rPr>
        <w:t>r growth rate by the end of our five-year horizon as supply normalizes and our investments add capacity and drive leadership products. We expect gross margins to be impacted by our investments in capacity and the acceleration of our process technology, res</w:t>
      </w:r>
      <w:r>
        <w:rPr>
          <w:rFonts w:ascii="Arial" w:eastAsia="宋体" w:hAnsi="Arial" w:cs="Arial"/>
          <w:color w:val="262626"/>
          <w:sz w:val="18"/>
          <w:szCs w:val="18"/>
        </w:rPr>
        <w:t>ulting in expected non-GAAP gross margins percentages between 51% and 53%</w:t>
      </w:r>
      <w:r>
        <w:rPr>
          <w:rFonts w:ascii="Arial" w:eastAsia="宋体" w:hAnsi="Arial" w:cs="Arial"/>
          <w:color w:val="262626"/>
          <w:sz w:val="11"/>
          <w:szCs w:val="11"/>
        </w:rPr>
        <w:t>2</w:t>
      </w:r>
      <w:r>
        <w:rPr>
          <w:rFonts w:ascii="Arial" w:eastAsia="宋体" w:hAnsi="Arial" w:cs="Arial"/>
          <w:color w:val="262626"/>
          <w:sz w:val="18"/>
          <w:szCs w:val="18"/>
        </w:rPr>
        <w:t xml:space="preserve"> over the next several years before moving upward. We also expect our capital expenditures to increase above historical levels for the next several years. We expect our cash from ope</w:t>
      </w:r>
      <w:r>
        <w:rPr>
          <w:rFonts w:ascii="Arial" w:eastAsia="宋体" w:hAnsi="Arial" w:cs="Arial"/>
          <w:color w:val="262626"/>
          <w:sz w:val="18"/>
          <w:szCs w:val="18"/>
        </w:rPr>
        <w:t>rations to be strong, but our capital investments to pressure our free cash flow in the short term.</w:t>
      </w:r>
    </w:p>
    <w:p w14:paraId="67533DD2" w14:textId="77777777" w:rsidR="001B77DD" w:rsidRDefault="001B77DD">
      <w:pPr>
        <w:ind w:hanging="180"/>
      </w:pPr>
    </w:p>
    <w:p w14:paraId="67533DD3" w14:textId="77777777" w:rsidR="001B77DD" w:rsidRDefault="00BF0A28">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See "Our Products" within MD&amp;A. </w:t>
      </w:r>
    </w:p>
    <w:p w14:paraId="67533DD4" w14:textId="77777777" w:rsidR="001B77DD" w:rsidRDefault="00BF0A28">
      <w:r>
        <w:rPr>
          <w:rFonts w:ascii="Arial" w:eastAsia="宋体" w:hAnsi="Arial" w:cs="Arial"/>
          <w:i/>
          <w:iCs/>
          <w:color w:val="262626"/>
          <w:sz w:val="10"/>
          <w:szCs w:val="10"/>
        </w:rPr>
        <w:t xml:space="preserve">2 </w:t>
      </w:r>
      <w:r>
        <w:rPr>
          <w:rFonts w:ascii="Arial" w:eastAsia="宋体" w:hAnsi="Arial" w:cs="Arial"/>
          <w:i/>
          <w:iCs/>
          <w:color w:val="262626"/>
          <w:sz w:val="16"/>
          <w:szCs w:val="16"/>
        </w:rPr>
        <w:t>See "Non-GAAP Financial Measures" within MD&amp;A.</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3DDE" w14:textId="77777777">
        <w:tc>
          <w:tcPr>
            <w:tcW w:w="50" w:type="pct"/>
            <w:shd w:val="clear" w:color="auto" w:fill="auto"/>
            <w:vAlign w:val="bottom"/>
          </w:tcPr>
          <w:p w14:paraId="67533DD5" w14:textId="77777777" w:rsidR="001B77DD" w:rsidRDefault="001B77DD">
            <w:pPr>
              <w:rPr>
                <w:rFonts w:ascii="宋体"/>
              </w:rPr>
            </w:pPr>
          </w:p>
        </w:tc>
        <w:tc>
          <w:tcPr>
            <w:tcW w:w="283" w:type="pct"/>
            <w:shd w:val="clear" w:color="auto" w:fill="auto"/>
            <w:vAlign w:val="bottom"/>
          </w:tcPr>
          <w:p w14:paraId="67533DD6" w14:textId="77777777" w:rsidR="001B77DD" w:rsidRDefault="001B77DD">
            <w:pPr>
              <w:rPr>
                <w:rFonts w:ascii="宋体"/>
              </w:rPr>
            </w:pPr>
          </w:p>
        </w:tc>
        <w:tc>
          <w:tcPr>
            <w:tcW w:w="5" w:type="pct"/>
            <w:shd w:val="clear" w:color="auto" w:fill="auto"/>
            <w:vAlign w:val="bottom"/>
          </w:tcPr>
          <w:p w14:paraId="67533DD7" w14:textId="77777777" w:rsidR="001B77DD" w:rsidRDefault="001B77DD">
            <w:pPr>
              <w:rPr>
                <w:rFonts w:ascii="宋体"/>
              </w:rPr>
            </w:pPr>
          </w:p>
        </w:tc>
        <w:tc>
          <w:tcPr>
            <w:tcW w:w="50" w:type="pct"/>
            <w:shd w:val="clear" w:color="auto" w:fill="auto"/>
            <w:vAlign w:val="bottom"/>
          </w:tcPr>
          <w:p w14:paraId="67533DD8" w14:textId="77777777" w:rsidR="001B77DD" w:rsidRDefault="001B77DD">
            <w:pPr>
              <w:rPr>
                <w:rFonts w:ascii="宋体"/>
              </w:rPr>
            </w:pPr>
          </w:p>
        </w:tc>
        <w:tc>
          <w:tcPr>
            <w:tcW w:w="2656" w:type="pct"/>
            <w:shd w:val="clear" w:color="auto" w:fill="auto"/>
            <w:vAlign w:val="bottom"/>
          </w:tcPr>
          <w:p w14:paraId="67533DD9" w14:textId="77777777" w:rsidR="001B77DD" w:rsidRDefault="001B77DD">
            <w:pPr>
              <w:rPr>
                <w:rFonts w:ascii="宋体"/>
              </w:rPr>
            </w:pPr>
          </w:p>
        </w:tc>
        <w:tc>
          <w:tcPr>
            <w:tcW w:w="5" w:type="pct"/>
            <w:shd w:val="clear" w:color="auto" w:fill="auto"/>
            <w:vAlign w:val="bottom"/>
          </w:tcPr>
          <w:p w14:paraId="67533DDA" w14:textId="77777777" w:rsidR="001B77DD" w:rsidRDefault="001B77DD">
            <w:pPr>
              <w:rPr>
                <w:rFonts w:ascii="宋体"/>
              </w:rPr>
            </w:pPr>
          </w:p>
        </w:tc>
        <w:tc>
          <w:tcPr>
            <w:tcW w:w="50" w:type="pct"/>
            <w:shd w:val="clear" w:color="auto" w:fill="auto"/>
            <w:vAlign w:val="bottom"/>
          </w:tcPr>
          <w:p w14:paraId="67533DDB" w14:textId="77777777" w:rsidR="001B77DD" w:rsidRDefault="001B77DD">
            <w:pPr>
              <w:rPr>
                <w:rFonts w:ascii="宋体"/>
              </w:rPr>
            </w:pPr>
          </w:p>
        </w:tc>
        <w:tc>
          <w:tcPr>
            <w:tcW w:w="1894" w:type="pct"/>
            <w:shd w:val="clear" w:color="auto" w:fill="auto"/>
            <w:vAlign w:val="bottom"/>
          </w:tcPr>
          <w:p w14:paraId="67533DDC" w14:textId="77777777" w:rsidR="001B77DD" w:rsidRDefault="001B77DD">
            <w:pPr>
              <w:rPr>
                <w:rFonts w:ascii="宋体"/>
              </w:rPr>
            </w:pPr>
          </w:p>
        </w:tc>
        <w:tc>
          <w:tcPr>
            <w:tcW w:w="5" w:type="pct"/>
            <w:shd w:val="clear" w:color="auto" w:fill="auto"/>
            <w:vAlign w:val="bottom"/>
          </w:tcPr>
          <w:p w14:paraId="67533DDD" w14:textId="77777777" w:rsidR="001B77DD" w:rsidRDefault="001B77DD">
            <w:pPr>
              <w:rPr>
                <w:rFonts w:ascii="宋体"/>
              </w:rPr>
            </w:pPr>
          </w:p>
        </w:tc>
      </w:tr>
      <w:tr w:rsidR="001B77DD" w14:paraId="67533DE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3DDF"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9C" wp14:editId="67538D9D">
                  <wp:extent cx="304800" cy="304800"/>
                  <wp:effectExtent l="0" t="0" r="0" b="0"/>
                  <wp:docPr id="228" name="图片 4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4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DE0"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DE1" w14:textId="77777777" w:rsidR="001B77DD" w:rsidRDefault="00BF0A28">
            <w:pPr>
              <w:jc w:val="right"/>
              <w:textAlignment w:val="center"/>
            </w:pPr>
            <w:r>
              <w:rPr>
                <w:rFonts w:ascii="Arial" w:eastAsia="宋体" w:hAnsi="Arial" w:cs="Arial"/>
                <w:color w:val="262626"/>
                <w:sz w:val="16"/>
                <w:szCs w:val="16"/>
              </w:rPr>
              <w:t>4</w:t>
            </w:r>
          </w:p>
        </w:tc>
      </w:tr>
    </w:tbl>
    <w:p w14:paraId="67533DE3" w14:textId="77777777" w:rsidR="001B77DD" w:rsidRDefault="00BF0A28">
      <w:r>
        <w:pict w14:anchorId="67538D9E">
          <v:rect id="_x0000_i1030" style="width:415.3pt;height:1.5pt" o:hralign="center" o:hrstd="t" o:hr="t" fillcolor="#a0a0a0" stroked="f"/>
        </w:pict>
      </w:r>
    </w:p>
    <w:p w14:paraId="67533DE4" w14:textId="77777777" w:rsidR="001B77DD" w:rsidRDefault="00BF0A28">
      <w:pPr>
        <w:spacing w:after="180"/>
        <w:jc w:val="right"/>
      </w:pPr>
      <w:hyperlink r:id="rId37" w:anchor="i6c9ced68f6b24d58a3dcf326e8c3c699_16" w:history="1">
        <w:r>
          <w:rPr>
            <w:rStyle w:val="a5"/>
            <w:rFonts w:ascii="Arial" w:eastAsia="宋体" w:hAnsi="Arial" w:cs="Arial"/>
            <w:sz w:val="18"/>
            <w:szCs w:val="18"/>
          </w:rPr>
          <w:t>Table</w:t>
        </w:r>
      </w:hyperlink>
      <w:hyperlink r:id="rId38" w:anchor="i6c9ced68f6b24d58a3dcf326e8c3c699_16" w:history="1">
        <w:r>
          <w:rPr>
            <w:rStyle w:val="a5"/>
            <w:rFonts w:ascii="Arial" w:eastAsia="宋体" w:hAnsi="Arial" w:cs="Arial"/>
            <w:sz w:val="18"/>
            <w:szCs w:val="18"/>
          </w:rPr>
          <w:t xml:space="preserve"> of </w:t>
        </w:r>
      </w:hyperlink>
      <w:hyperlink r:id="rId39" w:anchor="i6c9ced68f6b24d58a3dcf326e8c3c699_16" w:history="1">
        <w:r>
          <w:rPr>
            <w:rStyle w:val="a5"/>
            <w:rFonts w:ascii="Arial" w:eastAsia="宋体" w:hAnsi="Arial" w:cs="Arial"/>
            <w:sz w:val="18"/>
            <w:szCs w:val="18"/>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3DEB" w14:textId="77777777">
        <w:tc>
          <w:tcPr>
            <w:tcW w:w="50" w:type="pct"/>
            <w:shd w:val="clear" w:color="auto" w:fill="auto"/>
            <w:vAlign w:val="bottom"/>
          </w:tcPr>
          <w:p w14:paraId="67533DE5" w14:textId="77777777" w:rsidR="001B77DD" w:rsidRDefault="001B77DD">
            <w:pPr>
              <w:rPr>
                <w:rFonts w:ascii="宋体"/>
              </w:rPr>
            </w:pPr>
          </w:p>
        </w:tc>
        <w:tc>
          <w:tcPr>
            <w:tcW w:w="4870" w:type="pct"/>
            <w:shd w:val="clear" w:color="auto" w:fill="auto"/>
            <w:vAlign w:val="bottom"/>
          </w:tcPr>
          <w:p w14:paraId="67533DE6" w14:textId="77777777" w:rsidR="001B77DD" w:rsidRDefault="001B77DD">
            <w:pPr>
              <w:rPr>
                <w:rFonts w:ascii="宋体"/>
              </w:rPr>
            </w:pPr>
          </w:p>
        </w:tc>
        <w:tc>
          <w:tcPr>
            <w:tcW w:w="5" w:type="pct"/>
            <w:shd w:val="clear" w:color="auto" w:fill="auto"/>
            <w:vAlign w:val="bottom"/>
          </w:tcPr>
          <w:p w14:paraId="67533DE7" w14:textId="77777777" w:rsidR="001B77DD" w:rsidRDefault="001B77DD">
            <w:pPr>
              <w:rPr>
                <w:rFonts w:ascii="宋体"/>
              </w:rPr>
            </w:pPr>
          </w:p>
        </w:tc>
        <w:tc>
          <w:tcPr>
            <w:tcW w:w="5" w:type="pct"/>
            <w:shd w:val="clear" w:color="auto" w:fill="auto"/>
            <w:vAlign w:val="bottom"/>
          </w:tcPr>
          <w:p w14:paraId="67533DE8" w14:textId="77777777" w:rsidR="001B77DD" w:rsidRDefault="001B77DD">
            <w:pPr>
              <w:rPr>
                <w:rFonts w:ascii="宋体"/>
              </w:rPr>
            </w:pPr>
          </w:p>
        </w:tc>
        <w:tc>
          <w:tcPr>
            <w:tcW w:w="64" w:type="pct"/>
            <w:shd w:val="clear" w:color="auto" w:fill="auto"/>
            <w:vAlign w:val="bottom"/>
          </w:tcPr>
          <w:p w14:paraId="67533DE9" w14:textId="77777777" w:rsidR="001B77DD" w:rsidRDefault="001B77DD">
            <w:pPr>
              <w:rPr>
                <w:rFonts w:ascii="宋体"/>
              </w:rPr>
            </w:pPr>
          </w:p>
        </w:tc>
        <w:tc>
          <w:tcPr>
            <w:tcW w:w="5" w:type="pct"/>
            <w:shd w:val="clear" w:color="auto" w:fill="auto"/>
            <w:vAlign w:val="bottom"/>
          </w:tcPr>
          <w:p w14:paraId="67533DEA" w14:textId="77777777" w:rsidR="001B77DD" w:rsidRDefault="001B77DD">
            <w:pPr>
              <w:rPr>
                <w:rFonts w:ascii="宋体"/>
              </w:rPr>
            </w:pPr>
          </w:p>
        </w:tc>
      </w:tr>
      <w:tr w:rsidR="001B77DD" w14:paraId="67533DEE" w14:textId="77777777">
        <w:trPr>
          <w:trHeight w:val="400"/>
        </w:trPr>
        <w:tc>
          <w:tcPr>
            <w:tcW w:w="0" w:type="auto"/>
            <w:gridSpan w:val="3"/>
            <w:shd w:val="clear" w:color="auto" w:fill="004A86"/>
            <w:tcMar>
              <w:top w:w="0" w:type="dxa"/>
              <w:left w:w="140" w:type="dxa"/>
              <w:bottom w:w="0" w:type="dxa"/>
              <w:right w:w="20" w:type="dxa"/>
            </w:tcMar>
            <w:vAlign w:val="bottom"/>
          </w:tcPr>
          <w:p w14:paraId="67533DE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DED" w14:textId="77777777" w:rsidR="001B77DD" w:rsidRDefault="001B77DD">
            <w:pPr>
              <w:rPr>
                <w:rFonts w:ascii="宋体"/>
              </w:rPr>
            </w:pPr>
          </w:p>
        </w:tc>
      </w:tr>
      <w:tr w:rsidR="001B77DD" w14:paraId="67533DF1" w14:textId="77777777">
        <w:trPr>
          <w:trHeight w:val="160"/>
        </w:trPr>
        <w:tc>
          <w:tcPr>
            <w:tcW w:w="0" w:type="auto"/>
            <w:gridSpan w:val="3"/>
            <w:shd w:val="clear" w:color="auto" w:fill="auto"/>
            <w:tcMar>
              <w:top w:w="0" w:type="dxa"/>
              <w:left w:w="20" w:type="dxa"/>
              <w:bottom w:w="0" w:type="dxa"/>
              <w:right w:w="20" w:type="dxa"/>
            </w:tcMar>
            <w:vAlign w:val="bottom"/>
          </w:tcPr>
          <w:p w14:paraId="67533DEF"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3DF0" w14:textId="77777777" w:rsidR="001B77DD" w:rsidRDefault="001B77DD">
            <w:pPr>
              <w:rPr>
                <w:rFonts w:ascii="宋体"/>
              </w:rPr>
            </w:pPr>
          </w:p>
        </w:tc>
      </w:tr>
    </w:tbl>
    <w:p w14:paraId="67533DF2" w14:textId="77777777" w:rsidR="001B77DD" w:rsidRDefault="00BF0A28">
      <w:pPr>
        <w:spacing w:after="120"/>
      </w:pPr>
      <w:r>
        <w:rPr>
          <w:rFonts w:ascii="Arial" w:eastAsia="宋体" w:hAnsi="Arial" w:cs="Arial"/>
          <w:color w:val="0068B5"/>
          <w:sz w:val="20"/>
          <w:szCs w:val="20"/>
        </w:rPr>
        <w:t xml:space="preserve">New CEO and </w:t>
      </w:r>
      <w:r>
        <w:rPr>
          <w:rFonts w:ascii="Arial" w:eastAsia="宋体" w:hAnsi="Arial" w:cs="Arial"/>
          <w:color w:val="0068B5"/>
          <w:sz w:val="20"/>
          <w:szCs w:val="20"/>
        </w:rPr>
        <w:t>leadership team changes</w:t>
      </w:r>
    </w:p>
    <w:p w14:paraId="67533DF3" w14:textId="77777777" w:rsidR="001B77DD" w:rsidRDefault="00BF0A28">
      <w:pPr>
        <w:spacing w:after="180"/>
      </w:pPr>
      <w:r>
        <w:rPr>
          <w:rFonts w:ascii="Arial" w:eastAsia="宋体" w:hAnsi="Arial" w:cs="Arial"/>
          <w:color w:val="262626"/>
          <w:sz w:val="18"/>
          <w:szCs w:val="18"/>
        </w:rPr>
        <w:t>Our new CEO Pat Gelsinger joined Intel on February 15, 2021 and made several senior leadership changes throughout the year. We also named our new CFO David Zinsner in January 2022. Mr. Gelsinger returns to Intel, where he previously</w:t>
      </w:r>
      <w:r>
        <w:rPr>
          <w:rFonts w:ascii="Arial" w:eastAsia="宋体" w:hAnsi="Arial" w:cs="Arial"/>
          <w:color w:val="262626"/>
          <w:sz w:val="18"/>
          <w:szCs w:val="18"/>
        </w:rPr>
        <w:t xml:space="preserve"> spent 30 years of his career, learned at the feet of Intel’s founders, and served as our first Chief Technology Officer.</w:t>
      </w:r>
    </w:p>
    <w:p w14:paraId="67533DF4" w14:textId="77777777" w:rsidR="001B77DD" w:rsidRDefault="00BF0A28">
      <w:pPr>
        <w:spacing w:after="120"/>
      </w:pPr>
      <w:r>
        <w:rPr>
          <w:rFonts w:ascii="Arial" w:eastAsia="宋体" w:hAnsi="Arial" w:cs="Arial"/>
          <w:color w:val="0068B5"/>
          <w:sz w:val="20"/>
          <w:szCs w:val="20"/>
        </w:rPr>
        <w:t>IDM 2.0</w:t>
      </w:r>
    </w:p>
    <w:p w14:paraId="67533DF5" w14:textId="77777777" w:rsidR="001B77DD" w:rsidRDefault="00BF0A28">
      <w:pPr>
        <w:spacing w:after="180"/>
      </w:pPr>
      <w:r>
        <w:rPr>
          <w:rFonts w:ascii="Arial" w:eastAsia="宋体" w:hAnsi="Arial" w:cs="Arial"/>
          <w:color w:val="262626"/>
          <w:sz w:val="18"/>
          <w:szCs w:val="18"/>
        </w:rPr>
        <w:t>On March 23, 2021, we announced our "IDM 2.0" strategy, the next evolution of our IDM model. Our IDM 2.0 strategy combines our</w:t>
      </w:r>
      <w:r>
        <w:rPr>
          <w:rFonts w:ascii="Arial" w:eastAsia="宋体" w:hAnsi="Arial" w:cs="Arial"/>
          <w:color w:val="262626"/>
          <w:sz w:val="18"/>
          <w:szCs w:val="18"/>
        </w:rPr>
        <w:t xml:space="preserve"> internal factory network, strategic use of external foundries, and our new IFS business to position us to drive technology and product leadership. To accelerate this strategy, we announced plans to invest $20 billion to build two new fabs in Arizona, whic</w:t>
      </w:r>
      <w:r>
        <w:rPr>
          <w:rFonts w:ascii="Arial" w:eastAsia="宋体" w:hAnsi="Arial" w:cs="Arial"/>
          <w:color w:val="262626"/>
          <w:sz w:val="18"/>
          <w:szCs w:val="18"/>
        </w:rPr>
        <w:t xml:space="preserve">h we broke ground on in September, and we recently announced plans to invest more than $20 billion in the construction of two new leading-edge fabs in Ohio. We also announced approximately $10.5 billion total investment to equip our Rio Rancho, New Mexico </w:t>
      </w:r>
      <w:r>
        <w:rPr>
          <w:rFonts w:ascii="Arial" w:eastAsia="宋体" w:hAnsi="Arial" w:cs="Arial"/>
          <w:color w:val="262626"/>
          <w:sz w:val="18"/>
          <w:szCs w:val="18"/>
        </w:rPr>
        <w:t>and Malaysia sites for advanced packaging manufacturing. In August, the US Department of Defense announced that IFS will lead the first phase of its multi-phase RAMP-C program to facilitate the use of a domestic commercial foundry infrastructure.</w:t>
      </w:r>
    </w:p>
    <w:p w14:paraId="67533DF6" w14:textId="77777777" w:rsidR="001B77DD" w:rsidRDefault="00BF0A28">
      <w:pPr>
        <w:spacing w:after="120"/>
      </w:pPr>
      <w:r>
        <w:rPr>
          <w:rFonts w:ascii="Arial" w:eastAsia="宋体" w:hAnsi="Arial" w:cs="Arial"/>
          <w:color w:val="0068B5"/>
          <w:sz w:val="20"/>
          <w:szCs w:val="20"/>
        </w:rPr>
        <w:t>Process a</w:t>
      </w:r>
      <w:r>
        <w:rPr>
          <w:rFonts w:ascii="Arial" w:eastAsia="宋体" w:hAnsi="Arial" w:cs="Arial"/>
          <w:color w:val="0068B5"/>
          <w:sz w:val="20"/>
          <w:szCs w:val="20"/>
        </w:rPr>
        <w:t>nd packaging technology roadmaps</w:t>
      </w:r>
    </w:p>
    <w:p w14:paraId="67533DF7" w14:textId="77777777" w:rsidR="001B77DD" w:rsidRDefault="00BF0A28">
      <w:pPr>
        <w:spacing w:after="180"/>
      </w:pPr>
      <w:r>
        <w:rPr>
          <w:rFonts w:ascii="Arial" w:eastAsia="宋体" w:hAnsi="Arial" w:cs="Arial"/>
          <w:color w:val="262626"/>
          <w:sz w:val="18"/>
          <w:szCs w:val="18"/>
        </w:rPr>
        <w:t>At the Intel Accelerated event in July 2021, we provided an update on our manufacturing process and packaging technology roadmaps. We introduced future nodes, including Intel 3 and Intel 20A, and discussed future process an</w:t>
      </w:r>
      <w:r>
        <w:rPr>
          <w:rFonts w:ascii="Arial" w:eastAsia="宋体" w:hAnsi="Arial" w:cs="Arial"/>
          <w:color w:val="262626"/>
          <w:sz w:val="18"/>
          <w:szCs w:val="18"/>
        </w:rPr>
        <w:t>d packaging technologies, such as our PowerVia, RibbonFET, Foveros Omni, and Foveros Direct technologies. As part of the update, we also introduced a new naming structure for our manufacturing process nodes, which includes the name changes summarized in "K</w:t>
      </w:r>
      <w:r>
        <w:rPr>
          <w:rFonts w:ascii="Arial" w:eastAsia="宋体" w:hAnsi="Arial" w:cs="Arial"/>
          <w:color w:val="262626"/>
          <w:sz w:val="18"/>
          <w:szCs w:val="18"/>
        </w:rPr>
        <w:t>ey Terms" within 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0"/>
        <w:gridCol w:w="4910"/>
        <w:gridCol w:w="37"/>
        <w:gridCol w:w="36"/>
        <w:gridCol w:w="51"/>
        <w:gridCol w:w="36"/>
        <w:gridCol w:w="61"/>
        <w:gridCol w:w="3109"/>
        <w:gridCol w:w="36"/>
      </w:tblGrid>
      <w:tr w:rsidR="001B77DD" w14:paraId="67533E01" w14:textId="77777777">
        <w:tc>
          <w:tcPr>
            <w:tcW w:w="50" w:type="pct"/>
            <w:shd w:val="clear" w:color="auto" w:fill="auto"/>
            <w:vAlign w:val="bottom"/>
          </w:tcPr>
          <w:p w14:paraId="67533DF8" w14:textId="77777777" w:rsidR="001B77DD" w:rsidRDefault="001B77DD">
            <w:pPr>
              <w:rPr>
                <w:rFonts w:ascii="宋体"/>
              </w:rPr>
            </w:pPr>
          </w:p>
        </w:tc>
        <w:tc>
          <w:tcPr>
            <w:tcW w:w="2957" w:type="pct"/>
            <w:shd w:val="clear" w:color="auto" w:fill="auto"/>
            <w:vAlign w:val="bottom"/>
          </w:tcPr>
          <w:p w14:paraId="67533DF9" w14:textId="77777777" w:rsidR="001B77DD" w:rsidRDefault="001B77DD">
            <w:pPr>
              <w:rPr>
                <w:rFonts w:ascii="宋体"/>
              </w:rPr>
            </w:pPr>
          </w:p>
        </w:tc>
        <w:tc>
          <w:tcPr>
            <w:tcW w:w="5" w:type="pct"/>
            <w:shd w:val="clear" w:color="auto" w:fill="auto"/>
            <w:vAlign w:val="bottom"/>
          </w:tcPr>
          <w:p w14:paraId="67533DFA" w14:textId="77777777" w:rsidR="001B77DD" w:rsidRDefault="001B77DD">
            <w:pPr>
              <w:rPr>
                <w:rFonts w:ascii="宋体"/>
              </w:rPr>
            </w:pPr>
          </w:p>
        </w:tc>
        <w:tc>
          <w:tcPr>
            <w:tcW w:w="5" w:type="pct"/>
            <w:shd w:val="clear" w:color="auto" w:fill="auto"/>
            <w:vAlign w:val="bottom"/>
          </w:tcPr>
          <w:p w14:paraId="67533DFB" w14:textId="77777777" w:rsidR="001B77DD" w:rsidRDefault="001B77DD">
            <w:pPr>
              <w:rPr>
                <w:rFonts w:ascii="宋体"/>
              </w:rPr>
            </w:pPr>
          </w:p>
        </w:tc>
        <w:tc>
          <w:tcPr>
            <w:tcW w:w="44" w:type="pct"/>
            <w:shd w:val="clear" w:color="auto" w:fill="auto"/>
            <w:vAlign w:val="bottom"/>
          </w:tcPr>
          <w:p w14:paraId="67533DFC" w14:textId="77777777" w:rsidR="001B77DD" w:rsidRDefault="001B77DD">
            <w:pPr>
              <w:rPr>
                <w:rFonts w:ascii="宋体"/>
              </w:rPr>
            </w:pPr>
          </w:p>
        </w:tc>
        <w:tc>
          <w:tcPr>
            <w:tcW w:w="5" w:type="pct"/>
            <w:shd w:val="clear" w:color="auto" w:fill="auto"/>
            <w:vAlign w:val="bottom"/>
          </w:tcPr>
          <w:p w14:paraId="67533DFD" w14:textId="77777777" w:rsidR="001B77DD" w:rsidRDefault="001B77DD">
            <w:pPr>
              <w:rPr>
                <w:rFonts w:ascii="宋体"/>
              </w:rPr>
            </w:pPr>
          </w:p>
        </w:tc>
        <w:tc>
          <w:tcPr>
            <w:tcW w:w="50" w:type="pct"/>
            <w:shd w:val="clear" w:color="auto" w:fill="auto"/>
            <w:vAlign w:val="bottom"/>
          </w:tcPr>
          <w:p w14:paraId="67533DFE" w14:textId="77777777" w:rsidR="001B77DD" w:rsidRDefault="001B77DD">
            <w:pPr>
              <w:rPr>
                <w:rFonts w:ascii="宋体"/>
              </w:rPr>
            </w:pPr>
          </w:p>
        </w:tc>
        <w:tc>
          <w:tcPr>
            <w:tcW w:w="1878" w:type="pct"/>
            <w:shd w:val="clear" w:color="auto" w:fill="auto"/>
            <w:vAlign w:val="bottom"/>
          </w:tcPr>
          <w:p w14:paraId="67533DFF" w14:textId="77777777" w:rsidR="001B77DD" w:rsidRDefault="001B77DD">
            <w:pPr>
              <w:rPr>
                <w:rFonts w:ascii="宋体"/>
              </w:rPr>
            </w:pPr>
          </w:p>
        </w:tc>
        <w:tc>
          <w:tcPr>
            <w:tcW w:w="5" w:type="pct"/>
            <w:shd w:val="clear" w:color="auto" w:fill="auto"/>
            <w:vAlign w:val="bottom"/>
          </w:tcPr>
          <w:p w14:paraId="67533E00" w14:textId="77777777" w:rsidR="001B77DD" w:rsidRDefault="001B77DD">
            <w:pPr>
              <w:rPr>
                <w:rFonts w:ascii="宋体"/>
              </w:rPr>
            </w:pPr>
          </w:p>
        </w:tc>
      </w:tr>
      <w:tr w:rsidR="001B77DD" w14:paraId="67533E05" w14:textId="77777777">
        <w:trPr>
          <w:hidden/>
        </w:trPr>
        <w:tc>
          <w:tcPr>
            <w:tcW w:w="0" w:type="auto"/>
            <w:gridSpan w:val="3"/>
            <w:shd w:val="clear" w:color="auto" w:fill="auto"/>
            <w:vAlign w:val="bottom"/>
          </w:tcPr>
          <w:p w14:paraId="67533E02" w14:textId="77777777" w:rsidR="001B77DD" w:rsidRDefault="001B77DD">
            <w:pPr>
              <w:rPr>
                <w:rFonts w:ascii="宋体"/>
                <w:vanish/>
              </w:rPr>
            </w:pPr>
          </w:p>
        </w:tc>
        <w:tc>
          <w:tcPr>
            <w:tcW w:w="0" w:type="auto"/>
            <w:gridSpan w:val="3"/>
            <w:shd w:val="clear" w:color="auto" w:fill="auto"/>
            <w:vAlign w:val="bottom"/>
          </w:tcPr>
          <w:p w14:paraId="67533E03" w14:textId="77777777" w:rsidR="001B77DD" w:rsidRDefault="001B77DD">
            <w:pPr>
              <w:rPr>
                <w:rFonts w:ascii="宋体"/>
                <w:vanish/>
              </w:rPr>
            </w:pPr>
          </w:p>
        </w:tc>
        <w:tc>
          <w:tcPr>
            <w:tcW w:w="0" w:type="auto"/>
            <w:gridSpan w:val="3"/>
            <w:shd w:val="clear" w:color="auto" w:fill="auto"/>
            <w:vAlign w:val="bottom"/>
          </w:tcPr>
          <w:p w14:paraId="67533E04" w14:textId="77777777" w:rsidR="001B77DD" w:rsidRDefault="001B77DD">
            <w:pPr>
              <w:rPr>
                <w:rFonts w:ascii="宋体"/>
                <w:vanish/>
              </w:rPr>
            </w:pPr>
          </w:p>
        </w:tc>
      </w:tr>
      <w:tr w:rsidR="001B77DD" w14:paraId="67533E09" w14:textId="77777777">
        <w:trPr>
          <w:trHeight w:val="300"/>
        </w:trPr>
        <w:tc>
          <w:tcPr>
            <w:tcW w:w="0" w:type="auto"/>
            <w:gridSpan w:val="3"/>
            <w:shd w:val="clear" w:color="auto" w:fill="auto"/>
            <w:tcMar>
              <w:top w:w="40" w:type="dxa"/>
              <w:left w:w="20" w:type="dxa"/>
              <w:bottom w:w="40" w:type="dxa"/>
              <w:right w:w="20" w:type="dxa"/>
            </w:tcMar>
            <w:vAlign w:val="bottom"/>
          </w:tcPr>
          <w:p w14:paraId="67533E06" w14:textId="77777777" w:rsidR="001B77DD" w:rsidRDefault="00BF0A28">
            <w:pPr>
              <w:spacing w:after="120"/>
              <w:textAlignment w:val="bottom"/>
            </w:pPr>
            <w:r>
              <w:rPr>
                <w:rFonts w:ascii="Arial" w:eastAsia="宋体" w:hAnsi="Arial" w:cs="Arial"/>
                <w:color w:val="0068B5"/>
                <w:sz w:val="20"/>
                <w:szCs w:val="20"/>
              </w:rPr>
              <w:t>12th Gen Intel</w:t>
            </w:r>
            <w:r>
              <w:rPr>
                <w:rFonts w:ascii="Arial" w:eastAsia="宋体" w:hAnsi="Arial" w:cs="Arial"/>
                <w:color w:val="0068B5"/>
                <w:sz w:val="13"/>
                <w:szCs w:val="13"/>
              </w:rPr>
              <w:t>®</w:t>
            </w:r>
            <w:r>
              <w:rPr>
                <w:rFonts w:ascii="Arial" w:eastAsia="宋体" w:hAnsi="Arial" w:cs="Arial"/>
                <w:color w:val="0068B5"/>
                <w:sz w:val="20"/>
                <w:szCs w:val="20"/>
              </w:rPr>
              <w:t xml:space="preserve"> Core™ processors</w:t>
            </w:r>
          </w:p>
        </w:tc>
        <w:tc>
          <w:tcPr>
            <w:tcW w:w="0" w:type="auto"/>
            <w:gridSpan w:val="3"/>
            <w:shd w:val="clear" w:color="auto" w:fill="auto"/>
            <w:tcMar>
              <w:top w:w="0" w:type="dxa"/>
              <w:left w:w="20" w:type="dxa"/>
              <w:bottom w:w="0" w:type="dxa"/>
              <w:right w:w="20" w:type="dxa"/>
            </w:tcMar>
            <w:vAlign w:val="bottom"/>
          </w:tcPr>
          <w:p w14:paraId="67533E07" w14:textId="77777777" w:rsidR="001B77DD" w:rsidRDefault="001B77DD">
            <w:pPr>
              <w:rPr>
                <w:rFonts w:ascii="宋体"/>
              </w:rPr>
            </w:pPr>
          </w:p>
        </w:tc>
        <w:tc>
          <w:tcPr>
            <w:tcW w:w="0" w:type="auto"/>
            <w:gridSpan w:val="3"/>
            <w:vMerge w:val="restart"/>
            <w:shd w:val="clear" w:color="auto" w:fill="auto"/>
            <w:tcMar>
              <w:top w:w="0" w:type="dxa"/>
              <w:left w:w="20" w:type="dxa"/>
              <w:bottom w:w="0" w:type="dxa"/>
              <w:right w:w="20" w:type="dxa"/>
            </w:tcMar>
            <w:vAlign w:val="bottom"/>
          </w:tcPr>
          <w:p w14:paraId="67533E08"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9F" wp14:editId="67538DA0">
                  <wp:extent cx="304800" cy="304800"/>
                  <wp:effectExtent l="0" t="0" r="0" b="0"/>
                  <wp:docPr id="252" name="图片 5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50"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3E0D" w14:textId="77777777">
        <w:trPr>
          <w:trHeight w:val="1380"/>
        </w:trPr>
        <w:tc>
          <w:tcPr>
            <w:tcW w:w="0" w:type="auto"/>
            <w:gridSpan w:val="3"/>
            <w:shd w:val="clear" w:color="auto" w:fill="auto"/>
            <w:tcMar>
              <w:top w:w="40" w:type="dxa"/>
              <w:left w:w="20" w:type="dxa"/>
              <w:bottom w:w="40" w:type="dxa"/>
              <w:right w:w="20" w:type="dxa"/>
            </w:tcMar>
          </w:tcPr>
          <w:p w14:paraId="67533E0A" w14:textId="77777777" w:rsidR="001B77DD" w:rsidRDefault="00BF0A28">
            <w:pPr>
              <w:textAlignment w:val="top"/>
            </w:pPr>
            <w:r>
              <w:rPr>
                <w:rFonts w:ascii="Arial" w:eastAsia="宋体" w:hAnsi="Arial" w:cs="Arial"/>
                <w:color w:val="262626"/>
                <w:sz w:val="18"/>
                <w:szCs w:val="18"/>
              </w:rPr>
              <w:t>We announced the 12th Gen Intel Core processor family (Alder Lake), the first on the Intel 7 process, with r</w:t>
            </w:r>
            <w:r>
              <w:rPr>
                <w:rFonts w:ascii="Arial" w:eastAsia="宋体" w:hAnsi="Arial" w:cs="Arial"/>
                <w:color w:val="262626"/>
                <w:sz w:val="18"/>
                <w:szCs w:val="18"/>
              </w:rPr>
              <w:t>eal-world performance for enthusiast gamers and professional creators. Alder Lake is the first processor based on our performance hybrid architecture featuring a combination of Performance-cores, the highest performing CPU cores Intel has built, and Effici</w:t>
            </w:r>
            <w:r>
              <w:rPr>
                <w:rFonts w:ascii="Arial" w:eastAsia="宋体" w:hAnsi="Arial" w:cs="Arial"/>
                <w:color w:val="262626"/>
                <w:sz w:val="18"/>
                <w:szCs w:val="18"/>
              </w:rPr>
              <w:t>ent-cores designed for scalable multi-threaded workload performance.</w:t>
            </w:r>
          </w:p>
        </w:tc>
        <w:tc>
          <w:tcPr>
            <w:tcW w:w="0" w:type="auto"/>
            <w:gridSpan w:val="3"/>
            <w:shd w:val="clear" w:color="auto" w:fill="auto"/>
            <w:tcMar>
              <w:top w:w="0" w:type="dxa"/>
              <w:left w:w="20" w:type="dxa"/>
              <w:bottom w:w="0" w:type="dxa"/>
              <w:right w:w="20" w:type="dxa"/>
            </w:tcMar>
            <w:vAlign w:val="bottom"/>
          </w:tcPr>
          <w:p w14:paraId="67533E0B"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3E0C" w14:textId="77777777" w:rsidR="001B77DD" w:rsidRDefault="001B77DD">
            <w:pPr>
              <w:rPr>
                <w:rFonts w:ascii="宋体"/>
              </w:rPr>
            </w:pPr>
          </w:p>
        </w:tc>
      </w:tr>
      <w:tr w:rsidR="001B77DD" w14:paraId="67533E11" w14:textId="77777777">
        <w:trPr>
          <w:hidden/>
        </w:trPr>
        <w:tc>
          <w:tcPr>
            <w:tcW w:w="0" w:type="auto"/>
            <w:gridSpan w:val="3"/>
            <w:shd w:val="clear" w:color="auto" w:fill="auto"/>
            <w:vAlign w:val="bottom"/>
          </w:tcPr>
          <w:p w14:paraId="67533E0E" w14:textId="77777777" w:rsidR="001B77DD" w:rsidRDefault="001B77DD">
            <w:pPr>
              <w:rPr>
                <w:rFonts w:ascii="宋体"/>
                <w:vanish/>
              </w:rPr>
            </w:pPr>
          </w:p>
        </w:tc>
        <w:tc>
          <w:tcPr>
            <w:tcW w:w="0" w:type="auto"/>
            <w:gridSpan w:val="3"/>
            <w:shd w:val="clear" w:color="auto" w:fill="auto"/>
            <w:vAlign w:val="bottom"/>
          </w:tcPr>
          <w:p w14:paraId="67533E0F" w14:textId="77777777" w:rsidR="001B77DD" w:rsidRDefault="001B77DD">
            <w:pPr>
              <w:rPr>
                <w:rFonts w:ascii="宋体"/>
                <w:vanish/>
              </w:rPr>
            </w:pPr>
          </w:p>
        </w:tc>
        <w:tc>
          <w:tcPr>
            <w:tcW w:w="0" w:type="auto"/>
            <w:gridSpan w:val="3"/>
            <w:shd w:val="clear" w:color="auto" w:fill="auto"/>
            <w:vAlign w:val="bottom"/>
          </w:tcPr>
          <w:p w14:paraId="67533E10" w14:textId="77777777" w:rsidR="001B77DD" w:rsidRDefault="001B77DD">
            <w:pPr>
              <w:rPr>
                <w:rFonts w:ascii="宋体"/>
                <w:vanish/>
              </w:rPr>
            </w:pPr>
          </w:p>
        </w:tc>
      </w:tr>
      <w:tr w:rsidR="001B77DD" w14:paraId="67533E15" w14:textId="77777777">
        <w:trPr>
          <w:trHeight w:val="480"/>
        </w:trPr>
        <w:tc>
          <w:tcPr>
            <w:tcW w:w="0" w:type="auto"/>
            <w:gridSpan w:val="3"/>
            <w:shd w:val="clear" w:color="auto" w:fill="auto"/>
            <w:tcMar>
              <w:top w:w="40" w:type="dxa"/>
              <w:left w:w="20" w:type="dxa"/>
              <w:bottom w:w="40" w:type="dxa"/>
              <w:right w:w="20" w:type="dxa"/>
            </w:tcMar>
            <w:vAlign w:val="bottom"/>
          </w:tcPr>
          <w:p w14:paraId="67533E12" w14:textId="77777777" w:rsidR="001B77DD" w:rsidRDefault="00BF0A28">
            <w:pPr>
              <w:textAlignment w:val="bottom"/>
            </w:pPr>
            <w:r>
              <w:rPr>
                <w:rFonts w:ascii="Arial" w:eastAsia="宋体" w:hAnsi="Arial" w:cs="Arial"/>
                <w:color w:val="0068B5"/>
                <w:sz w:val="20"/>
                <w:szCs w:val="20"/>
              </w:rPr>
              <w:t>Ice Lake Server processors</w:t>
            </w:r>
          </w:p>
        </w:tc>
        <w:tc>
          <w:tcPr>
            <w:tcW w:w="0" w:type="auto"/>
            <w:gridSpan w:val="3"/>
            <w:shd w:val="clear" w:color="auto" w:fill="auto"/>
            <w:tcMar>
              <w:top w:w="0" w:type="dxa"/>
              <w:left w:w="20" w:type="dxa"/>
              <w:bottom w:w="0" w:type="dxa"/>
              <w:right w:w="20" w:type="dxa"/>
            </w:tcMar>
            <w:vAlign w:val="bottom"/>
          </w:tcPr>
          <w:p w14:paraId="67533E13" w14:textId="77777777" w:rsidR="001B77DD" w:rsidRDefault="001B77DD">
            <w:pPr>
              <w:rPr>
                <w:rFonts w:ascii="宋体"/>
              </w:rPr>
            </w:pPr>
          </w:p>
        </w:tc>
        <w:tc>
          <w:tcPr>
            <w:tcW w:w="0" w:type="auto"/>
            <w:gridSpan w:val="3"/>
            <w:vMerge w:val="restart"/>
            <w:shd w:val="clear" w:color="auto" w:fill="auto"/>
            <w:tcMar>
              <w:top w:w="0" w:type="dxa"/>
              <w:left w:w="20" w:type="dxa"/>
              <w:bottom w:w="0" w:type="dxa"/>
              <w:right w:w="20" w:type="dxa"/>
            </w:tcMar>
            <w:vAlign w:val="bottom"/>
          </w:tcPr>
          <w:p w14:paraId="67533E14"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A1" wp14:editId="67538DA2">
                  <wp:extent cx="304800" cy="304800"/>
                  <wp:effectExtent l="0" t="0" r="0" b="0"/>
                  <wp:docPr id="57" name="图片 5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1"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3E19" w14:textId="77777777">
        <w:trPr>
          <w:trHeight w:val="1140"/>
        </w:trPr>
        <w:tc>
          <w:tcPr>
            <w:tcW w:w="0" w:type="auto"/>
            <w:gridSpan w:val="3"/>
            <w:shd w:val="clear" w:color="auto" w:fill="auto"/>
            <w:tcMar>
              <w:top w:w="40" w:type="dxa"/>
              <w:left w:w="20" w:type="dxa"/>
              <w:bottom w:w="40" w:type="dxa"/>
              <w:right w:w="20" w:type="dxa"/>
            </w:tcMar>
          </w:tcPr>
          <w:p w14:paraId="67533E16" w14:textId="77777777" w:rsidR="001B77DD" w:rsidRDefault="00BF0A28">
            <w:pPr>
              <w:textAlignment w:val="top"/>
            </w:pPr>
            <w:r>
              <w:rPr>
                <w:rFonts w:ascii="Arial" w:eastAsia="宋体" w:hAnsi="Arial" w:cs="Arial"/>
                <w:color w:val="262626"/>
                <w:sz w:val="18"/>
                <w:szCs w:val="18"/>
              </w:rPr>
              <w:t xml:space="preserve">We launched the 3rd Gen Intel® Xeon® Scalable CPU (Ice Lake), which boasts up to 40 cores and </w:t>
            </w:r>
            <w:r>
              <w:rPr>
                <w:rFonts w:ascii="Arial" w:eastAsia="宋体" w:hAnsi="Arial" w:cs="Arial"/>
                <w:color w:val="262626"/>
                <w:sz w:val="18"/>
                <w:szCs w:val="18"/>
              </w:rPr>
              <w:t>delivers a significant increase in performance, on average, compared to the previous generation. The chips include a set of built-in security features, cryptographic acceleration, and AI.</w:t>
            </w:r>
          </w:p>
        </w:tc>
        <w:tc>
          <w:tcPr>
            <w:tcW w:w="0" w:type="auto"/>
            <w:gridSpan w:val="3"/>
            <w:shd w:val="clear" w:color="auto" w:fill="auto"/>
            <w:tcMar>
              <w:top w:w="0" w:type="dxa"/>
              <w:left w:w="20" w:type="dxa"/>
              <w:bottom w:w="0" w:type="dxa"/>
              <w:right w:w="20" w:type="dxa"/>
            </w:tcMar>
            <w:vAlign w:val="bottom"/>
          </w:tcPr>
          <w:p w14:paraId="67533E17"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3E18" w14:textId="77777777" w:rsidR="001B77DD" w:rsidRDefault="001B77DD">
            <w:pPr>
              <w:rPr>
                <w:rFonts w:ascii="宋体"/>
              </w:rPr>
            </w:pPr>
          </w:p>
        </w:tc>
      </w:tr>
      <w:tr w:rsidR="001B77DD" w14:paraId="67533E1D" w14:textId="77777777">
        <w:trPr>
          <w:trHeight w:val="420"/>
        </w:trPr>
        <w:tc>
          <w:tcPr>
            <w:tcW w:w="0" w:type="auto"/>
            <w:gridSpan w:val="3"/>
            <w:shd w:val="clear" w:color="auto" w:fill="auto"/>
            <w:tcMar>
              <w:top w:w="40" w:type="dxa"/>
              <w:left w:w="20" w:type="dxa"/>
              <w:bottom w:w="40" w:type="dxa"/>
              <w:right w:w="20" w:type="dxa"/>
            </w:tcMar>
            <w:vAlign w:val="bottom"/>
          </w:tcPr>
          <w:p w14:paraId="67533E1A" w14:textId="77777777" w:rsidR="001B77DD" w:rsidRDefault="00BF0A28">
            <w:pPr>
              <w:textAlignment w:val="bottom"/>
            </w:pPr>
            <w:r>
              <w:rPr>
                <w:rFonts w:ascii="Arial" w:eastAsia="宋体" w:hAnsi="Arial" w:cs="Arial"/>
                <w:color w:val="0068B5"/>
                <w:sz w:val="20"/>
                <w:szCs w:val="20"/>
              </w:rPr>
              <w:t>5G network products</w:t>
            </w:r>
          </w:p>
        </w:tc>
        <w:tc>
          <w:tcPr>
            <w:tcW w:w="0" w:type="auto"/>
            <w:gridSpan w:val="3"/>
            <w:shd w:val="clear" w:color="auto" w:fill="auto"/>
            <w:tcMar>
              <w:top w:w="0" w:type="dxa"/>
              <w:left w:w="20" w:type="dxa"/>
              <w:bottom w:w="0" w:type="dxa"/>
              <w:right w:w="20" w:type="dxa"/>
            </w:tcMar>
            <w:vAlign w:val="bottom"/>
          </w:tcPr>
          <w:p w14:paraId="67533E1B" w14:textId="77777777" w:rsidR="001B77DD" w:rsidRDefault="001B77DD">
            <w:pPr>
              <w:rPr>
                <w:rFonts w:ascii="宋体"/>
              </w:rPr>
            </w:pPr>
          </w:p>
        </w:tc>
        <w:tc>
          <w:tcPr>
            <w:tcW w:w="0" w:type="auto"/>
            <w:gridSpan w:val="3"/>
            <w:vMerge w:val="restart"/>
            <w:shd w:val="clear" w:color="auto" w:fill="auto"/>
            <w:tcMar>
              <w:top w:w="0" w:type="dxa"/>
              <w:left w:w="20" w:type="dxa"/>
              <w:bottom w:w="0" w:type="dxa"/>
              <w:right w:w="20" w:type="dxa"/>
            </w:tcMar>
            <w:vAlign w:val="bottom"/>
          </w:tcPr>
          <w:p w14:paraId="67533E1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A3" wp14:editId="67538DA4">
                  <wp:extent cx="304800" cy="304800"/>
                  <wp:effectExtent l="0" t="0" r="0" b="0"/>
                  <wp:docPr id="234" name="图片 52"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52"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3E21" w14:textId="77777777">
        <w:trPr>
          <w:trHeight w:val="960"/>
        </w:trPr>
        <w:tc>
          <w:tcPr>
            <w:tcW w:w="0" w:type="auto"/>
            <w:gridSpan w:val="3"/>
            <w:shd w:val="clear" w:color="auto" w:fill="auto"/>
            <w:tcMar>
              <w:top w:w="40" w:type="dxa"/>
              <w:left w:w="20" w:type="dxa"/>
              <w:bottom w:w="40" w:type="dxa"/>
              <w:right w:w="20" w:type="dxa"/>
            </w:tcMar>
          </w:tcPr>
          <w:p w14:paraId="67533E1E" w14:textId="77777777" w:rsidR="001B77DD" w:rsidRDefault="00BF0A28">
            <w:pPr>
              <w:textAlignment w:val="top"/>
            </w:pPr>
            <w:r>
              <w:rPr>
                <w:rFonts w:ascii="Arial" w:eastAsia="宋体" w:hAnsi="Arial" w:cs="Arial"/>
                <w:color w:val="262626"/>
                <w:sz w:val="18"/>
                <w:szCs w:val="18"/>
              </w:rPr>
              <w:t>We also introduced a broad, data-centric portfolio for 5G network infrastructure, including an SoC for wirel</w:t>
            </w:r>
            <w:r>
              <w:rPr>
                <w:rFonts w:ascii="Arial" w:eastAsia="宋体" w:hAnsi="Arial" w:cs="Arial"/>
                <w:color w:val="262626"/>
                <w:sz w:val="18"/>
                <w:szCs w:val="18"/>
              </w:rPr>
              <w:t>ess base stations, structured ASICs for 5G network acceleration, and a 5G network-optimized Ethernet NIC.</w:t>
            </w:r>
          </w:p>
        </w:tc>
        <w:tc>
          <w:tcPr>
            <w:tcW w:w="0" w:type="auto"/>
            <w:gridSpan w:val="3"/>
            <w:shd w:val="clear" w:color="auto" w:fill="auto"/>
            <w:tcMar>
              <w:top w:w="0" w:type="dxa"/>
              <w:left w:w="20" w:type="dxa"/>
              <w:bottom w:w="0" w:type="dxa"/>
              <w:right w:w="20" w:type="dxa"/>
            </w:tcMar>
            <w:vAlign w:val="bottom"/>
          </w:tcPr>
          <w:p w14:paraId="67533E1F"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3E20" w14:textId="77777777" w:rsidR="001B77DD" w:rsidRDefault="001B77DD">
            <w:pPr>
              <w:rPr>
                <w:rFonts w:ascii="宋体"/>
              </w:rPr>
            </w:pPr>
          </w:p>
        </w:tc>
      </w:tr>
      <w:tr w:rsidR="001B77DD" w14:paraId="67533E25" w14:textId="77777777">
        <w:trPr>
          <w:trHeight w:val="300"/>
        </w:trPr>
        <w:tc>
          <w:tcPr>
            <w:tcW w:w="0" w:type="auto"/>
            <w:gridSpan w:val="3"/>
            <w:shd w:val="clear" w:color="auto" w:fill="auto"/>
            <w:tcMar>
              <w:top w:w="40" w:type="dxa"/>
              <w:left w:w="20" w:type="dxa"/>
              <w:bottom w:w="40" w:type="dxa"/>
              <w:right w:w="20" w:type="dxa"/>
            </w:tcMar>
            <w:vAlign w:val="bottom"/>
          </w:tcPr>
          <w:p w14:paraId="67533E22" w14:textId="77777777" w:rsidR="001B77DD" w:rsidRDefault="00BF0A28">
            <w:pPr>
              <w:spacing w:after="120"/>
              <w:textAlignment w:val="bottom"/>
            </w:pPr>
            <w:r>
              <w:rPr>
                <w:rFonts w:ascii="Arial" w:eastAsia="宋体" w:hAnsi="Arial" w:cs="Arial"/>
                <w:color w:val="0068B5"/>
                <w:sz w:val="20"/>
                <w:szCs w:val="20"/>
              </w:rPr>
              <w:t>Intel</w:t>
            </w:r>
            <w:r>
              <w:rPr>
                <w:rFonts w:ascii="Arial" w:eastAsia="宋体" w:hAnsi="Arial" w:cs="Arial"/>
                <w:color w:val="0068B5"/>
                <w:sz w:val="13"/>
                <w:szCs w:val="13"/>
              </w:rPr>
              <w:t>®</w:t>
            </w:r>
            <w:r>
              <w:rPr>
                <w:rFonts w:ascii="Arial" w:eastAsia="宋体" w:hAnsi="Arial" w:cs="Arial"/>
                <w:color w:val="0068B5"/>
                <w:sz w:val="20"/>
                <w:szCs w:val="20"/>
              </w:rPr>
              <w:t xml:space="preserve"> Arc™ graphics</w:t>
            </w:r>
          </w:p>
        </w:tc>
        <w:tc>
          <w:tcPr>
            <w:tcW w:w="0" w:type="auto"/>
            <w:gridSpan w:val="3"/>
            <w:shd w:val="clear" w:color="auto" w:fill="auto"/>
            <w:tcMar>
              <w:top w:w="0" w:type="dxa"/>
              <w:left w:w="20" w:type="dxa"/>
              <w:bottom w:w="0" w:type="dxa"/>
              <w:right w:w="20" w:type="dxa"/>
            </w:tcMar>
            <w:vAlign w:val="bottom"/>
          </w:tcPr>
          <w:p w14:paraId="67533E23" w14:textId="77777777" w:rsidR="001B77DD" w:rsidRDefault="001B77DD">
            <w:pPr>
              <w:rPr>
                <w:rFonts w:ascii="宋体"/>
              </w:rPr>
            </w:pPr>
          </w:p>
        </w:tc>
        <w:tc>
          <w:tcPr>
            <w:tcW w:w="0" w:type="auto"/>
            <w:gridSpan w:val="3"/>
            <w:vMerge w:val="restart"/>
            <w:shd w:val="clear" w:color="auto" w:fill="auto"/>
            <w:tcMar>
              <w:top w:w="0" w:type="dxa"/>
              <w:left w:w="20" w:type="dxa"/>
              <w:bottom w:w="0" w:type="dxa"/>
              <w:right w:w="20" w:type="dxa"/>
            </w:tcMar>
            <w:vAlign w:val="bottom"/>
          </w:tcPr>
          <w:p w14:paraId="67533E24"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A5" wp14:editId="67538DA6">
                  <wp:extent cx="304800" cy="304800"/>
                  <wp:effectExtent l="0" t="0" r="0" b="0"/>
                  <wp:docPr id="19" name="图片 53"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3"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3E29" w14:textId="77777777">
        <w:trPr>
          <w:trHeight w:val="1380"/>
        </w:trPr>
        <w:tc>
          <w:tcPr>
            <w:tcW w:w="0" w:type="auto"/>
            <w:gridSpan w:val="3"/>
            <w:shd w:val="clear" w:color="auto" w:fill="auto"/>
            <w:tcMar>
              <w:top w:w="40" w:type="dxa"/>
              <w:left w:w="20" w:type="dxa"/>
              <w:bottom w:w="40" w:type="dxa"/>
              <w:right w:w="20" w:type="dxa"/>
            </w:tcMar>
          </w:tcPr>
          <w:p w14:paraId="67533E26" w14:textId="77777777" w:rsidR="001B77DD" w:rsidRDefault="00BF0A28">
            <w:pPr>
              <w:textAlignment w:val="top"/>
            </w:pPr>
            <w:r>
              <w:rPr>
                <w:rFonts w:ascii="Arial" w:eastAsia="宋体" w:hAnsi="Arial" w:cs="Arial"/>
                <w:color w:val="262626"/>
                <w:sz w:val="18"/>
                <w:szCs w:val="18"/>
              </w:rPr>
              <w:t xml:space="preserve">We revealed the brand for our upcoming consumer high-performance graphics products: Intel Arc. The Arc </w:t>
            </w:r>
            <w:r>
              <w:rPr>
                <w:rFonts w:ascii="Arial" w:eastAsia="宋体" w:hAnsi="Arial" w:cs="Arial"/>
                <w:color w:val="262626"/>
                <w:sz w:val="18"/>
                <w:szCs w:val="18"/>
              </w:rPr>
              <w:t>brand will cover hardware, software, and services, and will span multiple hardware generations, with the first generation discrete GPU (Alchemist) based on the Xe HPG microarchitecture and shipping to OEMs in Q1 2022.</w:t>
            </w:r>
          </w:p>
        </w:tc>
        <w:tc>
          <w:tcPr>
            <w:tcW w:w="0" w:type="auto"/>
            <w:gridSpan w:val="3"/>
            <w:shd w:val="clear" w:color="auto" w:fill="auto"/>
            <w:tcMar>
              <w:top w:w="0" w:type="dxa"/>
              <w:left w:w="20" w:type="dxa"/>
              <w:bottom w:w="0" w:type="dxa"/>
              <w:right w:w="20" w:type="dxa"/>
            </w:tcMar>
            <w:vAlign w:val="bottom"/>
          </w:tcPr>
          <w:p w14:paraId="67533E27"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3E28" w14:textId="77777777" w:rsidR="001B77DD" w:rsidRDefault="001B77DD">
            <w:pPr>
              <w:rPr>
                <w:rFonts w:ascii="宋体"/>
              </w:rPr>
            </w:pPr>
          </w:p>
        </w:tc>
      </w:tr>
    </w:tbl>
    <w:p w14:paraId="67533E2A" w14:textId="77777777" w:rsidR="001B77DD" w:rsidRDefault="00BF0A28">
      <w:pPr>
        <w:spacing w:after="120"/>
      </w:pPr>
      <w:r>
        <w:rPr>
          <w:rFonts w:ascii="Arial" w:eastAsia="宋体" w:hAnsi="Arial" w:cs="Arial"/>
          <w:color w:val="0068B5"/>
          <w:sz w:val="20"/>
          <w:szCs w:val="20"/>
        </w:rPr>
        <w:t>First closing of divestiture of NAN</w:t>
      </w:r>
      <w:r>
        <w:rPr>
          <w:rFonts w:ascii="Arial" w:eastAsia="宋体" w:hAnsi="Arial" w:cs="Arial"/>
          <w:color w:val="0068B5"/>
          <w:sz w:val="20"/>
          <w:szCs w:val="20"/>
        </w:rPr>
        <w:t>D memory business</w:t>
      </w:r>
    </w:p>
    <w:p w14:paraId="67533E2B" w14:textId="77777777" w:rsidR="001B77DD" w:rsidRDefault="00BF0A28">
      <w:pPr>
        <w:spacing w:after="180"/>
      </w:pPr>
      <w:r>
        <w:rPr>
          <w:rFonts w:ascii="Arial" w:eastAsia="宋体" w:hAnsi="Arial" w:cs="Arial"/>
          <w:color w:val="262626"/>
          <w:sz w:val="18"/>
          <w:szCs w:val="18"/>
        </w:rPr>
        <w:t>On December 29, 2021, subsequent to our fiscal 2021 year-end, we completed the first closing of the divestiture of our NAND memory business to SK hynix, Inc. (SK hynix). We intend to invest transaction proceeds to deliver leadership produ</w:t>
      </w:r>
      <w:r>
        <w:rPr>
          <w:rFonts w:ascii="Arial" w:eastAsia="宋体" w:hAnsi="Arial" w:cs="Arial"/>
          <w:color w:val="262626"/>
          <w:sz w:val="18"/>
          <w:szCs w:val="18"/>
        </w:rPr>
        <w:t>cts and advance our long-term growth priorities.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3E35" w14:textId="77777777">
        <w:tc>
          <w:tcPr>
            <w:tcW w:w="50" w:type="pct"/>
            <w:shd w:val="clear" w:color="auto" w:fill="auto"/>
            <w:vAlign w:val="bottom"/>
          </w:tcPr>
          <w:p w14:paraId="67533E2C" w14:textId="77777777" w:rsidR="001B77DD" w:rsidRDefault="001B77DD">
            <w:pPr>
              <w:rPr>
                <w:rFonts w:ascii="宋体"/>
              </w:rPr>
            </w:pPr>
          </w:p>
        </w:tc>
        <w:tc>
          <w:tcPr>
            <w:tcW w:w="283" w:type="pct"/>
            <w:shd w:val="clear" w:color="auto" w:fill="auto"/>
            <w:vAlign w:val="bottom"/>
          </w:tcPr>
          <w:p w14:paraId="67533E2D" w14:textId="77777777" w:rsidR="001B77DD" w:rsidRDefault="001B77DD">
            <w:pPr>
              <w:rPr>
                <w:rFonts w:ascii="宋体"/>
              </w:rPr>
            </w:pPr>
          </w:p>
        </w:tc>
        <w:tc>
          <w:tcPr>
            <w:tcW w:w="5" w:type="pct"/>
            <w:shd w:val="clear" w:color="auto" w:fill="auto"/>
            <w:vAlign w:val="bottom"/>
          </w:tcPr>
          <w:p w14:paraId="67533E2E" w14:textId="77777777" w:rsidR="001B77DD" w:rsidRDefault="001B77DD">
            <w:pPr>
              <w:rPr>
                <w:rFonts w:ascii="宋体"/>
              </w:rPr>
            </w:pPr>
          </w:p>
        </w:tc>
        <w:tc>
          <w:tcPr>
            <w:tcW w:w="50" w:type="pct"/>
            <w:shd w:val="clear" w:color="auto" w:fill="auto"/>
            <w:vAlign w:val="bottom"/>
          </w:tcPr>
          <w:p w14:paraId="67533E2F" w14:textId="77777777" w:rsidR="001B77DD" w:rsidRDefault="001B77DD">
            <w:pPr>
              <w:rPr>
                <w:rFonts w:ascii="宋体"/>
              </w:rPr>
            </w:pPr>
          </w:p>
        </w:tc>
        <w:tc>
          <w:tcPr>
            <w:tcW w:w="2656" w:type="pct"/>
            <w:shd w:val="clear" w:color="auto" w:fill="auto"/>
            <w:vAlign w:val="bottom"/>
          </w:tcPr>
          <w:p w14:paraId="67533E30" w14:textId="77777777" w:rsidR="001B77DD" w:rsidRDefault="001B77DD">
            <w:pPr>
              <w:rPr>
                <w:rFonts w:ascii="宋体"/>
              </w:rPr>
            </w:pPr>
          </w:p>
        </w:tc>
        <w:tc>
          <w:tcPr>
            <w:tcW w:w="5" w:type="pct"/>
            <w:shd w:val="clear" w:color="auto" w:fill="auto"/>
            <w:vAlign w:val="bottom"/>
          </w:tcPr>
          <w:p w14:paraId="67533E31" w14:textId="77777777" w:rsidR="001B77DD" w:rsidRDefault="001B77DD">
            <w:pPr>
              <w:rPr>
                <w:rFonts w:ascii="宋体"/>
              </w:rPr>
            </w:pPr>
          </w:p>
        </w:tc>
        <w:tc>
          <w:tcPr>
            <w:tcW w:w="50" w:type="pct"/>
            <w:shd w:val="clear" w:color="auto" w:fill="auto"/>
            <w:vAlign w:val="bottom"/>
          </w:tcPr>
          <w:p w14:paraId="67533E32" w14:textId="77777777" w:rsidR="001B77DD" w:rsidRDefault="001B77DD">
            <w:pPr>
              <w:rPr>
                <w:rFonts w:ascii="宋体"/>
              </w:rPr>
            </w:pPr>
          </w:p>
        </w:tc>
        <w:tc>
          <w:tcPr>
            <w:tcW w:w="1894" w:type="pct"/>
            <w:shd w:val="clear" w:color="auto" w:fill="auto"/>
            <w:vAlign w:val="bottom"/>
          </w:tcPr>
          <w:p w14:paraId="67533E33" w14:textId="77777777" w:rsidR="001B77DD" w:rsidRDefault="001B77DD">
            <w:pPr>
              <w:rPr>
                <w:rFonts w:ascii="宋体"/>
              </w:rPr>
            </w:pPr>
          </w:p>
        </w:tc>
        <w:tc>
          <w:tcPr>
            <w:tcW w:w="5" w:type="pct"/>
            <w:shd w:val="clear" w:color="auto" w:fill="auto"/>
            <w:vAlign w:val="bottom"/>
          </w:tcPr>
          <w:p w14:paraId="67533E34" w14:textId="77777777" w:rsidR="001B77DD" w:rsidRDefault="001B77DD">
            <w:pPr>
              <w:rPr>
                <w:rFonts w:ascii="宋体"/>
              </w:rPr>
            </w:pPr>
          </w:p>
        </w:tc>
      </w:tr>
      <w:tr w:rsidR="001B77DD" w14:paraId="67533E3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3E36"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A7" wp14:editId="67538DA8">
                  <wp:extent cx="304800" cy="304800"/>
                  <wp:effectExtent l="0" t="0" r="0" b="0"/>
                  <wp:docPr id="29" name="图片 5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E37"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E38" w14:textId="77777777" w:rsidR="001B77DD" w:rsidRDefault="00BF0A28">
            <w:pPr>
              <w:jc w:val="right"/>
              <w:textAlignment w:val="center"/>
            </w:pPr>
            <w:r>
              <w:rPr>
                <w:rFonts w:ascii="Arial" w:eastAsia="宋体" w:hAnsi="Arial" w:cs="Arial"/>
                <w:color w:val="262626"/>
                <w:sz w:val="16"/>
                <w:szCs w:val="16"/>
              </w:rPr>
              <w:t>5</w:t>
            </w:r>
          </w:p>
        </w:tc>
      </w:tr>
    </w:tbl>
    <w:p w14:paraId="67533E3A" w14:textId="77777777" w:rsidR="001B77DD" w:rsidRDefault="00BF0A28">
      <w:r>
        <w:pict w14:anchorId="67538DA9">
          <v:rect id="_x0000_i1031" style="width:415.3pt;height:1.5pt" o:hralign="center" o:hrstd="t" o:hr="t" fillcolor="#a0a0a0" stroked="f"/>
        </w:pict>
      </w:r>
    </w:p>
    <w:p w14:paraId="67533E3B" w14:textId="77777777" w:rsidR="001B77DD" w:rsidRDefault="00BF0A28">
      <w:pPr>
        <w:spacing w:after="180"/>
        <w:jc w:val="right"/>
      </w:pPr>
      <w:hyperlink r:id="rId40" w:anchor="i6c9ced68f6b24d58a3dcf326e8c3c699_16" w:history="1">
        <w:r>
          <w:rPr>
            <w:rStyle w:val="a5"/>
            <w:rFonts w:ascii="Arial" w:eastAsia="宋体" w:hAnsi="Arial" w:cs="Arial"/>
            <w:sz w:val="18"/>
            <w:szCs w:val="18"/>
          </w:rPr>
          <w:t>Table</w:t>
        </w:r>
      </w:hyperlink>
      <w:hyperlink r:id="rId41" w:anchor="i6c9ced68f6b24d58a3dcf326e8c3c699_16" w:history="1">
        <w:r>
          <w:rPr>
            <w:rStyle w:val="a5"/>
            <w:rFonts w:ascii="Arial" w:eastAsia="宋体" w:hAnsi="Arial" w:cs="Arial"/>
            <w:sz w:val="18"/>
            <w:szCs w:val="18"/>
          </w:rPr>
          <w:t xml:space="preserve"> of </w:t>
        </w:r>
      </w:hyperlink>
      <w:hyperlink r:id="rId42" w:anchor="i6c9ced68f6b24d58a3dcf326e8c3c699_16" w:history="1">
        <w:r>
          <w:rPr>
            <w:rStyle w:val="a5"/>
            <w:rFonts w:ascii="Arial" w:eastAsia="宋体" w:hAnsi="Arial" w:cs="Arial"/>
            <w:sz w:val="18"/>
            <w:szCs w:val="18"/>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3E42" w14:textId="77777777">
        <w:tc>
          <w:tcPr>
            <w:tcW w:w="50" w:type="pct"/>
            <w:shd w:val="clear" w:color="auto" w:fill="auto"/>
            <w:vAlign w:val="bottom"/>
          </w:tcPr>
          <w:p w14:paraId="67533E3C" w14:textId="77777777" w:rsidR="001B77DD" w:rsidRDefault="001B77DD">
            <w:pPr>
              <w:rPr>
                <w:rFonts w:ascii="宋体"/>
              </w:rPr>
            </w:pPr>
          </w:p>
        </w:tc>
        <w:tc>
          <w:tcPr>
            <w:tcW w:w="4870" w:type="pct"/>
            <w:shd w:val="clear" w:color="auto" w:fill="auto"/>
            <w:vAlign w:val="bottom"/>
          </w:tcPr>
          <w:p w14:paraId="67533E3D" w14:textId="77777777" w:rsidR="001B77DD" w:rsidRDefault="001B77DD">
            <w:pPr>
              <w:rPr>
                <w:rFonts w:ascii="宋体"/>
              </w:rPr>
            </w:pPr>
          </w:p>
        </w:tc>
        <w:tc>
          <w:tcPr>
            <w:tcW w:w="5" w:type="pct"/>
            <w:shd w:val="clear" w:color="auto" w:fill="auto"/>
            <w:vAlign w:val="bottom"/>
          </w:tcPr>
          <w:p w14:paraId="67533E3E" w14:textId="77777777" w:rsidR="001B77DD" w:rsidRDefault="001B77DD">
            <w:pPr>
              <w:rPr>
                <w:rFonts w:ascii="宋体"/>
              </w:rPr>
            </w:pPr>
          </w:p>
        </w:tc>
        <w:tc>
          <w:tcPr>
            <w:tcW w:w="5" w:type="pct"/>
            <w:shd w:val="clear" w:color="auto" w:fill="auto"/>
            <w:vAlign w:val="bottom"/>
          </w:tcPr>
          <w:p w14:paraId="67533E3F" w14:textId="77777777" w:rsidR="001B77DD" w:rsidRDefault="001B77DD">
            <w:pPr>
              <w:rPr>
                <w:rFonts w:ascii="宋体"/>
              </w:rPr>
            </w:pPr>
          </w:p>
        </w:tc>
        <w:tc>
          <w:tcPr>
            <w:tcW w:w="64" w:type="pct"/>
            <w:shd w:val="clear" w:color="auto" w:fill="auto"/>
            <w:vAlign w:val="bottom"/>
          </w:tcPr>
          <w:p w14:paraId="67533E40" w14:textId="77777777" w:rsidR="001B77DD" w:rsidRDefault="001B77DD">
            <w:pPr>
              <w:rPr>
                <w:rFonts w:ascii="宋体"/>
              </w:rPr>
            </w:pPr>
          </w:p>
        </w:tc>
        <w:tc>
          <w:tcPr>
            <w:tcW w:w="5" w:type="pct"/>
            <w:shd w:val="clear" w:color="auto" w:fill="auto"/>
            <w:vAlign w:val="bottom"/>
          </w:tcPr>
          <w:p w14:paraId="67533E41" w14:textId="77777777" w:rsidR="001B77DD" w:rsidRDefault="001B77DD">
            <w:pPr>
              <w:rPr>
                <w:rFonts w:ascii="宋体"/>
              </w:rPr>
            </w:pPr>
          </w:p>
        </w:tc>
      </w:tr>
      <w:tr w:rsidR="001B77DD" w14:paraId="67533E45" w14:textId="77777777">
        <w:tc>
          <w:tcPr>
            <w:tcW w:w="0" w:type="auto"/>
            <w:gridSpan w:val="3"/>
            <w:shd w:val="clear" w:color="auto" w:fill="004A86"/>
            <w:tcMar>
              <w:top w:w="40" w:type="dxa"/>
              <w:left w:w="20" w:type="dxa"/>
              <w:bottom w:w="40" w:type="dxa"/>
              <w:right w:w="20" w:type="dxa"/>
            </w:tcMar>
            <w:vAlign w:val="center"/>
          </w:tcPr>
          <w:p w14:paraId="67533E43" w14:textId="77777777" w:rsidR="001B77DD" w:rsidRDefault="00BF0A28">
            <w:pPr>
              <w:textAlignment w:val="center"/>
            </w:pPr>
            <w:r>
              <w:rPr>
                <w:rFonts w:ascii="Arial" w:eastAsia="宋体" w:hAnsi="Arial" w:cs="Arial"/>
                <w:color w:val="FFFFFF"/>
                <w:sz w:val="36"/>
                <w:szCs w:val="36"/>
              </w:rPr>
              <w:t>Our Strategy</w:t>
            </w:r>
          </w:p>
        </w:tc>
        <w:tc>
          <w:tcPr>
            <w:tcW w:w="0" w:type="auto"/>
            <w:gridSpan w:val="3"/>
            <w:shd w:val="clear" w:color="auto" w:fill="auto"/>
            <w:tcMar>
              <w:top w:w="0" w:type="dxa"/>
              <w:left w:w="20" w:type="dxa"/>
              <w:bottom w:w="0" w:type="dxa"/>
              <w:right w:w="20" w:type="dxa"/>
            </w:tcMar>
            <w:vAlign w:val="bottom"/>
          </w:tcPr>
          <w:p w14:paraId="67533E44" w14:textId="77777777" w:rsidR="001B77DD" w:rsidRDefault="001B77DD">
            <w:pPr>
              <w:rPr>
                <w:rFonts w:ascii="宋体"/>
              </w:rPr>
            </w:pPr>
          </w:p>
        </w:tc>
      </w:tr>
      <w:tr w:rsidR="001B77DD" w14:paraId="67533E48" w14:textId="77777777">
        <w:trPr>
          <w:trHeight w:val="160"/>
        </w:trPr>
        <w:tc>
          <w:tcPr>
            <w:tcW w:w="0" w:type="auto"/>
            <w:gridSpan w:val="3"/>
            <w:shd w:val="clear" w:color="auto" w:fill="auto"/>
            <w:tcMar>
              <w:top w:w="0" w:type="dxa"/>
              <w:left w:w="20" w:type="dxa"/>
              <w:bottom w:w="0" w:type="dxa"/>
              <w:right w:w="20" w:type="dxa"/>
            </w:tcMar>
            <w:vAlign w:val="bottom"/>
          </w:tcPr>
          <w:p w14:paraId="67533E46"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3E47" w14:textId="77777777" w:rsidR="001B77DD" w:rsidRDefault="001B77DD">
            <w:pPr>
              <w:rPr>
                <w:rFonts w:ascii="宋体"/>
              </w:rPr>
            </w:pPr>
          </w:p>
        </w:tc>
      </w:tr>
    </w:tbl>
    <w:p w14:paraId="67533E49" w14:textId="77777777" w:rsidR="001B77DD" w:rsidRDefault="00BF0A28">
      <w:pPr>
        <w:spacing w:after="180"/>
      </w:pPr>
      <w:r>
        <w:rPr>
          <w:rFonts w:ascii="Arial" w:eastAsia="宋体" w:hAnsi="Arial" w:cs="Arial"/>
          <w:color w:val="262626"/>
          <w:sz w:val="18"/>
          <w:szCs w:val="18"/>
        </w:rPr>
        <w:t xml:space="preserve">The world is becoming more digital, and computing more </w:t>
      </w:r>
      <w:r>
        <w:rPr>
          <w:rFonts w:ascii="Arial" w:eastAsia="宋体" w:hAnsi="Arial" w:cs="Arial"/>
          <w:color w:val="262626"/>
          <w:sz w:val="18"/>
          <w:szCs w:val="18"/>
        </w:rPr>
        <w:t>pervasive. Semiconductors are the underlying technology powering the digitization of everything, which is being accelerated by four superpowers: ubiquitous compute, cloud-to-edge infrastructure, pervasive connectivity, and AI. Together these superpowers re</w:t>
      </w:r>
      <w:r>
        <w:rPr>
          <w:rFonts w:ascii="Arial" w:eastAsia="宋体" w:hAnsi="Arial" w:cs="Arial"/>
          <w:color w:val="262626"/>
          <w:sz w:val="18"/>
          <w:szCs w:val="18"/>
        </w:rPr>
        <w:t>inforce and amplify one another, and will exponentially increase the world’s need for computing by packing even more processing capability onto ever-smaller microchips. We intend to lead the industry by harnessing these superpowers for our customers’ growt</w:t>
      </w:r>
      <w:r>
        <w:rPr>
          <w:rFonts w:ascii="Arial" w:eastAsia="宋体" w:hAnsi="Arial" w:cs="Arial"/>
          <w:color w:val="262626"/>
          <w:sz w:val="18"/>
          <w:szCs w:val="18"/>
        </w:rPr>
        <w:t>h and our own.</w:t>
      </w:r>
    </w:p>
    <w:p w14:paraId="67533E4A" w14:textId="77777777" w:rsidR="001B77DD" w:rsidRDefault="00BF0A28">
      <w:pPr>
        <w:spacing w:after="180"/>
      </w:pPr>
      <w:r>
        <w:rPr>
          <w:rFonts w:ascii="Arial" w:eastAsia="宋体" w:hAnsi="Arial" w:cs="Arial"/>
          <w:color w:val="262626"/>
          <w:sz w:val="18"/>
          <w:szCs w:val="18"/>
        </w:rPr>
        <w:t>We are uniquely positioned with the depth and breadth of our software, silicon and platforms, and packaging and process technology with at-scale manufacturing. With these strengths and the tailwinds of the superpowers, our strategy to win is</w:t>
      </w:r>
      <w:r>
        <w:rPr>
          <w:rFonts w:ascii="Arial" w:eastAsia="宋体" w:hAnsi="Arial" w:cs="Arial"/>
          <w:color w:val="262626"/>
          <w:sz w:val="18"/>
          <w:szCs w:val="18"/>
        </w:rPr>
        <w:t xml:space="preserve"> focused on three key themes: product leadership, open platforms, and manufacturing at scale. </w:t>
      </w:r>
    </w:p>
    <w:p w14:paraId="67533E4B" w14:textId="77777777" w:rsidR="001B77DD" w:rsidRDefault="00BF0A28">
      <w:pPr>
        <w:spacing w:after="180"/>
      </w:pPr>
      <w:r>
        <w:rPr>
          <w:rFonts w:ascii="Arial" w:eastAsia="宋体" w:hAnsi="Arial" w:cs="Arial"/>
          <w:color w:val="0068B5"/>
        </w:rPr>
        <w:t>Our Priorities</w:t>
      </w:r>
    </w:p>
    <w:p w14:paraId="67533E4C"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AA" wp14:editId="67538DAB">
            <wp:extent cx="304800" cy="304800"/>
            <wp:effectExtent l="0" t="0" r="0" b="0"/>
            <wp:docPr id="49" name="图片 5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6"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3E4D" w14:textId="77777777" w:rsidR="001B77DD" w:rsidRDefault="001B77DD">
      <w:pPr>
        <w:spacing w:after="6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3E51" w14:textId="77777777">
        <w:tc>
          <w:tcPr>
            <w:tcW w:w="50" w:type="pct"/>
            <w:shd w:val="clear" w:color="auto" w:fill="auto"/>
            <w:vAlign w:val="bottom"/>
          </w:tcPr>
          <w:p w14:paraId="67533E4E" w14:textId="77777777" w:rsidR="001B77DD" w:rsidRDefault="001B77DD">
            <w:pPr>
              <w:rPr>
                <w:rFonts w:ascii="宋体"/>
              </w:rPr>
            </w:pPr>
          </w:p>
        </w:tc>
        <w:tc>
          <w:tcPr>
            <w:tcW w:w="4945" w:type="pct"/>
            <w:shd w:val="clear" w:color="auto" w:fill="auto"/>
            <w:vAlign w:val="bottom"/>
          </w:tcPr>
          <w:p w14:paraId="67533E4F" w14:textId="77777777" w:rsidR="001B77DD" w:rsidRDefault="001B77DD">
            <w:pPr>
              <w:rPr>
                <w:rFonts w:ascii="宋体"/>
              </w:rPr>
            </w:pPr>
          </w:p>
        </w:tc>
        <w:tc>
          <w:tcPr>
            <w:tcW w:w="5" w:type="pct"/>
            <w:shd w:val="clear" w:color="auto" w:fill="auto"/>
            <w:vAlign w:val="bottom"/>
          </w:tcPr>
          <w:p w14:paraId="67533E50" w14:textId="77777777" w:rsidR="001B77DD" w:rsidRDefault="001B77DD">
            <w:pPr>
              <w:rPr>
                <w:rFonts w:ascii="宋体"/>
              </w:rPr>
            </w:pPr>
          </w:p>
        </w:tc>
      </w:tr>
      <w:tr w:rsidR="001B77DD" w14:paraId="67533E53" w14:textId="77777777">
        <w:trPr>
          <w:hidden/>
        </w:trPr>
        <w:tc>
          <w:tcPr>
            <w:tcW w:w="0" w:type="auto"/>
            <w:gridSpan w:val="3"/>
            <w:shd w:val="clear" w:color="auto" w:fill="auto"/>
            <w:vAlign w:val="bottom"/>
          </w:tcPr>
          <w:p w14:paraId="67533E52" w14:textId="77777777" w:rsidR="001B77DD" w:rsidRDefault="001B77DD">
            <w:pPr>
              <w:rPr>
                <w:rFonts w:ascii="宋体"/>
                <w:vanish/>
              </w:rPr>
            </w:pPr>
          </w:p>
        </w:tc>
      </w:tr>
      <w:tr w:rsidR="001B77DD" w14:paraId="67533E55"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3E54" w14:textId="77777777" w:rsidR="001B77DD" w:rsidRDefault="00BF0A28">
            <w:pPr>
              <w:textAlignment w:val="bottom"/>
            </w:pPr>
            <w:r>
              <w:rPr>
                <w:rFonts w:ascii="Arial" w:eastAsia="宋体" w:hAnsi="Arial" w:cs="Arial"/>
                <w:color w:val="0068B5"/>
                <w:sz w:val="20"/>
                <w:szCs w:val="20"/>
              </w:rPr>
              <w:t>Product Leadership</w:t>
            </w:r>
          </w:p>
        </w:tc>
      </w:tr>
    </w:tbl>
    <w:p w14:paraId="67533E56" w14:textId="77777777" w:rsidR="001B77DD" w:rsidRDefault="00BF0A28">
      <w:pPr>
        <w:spacing w:after="180"/>
      </w:pPr>
      <w:r>
        <w:rPr>
          <w:rFonts w:ascii="Arial" w:eastAsia="宋体" w:hAnsi="Arial" w:cs="Arial"/>
          <w:color w:val="0068B5"/>
          <w:sz w:val="18"/>
          <w:szCs w:val="18"/>
        </w:rPr>
        <w:t xml:space="preserve">Lead and democratize compute with Intel x86 and xPU. </w:t>
      </w:r>
      <w:r>
        <w:rPr>
          <w:rFonts w:ascii="Arial" w:eastAsia="宋体" w:hAnsi="Arial" w:cs="Arial"/>
          <w:color w:val="262626"/>
          <w:sz w:val="18"/>
          <w:szCs w:val="18"/>
        </w:rPr>
        <w:t xml:space="preserve">Our product offerings provide end-to-end solutions, scaling from edge computing to 5G networks, the cloud, and the emerging fields of AI and autonomous driving, to serve an </w:t>
      </w:r>
      <w:r>
        <w:rPr>
          <w:rFonts w:ascii="Arial" w:eastAsia="宋体" w:hAnsi="Arial" w:cs="Arial"/>
          <w:color w:val="262626"/>
          <w:sz w:val="18"/>
          <w:szCs w:val="18"/>
        </w:rPr>
        <w:t>increasingly smart and connected world.</w:t>
      </w:r>
    </w:p>
    <w:p w14:paraId="67533E57" w14:textId="77777777" w:rsidR="001B77DD" w:rsidRDefault="00BF0A28">
      <w:pPr>
        <w:spacing w:after="180"/>
      </w:pPr>
      <w:r>
        <w:rPr>
          <w:rFonts w:ascii="Arial" w:eastAsia="宋体" w:hAnsi="Arial" w:cs="Arial"/>
          <w:color w:val="262626"/>
          <w:sz w:val="18"/>
          <w:szCs w:val="18"/>
        </w:rPr>
        <w:t>At our core is the x86 computing ecosystem, which supports an extensive and deep universe of software applications, with billions of lines of code written and optimized for x86 CPUs. We continue to advance this ecosy</w:t>
      </w:r>
      <w:r>
        <w:rPr>
          <w:rFonts w:ascii="Arial" w:eastAsia="宋体" w:hAnsi="Arial" w:cs="Arial"/>
          <w:color w:val="262626"/>
          <w:sz w:val="18"/>
          <w:szCs w:val="18"/>
        </w:rPr>
        <w:t>stem with x86 microarchitectures focused on performance, which push the limits of low latency and single-threaded application performance, and microarchitectures focused on efficiency, which are designed for computing throughput efficiency to enable scalab</w:t>
      </w:r>
      <w:r>
        <w:rPr>
          <w:rFonts w:ascii="Arial" w:eastAsia="宋体" w:hAnsi="Arial" w:cs="Arial"/>
          <w:color w:val="262626"/>
          <w:sz w:val="18"/>
          <w:szCs w:val="18"/>
        </w:rPr>
        <w:t>le multithreaded performance. Our innovative new 12th Gen client processors (Alder Lake) combine both performance cores and efficient cores in a performance hybrid architecture that can direct workloads to the right core depending on whether they require h</w:t>
      </w:r>
      <w:r>
        <w:rPr>
          <w:rFonts w:ascii="Arial" w:eastAsia="宋体" w:hAnsi="Arial" w:cs="Arial"/>
          <w:color w:val="262626"/>
          <w:sz w:val="18"/>
          <w:szCs w:val="18"/>
        </w:rPr>
        <w:t>igher performance or power efficiency. We can also combine these architectural advances with our innovations in process and packaging technology, as in our next-generation Intel Xeon data center CPU (Sapphire Rapids), which will utilize performance cores o</w:t>
      </w:r>
      <w:r>
        <w:rPr>
          <w:rFonts w:ascii="Arial" w:eastAsia="宋体" w:hAnsi="Arial" w:cs="Arial"/>
          <w:color w:val="262626"/>
          <w:sz w:val="18"/>
          <w:szCs w:val="18"/>
        </w:rPr>
        <w:t xml:space="preserve">n multiple compute tiles connected through our EMIB packaging technology in a scalable design, rather than being built on a monolithic silicon die. </w:t>
      </w:r>
    </w:p>
    <w:p w14:paraId="67533E58" w14:textId="77777777" w:rsidR="001B77DD" w:rsidRDefault="00BF0A28">
      <w:pPr>
        <w:spacing w:after="180"/>
      </w:pPr>
      <w:r>
        <w:rPr>
          <w:rFonts w:ascii="Arial" w:eastAsia="宋体" w:hAnsi="Arial" w:cs="Arial"/>
          <w:color w:val="262626"/>
          <w:sz w:val="18"/>
          <w:szCs w:val="18"/>
        </w:rPr>
        <w:t xml:space="preserve">Beyond the CPU, we are delivering a growing family of xPU products, which encompass client and data center </w:t>
      </w:r>
      <w:r>
        <w:rPr>
          <w:rFonts w:ascii="Arial" w:eastAsia="宋体" w:hAnsi="Arial" w:cs="Arial"/>
          <w:color w:val="262626"/>
          <w:sz w:val="18"/>
          <w:szCs w:val="18"/>
        </w:rPr>
        <w:t>GPUs, IPUs, FPGAs, and other accelerators. The xPU approach recognizes that different workloads benefit from different computing architectures, and our broad portfolio helps meet our customers' increasingly diverse computing needs. As part of our strategy,</w:t>
      </w:r>
      <w:r>
        <w:rPr>
          <w:rFonts w:ascii="Arial" w:eastAsia="宋体" w:hAnsi="Arial" w:cs="Arial"/>
          <w:color w:val="262626"/>
          <w:sz w:val="18"/>
          <w:szCs w:val="18"/>
        </w:rPr>
        <w:t xml:space="preserve"> we seek to develop and offer leading products across each of these architectural categories. Our vision is that our products will help enable a future in which every human can have one petaflop of computing power and one petabyte of data less than one mil</w:t>
      </w:r>
      <w:r>
        <w:rPr>
          <w:rFonts w:ascii="Arial" w:eastAsia="宋体" w:hAnsi="Arial" w:cs="Arial"/>
          <w:color w:val="262626"/>
          <w:sz w:val="18"/>
          <w:szCs w:val="18"/>
        </w:rPr>
        <w:t>lisecond away.</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3E62" w14:textId="77777777">
        <w:tc>
          <w:tcPr>
            <w:tcW w:w="50" w:type="pct"/>
            <w:shd w:val="clear" w:color="auto" w:fill="auto"/>
            <w:vAlign w:val="bottom"/>
          </w:tcPr>
          <w:p w14:paraId="67533E59" w14:textId="77777777" w:rsidR="001B77DD" w:rsidRDefault="001B77DD">
            <w:pPr>
              <w:rPr>
                <w:rFonts w:ascii="宋体"/>
              </w:rPr>
            </w:pPr>
          </w:p>
        </w:tc>
        <w:tc>
          <w:tcPr>
            <w:tcW w:w="283" w:type="pct"/>
            <w:shd w:val="clear" w:color="auto" w:fill="auto"/>
            <w:vAlign w:val="bottom"/>
          </w:tcPr>
          <w:p w14:paraId="67533E5A" w14:textId="77777777" w:rsidR="001B77DD" w:rsidRDefault="001B77DD">
            <w:pPr>
              <w:rPr>
                <w:rFonts w:ascii="宋体"/>
              </w:rPr>
            </w:pPr>
          </w:p>
        </w:tc>
        <w:tc>
          <w:tcPr>
            <w:tcW w:w="5" w:type="pct"/>
            <w:shd w:val="clear" w:color="auto" w:fill="auto"/>
            <w:vAlign w:val="bottom"/>
          </w:tcPr>
          <w:p w14:paraId="67533E5B" w14:textId="77777777" w:rsidR="001B77DD" w:rsidRDefault="001B77DD">
            <w:pPr>
              <w:rPr>
                <w:rFonts w:ascii="宋体"/>
              </w:rPr>
            </w:pPr>
          </w:p>
        </w:tc>
        <w:tc>
          <w:tcPr>
            <w:tcW w:w="50" w:type="pct"/>
            <w:shd w:val="clear" w:color="auto" w:fill="auto"/>
            <w:vAlign w:val="bottom"/>
          </w:tcPr>
          <w:p w14:paraId="67533E5C" w14:textId="77777777" w:rsidR="001B77DD" w:rsidRDefault="001B77DD">
            <w:pPr>
              <w:rPr>
                <w:rFonts w:ascii="宋体"/>
              </w:rPr>
            </w:pPr>
          </w:p>
        </w:tc>
        <w:tc>
          <w:tcPr>
            <w:tcW w:w="2656" w:type="pct"/>
            <w:shd w:val="clear" w:color="auto" w:fill="auto"/>
            <w:vAlign w:val="bottom"/>
          </w:tcPr>
          <w:p w14:paraId="67533E5D" w14:textId="77777777" w:rsidR="001B77DD" w:rsidRDefault="001B77DD">
            <w:pPr>
              <w:rPr>
                <w:rFonts w:ascii="宋体"/>
              </w:rPr>
            </w:pPr>
          </w:p>
        </w:tc>
        <w:tc>
          <w:tcPr>
            <w:tcW w:w="5" w:type="pct"/>
            <w:shd w:val="clear" w:color="auto" w:fill="auto"/>
            <w:vAlign w:val="bottom"/>
          </w:tcPr>
          <w:p w14:paraId="67533E5E" w14:textId="77777777" w:rsidR="001B77DD" w:rsidRDefault="001B77DD">
            <w:pPr>
              <w:rPr>
                <w:rFonts w:ascii="宋体"/>
              </w:rPr>
            </w:pPr>
          </w:p>
        </w:tc>
        <w:tc>
          <w:tcPr>
            <w:tcW w:w="50" w:type="pct"/>
            <w:shd w:val="clear" w:color="auto" w:fill="auto"/>
            <w:vAlign w:val="bottom"/>
          </w:tcPr>
          <w:p w14:paraId="67533E5F" w14:textId="77777777" w:rsidR="001B77DD" w:rsidRDefault="001B77DD">
            <w:pPr>
              <w:rPr>
                <w:rFonts w:ascii="宋体"/>
              </w:rPr>
            </w:pPr>
          </w:p>
        </w:tc>
        <w:tc>
          <w:tcPr>
            <w:tcW w:w="1894" w:type="pct"/>
            <w:shd w:val="clear" w:color="auto" w:fill="auto"/>
            <w:vAlign w:val="bottom"/>
          </w:tcPr>
          <w:p w14:paraId="67533E60" w14:textId="77777777" w:rsidR="001B77DD" w:rsidRDefault="001B77DD">
            <w:pPr>
              <w:rPr>
                <w:rFonts w:ascii="宋体"/>
              </w:rPr>
            </w:pPr>
          </w:p>
        </w:tc>
        <w:tc>
          <w:tcPr>
            <w:tcW w:w="5" w:type="pct"/>
            <w:shd w:val="clear" w:color="auto" w:fill="auto"/>
            <w:vAlign w:val="bottom"/>
          </w:tcPr>
          <w:p w14:paraId="67533E61" w14:textId="77777777" w:rsidR="001B77DD" w:rsidRDefault="001B77DD">
            <w:pPr>
              <w:rPr>
                <w:rFonts w:ascii="宋体"/>
              </w:rPr>
            </w:pPr>
          </w:p>
        </w:tc>
      </w:tr>
      <w:tr w:rsidR="001B77DD" w14:paraId="67533E6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3E63"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AC" wp14:editId="67538DAD">
                  <wp:extent cx="304800" cy="304800"/>
                  <wp:effectExtent l="0" t="0" r="0" b="0"/>
                  <wp:docPr id="90" name="图片 5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E64"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E65" w14:textId="77777777" w:rsidR="001B77DD" w:rsidRDefault="00BF0A28">
            <w:pPr>
              <w:jc w:val="right"/>
              <w:textAlignment w:val="center"/>
            </w:pPr>
            <w:r>
              <w:rPr>
                <w:rFonts w:ascii="Arial" w:eastAsia="宋体" w:hAnsi="Arial" w:cs="Arial"/>
                <w:color w:val="262626"/>
                <w:sz w:val="16"/>
                <w:szCs w:val="16"/>
              </w:rPr>
              <w:t>6</w:t>
            </w:r>
          </w:p>
        </w:tc>
      </w:tr>
    </w:tbl>
    <w:p w14:paraId="67533E67" w14:textId="77777777" w:rsidR="001B77DD" w:rsidRDefault="00BF0A28">
      <w:r>
        <w:pict w14:anchorId="67538DAE">
          <v:rect id="_x0000_i1032" style="width:415.3pt;height:1.5pt" o:hralign="center" o:hrstd="t" o:hr="t" fillcolor="#a0a0a0" stroked="f"/>
        </w:pict>
      </w:r>
    </w:p>
    <w:p w14:paraId="67533E68" w14:textId="77777777" w:rsidR="001B77DD" w:rsidRDefault="00BF0A28">
      <w:pPr>
        <w:spacing w:after="180"/>
        <w:jc w:val="right"/>
      </w:pPr>
      <w:hyperlink r:id="rId43" w:anchor="i6c9ced68f6b24d58a3dcf326e8c3c699_16" w:history="1">
        <w:r>
          <w:rPr>
            <w:rStyle w:val="a5"/>
            <w:rFonts w:ascii="Arial" w:eastAsia="宋体" w:hAnsi="Arial" w:cs="Arial"/>
            <w:sz w:val="18"/>
            <w:szCs w:val="18"/>
          </w:rPr>
          <w:t>Table</w:t>
        </w:r>
      </w:hyperlink>
      <w:hyperlink r:id="rId44" w:anchor="i6c9ced68f6b24d58a3dcf326e8c3c699_16" w:history="1">
        <w:r>
          <w:rPr>
            <w:rStyle w:val="a5"/>
            <w:rFonts w:ascii="Arial" w:eastAsia="宋体" w:hAnsi="Arial" w:cs="Arial"/>
            <w:sz w:val="18"/>
            <w:szCs w:val="18"/>
          </w:rPr>
          <w:t xml:space="preserve"> of </w:t>
        </w:r>
      </w:hyperlink>
      <w:hyperlink r:id="rId45" w:anchor="i6c9ced68f6b24d58a3dcf326e8c3c699_16" w:history="1">
        <w:r>
          <w:rPr>
            <w:rStyle w:val="a5"/>
            <w:rFonts w:ascii="Arial" w:eastAsia="宋体" w:hAnsi="Arial" w:cs="Arial"/>
            <w:sz w:val="18"/>
            <w:szCs w:val="18"/>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3E6C" w14:textId="77777777">
        <w:tc>
          <w:tcPr>
            <w:tcW w:w="50" w:type="pct"/>
            <w:shd w:val="clear" w:color="auto" w:fill="auto"/>
            <w:vAlign w:val="bottom"/>
          </w:tcPr>
          <w:p w14:paraId="67533E69" w14:textId="77777777" w:rsidR="001B77DD" w:rsidRDefault="001B77DD">
            <w:pPr>
              <w:rPr>
                <w:rFonts w:ascii="宋体"/>
              </w:rPr>
            </w:pPr>
          </w:p>
        </w:tc>
        <w:tc>
          <w:tcPr>
            <w:tcW w:w="4945" w:type="pct"/>
            <w:shd w:val="clear" w:color="auto" w:fill="auto"/>
            <w:vAlign w:val="bottom"/>
          </w:tcPr>
          <w:p w14:paraId="67533E6A" w14:textId="77777777" w:rsidR="001B77DD" w:rsidRDefault="001B77DD">
            <w:pPr>
              <w:rPr>
                <w:rFonts w:ascii="宋体"/>
              </w:rPr>
            </w:pPr>
          </w:p>
        </w:tc>
        <w:tc>
          <w:tcPr>
            <w:tcW w:w="5" w:type="pct"/>
            <w:shd w:val="clear" w:color="auto" w:fill="auto"/>
            <w:vAlign w:val="bottom"/>
          </w:tcPr>
          <w:p w14:paraId="67533E6B" w14:textId="77777777" w:rsidR="001B77DD" w:rsidRDefault="001B77DD">
            <w:pPr>
              <w:rPr>
                <w:rFonts w:ascii="宋体"/>
              </w:rPr>
            </w:pPr>
          </w:p>
        </w:tc>
      </w:tr>
      <w:tr w:rsidR="001B77DD" w14:paraId="67533E6E"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3E6D" w14:textId="77777777" w:rsidR="001B77DD" w:rsidRDefault="00BF0A28">
            <w:pPr>
              <w:textAlignment w:val="bottom"/>
            </w:pPr>
            <w:r>
              <w:rPr>
                <w:rFonts w:ascii="Arial" w:eastAsia="宋体" w:hAnsi="Arial" w:cs="Arial"/>
                <w:color w:val="0068B5"/>
                <w:sz w:val="20"/>
                <w:szCs w:val="20"/>
              </w:rPr>
              <w:t>Open Platforms</w:t>
            </w:r>
          </w:p>
        </w:tc>
      </w:tr>
    </w:tbl>
    <w:p w14:paraId="67533E6F" w14:textId="77777777" w:rsidR="001B77DD" w:rsidRDefault="00BF0A28">
      <w:pPr>
        <w:spacing w:after="180"/>
      </w:pPr>
      <w:r>
        <w:rPr>
          <w:rFonts w:ascii="Arial" w:eastAsia="宋体" w:hAnsi="Arial" w:cs="Arial"/>
          <w:color w:val="0068B5"/>
          <w:sz w:val="18"/>
          <w:szCs w:val="18"/>
        </w:rPr>
        <w:t>We aim to deliver open software and hardware platforms with industry-defining standards</w:t>
      </w:r>
      <w:r>
        <w:rPr>
          <w:rFonts w:ascii="Arial" w:eastAsia="宋体" w:hAnsi="Arial" w:cs="Arial"/>
          <w:color w:val="262626"/>
          <w:sz w:val="18"/>
          <w:szCs w:val="18"/>
        </w:rPr>
        <w:t xml:space="preserve">. Around the globe, companies are building their networks, systems, and </w:t>
      </w:r>
      <w:r>
        <w:rPr>
          <w:rFonts w:ascii="Arial" w:eastAsia="宋体" w:hAnsi="Arial" w:cs="Arial"/>
          <w:color w:val="262626"/>
          <w:sz w:val="18"/>
          <w:szCs w:val="18"/>
        </w:rPr>
        <w:t>solutions on open standards-based platforms. Intel has helped set the stage for this movement, with our historic contributions in developing standards such as CXL, Thunderbolt</w:t>
      </w:r>
      <w:r>
        <w:rPr>
          <w:rFonts w:ascii="Arial" w:eastAsia="宋体" w:hAnsi="Arial" w:cs="Arial"/>
          <w:color w:val="262626"/>
          <w:sz w:val="11"/>
          <w:szCs w:val="11"/>
        </w:rPr>
        <w:t>TM</w:t>
      </w:r>
      <w:r>
        <w:rPr>
          <w:rFonts w:ascii="Arial" w:eastAsia="宋体" w:hAnsi="Arial" w:cs="Arial"/>
          <w:color w:val="262626"/>
          <w:sz w:val="18"/>
          <w:szCs w:val="18"/>
        </w:rPr>
        <w:t>, and PCle. We also contributed to the design, build, and validation of new ope</w:t>
      </w:r>
      <w:r>
        <w:rPr>
          <w:rFonts w:ascii="Arial" w:eastAsia="宋体" w:hAnsi="Arial" w:cs="Arial"/>
          <w:color w:val="262626"/>
          <w:sz w:val="18"/>
          <w:szCs w:val="18"/>
        </w:rPr>
        <w:t>n-source products in the industry such as Linux, Android, and others. The world's developers constantly innovate and expand the capabilities of these open platforms while increasing their stability, reliability, and security. In addition, microservices hav</w:t>
      </w:r>
      <w:r>
        <w:rPr>
          <w:rFonts w:ascii="Arial" w:eastAsia="宋体" w:hAnsi="Arial" w:cs="Arial"/>
          <w:color w:val="262626"/>
          <w:sz w:val="18"/>
          <w:szCs w:val="18"/>
        </w:rPr>
        <w:t>e enabled the development of flexible, loosely coupled services that are connected via APIs to create end-to-end processes. We use industry collaboration, co-engineering, and open-source contributions to accelerate software innovation. Through our oneAPI i</w:t>
      </w:r>
      <w:r>
        <w:rPr>
          <w:rFonts w:ascii="Arial" w:eastAsia="宋体" w:hAnsi="Arial" w:cs="Arial"/>
          <w:color w:val="262626"/>
          <w:sz w:val="18"/>
          <w:szCs w:val="18"/>
        </w:rPr>
        <w:t>nitiative, developers use a unified language across CPUs, GPUs, and FPGAs to cut down on development time and to enhance productivity. We also deliver a steady stream of open-source code and optimizations for projects across virtually every platform and us</w:t>
      </w:r>
      <w:r>
        <w:rPr>
          <w:rFonts w:ascii="Arial" w:eastAsia="宋体" w:hAnsi="Arial" w:cs="Arial"/>
          <w:color w:val="262626"/>
          <w:sz w:val="18"/>
          <w:szCs w:val="18"/>
        </w:rPr>
        <w:t>age model. We are committed to co-engineering and jointly designing, building, and validating new products with software industry leaders to accelerate mutual technology advancements and help new software and hardware work better together. Our commitment e</w:t>
      </w:r>
      <w:r>
        <w:rPr>
          <w:rFonts w:ascii="Arial" w:eastAsia="宋体" w:hAnsi="Arial" w:cs="Arial"/>
          <w:color w:val="262626"/>
          <w:sz w:val="18"/>
          <w:szCs w:val="18"/>
        </w:rPr>
        <w:t xml:space="preserve">xtends to developers through our developer-first approach based on openness, choice, and trust. </w:t>
      </w:r>
    </w:p>
    <w:tbl>
      <w:tblPr>
        <w:tblW w:w="5000" w:type="pct"/>
        <w:tblCellMar>
          <w:top w:w="15" w:type="dxa"/>
          <w:left w:w="15" w:type="dxa"/>
          <w:bottom w:w="15" w:type="dxa"/>
          <w:right w:w="15" w:type="dxa"/>
        </w:tblCellMar>
        <w:tblLook w:val="04A0" w:firstRow="1" w:lastRow="0" w:firstColumn="1" w:lastColumn="0" w:noHBand="0" w:noVBand="1"/>
      </w:tblPr>
      <w:tblGrid>
        <w:gridCol w:w="69"/>
        <w:gridCol w:w="8159"/>
        <w:gridCol w:w="36"/>
        <w:gridCol w:w="36"/>
        <w:gridCol w:w="36"/>
      </w:tblGrid>
      <w:tr w:rsidR="001B77DD" w14:paraId="67533E75" w14:textId="77777777">
        <w:tc>
          <w:tcPr>
            <w:tcW w:w="50" w:type="pct"/>
            <w:shd w:val="clear" w:color="auto" w:fill="auto"/>
            <w:vAlign w:val="bottom"/>
          </w:tcPr>
          <w:p w14:paraId="67533E70" w14:textId="77777777" w:rsidR="001B77DD" w:rsidRDefault="001B77DD">
            <w:pPr>
              <w:rPr>
                <w:rFonts w:ascii="宋体"/>
              </w:rPr>
            </w:pPr>
          </w:p>
        </w:tc>
        <w:tc>
          <w:tcPr>
            <w:tcW w:w="4945" w:type="pct"/>
            <w:shd w:val="clear" w:color="auto" w:fill="auto"/>
            <w:vAlign w:val="bottom"/>
          </w:tcPr>
          <w:p w14:paraId="67533E71" w14:textId="77777777" w:rsidR="001B77DD" w:rsidRDefault="001B77DD">
            <w:pPr>
              <w:rPr>
                <w:rFonts w:ascii="宋体"/>
              </w:rPr>
            </w:pPr>
          </w:p>
        </w:tc>
        <w:tc>
          <w:tcPr>
            <w:tcW w:w="5" w:type="pct"/>
            <w:shd w:val="clear" w:color="auto" w:fill="auto"/>
            <w:vAlign w:val="bottom"/>
          </w:tcPr>
          <w:p w14:paraId="67533E72" w14:textId="77777777" w:rsidR="001B77DD" w:rsidRDefault="001B77DD">
            <w:pPr>
              <w:rPr>
                <w:rFonts w:ascii="宋体"/>
              </w:rPr>
            </w:pPr>
          </w:p>
        </w:tc>
        <w:tc>
          <w:tcPr>
            <w:tcW w:w="0" w:type="auto"/>
            <w:shd w:val="clear" w:color="auto" w:fill="auto"/>
            <w:vAlign w:val="bottom"/>
          </w:tcPr>
          <w:p w14:paraId="67533E73" w14:textId="77777777" w:rsidR="001B77DD" w:rsidRDefault="001B77DD">
            <w:pPr>
              <w:rPr>
                <w:rFonts w:ascii="宋体"/>
                <w:vanish/>
              </w:rPr>
            </w:pPr>
          </w:p>
        </w:tc>
        <w:tc>
          <w:tcPr>
            <w:tcW w:w="0" w:type="auto"/>
            <w:shd w:val="clear" w:color="auto" w:fill="auto"/>
            <w:vAlign w:val="bottom"/>
          </w:tcPr>
          <w:p w14:paraId="67533E74" w14:textId="77777777" w:rsidR="001B77DD" w:rsidRDefault="001B77DD">
            <w:pPr>
              <w:rPr>
                <w:rFonts w:ascii="宋体"/>
                <w:vanish/>
              </w:rPr>
            </w:pPr>
          </w:p>
        </w:tc>
      </w:tr>
      <w:tr w:rsidR="001B77DD" w14:paraId="67533E7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3E76" w14:textId="77777777" w:rsidR="001B77DD" w:rsidRDefault="00BF0A28">
            <w:pPr>
              <w:textAlignment w:val="bottom"/>
            </w:pPr>
            <w:r>
              <w:rPr>
                <w:rFonts w:ascii="Arial" w:eastAsia="宋体" w:hAnsi="Arial" w:cs="Arial"/>
                <w:color w:val="0068B5"/>
                <w:sz w:val="20"/>
                <w:szCs w:val="20"/>
              </w:rPr>
              <w:t xml:space="preserve">Manufacturing at Scale </w:t>
            </w:r>
          </w:p>
        </w:tc>
        <w:tc>
          <w:tcPr>
            <w:tcW w:w="0" w:type="auto"/>
            <w:shd w:val="clear" w:color="auto" w:fill="auto"/>
            <w:vAlign w:val="bottom"/>
          </w:tcPr>
          <w:p w14:paraId="67533E77" w14:textId="77777777" w:rsidR="001B77DD" w:rsidRDefault="001B77DD">
            <w:pPr>
              <w:rPr>
                <w:rFonts w:ascii="宋体"/>
                <w:vanish/>
              </w:rPr>
            </w:pPr>
          </w:p>
        </w:tc>
        <w:tc>
          <w:tcPr>
            <w:tcW w:w="0" w:type="auto"/>
            <w:shd w:val="clear" w:color="auto" w:fill="auto"/>
            <w:vAlign w:val="bottom"/>
          </w:tcPr>
          <w:p w14:paraId="67533E78" w14:textId="77777777" w:rsidR="001B77DD" w:rsidRDefault="001B77DD">
            <w:pPr>
              <w:rPr>
                <w:rFonts w:ascii="宋体"/>
                <w:vanish/>
              </w:rPr>
            </w:pPr>
          </w:p>
        </w:tc>
      </w:tr>
    </w:tbl>
    <w:p w14:paraId="67533E7A" w14:textId="77777777" w:rsidR="001B77DD" w:rsidRDefault="00BF0A28">
      <w:pPr>
        <w:spacing w:after="120"/>
      </w:pPr>
      <w:r>
        <w:rPr>
          <w:rFonts w:ascii="Arial" w:eastAsia="宋体" w:hAnsi="Arial" w:cs="Arial"/>
          <w:color w:val="262626"/>
          <w:sz w:val="18"/>
          <w:szCs w:val="18"/>
        </w:rPr>
        <w:t xml:space="preserve">In March 2021, we introduced IDM 2.0, the next evolution and expansion of our IDM model. IDM 2.0 is </w:t>
      </w:r>
      <w:r>
        <w:rPr>
          <w:rFonts w:ascii="Arial" w:eastAsia="宋体" w:hAnsi="Arial" w:cs="Arial"/>
          <w:color w:val="262626"/>
          <w:sz w:val="18"/>
          <w:szCs w:val="18"/>
        </w:rPr>
        <w:t>a differentiated strategy that combines three capabilities:</w:t>
      </w:r>
    </w:p>
    <w:p w14:paraId="67533E7B" w14:textId="77777777" w:rsidR="001B77DD" w:rsidRDefault="00BF0A28">
      <w:pPr>
        <w:spacing w:after="180"/>
      </w:pPr>
      <w:r>
        <w:rPr>
          <w:rFonts w:ascii="Arial" w:eastAsia="宋体" w:hAnsi="Arial" w:cs="Arial"/>
          <w:color w:val="0068B5"/>
          <w:sz w:val="18"/>
          <w:szCs w:val="18"/>
        </w:rPr>
        <w:t>Internal factory network.</w:t>
      </w:r>
      <w:r>
        <w:rPr>
          <w:rFonts w:ascii="Arial" w:eastAsia="宋体" w:hAnsi="Arial" w:cs="Arial"/>
          <w:color w:val="262626"/>
          <w:sz w:val="18"/>
          <w:szCs w:val="18"/>
        </w:rPr>
        <w:t> Our global, internal factory network has been foundational to our success, enabling product optimization, improved economics, and supply resilience. We intend to remain a</w:t>
      </w:r>
      <w:r>
        <w:rPr>
          <w:rFonts w:ascii="Arial" w:eastAsia="宋体" w:hAnsi="Arial" w:cs="Arial"/>
          <w:color w:val="262626"/>
          <w:sz w:val="18"/>
          <w:szCs w:val="18"/>
        </w:rPr>
        <w:t xml:space="preserve"> leading developer of process technology and a major manufacturer of semiconductors and will continue to build the majority of our products in our factories.</w:t>
      </w:r>
    </w:p>
    <w:p w14:paraId="67533E7C" w14:textId="77777777" w:rsidR="001B77DD" w:rsidRDefault="00BF0A28">
      <w:pPr>
        <w:spacing w:after="180"/>
      </w:pPr>
      <w:r>
        <w:rPr>
          <w:rFonts w:ascii="Arial" w:eastAsia="宋体" w:hAnsi="Arial" w:cs="Arial"/>
          <w:color w:val="0068B5"/>
          <w:sz w:val="18"/>
          <w:szCs w:val="18"/>
        </w:rPr>
        <w:t>Strategic use of foundry capacity.</w:t>
      </w:r>
      <w:r>
        <w:rPr>
          <w:rFonts w:ascii="Arial" w:eastAsia="宋体" w:hAnsi="Arial" w:cs="Arial"/>
          <w:color w:val="262626"/>
          <w:sz w:val="18"/>
          <w:szCs w:val="18"/>
        </w:rPr>
        <w:t xml:space="preserve"> We expect to expand our use of third-party foundry manufacturin</w:t>
      </w:r>
      <w:r>
        <w:rPr>
          <w:rFonts w:ascii="Arial" w:eastAsia="宋体" w:hAnsi="Arial" w:cs="Arial"/>
          <w:color w:val="262626"/>
          <w:sz w:val="18"/>
          <w:szCs w:val="18"/>
        </w:rPr>
        <w:t>g capacity, which will provide us with increased flexibility and scale to optimize our product roadmaps for cost, performance, schedule, and supply. Our use of foundry capacity will include manufacturing for a range of modular tiles on advanced process tec</w:t>
      </w:r>
      <w:r>
        <w:rPr>
          <w:rFonts w:ascii="Arial" w:eastAsia="宋体" w:hAnsi="Arial" w:cs="Arial"/>
          <w:color w:val="262626"/>
          <w:sz w:val="18"/>
          <w:szCs w:val="18"/>
        </w:rPr>
        <w:t xml:space="preserve">hnologies. </w:t>
      </w:r>
    </w:p>
    <w:p w14:paraId="67533E7D" w14:textId="77777777" w:rsidR="001B77DD" w:rsidRDefault="00BF0A28">
      <w:pPr>
        <w:spacing w:after="180"/>
      </w:pPr>
      <w:r>
        <w:rPr>
          <w:rFonts w:ascii="Arial" w:eastAsia="宋体" w:hAnsi="Arial" w:cs="Arial"/>
          <w:color w:val="0068B5"/>
          <w:sz w:val="18"/>
          <w:szCs w:val="18"/>
        </w:rPr>
        <w:t>Foundry services.</w:t>
      </w:r>
      <w:r>
        <w:rPr>
          <w:rFonts w:ascii="Arial" w:eastAsia="宋体" w:hAnsi="Arial" w:cs="Arial"/>
          <w:b/>
          <w:bCs/>
          <w:color w:val="262626"/>
          <w:sz w:val="18"/>
          <w:szCs w:val="18"/>
        </w:rPr>
        <w:t xml:space="preserve"> </w:t>
      </w:r>
      <w:r>
        <w:rPr>
          <w:rFonts w:ascii="Arial" w:eastAsia="宋体" w:hAnsi="Arial" w:cs="Arial"/>
          <w:color w:val="262626"/>
          <w:sz w:val="18"/>
          <w:szCs w:val="18"/>
        </w:rPr>
        <w:t>We intend to build a world-class foundry business to meet the growing global demand for semiconductors. We plan to differentiate our foundry offerings from those of others through a combination of leading-edge packaging and process technology, committed ca</w:t>
      </w:r>
      <w:r>
        <w:rPr>
          <w:rFonts w:ascii="Arial" w:eastAsia="宋体" w:hAnsi="Arial" w:cs="Arial"/>
          <w:color w:val="262626"/>
          <w:sz w:val="18"/>
          <w:szCs w:val="18"/>
        </w:rPr>
        <w:t xml:space="preserve">pacity in the US and Europe available for customers globally, and a world-class IP portfolio that will include x86 cores, as well as other ecosystem IP. </w:t>
      </w:r>
    </w:p>
    <w:p w14:paraId="67533E7E" w14:textId="77777777" w:rsidR="001B77DD" w:rsidRDefault="00BF0A28">
      <w:pPr>
        <w:spacing w:after="180"/>
      </w:pPr>
      <w:r>
        <w:rPr>
          <w:rFonts w:ascii="Arial" w:eastAsia="宋体" w:hAnsi="Arial" w:cs="Arial"/>
          <w:color w:val="262626"/>
          <w:sz w:val="18"/>
          <w:szCs w:val="18"/>
        </w:rPr>
        <w:t>We believe our IDM 2.0 strategy will enable us to deliver leading process technology and products to m</w:t>
      </w:r>
      <w:r>
        <w:rPr>
          <w:rFonts w:ascii="Arial" w:eastAsia="宋体" w:hAnsi="Arial" w:cs="Arial"/>
          <w:color w:val="262626"/>
          <w:sz w:val="18"/>
          <w:szCs w:val="18"/>
        </w:rPr>
        <w:t>eet growing demand, while providing superior capacity and supply resilience and an advantageous cost structure.</w:t>
      </w:r>
    </w:p>
    <w:p w14:paraId="67533E7F" w14:textId="77777777" w:rsidR="001B77DD" w:rsidRDefault="00BF0A28">
      <w:r>
        <w:rPr>
          <w:rFonts w:ascii="Arial" w:eastAsia="宋体" w:hAnsi="Arial" w:cs="Arial"/>
          <w:color w:val="262626"/>
          <w:sz w:val="18"/>
          <w:szCs w:val="18"/>
        </w:rPr>
        <w:t xml:space="preserve">Delivering on our IDM 2.0 strategy and growth ambitions requires attracting, developing, and retaining top talent from across the world. </w:t>
      </w:r>
    </w:p>
    <w:p w14:paraId="67533E80" w14:textId="77777777" w:rsidR="001B77DD" w:rsidRDefault="00BF0A28">
      <w:r>
        <w:rPr>
          <w:rFonts w:ascii="Arial" w:eastAsia="宋体" w:hAnsi="Arial" w:cs="Arial"/>
          <w:color w:val="262626"/>
          <w:sz w:val="18"/>
          <w:szCs w:val="18"/>
        </w:rPr>
        <w:t>Foster</w:t>
      </w:r>
      <w:r>
        <w:rPr>
          <w:rFonts w:ascii="Arial" w:eastAsia="宋体" w:hAnsi="Arial" w:cs="Arial"/>
          <w:color w:val="262626"/>
          <w:sz w:val="18"/>
          <w:szCs w:val="18"/>
        </w:rPr>
        <w:t>ing a culture of empowerment, inclusion, and accountability is also core to our strategy. We are committed to creating an inclusive workplace where the world’s best engineers and technologists can fulfill their dreams and create technology that improves th</w:t>
      </w:r>
      <w:r>
        <w:rPr>
          <w:rFonts w:ascii="Arial" w:eastAsia="宋体" w:hAnsi="Arial" w:cs="Arial"/>
          <w:color w:val="262626"/>
          <w:sz w:val="18"/>
          <w:szCs w:val="18"/>
        </w:rPr>
        <w:t>e life of every person on the planet.</w:t>
      </w:r>
    </w:p>
    <w:p w14:paraId="67533E81" w14:textId="77777777" w:rsidR="001B77DD" w:rsidRDefault="001B77DD"/>
    <w:p w14:paraId="67533E82" w14:textId="77777777" w:rsidR="001B77DD" w:rsidRDefault="00BF0A28">
      <w:pPr>
        <w:spacing w:after="180"/>
      </w:pPr>
      <w:r>
        <w:rPr>
          <w:rFonts w:ascii="Arial" w:eastAsia="宋体" w:hAnsi="Arial" w:cs="Arial"/>
          <w:color w:val="0068B5"/>
        </w:rPr>
        <w:t>Growth Imperative</w:t>
      </w:r>
    </w:p>
    <w:p w14:paraId="67533E83" w14:textId="77777777" w:rsidR="001B77DD" w:rsidRDefault="00BF0A28">
      <w:pPr>
        <w:spacing w:after="180"/>
      </w:pPr>
      <w:r>
        <w:rPr>
          <w:rFonts w:ascii="Arial" w:eastAsia="宋体" w:hAnsi="Arial" w:cs="Arial"/>
          <w:color w:val="262626"/>
          <w:sz w:val="18"/>
          <w:szCs w:val="18"/>
        </w:rPr>
        <w:t>We are investing to position the company for accelerated long-term growth, focusing on both our core businesses and our growth businesses. In our client and server businesses, our strategy is to inve</w:t>
      </w:r>
      <w:r>
        <w:rPr>
          <w:rFonts w:ascii="Arial" w:eastAsia="宋体" w:hAnsi="Arial" w:cs="Arial"/>
          <w:color w:val="262626"/>
          <w:sz w:val="18"/>
          <w:szCs w:val="18"/>
        </w:rPr>
        <w:t>st to strengthen the competitiveness of our product roadmap and to explore opportunities in both client and data center adjacencies. We believe we have significant opportunities to grow and gain share in graphics; mobility, including autonomous driving; ne</w:t>
      </w:r>
      <w:r>
        <w:rPr>
          <w:rFonts w:ascii="Arial" w:eastAsia="宋体" w:hAnsi="Arial" w:cs="Arial"/>
          <w:color w:val="262626"/>
          <w:sz w:val="18"/>
          <w:szCs w:val="18"/>
        </w:rPr>
        <w:t xml:space="preserve">tworking and edge; and foundry services. </w:t>
      </w:r>
    </w:p>
    <w:p w14:paraId="67533E84" w14:textId="77777777" w:rsidR="001B77DD" w:rsidRDefault="00BF0A28">
      <w:pPr>
        <w:spacing w:after="180"/>
      </w:pPr>
      <w:r>
        <w:rPr>
          <w:rFonts w:ascii="Arial" w:eastAsia="宋体" w:hAnsi="Arial" w:cs="Arial"/>
          <w:color w:val="0068B5"/>
        </w:rPr>
        <w:t>Focus on Innovation and Execution</w:t>
      </w:r>
    </w:p>
    <w:p w14:paraId="67533E85" w14:textId="77777777" w:rsidR="001B77DD" w:rsidRDefault="00BF0A28">
      <w:r>
        <w:rPr>
          <w:rFonts w:ascii="Arial" w:eastAsia="宋体" w:hAnsi="Arial" w:cs="Arial"/>
          <w:color w:val="262626"/>
          <w:sz w:val="18"/>
          <w:szCs w:val="18"/>
        </w:rPr>
        <w:t>We are focused on executing our product and process roadmap and accelerating our cadence of innovation. We have set a detailed process and packaging technology roadmap and announce</w:t>
      </w:r>
      <w:r>
        <w:rPr>
          <w:rFonts w:ascii="Arial" w:eastAsia="宋体" w:hAnsi="Arial" w:cs="Arial"/>
          <w:color w:val="262626"/>
          <w:sz w:val="18"/>
          <w:szCs w:val="18"/>
        </w:rPr>
        <w:t>d key architectural innovations to further our goal of delivering leadership products in every area in which we compete. We are seeking to return our culture to its roots in innovation and execution, drawing on principles established by our former CEO Andy</w:t>
      </w:r>
      <w:r>
        <w:rPr>
          <w:rFonts w:ascii="Arial" w:eastAsia="宋体" w:hAnsi="Arial" w:cs="Arial"/>
          <w:color w:val="262626"/>
          <w:sz w:val="18"/>
          <w:szCs w:val="18"/>
        </w:rPr>
        <w:t xml:space="preserve"> Grove that emphasize discipline and accountability.</w:t>
      </w:r>
    </w:p>
    <w:p w14:paraId="67533E86" w14:textId="77777777" w:rsidR="001B77DD" w:rsidRDefault="001B77DD"/>
    <w:p w14:paraId="67533E87" w14:textId="77777777" w:rsidR="001B77DD" w:rsidRDefault="001B77DD"/>
    <w:p w14:paraId="67533E88" w14:textId="77777777" w:rsidR="001B77DD" w:rsidRDefault="001B77DD"/>
    <w:p w14:paraId="67533E89" w14:textId="77777777" w:rsidR="001B77DD" w:rsidRDefault="001B77DD"/>
    <w:p w14:paraId="67533E8A" w14:textId="77777777" w:rsidR="001B77DD" w:rsidRDefault="001B77DD"/>
    <w:p w14:paraId="67533E8B" w14:textId="77777777" w:rsidR="001B77DD" w:rsidRDefault="001B77DD"/>
    <w:p w14:paraId="67533E8C" w14:textId="77777777" w:rsidR="001B77DD" w:rsidRDefault="001B77DD">
      <w:pPr>
        <w:spacing w:after="180"/>
        <w:ind w:hanging="180"/>
      </w:pPr>
    </w:p>
    <w:p w14:paraId="67533E8D" w14:textId="77777777" w:rsidR="001B77DD" w:rsidRDefault="001B77DD">
      <w:pPr>
        <w:spacing w:after="180"/>
        <w:ind w:hanging="180"/>
      </w:pPr>
    </w:p>
    <w:p w14:paraId="67533E8E" w14:textId="77777777" w:rsidR="001B77DD" w:rsidRDefault="001B77DD">
      <w:pPr>
        <w:spacing w:after="180"/>
        <w:ind w:hanging="180"/>
      </w:pPr>
    </w:p>
    <w:p w14:paraId="67533E8F"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3E99" w14:textId="77777777">
        <w:tc>
          <w:tcPr>
            <w:tcW w:w="50" w:type="pct"/>
            <w:shd w:val="clear" w:color="auto" w:fill="auto"/>
            <w:vAlign w:val="bottom"/>
          </w:tcPr>
          <w:p w14:paraId="67533E90" w14:textId="77777777" w:rsidR="001B77DD" w:rsidRDefault="001B77DD">
            <w:pPr>
              <w:rPr>
                <w:rFonts w:ascii="宋体"/>
              </w:rPr>
            </w:pPr>
          </w:p>
        </w:tc>
        <w:tc>
          <w:tcPr>
            <w:tcW w:w="283" w:type="pct"/>
            <w:shd w:val="clear" w:color="auto" w:fill="auto"/>
            <w:vAlign w:val="bottom"/>
          </w:tcPr>
          <w:p w14:paraId="67533E91" w14:textId="77777777" w:rsidR="001B77DD" w:rsidRDefault="001B77DD">
            <w:pPr>
              <w:rPr>
                <w:rFonts w:ascii="宋体"/>
              </w:rPr>
            </w:pPr>
          </w:p>
        </w:tc>
        <w:tc>
          <w:tcPr>
            <w:tcW w:w="5" w:type="pct"/>
            <w:shd w:val="clear" w:color="auto" w:fill="auto"/>
            <w:vAlign w:val="bottom"/>
          </w:tcPr>
          <w:p w14:paraId="67533E92" w14:textId="77777777" w:rsidR="001B77DD" w:rsidRDefault="001B77DD">
            <w:pPr>
              <w:rPr>
                <w:rFonts w:ascii="宋体"/>
              </w:rPr>
            </w:pPr>
          </w:p>
        </w:tc>
        <w:tc>
          <w:tcPr>
            <w:tcW w:w="50" w:type="pct"/>
            <w:shd w:val="clear" w:color="auto" w:fill="auto"/>
            <w:vAlign w:val="bottom"/>
          </w:tcPr>
          <w:p w14:paraId="67533E93" w14:textId="77777777" w:rsidR="001B77DD" w:rsidRDefault="001B77DD">
            <w:pPr>
              <w:rPr>
                <w:rFonts w:ascii="宋体"/>
              </w:rPr>
            </w:pPr>
          </w:p>
        </w:tc>
        <w:tc>
          <w:tcPr>
            <w:tcW w:w="2656" w:type="pct"/>
            <w:shd w:val="clear" w:color="auto" w:fill="auto"/>
            <w:vAlign w:val="bottom"/>
          </w:tcPr>
          <w:p w14:paraId="67533E94" w14:textId="77777777" w:rsidR="001B77DD" w:rsidRDefault="001B77DD">
            <w:pPr>
              <w:rPr>
                <w:rFonts w:ascii="宋体"/>
              </w:rPr>
            </w:pPr>
          </w:p>
        </w:tc>
        <w:tc>
          <w:tcPr>
            <w:tcW w:w="5" w:type="pct"/>
            <w:shd w:val="clear" w:color="auto" w:fill="auto"/>
            <w:vAlign w:val="bottom"/>
          </w:tcPr>
          <w:p w14:paraId="67533E95" w14:textId="77777777" w:rsidR="001B77DD" w:rsidRDefault="001B77DD">
            <w:pPr>
              <w:rPr>
                <w:rFonts w:ascii="宋体"/>
              </w:rPr>
            </w:pPr>
          </w:p>
        </w:tc>
        <w:tc>
          <w:tcPr>
            <w:tcW w:w="50" w:type="pct"/>
            <w:shd w:val="clear" w:color="auto" w:fill="auto"/>
            <w:vAlign w:val="bottom"/>
          </w:tcPr>
          <w:p w14:paraId="67533E96" w14:textId="77777777" w:rsidR="001B77DD" w:rsidRDefault="001B77DD">
            <w:pPr>
              <w:rPr>
                <w:rFonts w:ascii="宋体"/>
              </w:rPr>
            </w:pPr>
          </w:p>
        </w:tc>
        <w:tc>
          <w:tcPr>
            <w:tcW w:w="1894" w:type="pct"/>
            <w:shd w:val="clear" w:color="auto" w:fill="auto"/>
            <w:vAlign w:val="bottom"/>
          </w:tcPr>
          <w:p w14:paraId="67533E97" w14:textId="77777777" w:rsidR="001B77DD" w:rsidRDefault="001B77DD">
            <w:pPr>
              <w:rPr>
                <w:rFonts w:ascii="宋体"/>
              </w:rPr>
            </w:pPr>
          </w:p>
        </w:tc>
        <w:tc>
          <w:tcPr>
            <w:tcW w:w="5" w:type="pct"/>
            <w:shd w:val="clear" w:color="auto" w:fill="auto"/>
            <w:vAlign w:val="bottom"/>
          </w:tcPr>
          <w:p w14:paraId="67533E98" w14:textId="77777777" w:rsidR="001B77DD" w:rsidRDefault="001B77DD">
            <w:pPr>
              <w:rPr>
                <w:rFonts w:ascii="宋体"/>
              </w:rPr>
            </w:pPr>
          </w:p>
        </w:tc>
      </w:tr>
      <w:tr w:rsidR="001B77DD" w14:paraId="67533E9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3E9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AF" wp14:editId="67538DB0">
                  <wp:extent cx="304800" cy="304800"/>
                  <wp:effectExtent l="0" t="0" r="0" b="0"/>
                  <wp:docPr id="62" name="图片 5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E9B"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E9C" w14:textId="77777777" w:rsidR="001B77DD" w:rsidRDefault="00BF0A28">
            <w:pPr>
              <w:jc w:val="right"/>
              <w:textAlignment w:val="center"/>
            </w:pPr>
            <w:r>
              <w:rPr>
                <w:rFonts w:ascii="Arial" w:eastAsia="宋体" w:hAnsi="Arial" w:cs="Arial"/>
                <w:color w:val="262626"/>
                <w:sz w:val="16"/>
                <w:szCs w:val="16"/>
              </w:rPr>
              <w:t>7</w:t>
            </w:r>
          </w:p>
        </w:tc>
      </w:tr>
    </w:tbl>
    <w:p w14:paraId="67533E9E" w14:textId="77777777" w:rsidR="001B77DD" w:rsidRDefault="00BF0A28">
      <w:r>
        <w:pict w14:anchorId="67538DB1">
          <v:rect id="_x0000_i1033" style="width:415.3pt;height:1.5pt" o:hralign="center" o:hrstd="t" o:hr="t" fillcolor="#a0a0a0" stroked="f"/>
        </w:pict>
      </w:r>
    </w:p>
    <w:p w14:paraId="67533E9F" w14:textId="77777777" w:rsidR="001B77DD" w:rsidRDefault="00BF0A28">
      <w:pPr>
        <w:spacing w:after="180"/>
        <w:jc w:val="right"/>
      </w:pPr>
      <w:hyperlink r:id="rId46" w:anchor="i6c9ced68f6b24d58a3dcf326e8c3c699_16" w:history="1">
        <w:r>
          <w:rPr>
            <w:rStyle w:val="a5"/>
            <w:rFonts w:ascii="Arial" w:eastAsia="宋体" w:hAnsi="Arial" w:cs="Arial"/>
            <w:sz w:val="18"/>
            <w:szCs w:val="18"/>
          </w:rPr>
          <w:t>Table</w:t>
        </w:r>
      </w:hyperlink>
      <w:hyperlink r:id="rId47" w:anchor="i6c9ced68f6b24d58a3dcf326e8c3c699_16" w:history="1">
        <w:r>
          <w:rPr>
            <w:rStyle w:val="a5"/>
            <w:rFonts w:ascii="Arial" w:eastAsia="宋体" w:hAnsi="Arial" w:cs="Arial"/>
            <w:sz w:val="18"/>
            <w:szCs w:val="18"/>
          </w:rPr>
          <w:t xml:space="preserve"> of </w:t>
        </w:r>
      </w:hyperlink>
      <w:hyperlink r:id="rId48" w:anchor="i6c9ced68f6b24d58a3dcf326e8c3c699_16" w:history="1">
        <w:r>
          <w:rPr>
            <w:rStyle w:val="a5"/>
            <w:rFonts w:ascii="Arial" w:eastAsia="宋体" w:hAnsi="Arial" w:cs="Arial"/>
            <w:sz w:val="18"/>
            <w:szCs w:val="18"/>
          </w:rPr>
          <w:t>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8092"/>
        <w:gridCol w:w="36"/>
        <w:gridCol w:w="36"/>
        <w:gridCol w:w="81"/>
        <w:gridCol w:w="36"/>
      </w:tblGrid>
      <w:tr w:rsidR="001B77DD" w14:paraId="67533EA6" w14:textId="77777777">
        <w:trPr>
          <w:jc w:val="center"/>
        </w:trPr>
        <w:tc>
          <w:tcPr>
            <w:tcW w:w="50" w:type="pct"/>
            <w:shd w:val="clear" w:color="auto" w:fill="auto"/>
            <w:vAlign w:val="bottom"/>
          </w:tcPr>
          <w:p w14:paraId="67533EA0" w14:textId="77777777" w:rsidR="001B77DD" w:rsidRDefault="001B77DD">
            <w:pPr>
              <w:rPr>
                <w:rFonts w:ascii="宋体"/>
              </w:rPr>
            </w:pPr>
          </w:p>
        </w:tc>
        <w:tc>
          <w:tcPr>
            <w:tcW w:w="4869" w:type="pct"/>
            <w:shd w:val="clear" w:color="auto" w:fill="auto"/>
            <w:vAlign w:val="bottom"/>
          </w:tcPr>
          <w:p w14:paraId="67533EA1" w14:textId="77777777" w:rsidR="001B77DD" w:rsidRDefault="001B77DD">
            <w:pPr>
              <w:rPr>
                <w:rFonts w:ascii="宋体"/>
              </w:rPr>
            </w:pPr>
          </w:p>
        </w:tc>
        <w:tc>
          <w:tcPr>
            <w:tcW w:w="5" w:type="pct"/>
            <w:shd w:val="clear" w:color="auto" w:fill="auto"/>
            <w:vAlign w:val="bottom"/>
          </w:tcPr>
          <w:p w14:paraId="67533EA2" w14:textId="77777777" w:rsidR="001B77DD" w:rsidRDefault="001B77DD">
            <w:pPr>
              <w:rPr>
                <w:rFonts w:ascii="宋体"/>
              </w:rPr>
            </w:pPr>
          </w:p>
        </w:tc>
        <w:tc>
          <w:tcPr>
            <w:tcW w:w="5" w:type="pct"/>
            <w:shd w:val="clear" w:color="auto" w:fill="auto"/>
            <w:vAlign w:val="bottom"/>
          </w:tcPr>
          <w:p w14:paraId="67533EA3" w14:textId="77777777" w:rsidR="001B77DD" w:rsidRDefault="001B77DD">
            <w:pPr>
              <w:rPr>
                <w:rFonts w:ascii="宋体"/>
              </w:rPr>
            </w:pPr>
          </w:p>
        </w:tc>
        <w:tc>
          <w:tcPr>
            <w:tcW w:w="65" w:type="pct"/>
            <w:shd w:val="clear" w:color="auto" w:fill="auto"/>
            <w:vAlign w:val="bottom"/>
          </w:tcPr>
          <w:p w14:paraId="67533EA4" w14:textId="77777777" w:rsidR="001B77DD" w:rsidRDefault="001B77DD">
            <w:pPr>
              <w:rPr>
                <w:rFonts w:ascii="宋体"/>
              </w:rPr>
            </w:pPr>
          </w:p>
        </w:tc>
        <w:tc>
          <w:tcPr>
            <w:tcW w:w="5" w:type="pct"/>
            <w:shd w:val="clear" w:color="auto" w:fill="auto"/>
            <w:vAlign w:val="bottom"/>
          </w:tcPr>
          <w:p w14:paraId="67533EA5" w14:textId="77777777" w:rsidR="001B77DD" w:rsidRDefault="001B77DD">
            <w:pPr>
              <w:rPr>
                <w:rFonts w:ascii="宋体"/>
              </w:rPr>
            </w:pPr>
          </w:p>
        </w:tc>
      </w:tr>
      <w:tr w:rsidR="001B77DD" w14:paraId="67533EA9" w14:textId="77777777">
        <w:trPr>
          <w:jc w:val="center"/>
        </w:trPr>
        <w:tc>
          <w:tcPr>
            <w:tcW w:w="0" w:type="auto"/>
            <w:gridSpan w:val="3"/>
            <w:shd w:val="clear" w:color="auto" w:fill="004A86"/>
            <w:tcMar>
              <w:top w:w="40" w:type="dxa"/>
              <w:left w:w="20" w:type="dxa"/>
              <w:bottom w:w="40" w:type="dxa"/>
              <w:right w:w="20" w:type="dxa"/>
            </w:tcMar>
            <w:vAlign w:val="bottom"/>
          </w:tcPr>
          <w:p w14:paraId="67533EA7" w14:textId="77777777" w:rsidR="001B77DD" w:rsidRDefault="00BF0A28">
            <w:pPr>
              <w:textAlignment w:val="bottom"/>
            </w:pPr>
            <w:r>
              <w:rPr>
                <w:rFonts w:ascii="Arial" w:eastAsia="宋体" w:hAnsi="Arial" w:cs="Arial"/>
                <w:color w:val="FFFFFF"/>
                <w:sz w:val="36"/>
                <w:szCs w:val="36"/>
              </w:rPr>
              <w:t>Our Capital</w:t>
            </w:r>
          </w:p>
        </w:tc>
        <w:tc>
          <w:tcPr>
            <w:tcW w:w="0" w:type="auto"/>
            <w:gridSpan w:val="3"/>
            <w:shd w:val="clear" w:color="auto" w:fill="auto"/>
            <w:tcMar>
              <w:top w:w="0" w:type="dxa"/>
              <w:left w:w="20" w:type="dxa"/>
              <w:bottom w:w="0" w:type="dxa"/>
              <w:right w:w="20" w:type="dxa"/>
            </w:tcMar>
            <w:vAlign w:val="bottom"/>
          </w:tcPr>
          <w:p w14:paraId="67533EA8" w14:textId="77777777" w:rsidR="001B77DD" w:rsidRDefault="001B77DD">
            <w:pPr>
              <w:rPr>
                <w:rFonts w:ascii="宋体"/>
              </w:rPr>
            </w:pPr>
          </w:p>
        </w:tc>
      </w:tr>
      <w:tr w:rsidR="001B77DD" w14:paraId="67533EAC" w14:textId="77777777">
        <w:trPr>
          <w:trHeight w:val="160"/>
          <w:jc w:val="center"/>
        </w:trPr>
        <w:tc>
          <w:tcPr>
            <w:tcW w:w="0" w:type="auto"/>
            <w:gridSpan w:val="3"/>
            <w:shd w:val="clear" w:color="auto" w:fill="auto"/>
            <w:tcMar>
              <w:top w:w="0" w:type="dxa"/>
              <w:left w:w="20" w:type="dxa"/>
              <w:bottom w:w="0" w:type="dxa"/>
              <w:right w:w="20" w:type="dxa"/>
            </w:tcMar>
            <w:vAlign w:val="bottom"/>
          </w:tcPr>
          <w:p w14:paraId="67533EAA"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3EAB" w14:textId="77777777" w:rsidR="001B77DD" w:rsidRDefault="001B77DD">
            <w:pPr>
              <w:rPr>
                <w:rFonts w:ascii="宋体"/>
              </w:rPr>
            </w:pPr>
          </w:p>
        </w:tc>
      </w:tr>
    </w:tbl>
    <w:p w14:paraId="67533EAD" w14:textId="77777777" w:rsidR="001B77DD" w:rsidRDefault="00BF0A28">
      <w:pPr>
        <w:spacing w:after="180"/>
      </w:pPr>
      <w:r>
        <w:rPr>
          <w:rFonts w:ascii="Arial" w:eastAsia="宋体" w:hAnsi="Arial" w:cs="Arial"/>
          <w:color w:val="262626"/>
          <w:sz w:val="18"/>
          <w:szCs w:val="18"/>
        </w:rPr>
        <w:t xml:space="preserve">We deploy various forms of capital to execute our strategy in a way that seeks to reflect our corporate values, help our customers succeed, and create value for our stakeholders. </w:t>
      </w:r>
    </w:p>
    <w:tbl>
      <w:tblPr>
        <w:tblW w:w="4993" w:type="pct"/>
        <w:tblCellMar>
          <w:top w:w="15" w:type="dxa"/>
          <w:left w:w="15" w:type="dxa"/>
          <w:bottom w:w="15" w:type="dxa"/>
          <w:right w:w="15" w:type="dxa"/>
        </w:tblCellMar>
        <w:tblLook w:val="04A0" w:firstRow="1" w:lastRow="0" w:firstColumn="1" w:lastColumn="0" w:noHBand="0" w:noVBand="1"/>
      </w:tblPr>
      <w:tblGrid>
        <w:gridCol w:w="65"/>
        <w:gridCol w:w="718"/>
        <w:gridCol w:w="36"/>
        <w:gridCol w:w="934"/>
        <w:gridCol w:w="654"/>
        <w:gridCol w:w="52"/>
        <w:gridCol w:w="2869"/>
        <w:gridCol w:w="37"/>
        <w:gridCol w:w="53"/>
        <w:gridCol w:w="2869"/>
        <w:gridCol w:w="37"/>
      </w:tblGrid>
      <w:tr w:rsidR="001B77DD" w14:paraId="67533EB9" w14:textId="77777777">
        <w:tc>
          <w:tcPr>
            <w:tcW w:w="50" w:type="pct"/>
            <w:shd w:val="clear" w:color="auto" w:fill="auto"/>
            <w:vAlign w:val="bottom"/>
          </w:tcPr>
          <w:p w14:paraId="67533EAE" w14:textId="77777777" w:rsidR="001B77DD" w:rsidRDefault="001B77DD">
            <w:pPr>
              <w:rPr>
                <w:rFonts w:ascii="宋体"/>
              </w:rPr>
            </w:pPr>
          </w:p>
        </w:tc>
        <w:tc>
          <w:tcPr>
            <w:tcW w:w="553" w:type="pct"/>
            <w:shd w:val="clear" w:color="auto" w:fill="auto"/>
            <w:vAlign w:val="bottom"/>
          </w:tcPr>
          <w:p w14:paraId="67533EAF" w14:textId="77777777" w:rsidR="001B77DD" w:rsidRDefault="001B77DD">
            <w:pPr>
              <w:rPr>
                <w:rFonts w:ascii="宋体"/>
              </w:rPr>
            </w:pPr>
          </w:p>
        </w:tc>
        <w:tc>
          <w:tcPr>
            <w:tcW w:w="5" w:type="pct"/>
            <w:shd w:val="clear" w:color="auto" w:fill="auto"/>
            <w:vAlign w:val="bottom"/>
          </w:tcPr>
          <w:p w14:paraId="67533EB0" w14:textId="77777777" w:rsidR="001B77DD" w:rsidRDefault="001B77DD">
            <w:pPr>
              <w:rPr>
                <w:rFonts w:ascii="宋体"/>
              </w:rPr>
            </w:pPr>
          </w:p>
        </w:tc>
        <w:tc>
          <w:tcPr>
            <w:tcW w:w="0" w:type="auto"/>
            <w:shd w:val="clear" w:color="auto" w:fill="auto"/>
            <w:vAlign w:val="bottom"/>
          </w:tcPr>
          <w:p w14:paraId="67533EB1" w14:textId="77777777" w:rsidR="001B77DD" w:rsidRDefault="001B77DD">
            <w:pPr>
              <w:rPr>
                <w:rFonts w:ascii="宋体"/>
                <w:vanish/>
              </w:rPr>
            </w:pPr>
          </w:p>
        </w:tc>
        <w:tc>
          <w:tcPr>
            <w:tcW w:w="0" w:type="auto"/>
            <w:shd w:val="clear" w:color="auto" w:fill="auto"/>
            <w:vAlign w:val="bottom"/>
          </w:tcPr>
          <w:p w14:paraId="67533EB2" w14:textId="77777777" w:rsidR="001B77DD" w:rsidRDefault="001B77DD">
            <w:pPr>
              <w:rPr>
                <w:rFonts w:ascii="宋体"/>
                <w:vanish/>
              </w:rPr>
            </w:pPr>
          </w:p>
        </w:tc>
        <w:tc>
          <w:tcPr>
            <w:tcW w:w="50" w:type="pct"/>
            <w:shd w:val="clear" w:color="auto" w:fill="auto"/>
            <w:vAlign w:val="bottom"/>
          </w:tcPr>
          <w:p w14:paraId="67533EB3" w14:textId="77777777" w:rsidR="001B77DD" w:rsidRDefault="001B77DD">
            <w:pPr>
              <w:rPr>
                <w:rFonts w:ascii="宋体"/>
              </w:rPr>
            </w:pPr>
          </w:p>
        </w:tc>
        <w:tc>
          <w:tcPr>
            <w:tcW w:w="2140" w:type="pct"/>
            <w:shd w:val="clear" w:color="auto" w:fill="auto"/>
            <w:vAlign w:val="bottom"/>
          </w:tcPr>
          <w:p w14:paraId="67533EB4" w14:textId="77777777" w:rsidR="001B77DD" w:rsidRDefault="001B77DD">
            <w:pPr>
              <w:rPr>
                <w:rFonts w:ascii="宋体"/>
              </w:rPr>
            </w:pPr>
          </w:p>
        </w:tc>
        <w:tc>
          <w:tcPr>
            <w:tcW w:w="5" w:type="pct"/>
            <w:shd w:val="clear" w:color="auto" w:fill="auto"/>
            <w:vAlign w:val="bottom"/>
          </w:tcPr>
          <w:p w14:paraId="67533EB5" w14:textId="77777777" w:rsidR="001B77DD" w:rsidRDefault="001B77DD">
            <w:pPr>
              <w:rPr>
                <w:rFonts w:ascii="宋体"/>
              </w:rPr>
            </w:pPr>
          </w:p>
        </w:tc>
        <w:tc>
          <w:tcPr>
            <w:tcW w:w="50" w:type="pct"/>
            <w:shd w:val="clear" w:color="auto" w:fill="auto"/>
            <w:vAlign w:val="bottom"/>
          </w:tcPr>
          <w:p w14:paraId="67533EB6" w14:textId="77777777" w:rsidR="001B77DD" w:rsidRDefault="001B77DD">
            <w:pPr>
              <w:rPr>
                <w:rFonts w:ascii="宋体"/>
              </w:rPr>
            </w:pPr>
          </w:p>
        </w:tc>
        <w:tc>
          <w:tcPr>
            <w:tcW w:w="2140" w:type="pct"/>
            <w:shd w:val="clear" w:color="auto" w:fill="auto"/>
            <w:vAlign w:val="bottom"/>
          </w:tcPr>
          <w:p w14:paraId="67533EB7" w14:textId="77777777" w:rsidR="001B77DD" w:rsidRDefault="001B77DD">
            <w:pPr>
              <w:rPr>
                <w:rFonts w:ascii="宋体"/>
              </w:rPr>
            </w:pPr>
          </w:p>
        </w:tc>
        <w:tc>
          <w:tcPr>
            <w:tcW w:w="5" w:type="pct"/>
            <w:shd w:val="clear" w:color="auto" w:fill="auto"/>
            <w:vAlign w:val="bottom"/>
          </w:tcPr>
          <w:p w14:paraId="67533EB8" w14:textId="77777777" w:rsidR="001B77DD" w:rsidRDefault="001B77DD">
            <w:pPr>
              <w:rPr>
                <w:rFonts w:ascii="宋体"/>
              </w:rPr>
            </w:pPr>
          </w:p>
        </w:tc>
      </w:tr>
      <w:tr w:rsidR="001B77DD" w14:paraId="67533EBF" w14:textId="77777777">
        <w:trPr>
          <w:hidden/>
        </w:trPr>
        <w:tc>
          <w:tcPr>
            <w:tcW w:w="0" w:type="auto"/>
            <w:gridSpan w:val="3"/>
            <w:shd w:val="clear" w:color="auto" w:fill="auto"/>
            <w:vAlign w:val="bottom"/>
          </w:tcPr>
          <w:p w14:paraId="67533EBA" w14:textId="77777777" w:rsidR="001B77DD" w:rsidRDefault="001B77DD">
            <w:pPr>
              <w:rPr>
                <w:rFonts w:ascii="宋体"/>
                <w:vanish/>
              </w:rPr>
            </w:pPr>
          </w:p>
        </w:tc>
        <w:tc>
          <w:tcPr>
            <w:tcW w:w="0" w:type="auto"/>
            <w:shd w:val="clear" w:color="auto" w:fill="auto"/>
            <w:vAlign w:val="bottom"/>
          </w:tcPr>
          <w:p w14:paraId="67533EBB" w14:textId="77777777" w:rsidR="001B77DD" w:rsidRDefault="001B77DD">
            <w:pPr>
              <w:rPr>
                <w:rFonts w:ascii="宋体"/>
                <w:vanish/>
              </w:rPr>
            </w:pPr>
          </w:p>
        </w:tc>
        <w:tc>
          <w:tcPr>
            <w:tcW w:w="0" w:type="auto"/>
            <w:shd w:val="clear" w:color="auto" w:fill="auto"/>
            <w:vAlign w:val="bottom"/>
          </w:tcPr>
          <w:p w14:paraId="67533EBC" w14:textId="77777777" w:rsidR="001B77DD" w:rsidRDefault="001B77DD">
            <w:pPr>
              <w:rPr>
                <w:rFonts w:ascii="宋体"/>
                <w:vanish/>
              </w:rPr>
            </w:pPr>
          </w:p>
        </w:tc>
        <w:tc>
          <w:tcPr>
            <w:tcW w:w="0" w:type="auto"/>
            <w:gridSpan w:val="3"/>
            <w:shd w:val="clear" w:color="auto" w:fill="auto"/>
            <w:vAlign w:val="bottom"/>
          </w:tcPr>
          <w:p w14:paraId="67533EBD" w14:textId="77777777" w:rsidR="001B77DD" w:rsidRDefault="001B77DD">
            <w:pPr>
              <w:rPr>
                <w:rFonts w:ascii="宋体"/>
                <w:vanish/>
              </w:rPr>
            </w:pPr>
          </w:p>
        </w:tc>
        <w:tc>
          <w:tcPr>
            <w:tcW w:w="0" w:type="auto"/>
            <w:gridSpan w:val="3"/>
            <w:shd w:val="clear" w:color="auto" w:fill="auto"/>
            <w:vAlign w:val="bottom"/>
          </w:tcPr>
          <w:p w14:paraId="67533EBE" w14:textId="77777777" w:rsidR="001B77DD" w:rsidRDefault="001B77DD">
            <w:pPr>
              <w:rPr>
                <w:rFonts w:ascii="宋体"/>
                <w:vanish/>
              </w:rPr>
            </w:pPr>
          </w:p>
        </w:tc>
      </w:tr>
      <w:tr w:rsidR="001B77DD" w14:paraId="67533EC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3EC0" w14:textId="77777777" w:rsidR="001B77DD" w:rsidRDefault="00BF0A28">
            <w:pPr>
              <w:textAlignment w:val="bottom"/>
            </w:pPr>
            <w:r>
              <w:rPr>
                <w:rFonts w:ascii="Arial" w:eastAsia="宋体" w:hAnsi="Arial" w:cs="Arial"/>
                <w:color w:val="0068B5"/>
              </w:rPr>
              <w:t>Capital</w:t>
            </w:r>
          </w:p>
        </w:tc>
        <w:tc>
          <w:tcPr>
            <w:tcW w:w="0" w:type="auto"/>
            <w:tcBorders>
              <w:top w:val="single" w:sz="8" w:space="0" w:color="0068B5"/>
            </w:tcBorders>
            <w:shd w:val="clear" w:color="auto" w:fill="auto"/>
            <w:tcMar>
              <w:top w:w="40" w:type="dxa"/>
              <w:left w:w="20" w:type="dxa"/>
              <w:bottom w:w="40" w:type="dxa"/>
              <w:right w:w="20" w:type="dxa"/>
            </w:tcMar>
            <w:vAlign w:val="bottom"/>
          </w:tcPr>
          <w:p w14:paraId="67533EC1" w14:textId="77777777" w:rsidR="001B77DD" w:rsidRDefault="00BF0A28">
            <w:pPr>
              <w:textAlignment w:val="bottom"/>
            </w:pPr>
            <w:r>
              <w:rPr>
                <w:rFonts w:ascii="Arial" w:eastAsia="宋体" w:hAnsi="Arial" w:cs="Arial"/>
                <w:color w:val="0068B5"/>
              </w:rPr>
              <w:t>Strategy</w:t>
            </w:r>
          </w:p>
        </w:tc>
        <w:tc>
          <w:tcPr>
            <w:tcW w:w="0" w:type="auto"/>
            <w:tcBorders>
              <w:top w:val="single" w:sz="8" w:space="0" w:color="0068B5"/>
            </w:tcBorders>
            <w:shd w:val="clear" w:color="auto" w:fill="auto"/>
            <w:tcMar>
              <w:top w:w="40" w:type="dxa"/>
              <w:left w:w="20" w:type="dxa"/>
              <w:bottom w:w="40" w:type="dxa"/>
              <w:right w:w="20" w:type="dxa"/>
            </w:tcMar>
            <w:vAlign w:val="bottom"/>
          </w:tcPr>
          <w:p w14:paraId="67533EC2" w14:textId="77777777" w:rsidR="001B77DD" w:rsidRDefault="00BF0A28">
            <w:pPr>
              <w:textAlignment w:val="bottom"/>
            </w:pPr>
            <w:r>
              <w:rPr>
                <w:rFonts w:ascii="Arial" w:eastAsia="宋体" w:hAnsi="Arial" w:cs="Arial"/>
                <w:color w:val="0068B5"/>
              </w:rPr>
              <w:t>Value</w:t>
            </w:r>
          </w:p>
        </w:tc>
        <w:tc>
          <w:tcPr>
            <w:tcW w:w="0" w:type="auto"/>
            <w:shd w:val="clear" w:color="auto" w:fill="auto"/>
            <w:vAlign w:val="bottom"/>
          </w:tcPr>
          <w:p w14:paraId="67533EC3" w14:textId="77777777" w:rsidR="001B77DD" w:rsidRDefault="001B77DD">
            <w:pPr>
              <w:rPr>
                <w:rFonts w:ascii="宋体"/>
              </w:rPr>
            </w:pPr>
          </w:p>
        </w:tc>
        <w:tc>
          <w:tcPr>
            <w:tcW w:w="0" w:type="auto"/>
            <w:shd w:val="clear" w:color="auto" w:fill="auto"/>
            <w:vAlign w:val="bottom"/>
          </w:tcPr>
          <w:p w14:paraId="67533EC4" w14:textId="77777777" w:rsidR="001B77DD" w:rsidRDefault="001B77DD">
            <w:pPr>
              <w:rPr>
                <w:rFonts w:ascii="宋体"/>
              </w:rPr>
            </w:pPr>
          </w:p>
        </w:tc>
        <w:tc>
          <w:tcPr>
            <w:tcW w:w="0" w:type="auto"/>
            <w:shd w:val="clear" w:color="auto" w:fill="auto"/>
            <w:vAlign w:val="bottom"/>
          </w:tcPr>
          <w:p w14:paraId="67533EC5" w14:textId="77777777" w:rsidR="001B77DD" w:rsidRDefault="001B77DD">
            <w:pPr>
              <w:rPr>
                <w:rFonts w:ascii="宋体"/>
              </w:rPr>
            </w:pPr>
          </w:p>
        </w:tc>
        <w:tc>
          <w:tcPr>
            <w:tcW w:w="0" w:type="auto"/>
            <w:shd w:val="clear" w:color="auto" w:fill="auto"/>
            <w:vAlign w:val="bottom"/>
          </w:tcPr>
          <w:p w14:paraId="67533EC6" w14:textId="77777777" w:rsidR="001B77DD" w:rsidRDefault="001B77DD">
            <w:pPr>
              <w:rPr>
                <w:rFonts w:ascii="宋体"/>
              </w:rPr>
            </w:pPr>
          </w:p>
        </w:tc>
        <w:tc>
          <w:tcPr>
            <w:tcW w:w="0" w:type="auto"/>
            <w:shd w:val="clear" w:color="auto" w:fill="auto"/>
            <w:vAlign w:val="bottom"/>
          </w:tcPr>
          <w:p w14:paraId="67533EC7" w14:textId="77777777" w:rsidR="001B77DD" w:rsidRDefault="001B77DD">
            <w:pPr>
              <w:rPr>
                <w:rFonts w:ascii="宋体"/>
              </w:rPr>
            </w:pPr>
          </w:p>
        </w:tc>
        <w:tc>
          <w:tcPr>
            <w:tcW w:w="0" w:type="auto"/>
            <w:shd w:val="clear" w:color="auto" w:fill="auto"/>
            <w:vAlign w:val="bottom"/>
          </w:tcPr>
          <w:p w14:paraId="67533EC8" w14:textId="77777777" w:rsidR="001B77DD" w:rsidRDefault="001B77DD">
            <w:pPr>
              <w:rPr>
                <w:rFonts w:ascii="宋体"/>
              </w:rPr>
            </w:pPr>
          </w:p>
        </w:tc>
      </w:tr>
      <w:tr w:rsidR="001B77DD" w14:paraId="67533ECF" w14:textId="77777777">
        <w:trPr>
          <w:hidden/>
        </w:trPr>
        <w:tc>
          <w:tcPr>
            <w:tcW w:w="0" w:type="auto"/>
            <w:gridSpan w:val="3"/>
            <w:shd w:val="clear" w:color="auto" w:fill="auto"/>
            <w:vAlign w:val="bottom"/>
          </w:tcPr>
          <w:p w14:paraId="67533ECA" w14:textId="77777777" w:rsidR="001B77DD" w:rsidRDefault="001B77DD">
            <w:pPr>
              <w:rPr>
                <w:rFonts w:ascii="宋体"/>
                <w:vanish/>
              </w:rPr>
            </w:pPr>
          </w:p>
        </w:tc>
        <w:tc>
          <w:tcPr>
            <w:tcW w:w="0" w:type="auto"/>
            <w:shd w:val="clear" w:color="auto" w:fill="auto"/>
            <w:vAlign w:val="bottom"/>
          </w:tcPr>
          <w:p w14:paraId="67533ECB" w14:textId="77777777" w:rsidR="001B77DD" w:rsidRDefault="001B77DD">
            <w:pPr>
              <w:rPr>
                <w:rFonts w:ascii="宋体"/>
                <w:vanish/>
              </w:rPr>
            </w:pPr>
          </w:p>
        </w:tc>
        <w:tc>
          <w:tcPr>
            <w:tcW w:w="0" w:type="auto"/>
            <w:shd w:val="clear" w:color="auto" w:fill="auto"/>
            <w:vAlign w:val="bottom"/>
          </w:tcPr>
          <w:p w14:paraId="67533ECC" w14:textId="77777777" w:rsidR="001B77DD" w:rsidRDefault="001B77DD">
            <w:pPr>
              <w:rPr>
                <w:rFonts w:ascii="宋体"/>
                <w:vanish/>
              </w:rPr>
            </w:pPr>
          </w:p>
        </w:tc>
        <w:tc>
          <w:tcPr>
            <w:tcW w:w="0" w:type="auto"/>
            <w:gridSpan w:val="3"/>
            <w:shd w:val="clear" w:color="auto" w:fill="auto"/>
            <w:vAlign w:val="bottom"/>
          </w:tcPr>
          <w:p w14:paraId="67533ECD" w14:textId="77777777" w:rsidR="001B77DD" w:rsidRDefault="001B77DD">
            <w:pPr>
              <w:rPr>
                <w:rFonts w:ascii="宋体"/>
                <w:vanish/>
              </w:rPr>
            </w:pPr>
          </w:p>
        </w:tc>
        <w:tc>
          <w:tcPr>
            <w:tcW w:w="0" w:type="auto"/>
            <w:gridSpan w:val="3"/>
            <w:shd w:val="clear" w:color="auto" w:fill="auto"/>
            <w:vAlign w:val="bottom"/>
          </w:tcPr>
          <w:p w14:paraId="67533ECE" w14:textId="77777777" w:rsidR="001B77DD" w:rsidRDefault="001B77DD">
            <w:pPr>
              <w:rPr>
                <w:rFonts w:ascii="宋体"/>
                <w:vanish/>
              </w:rPr>
            </w:pPr>
          </w:p>
        </w:tc>
      </w:tr>
      <w:tr w:rsidR="001B77DD" w14:paraId="67533ED7"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67533ED0" w14:textId="77777777" w:rsidR="001B77DD" w:rsidRDefault="00BF0A28">
            <w:pPr>
              <w:textAlignment w:val="center"/>
            </w:pPr>
            <w:r>
              <w:rPr>
                <w:rFonts w:ascii="Arial" w:eastAsia="宋体" w:hAnsi="Arial" w:cs="Arial"/>
                <w:color w:val="0068B5"/>
                <w:sz w:val="18"/>
                <w:szCs w:val="18"/>
              </w:rPr>
              <w:t>Financial</w:t>
            </w:r>
          </w:p>
        </w:tc>
        <w:tc>
          <w:tcPr>
            <w:tcW w:w="0" w:type="auto"/>
            <w:shd w:val="clear" w:color="auto" w:fill="auto"/>
            <w:vAlign w:val="bottom"/>
          </w:tcPr>
          <w:p w14:paraId="67533ED1" w14:textId="77777777" w:rsidR="001B77DD" w:rsidRDefault="001B77DD">
            <w:pPr>
              <w:rPr>
                <w:rFonts w:ascii="宋体"/>
              </w:rPr>
            </w:pPr>
          </w:p>
        </w:tc>
        <w:tc>
          <w:tcPr>
            <w:tcW w:w="0" w:type="auto"/>
            <w:shd w:val="clear" w:color="auto" w:fill="auto"/>
            <w:vAlign w:val="bottom"/>
          </w:tcPr>
          <w:p w14:paraId="67533ED2" w14:textId="77777777" w:rsidR="001B77DD" w:rsidRDefault="001B77DD">
            <w:pPr>
              <w:rPr>
                <w:rFonts w:ascii="宋体"/>
              </w:rPr>
            </w:pPr>
          </w:p>
        </w:tc>
        <w:tc>
          <w:tcPr>
            <w:tcW w:w="0" w:type="auto"/>
            <w:shd w:val="clear" w:color="auto" w:fill="auto"/>
            <w:vAlign w:val="bottom"/>
          </w:tcPr>
          <w:p w14:paraId="67533ED3" w14:textId="77777777" w:rsidR="001B77DD" w:rsidRDefault="001B77DD">
            <w:pPr>
              <w:rPr>
                <w:rFonts w:ascii="宋体"/>
              </w:rPr>
            </w:pPr>
          </w:p>
        </w:tc>
        <w:tc>
          <w:tcPr>
            <w:tcW w:w="0" w:type="auto"/>
            <w:shd w:val="clear" w:color="auto" w:fill="auto"/>
            <w:vAlign w:val="bottom"/>
          </w:tcPr>
          <w:p w14:paraId="67533ED4" w14:textId="77777777" w:rsidR="001B77DD" w:rsidRDefault="001B77DD">
            <w:pPr>
              <w:rPr>
                <w:rFonts w:ascii="宋体"/>
              </w:rPr>
            </w:pPr>
          </w:p>
        </w:tc>
        <w:tc>
          <w:tcPr>
            <w:tcW w:w="0" w:type="auto"/>
            <w:shd w:val="clear" w:color="auto" w:fill="auto"/>
            <w:vAlign w:val="bottom"/>
          </w:tcPr>
          <w:p w14:paraId="67533ED5" w14:textId="77777777" w:rsidR="001B77DD" w:rsidRDefault="001B77DD">
            <w:pPr>
              <w:rPr>
                <w:rFonts w:ascii="宋体"/>
              </w:rPr>
            </w:pPr>
          </w:p>
        </w:tc>
        <w:tc>
          <w:tcPr>
            <w:tcW w:w="0" w:type="auto"/>
            <w:shd w:val="clear" w:color="auto" w:fill="auto"/>
            <w:vAlign w:val="bottom"/>
          </w:tcPr>
          <w:p w14:paraId="67533ED6" w14:textId="77777777" w:rsidR="001B77DD" w:rsidRDefault="001B77DD">
            <w:pPr>
              <w:rPr>
                <w:rFonts w:ascii="宋体"/>
              </w:rPr>
            </w:pPr>
          </w:p>
        </w:tc>
      </w:tr>
      <w:tr w:rsidR="001B77DD" w14:paraId="67533EDD" w14:textId="77777777">
        <w:tc>
          <w:tcPr>
            <w:tcW w:w="0" w:type="auto"/>
            <w:gridSpan w:val="3"/>
            <w:shd w:val="clear" w:color="auto" w:fill="auto"/>
            <w:tcMar>
              <w:top w:w="0" w:type="dxa"/>
              <w:left w:w="20" w:type="dxa"/>
              <w:bottom w:w="0" w:type="dxa"/>
              <w:right w:w="20" w:type="dxa"/>
            </w:tcMar>
            <w:vAlign w:val="bottom"/>
          </w:tcPr>
          <w:p w14:paraId="67533ED8"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B2" wp14:editId="67538DB3">
                  <wp:extent cx="304800" cy="304800"/>
                  <wp:effectExtent l="0" t="0" r="0" b="0"/>
                  <wp:docPr id="240" name="图片 6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61"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3ED9" w14:textId="77777777" w:rsidR="001B77DD" w:rsidRDefault="001B77DD">
            <w:pPr>
              <w:rPr>
                <w:rFonts w:ascii="宋体"/>
                <w:vanish/>
              </w:rPr>
            </w:pPr>
          </w:p>
        </w:tc>
        <w:tc>
          <w:tcPr>
            <w:tcW w:w="0" w:type="auto"/>
            <w:shd w:val="clear" w:color="auto" w:fill="auto"/>
            <w:vAlign w:val="bottom"/>
          </w:tcPr>
          <w:p w14:paraId="67533EDA"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3EDB" w14:textId="77777777" w:rsidR="001B77DD" w:rsidRDefault="00BF0A28">
            <w:pPr>
              <w:textAlignment w:val="top"/>
            </w:pPr>
            <w:r>
              <w:rPr>
                <w:rFonts w:ascii="Arial" w:eastAsia="宋体" w:hAnsi="Arial" w:cs="Arial"/>
                <w:color w:val="262626"/>
                <w:sz w:val="18"/>
                <w:szCs w:val="18"/>
              </w:rPr>
              <w:t>Leverage financial capital to invest in ourselves and drive our IDM 2.0 strategy, supplement and strengthen</w:t>
            </w:r>
            <w:r>
              <w:rPr>
                <w:rFonts w:ascii="Arial" w:eastAsia="宋体" w:hAnsi="Arial" w:cs="Arial"/>
                <w:color w:val="262626"/>
                <w:sz w:val="18"/>
                <w:szCs w:val="18"/>
              </w:rPr>
              <w:t xml:space="preserve"> our capabilities through acquisitions, and provide returns to stockholders.</w:t>
            </w:r>
          </w:p>
        </w:tc>
        <w:tc>
          <w:tcPr>
            <w:tcW w:w="0" w:type="auto"/>
            <w:gridSpan w:val="3"/>
            <w:shd w:val="clear" w:color="auto" w:fill="auto"/>
            <w:tcMar>
              <w:top w:w="40" w:type="dxa"/>
              <w:left w:w="20" w:type="dxa"/>
              <w:bottom w:w="40" w:type="dxa"/>
              <w:right w:w="20" w:type="dxa"/>
            </w:tcMar>
          </w:tcPr>
          <w:p w14:paraId="67533EDC" w14:textId="77777777" w:rsidR="001B77DD" w:rsidRDefault="00BF0A28">
            <w:pPr>
              <w:spacing w:after="180"/>
              <w:textAlignment w:val="top"/>
            </w:pPr>
            <w:r>
              <w:rPr>
                <w:rFonts w:ascii="Arial" w:eastAsia="宋体" w:hAnsi="Arial" w:cs="Arial"/>
                <w:color w:val="262626"/>
                <w:sz w:val="18"/>
                <w:szCs w:val="18"/>
              </w:rPr>
              <w:t>We strategically invest financial capital to create long-term value and provide returns to our stockholders.</w:t>
            </w:r>
          </w:p>
        </w:tc>
      </w:tr>
      <w:tr w:rsidR="001B77DD" w14:paraId="67533EE3" w14:textId="77777777">
        <w:trPr>
          <w:hidden/>
        </w:trPr>
        <w:tc>
          <w:tcPr>
            <w:tcW w:w="0" w:type="auto"/>
            <w:gridSpan w:val="3"/>
            <w:shd w:val="clear" w:color="auto" w:fill="auto"/>
            <w:vAlign w:val="bottom"/>
          </w:tcPr>
          <w:p w14:paraId="67533EDE" w14:textId="77777777" w:rsidR="001B77DD" w:rsidRDefault="001B77DD">
            <w:pPr>
              <w:rPr>
                <w:rFonts w:ascii="宋体"/>
                <w:vanish/>
              </w:rPr>
            </w:pPr>
          </w:p>
        </w:tc>
        <w:tc>
          <w:tcPr>
            <w:tcW w:w="0" w:type="auto"/>
            <w:shd w:val="clear" w:color="auto" w:fill="auto"/>
            <w:vAlign w:val="bottom"/>
          </w:tcPr>
          <w:p w14:paraId="67533EDF" w14:textId="77777777" w:rsidR="001B77DD" w:rsidRDefault="001B77DD">
            <w:pPr>
              <w:rPr>
                <w:rFonts w:ascii="宋体"/>
                <w:vanish/>
              </w:rPr>
            </w:pPr>
          </w:p>
        </w:tc>
        <w:tc>
          <w:tcPr>
            <w:tcW w:w="0" w:type="auto"/>
            <w:shd w:val="clear" w:color="auto" w:fill="auto"/>
            <w:vAlign w:val="bottom"/>
          </w:tcPr>
          <w:p w14:paraId="67533EE0" w14:textId="77777777" w:rsidR="001B77DD" w:rsidRDefault="001B77DD">
            <w:pPr>
              <w:rPr>
                <w:rFonts w:ascii="宋体"/>
                <w:vanish/>
              </w:rPr>
            </w:pPr>
          </w:p>
        </w:tc>
        <w:tc>
          <w:tcPr>
            <w:tcW w:w="0" w:type="auto"/>
            <w:gridSpan w:val="3"/>
            <w:shd w:val="clear" w:color="auto" w:fill="auto"/>
            <w:vAlign w:val="bottom"/>
          </w:tcPr>
          <w:p w14:paraId="67533EE1" w14:textId="77777777" w:rsidR="001B77DD" w:rsidRDefault="001B77DD">
            <w:pPr>
              <w:rPr>
                <w:rFonts w:ascii="宋体"/>
                <w:vanish/>
              </w:rPr>
            </w:pPr>
          </w:p>
        </w:tc>
        <w:tc>
          <w:tcPr>
            <w:tcW w:w="0" w:type="auto"/>
            <w:gridSpan w:val="3"/>
            <w:shd w:val="clear" w:color="auto" w:fill="auto"/>
            <w:vAlign w:val="bottom"/>
          </w:tcPr>
          <w:p w14:paraId="67533EE2" w14:textId="77777777" w:rsidR="001B77DD" w:rsidRDefault="001B77DD">
            <w:pPr>
              <w:rPr>
                <w:rFonts w:ascii="宋体"/>
                <w:vanish/>
              </w:rPr>
            </w:pPr>
          </w:p>
        </w:tc>
      </w:tr>
      <w:tr w:rsidR="001B77DD" w14:paraId="67533EE9" w14:textId="77777777">
        <w:trPr>
          <w:hidden/>
        </w:trPr>
        <w:tc>
          <w:tcPr>
            <w:tcW w:w="0" w:type="auto"/>
            <w:gridSpan w:val="3"/>
            <w:shd w:val="clear" w:color="auto" w:fill="auto"/>
            <w:vAlign w:val="bottom"/>
          </w:tcPr>
          <w:p w14:paraId="67533EE4" w14:textId="77777777" w:rsidR="001B77DD" w:rsidRDefault="001B77DD">
            <w:pPr>
              <w:rPr>
                <w:rFonts w:ascii="宋体"/>
                <w:vanish/>
              </w:rPr>
            </w:pPr>
          </w:p>
        </w:tc>
        <w:tc>
          <w:tcPr>
            <w:tcW w:w="0" w:type="auto"/>
            <w:shd w:val="clear" w:color="auto" w:fill="auto"/>
            <w:vAlign w:val="bottom"/>
          </w:tcPr>
          <w:p w14:paraId="67533EE5" w14:textId="77777777" w:rsidR="001B77DD" w:rsidRDefault="001B77DD">
            <w:pPr>
              <w:rPr>
                <w:rFonts w:ascii="宋体"/>
                <w:vanish/>
              </w:rPr>
            </w:pPr>
          </w:p>
        </w:tc>
        <w:tc>
          <w:tcPr>
            <w:tcW w:w="0" w:type="auto"/>
            <w:shd w:val="clear" w:color="auto" w:fill="auto"/>
            <w:vAlign w:val="bottom"/>
          </w:tcPr>
          <w:p w14:paraId="67533EE6" w14:textId="77777777" w:rsidR="001B77DD" w:rsidRDefault="001B77DD">
            <w:pPr>
              <w:rPr>
                <w:rFonts w:ascii="宋体"/>
                <w:vanish/>
              </w:rPr>
            </w:pPr>
          </w:p>
        </w:tc>
        <w:tc>
          <w:tcPr>
            <w:tcW w:w="0" w:type="auto"/>
            <w:gridSpan w:val="3"/>
            <w:shd w:val="clear" w:color="auto" w:fill="auto"/>
            <w:vAlign w:val="bottom"/>
          </w:tcPr>
          <w:p w14:paraId="67533EE7" w14:textId="77777777" w:rsidR="001B77DD" w:rsidRDefault="001B77DD">
            <w:pPr>
              <w:rPr>
                <w:rFonts w:ascii="宋体"/>
                <w:vanish/>
              </w:rPr>
            </w:pPr>
          </w:p>
        </w:tc>
        <w:tc>
          <w:tcPr>
            <w:tcW w:w="0" w:type="auto"/>
            <w:gridSpan w:val="3"/>
            <w:shd w:val="clear" w:color="auto" w:fill="auto"/>
            <w:vAlign w:val="bottom"/>
          </w:tcPr>
          <w:p w14:paraId="67533EE8" w14:textId="77777777" w:rsidR="001B77DD" w:rsidRDefault="001B77DD">
            <w:pPr>
              <w:rPr>
                <w:rFonts w:ascii="宋体"/>
                <w:vanish/>
              </w:rPr>
            </w:pPr>
          </w:p>
        </w:tc>
      </w:tr>
      <w:tr w:rsidR="001B77DD" w14:paraId="67533EF1"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67533EEA" w14:textId="77777777" w:rsidR="001B77DD" w:rsidRDefault="00BF0A28">
            <w:pPr>
              <w:textAlignment w:val="center"/>
            </w:pPr>
            <w:r>
              <w:rPr>
                <w:rFonts w:ascii="Arial" w:eastAsia="宋体" w:hAnsi="Arial" w:cs="Arial"/>
                <w:color w:val="0068B5"/>
                <w:sz w:val="18"/>
                <w:szCs w:val="18"/>
              </w:rPr>
              <w:t>Intellectual</w:t>
            </w:r>
          </w:p>
        </w:tc>
        <w:tc>
          <w:tcPr>
            <w:tcW w:w="0" w:type="auto"/>
            <w:shd w:val="clear" w:color="auto" w:fill="auto"/>
            <w:vAlign w:val="bottom"/>
          </w:tcPr>
          <w:p w14:paraId="67533EEB" w14:textId="77777777" w:rsidR="001B77DD" w:rsidRDefault="001B77DD">
            <w:pPr>
              <w:rPr>
                <w:rFonts w:ascii="宋体"/>
              </w:rPr>
            </w:pPr>
          </w:p>
        </w:tc>
        <w:tc>
          <w:tcPr>
            <w:tcW w:w="0" w:type="auto"/>
            <w:shd w:val="clear" w:color="auto" w:fill="auto"/>
            <w:vAlign w:val="bottom"/>
          </w:tcPr>
          <w:p w14:paraId="67533EEC" w14:textId="77777777" w:rsidR="001B77DD" w:rsidRDefault="001B77DD">
            <w:pPr>
              <w:rPr>
                <w:rFonts w:ascii="宋体"/>
              </w:rPr>
            </w:pPr>
          </w:p>
        </w:tc>
        <w:tc>
          <w:tcPr>
            <w:tcW w:w="0" w:type="auto"/>
            <w:shd w:val="clear" w:color="auto" w:fill="auto"/>
            <w:vAlign w:val="bottom"/>
          </w:tcPr>
          <w:p w14:paraId="67533EED" w14:textId="77777777" w:rsidR="001B77DD" w:rsidRDefault="001B77DD">
            <w:pPr>
              <w:rPr>
                <w:rFonts w:ascii="宋体"/>
              </w:rPr>
            </w:pPr>
          </w:p>
        </w:tc>
        <w:tc>
          <w:tcPr>
            <w:tcW w:w="0" w:type="auto"/>
            <w:shd w:val="clear" w:color="auto" w:fill="auto"/>
            <w:vAlign w:val="bottom"/>
          </w:tcPr>
          <w:p w14:paraId="67533EEE" w14:textId="77777777" w:rsidR="001B77DD" w:rsidRDefault="001B77DD">
            <w:pPr>
              <w:rPr>
                <w:rFonts w:ascii="宋体"/>
              </w:rPr>
            </w:pPr>
          </w:p>
        </w:tc>
        <w:tc>
          <w:tcPr>
            <w:tcW w:w="0" w:type="auto"/>
            <w:shd w:val="clear" w:color="auto" w:fill="auto"/>
            <w:vAlign w:val="bottom"/>
          </w:tcPr>
          <w:p w14:paraId="67533EEF" w14:textId="77777777" w:rsidR="001B77DD" w:rsidRDefault="001B77DD">
            <w:pPr>
              <w:rPr>
                <w:rFonts w:ascii="宋体"/>
              </w:rPr>
            </w:pPr>
          </w:p>
        </w:tc>
        <w:tc>
          <w:tcPr>
            <w:tcW w:w="0" w:type="auto"/>
            <w:shd w:val="clear" w:color="auto" w:fill="auto"/>
            <w:vAlign w:val="bottom"/>
          </w:tcPr>
          <w:p w14:paraId="67533EF0" w14:textId="77777777" w:rsidR="001B77DD" w:rsidRDefault="001B77DD">
            <w:pPr>
              <w:rPr>
                <w:rFonts w:ascii="宋体"/>
              </w:rPr>
            </w:pPr>
          </w:p>
        </w:tc>
      </w:tr>
      <w:tr w:rsidR="001B77DD" w14:paraId="67533EF7" w14:textId="77777777">
        <w:tc>
          <w:tcPr>
            <w:tcW w:w="0" w:type="auto"/>
            <w:gridSpan w:val="3"/>
            <w:shd w:val="clear" w:color="auto" w:fill="auto"/>
            <w:tcMar>
              <w:top w:w="0" w:type="dxa"/>
              <w:left w:w="20" w:type="dxa"/>
              <w:bottom w:w="0" w:type="dxa"/>
              <w:right w:w="20" w:type="dxa"/>
            </w:tcMar>
            <w:vAlign w:val="bottom"/>
          </w:tcPr>
          <w:p w14:paraId="67533EF2"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B4" wp14:editId="67538DB5">
                  <wp:extent cx="304800" cy="304800"/>
                  <wp:effectExtent l="0" t="0" r="0" b="0"/>
                  <wp:docPr id="249" name="图片 6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62"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3EF3" w14:textId="77777777" w:rsidR="001B77DD" w:rsidRDefault="001B77DD">
            <w:pPr>
              <w:rPr>
                <w:rFonts w:ascii="宋体"/>
                <w:vanish/>
              </w:rPr>
            </w:pPr>
          </w:p>
        </w:tc>
        <w:tc>
          <w:tcPr>
            <w:tcW w:w="0" w:type="auto"/>
            <w:shd w:val="clear" w:color="auto" w:fill="auto"/>
            <w:vAlign w:val="bottom"/>
          </w:tcPr>
          <w:p w14:paraId="67533EF4"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3EF5" w14:textId="77777777" w:rsidR="001B77DD" w:rsidRDefault="00BF0A28">
            <w:pPr>
              <w:textAlignment w:val="top"/>
            </w:pPr>
            <w:r>
              <w:rPr>
                <w:rFonts w:ascii="Arial" w:eastAsia="宋体" w:hAnsi="Arial" w:cs="Arial"/>
                <w:color w:val="262626"/>
                <w:sz w:val="18"/>
                <w:szCs w:val="18"/>
              </w:rPr>
              <w:t>Invest significantly in R&amp;D and IP to enable us to deliver on our accelerated process technology roadmap, i</w:t>
            </w:r>
            <w:r>
              <w:rPr>
                <w:rFonts w:ascii="Arial" w:eastAsia="宋体" w:hAnsi="Arial" w:cs="Arial"/>
                <w:color w:val="262626"/>
                <w:sz w:val="18"/>
                <w:szCs w:val="18"/>
              </w:rPr>
              <w:t>ntroduce leading x86 and xPU products, and develop new businesses and capabilities.</w:t>
            </w:r>
          </w:p>
        </w:tc>
        <w:tc>
          <w:tcPr>
            <w:tcW w:w="0" w:type="auto"/>
            <w:gridSpan w:val="3"/>
            <w:shd w:val="clear" w:color="auto" w:fill="auto"/>
            <w:tcMar>
              <w:top w:w="40" w:type="dxa"/>
              <w:left w:w="20" w:type="dxa"/>
              <w:bottom w:w="40" w:type="dxa"/>
              <w:right w:w="20" w:type="dxa"/>
            </w:tcMar>
          </w:tcPr>
          <w:p w14:paraId="67533EF6" w14:textId="77777777" w:rsidR="001B77DD" w:rsidRDefault="00BF0A28">
            <w:pPr>
              <w:spacing w:after="180"/>
              <w:textAlignment w:val="top"/>
            </w:pPr>
            <w:r>
              <w:rPr>
                <w:rFonts w:ascii="Arial" w:eastAsia="宋体" w:hAnsi="Arial" w:cs="Arial"/>
                <w:color w:val="262626"/>
                <w:sz w:val="18"/>
                <w:szCs w:val="18"/>
              </w:rPr>
              <w:t>We develop IP to enable next-generation products, create synergies across our businesses, expand into new markets, and establish and support our brands.</w:t>
            </w:r>
          </w:p>
        </w:tc>
      </w:tr>
      <w:tr w:rsidR="001B77DD" w14:paraId="67533EFD" w14:textId="77777777">
        <w:trPr>
          <w:hidden/>
        </w:trPr>
        <w:tc>
          <w:tcPr>
            <w:tcW w:w="0" w:type="auto"/>
            <w:gridSpan w:val="3"/>
            <w:shd w:val="clear" w:color="auto" w:fill="auto"/>
            <w:vAlign w:val="bottom"/>
          </w:tcPr>
          <w:p w14:paraId="67533EF8" w14:textId="77777777" w:rsidR="001B77DD" w:rsidRDefault="001B77DD">
            <w:pPr>
              <w:rPr>
                <w:rFonts w:ascii="宋体"/>
                <w:vanish/>
              </w:rPr>
            </w:pPr>
          </w:p>
        </w:tc>
        <w:tc>
          <w:tcPr>
            <w:tcW w:w="0" w:type="auto"/>
            <w:shd w:val="clear" w:color="auto" w:fill="auto"/>
            <w:vAlign w:val="bottom"/>
          </w:tcPr>
          <w:p w14:paraId="67533EF9" w14:textId="77777777" w:rsidR="001B77DD" w:rsidRDefault="001B77DD">
            <w:pPr>
              <w:rPr>
                <w:rFonts w:ascii="宋体"/>
                <w:vanish/>
              </w:rPr>
            </w:pPr>
          </w:p>
        </w:tc>
        <w:tc>
          <w:tcPr>
            <w:tcW w:w="0" w:type="auto"/>
            <w:shd w:val="clear" w:color="auto" w:fill="auto"/>
            <w:vAlign w:val="bottom"/>
          </w:tcPr>
          <w:p w14:paraId="67533EFA" w14:textId="77777777" w:rsidR="001B77DD" w:rsidRDefault="001B77DD">
            <w:pPr>
              <w:rPr>
                <w:rFonts w:ascii="宋体"/>
                <w:vanish/>
              </w:rPr>
            </w:pPr>
          </w:p>
        </w:tc>
        <w:tc>
          <w:tcPr>
            <w:tcW w:w="0" w:type="auto"/>
            <w:gridSpan w:val="3"/>
            <w:shd w:val="clear" w:color="auto" w:fill="auto"/>
            <w:vAlign w:val="bottom"/>
          </w:tcPr>
          <w:p w14:paraId="67533EFB" w14:textId="77777777" w:rsidR="001B77DD" w:rsidRDefault="001B77DD">
            <w:pPr>
              <w:rPr>
                <w:rFonts w:ascii="宋体"/>
                <w:vanish/>
              </w:rPr>
            </w:pPr>
          </w:p>
        </w:tc>
        <w:tc>
          <w:tcPr>
            <w:tcW w:w="0" w:type="auto"/>
            <w:gridSpan w:val="3"/>
            <w:shd w:val="clear" w:color="auto" w:fill="auto"/>
            <w:vAlign w:val="bottom"/>
          </w:tcPr>
          <w:p w14:paraId="67533EFC" w14:textId="77777777" w:rsidR="001B77DD" w:rsidRDefault="001B77DD">
            <w:pPr>
              <w:rPr>
                <w:rFonts w:ascii="宋体"/>
                <w:vanish/>
              </w:rPr>
            </w:pPr>
          </w:p>
        </w:tc>
      </w:tr>
      <w:tr w:rsidR="001B77DD" w14:paraId="67533F03" w14:textId="77777777">
        <w:trPr>
          <w:hidden/>
        </w:trPr>
        <w:tc>
          <w:tcPr>
            <w:tcW w:w="0" w:type="auto"/>
            <w:gridSpan w:val="3"/>
            <w:shd w:val="clear" w:color="auto" w:fill="auto"/>
            <w:vAlign w:val="bottom"/>
          </w:tcPr>
          <w:p w14:paraId="67533EFE" w14:textId="77777777" w:rsidR="001B77DD" w:rsidRDefault="001B77DD">
            <w:pPr>
              <w:rPr>
                <w:rFonts w:ascii="宋体"/>
                <w:vanish/>
              </w:rPr>
            </w:pPr>
          </w:p>
        </w:tc>
        <w:tc>
          <w:tcPr>
            <w:tcW w:w="0" w:type="auto"/>
            <w:shd w:val="clear" w:color="auto" w:fill="auto"/>
            <w:vAlign w:val="bottom"/>
          </w:tcPr>
          <w:p w14:paraId="67533EFF" w14:textId="77777777" w:rsidR="001B77DD" w:rsidRDefault="001B77DD">
            <w:pPr>
              <w:rPr>
                <w:rFonts w:ascii="宋体"/>
                <w:vanish/>
              </w:rPr>
            </w:pPr>
          </w:p>
        </w:tc>
        <w:tc>
          <w:tcPr>
            <w:tcW w:w="0" w:type="auto"/>
            <w:shd w:val="clear" w:color="auto" w:fill="auto"/>
            <w:vAlign w:val="bottom"/>
          </w:tcPr>
          <w:p w14:paraId="67533F00" w14:textId="77777777" w:rsidR="001B77DD" w:rsidRDefault="001B77DD">
            <w:pPr>
              <w:rPr>
                <w:rFonts w:ascii="宋体"/>
                <w:vanish/>
              </w:rPr>
            </w:pPr>
          </w:p>
        </w:tc>
        <w:tc>
          <w:tcPr>
            <w:tcW w:w="0" w:type="auto"/>
            <w:gridSpan w:val="3"/>
            <w:shd w:val="clear" w:color="auto" w:fill="auto"/>
            <w:vAlign w:val="bottom"/>
          </w:tcPr>
          <w:p w14:paraId="67533F01" w14:textId="77777777" w:rsidR="001B77DD" w:rsidRDefault="001B77DD">
            <w:pPr>
              <w:rPr>
                <w:rFonts w:ascii="宋体"/>
                <w:vanish/>
              </w:rPr>
            </w:pPr>
          </w:p>
        </w:tc>
        <w:tc>
          <w:tcPr>
            <w:tcW w:w="0" w:type="auto"/>
            <w:gridSpan w:val="3"/>
            <w:shd w:val="clear" w:color="auto" w:fill="auto"/>
            <w:vAlign w:val="bottom"/>
          </w:tcPr>
          <w:p w14:paraId="67533F02" w14:textId="77777777" w:rsidR="001B77DD" w:rsidRDefault="001B77DD">
            <w:pPr>
              <w:rPr>
                <w:rFonts w:ascii="宋体"/>
                <w:vanish/>
              </w:rPr>
            </w:pPr>
          </w:p>
        </w:tc>
      </w:tr>
      <w:tr w:rsidR="001B77DD" w14:paraId="67533F0B"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67533F04" w14:textId="77777777" w:rsidR="001B77DD" w:rsidRDefault="00BF0A28">
            <w:pPr>
              <w:textAlignment w:val="center"/>
            </w:pPr>
            <w:r>
              <w:rPr>
                <w:rFonts w:ascii="Arial" w:eastAsia="宋体" w:hAnsi="Arial" w:cs="Arial"/>
                <w:color w:val="0068B5"/>
                <w:sz w:val="18"/>
                <w:szCs w:val="18"/>
              </w:rPr>
              <w:t>Manufacturing</w:t>
            </w:r>
          </w:p>
        </w:tc>
        <w:tc>
          <w:tcPr>
            <w:tcW w:w="0" w:type="auto"/>
            <w:shd w:val="clear" w:color="auto" w:fill="auto"/>
            <w:vAlign w:val="bottom"/>
          </w:tcPr>
          <w:p w14:paraId="67533F05" w14:textId="77777777" w:rsidR="001B77DD" w:rsidRDefault="001B77DD">
            <w:pPr>
              <w:rPr>
                <w:rFonts w:ascii="宋体"/>
              </w:rPr>
            </w:pPr>
          </w:p>
        </w:tc>
        <w:tc>
          <w:tcPr>
            <w:tcW w:w="0" w:type="auto"/>
            <w:shd w:val="clear" w:color="auto" w:fill="auto"/>
            <w:vAlign w:val="bottom"/>
          </w:tcPr>
          <w:p w14:paraId="67533F06" w14:textId="77777777" w:rsidR="001B77DD" w:rsidRDefault="001B77DD">
            <w:pPr>
              <w:rPr>
                <w:rFonts w:ascii="宋体"/>
              </w:rPr>
            </w:pPr>
          </w:p>
        </w:tc>
        <w:tc>
          <w:tcPr>
            <w:tcW w:w="0" w:type="auto"/>
            <w:shd w:val="clear" w:color="auto" w:fill="auto"/>
            <w:vAlign w:val="bottom"/>
          </w:tcPr>
          <w:p w14:paraId="67533F07" w14:textId="77777777" w:rsidR="001B77DD" w:rsidRDefault="001B77DD">
            <w:pPr>
              <w:rPr>
                <w:rFonts w:ascii="宋体"/>
              </w:rPr>
            </w:pPr>
          </w:p>
        </w:tc>
        <w:tc>
          <w:tcPr>
            <w:tcW w:w="0" w:type="auto"/>
            <w:shd w:val="clear" w:color="auto" w:fill="auto"/>
            <w:vAlign w:val="bottom"/>
          </w:tcPr>
          <w:p w14:paraId="67533F08" w14:textId="77777777" w:rsidR="001B77DD" w:rsidRDefault="001B77DD">
            <w:pPr>
              <w:rPr>
                <w:rFonts w:ascii="宋体"/>
              </w:rPr>
            </w:pPr>
          </w:p>
        </w:tc>
        <w:tc>
          <w:tcPr>
            <w:tcW w:w="0" w:type="auto"/>
            <w:shd w:val="clear" w:color="auto" w:fill="auto"/>
            <w:vAlign w:val="bottom"/>
          </w:tcPr>
          <w:p w14:paraId="67533F09" w14:textId="77777777" w:rsidR="001B77DD" w:rsidRDefault="001B77DD">
            <w:pPr>
              <w:rPr>
                <w:rFonts w:ascii="宋体"/>
              </w:rPr>
            </w:pPr>
          </w:p>
        </w:tc>
        <w:tc>
          <w:tcPr>
            <w:tcW w:w="0" w:type="auto"/>
            <w:shd w:val="clear" w:color="auto" w:fill="auto"/>
            <w:vAlign w:val="bottom"/>
          </w:tcPr>
          <w:p w14:paraId="67533F0A" w14:textId="77777777" w:rsidR="001B77DD" w:rsidRDefault="001B77DD">
            <w:pPr>
              <w:rPr>
                <w:rFonts w:ascii="宋体"/>
              </w:rPr>
            </w:pPr>
          </w:p>
        </w:tc>
      </w:tr>
      <w:tr w:rsidR="001B77DD" w14:paraId="67533F11" w14:textId="77777777">
        <w:tc>
          <w:tcPr>
            <w:tcW w:w="0" w:type="auto"/>
            <w:gridSpan w:val="3"/>
            <w:shd w:val="clear" w:color="auto" w:fill="auto"/>
            <w:tcMar>
              <w:top w:w="0" w:type="dxa"/>
              <w:left w:w="20" w:type="dxa"/>
              <w:bottom w:w="0" w:type="dxa"/>
              <w:right w:w="20" w:type="dxa"/>
            </w:tcMar>
            <w:vAlign w:val="bottom"/>
          </w:tcPr>
          <w:p w14:paraId="67533F0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B6" wp14:editId="67538DB7">
                  <wp:extent cx="304800" cy="304800"/>
                  <wp:effectExtent l="0" t="0" r="0" b="0"/>
                  <wp:docPr id="73" name="图片 6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3F0D" w14:textId="77777777" w:rsidR="001B77DD" w:rsidRDefault="001B77DD">
            <w:pPr>
              <w:rPr>
                <w:rFonts w:ascii="宋体"/>
                <w:vanish/>
              </w:rPr>
            </w:pPr>
          </w:p>
        </w:tc>
        <w:tc>
          <w:tcPr>
            <w:tcW w:w="0" w:type="auto"/>
            <w:shd w:val="clear" w:color="auto" w:fill="auto"/>
            <w:vAlign w:val="bottom"/>
          </w:tcPr>
          <w:p w14:paraId="67533F0E"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3F0F" w14:textId="77777777" w:rsidR="001B77DD" w:rsidRDefault="00BF0A28">
            <w:pPr>
              <w:textAlignment w:val="top"/>
            </w:pPr>
            <w:r>
              <w:rPr>
                <w:rFonts w:ascii="Arial" w:eastAsia="宋体" w:hAnsi="Arial" w:cs="Arial"/>
                <w:color w:val="262626"/>
                <w:sz w:val="18"/>
                <w:szCs w:val="18"/>
              </w:rPr>
              <w:t>Aligned with our IDM 2.0 strategy, invest to efficiently build manufacturing capacity to address growing gl</w:t>
            </w:r>
            <w:r>
              <w:rPr>
                <w:rFonts w:ascii="Arial" w:eastAsia="宋体" w:hAnsi="Arial" w:cs="Arial"/>
                <w:color w:val="262626"/>
                <w:sz w:val="18"/>
                <w:szCs w:val="18"/>
              </w:rPr>
              <w:t>obal demand for semiconductors.</w:t>
            </w:r>
          </w:p>
        </w:tc>
        <w:tc>
          <w:tcPr>
            <w:tcW w:w="0" w:type="auto"/>
            <w:gridSpan w:val="3"/>
            <w:shd w:val="clear" w:color="auto" w:fill="auto"/>
            <w:tcMar>
              <w:top w:w="40" w:type="dxa"/>
              <w:left w:w="20" w:type="dxa"/>
              <w:bottom w:w="40" w:type="dxa"/>
              <w:right w:w="20" w:type="dxa"/>
            </w:tcMar>
          </w:tcPr>
          <w:p w14:paraId="67533F10" w14:textId="77777777" w:rsidR="001B77DD" w:rsidRDefault="00BF0A28">
            <w:pPr>
              <w:textAlignment w:val="top"/>
            </w:pPr>
            <w:r>
              <w:rPr>
                <w:rFonts w:ascii="Arial" w:eastAsia="宋体" w:hAnsi="Arial" w:cs="Arial"/>
                <w:color w:val="262626"/>
                <w:sz w:val="18"/>
                <w:szCs w:val="18"/>
              </w:rPr>
              <w:t>Our geographically balanced manufacturing scope and scale enable us to provide our customers and consumers with a broad range of leading-edge products.</w:t>
            </w:r>
          </w:p>
        </w:tc>
      </w:tr>
      <w:tr w:rsidR="001B77DD" w14:paraId="67533F17" w14:textId="77777777">
        <w:trPr>
          <w:hidden/>
        </w:trPr>
        <w:tc>
          <w:tcPr>
            <w:tcW w:w="0" w:type="auto"/>
            <w:gridSpan w:val="3"/>
            <w:shd w:val="clear" w:color="auto" w:fill="auto"/>
            <w:vAlign w:val="bottom"/>
          </w:tcPr>
          <w:p w14:paraId="67533F12" w14:textId="77777777" w:rsidR="001B77DD" w:rsidRDefault="001B77DD">
            <w:pPr>
              <w:rPr>
                <w:rFonts w:ascii="宋体"/>
                <w:vanish/>
              </w:rPr>
            </w:pPr>
          </w:p>
        </w:tc>
        <w:tc>
          <w:tcPr>
            <w:tcW w:w="0" w:type="auto"/>
            <w:shd w:val="clear" w:color="auto" w:fill="auto"/>
            <w:vAlign w:val="bottom"/>
          </w:tcPr>
          <w:p w14:paraId="67533F13" w14:textId="77777777" w:rsidR="001B77DD" w:rsidRDefault="001B77DD">
            <w:pPr>
              <w:rPr>
                <w:rFonts w:ascii="宋体"/>
                <w:vanish/>
              </w:rPr>
            </w:pPr>
          </w:p>
        </w:tc>
        <w:tc>
          <w:tcPr>
            <w:tcW w:w="0" w:type="auto"/>
            <w:shd w:val="clear" w:color="auto" w:fill="auto"/>
            <w:vAlign w:val="bottom"/>
          </w:tcPr>
          <w:p w14:paraId="67533F14" w14:textId="77777777" w:rsidR="001B77DD" w:rsidRDefault="001B77DD">
            <w:pPr>
              <w:rPr>
                <w:rFonts w:ascii="宋体"/>
                <w:vanish/>
              </w:rPr>
            </w:pPr>
          </w:p>
        </w:tc>
        <w:tc>
          <w:tcPr>
            <w:tcW w:w="0" w:type="auto"/>
            <w:gridSpan w:val="3"/>
            <w:shd w:val="clear" w:color="auto" w:fill="auto"/>
            <w:vAlign w:val="bottom"/>
          </w:tcPr>
          <w:p w14:paraId="67533F15" w14:textId="77777777" w:rsidR="001B77DD" w:rsidRDefault="001B77DD">
            <w:pPr>
              <w:rPr>
                <w:rFonts w:ascii="宋体"/>
                <w:vanish/>
              </w:rPr>
            </w:pPr>
          </w:p>
        </w:tc>
        <w:tc>
          <w:tcPr>
            <w:tcW w:w="0" w:type="auto"/>
            <w:gridSpan w:val="3"/>
            <w:shd w:val="clear" w:color="auto" w:fill="auto"/>
            <w:vAlign w:val="bottom"/>
          </w:tcPr>
          <w:p w14:paraId="67533F16" w14:textId="77777777" w:rsidR="001B77DD" w:rsidRDefault="001B77DD">
            <w:pPr>
              <w:rPr>
                <w:rFonts w:ascii="宋体"/>
                <w:vanish/>
              </w:rPr>
            </w:pPr>
          </w:p>
        </w:tc>
      </w:tr>
      <w:tr w:rsidR="001B77DD" w14:paraId="67533F1F"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67533F18" w14:textId="77777777" w:rsidR="001B77DD" w:rsidRDefault="00BF0A28">
            <w:pPr>
              <w:textAlignment w:val="center"/>
            </w:pPr>
            <w:r>
              <w:rPr>
                <w:rFonts w:ascii="Arial" w:eastAsia="宋体" w:hAnsi="Arial" w:cs="Arial"/>
                <w:color w:val="0068B5"/>
                <w:sz w:val="18"/>
                <w:szCs w:val="18"/>
              </w:rPr>
              <w:t>Human</w:t>
            </w:r>
          </w:p>
        </w:tc>
        <w:tc>
          <w:tcPr>
            <w:tcW w:w="0" w:type="auto"/>
            <w:shd w:val="clear" w:color="auto" w:fill="auto"/>
            <w:vAlign w:val="bottom"/>
          </w:tcPr>
          <w:p w14:paraId="67533F19" w14:textId="77777777" w:rsidR="001B77DD" w:rsidRDefault="001B77DD">
            <w:pPr>
              <w:rPr>
                <w:rFonts w:ascii="宋体"/>
              </w:rPr>
            </w:pPr>
          </w:p>
        </w:tc>
        <w:tc>
          <w:tcPr>
            <w:tcW w:w="0" w:type="auto"/>
            <w:shd w:val="clear" w:color="auto" w:fill="auto"/>
            <w:vAlign w:val="bottom"/>
          </w:tcPr>
          <w:p w14:paraId="67533F1A" w14:textId="77777777" w:rsidR="001B77DD" w:rsidRDefault="001B77DD">
            <w:pPr>
              <w:rPr>
                <w:rFonts w:ascii="宋体"/>
              </w:rPr>
            </w:pPr>
          </w:p>
        </w:tc>
        <w:tc>
          <w:tcPr>
            <w:tcW w:w="0" w:type="auto"/>
            <w:shd w:val="clear" w:color="auto" w:fill="auto"/>
            <w:vAlign w:val="bottom"/>
          </w:tcPr>
          <w:p w14:paraId="67533F1B" w14:textId="77777777" w:rsidR="001B77DD" w:rsidRDefault="001B77DD">
            <w:pPr>
              <w:rPr>
                <w:rFonts w:ascii="宋体"/>
              </w:rPr>
            </w:pPr>
          </w:p>
        </w:tc>
        <w:tc>
          <w:tcPr>
            <w:tcW w:w="0" w:type="auto"/>
            <w:shd w:val="clear" w:color="auto" w:fill="auto"/>
            <w:vAlign w:val="bottom"/>
          </w:tcPr>
          <w:p w14:paraId="67533F1C" w14:textId="77777777" w:rsidR="001B77DD" w:rsidRDefault="001B77DD">
            <w:pPr>
              <w:rPr>
                <w:rFonts w:ascii="宋体"/>
              </w:rPr>
            </w:pPr>
          </w:p>
        </w:tc>
        <w:tc>
          <w:tcPr>
            <w:tcW w:w="0" w:type="auto"/>
            <w:shd w:val="clear" w:color="auto" w:fill="auto"/>
            <w:vAlign w:val="bottom"/>
          </w:tcPr>
          <w:p w14:paraId="67533F1D" w14:textId="77777777" w:rsidR="001B77DD" w:rsidRDefault="001B77DD">
            <w:pPr>
              <w:rPr>
                <w:rFonts w:ascii="宋体"/>
              </w:rPr>
            </w:pPr>
          </w:p>
        </w:tc>
        <w:tc>
          <w:tcPr>
            <w:tcW w:w="0" w:type="auto"/>
            <w:shd w:val="clear" w:color="auto" w:fill="auto"/>
            <w:vAlign w:val="bottom"/>
          </w:tcPr>
          <w:p w14:paraId="67533F1E" w14:textId="77777777" w:rsidR="001B77DD" w:rsidRDefault="001B77DD">
            <w:pPr>
              <w:rPr>
                <w:rFonts w:ascii="宋体"/>
              </w:rPr>
            </w:pPr>
          </w:p>
        </w:tc>
      </w:tr>
      <w:tr w:rsidR="001B77DD" w14:paraId="67533F25" w14:textId="77777777">
        <w:tc>
          <w:tcPr>
            <w:tcW w:w="0" w:type="auto"/>
            <w:gridSpan w:val="3"/>
            <w:shd w:val="clear" w:color="auto" w:fill="auto"/>
            <w:tcMar>
              <w:top w:w="0" w:type="dxa"/>
              <w:left w:w="20" w:type="dxa"/>
              <w:bottom w:w="0" w:type="dxa"/>
              <w:right w:w="20" w:type="dxa"/>
            </w:tcMar>
            <w:vAlign w:val="bottom"/>
          </w:tcPr>
          <w:p w14:paraId="67533F2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B8" wp14:editId="67538DB9">
                  <wp:extent cx="304800" cy="304800"/>
                  <wp:effectExtent l="0" t="0" r="0" b="0"/>
                  <wp:docPr id="55" name="图片 6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3F21" w14:textId="77777777" w:rsidR="001B77DD" w:rsidRDefault="001B77DD">
            <w:pPr>
              <w:rPr>
                <w:rFonts w:ascii="宋体"/>
                <w:vanish/>
              </w:rPr>
            </w:pPr>
          </w:p>
        </w:tc>
        <w:tc>
          <w:tcPr>
            <w:tcW w:w="0" w:type="auto"/>
            <w:shd w:val="clear" w:color="auto" w:fill="auto"/>
            <w:vAlign w:val="bottom"/>
          </w:tcPr>
          <w:p w14:paraId="67533F22"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3F23" w14:textId="77777777" w:rsidR="001B77DD" w:rsidRDefault="00BF0A28">
            <w:pPr>
              <w:textAlignment w:val="top"/>
            </w:pPr>
            <w:r>
              <w:rPr>
                <w:rFonts w:ascii="Arial" w:eastAsia="宋体" w:hAnsi="Arial" w:cs="Arial"/>
                <w:color w:val="262626"/>
                <w:sz w:val="18"/>
                <w:szCs w:val="18"/>
              </w:rPr>
              <w:t xml:space="preserve">Continue to build a diverse, inclusive, and safe work environment to attract, develop, and retain top </w:t>
            </w:r>
            <w:r>
              <w:rPr>
                <w:rFonts w:ascii="Arial" w:eastAsia="宋体" w:hAnsi="Arial" w:cs="Arial"/>
                <w:color w:val="262626"/>
                <w:sz w:val="18"/>
                <w:szCs w:val="18"/>
              </w:rPr>
              <w:t>talent needed to build transformative products.</w:t>
            </w:r>
          </w:p>
        </w:tc>
        <w:tc>
          <w:tcPr>
            <w:tcW w:w="0" w:type="auto"/>
            <w:gridSpan w:val="3"/>
            <w:shd w:val="clear" w:color="auto" w:fill="auto"/>
            <w:tcMar>
              <w:top w:w="40" w:type="dxa"/>
              <w:left w:w="20" w:type="dxa"/>
              <w:bottom w:w="40" w:type="dxa"/>
              <w:right w:w="20" w:type="dxa"/>
            </w:tcMar>
          </w:tcPr>
          <w:p w14:paraId="67533F24" w14:textId="77777777" w:rsidR="001B77DD" w:rsidRDefault="00BF0A28">
            <w:pPr>
              <w:textAlignment w:val="top"/>
            </w:pPr>
            <w:r>
              <w:rPr>
                <w:rFonts w:ascii="Arial" w:eastAsia="宋体" w:hAnsi="Arial" w:cs="Arial"/>
                <w:color w:val="262626"/>
                <w:sz w:val="18"/>
                <w:szCs w:val="18"/>
              </w:rPr>
              <w:t>Our talented employees enable the development of solutions and enhance the intellectual and manufacturing capital critical to helping our customers win the technology inflections of the future.</w:t>
            </w:r>
          </w:p>
        </w:tc>
      </w:tr>
      <w:tr w:rsidR="001B77DD" w14:paraId="67533F2B" w14:textId="77777777">
        <w:trPr>
          <w:hidden/>
        </w:trPr>
        <w:tc>
          <w:tcPr>
            <w:tcW w:w="0" w:type="auto"/>
            <w:gridSpan w:val="3"/>
            <w:shd w:val="clear" w:color="auto" w:fill="auto"/>
            <w:vAlign w:val="bottom"/>
          </w:tcPr>
          <w:p w14:paraId="67533F26" w14:textId="77777777" w:rsidR="001B77DD" w:rsidRDefault="001B77DD">
            <w:pPr>
              <w:rPr>
                <w:rFonts w:ascii="宋体"/>
                <w:vanish/>
              </w:rPr>
            </w:pPr>
          </w:p>
        </w:tc>
        <w:tc>
          <w:tcPr>
            <w:tcW w:w="0" w:type="auto"/>
            <w:shd w:val="clear" w:color="auto" w:fill="auto"/>
            <w:vAlign w:val="bottom"/>
          </w:tcPr>
          <w:p w14:paraId="67533F27" w14:textId="77777777" w:rsidR="001B77DD" w:rsidRDefault="001B77DD">
            <w:pPr>
              <w:rPr>
                <w:rFonts w:ascii="宋体"/>
                <w:vanish/>
              </w:rPr>
            </w:pPr>
          </w:p>
        </w:tc>
        <w:tc>
          <w:tcPr>
            <w:tcW w:w="0" w:type="auto"/>
            <w:shd w:val="clear" w:color="auto" w:fill="auto"/>
            <w:vAlign w:val="bottom"/>
          </w:tcPr>
          <w:p w14:paraId="67533F28" w14:textId="77777777" w:rsidR="001B77DD" w:rsidRDefault="001B77DD">
            <w:pPr>
              <w:rPr>
                <w:rFonts w:ascii="宋体"/>
                <w:vanish/>
              </w:rPr>
            </w:pPr>
          </w:p>
        </w:tc>
        <w:tc>
          <w:tcPr>
            <w:tcW w:w="0" w:type="auto"/>
            <w:gridSpan w:val="3"/>
            <w:shd w:val="clear" w:color="auto" w:fill="auto"/>
            <w:vAlign w:val="bottom"/>
          </w:tcPr>
          <w:p w14:paraId="67533F29" w14:textId="77777777" w:rsidR="001B77DD" w:rsidRDefault="001B77DD">
            <w:pPr>
              <w:rPr>
                <w:rFonts w:ascii="宋体"/>
                <w:vanish/>
              </w:rPr>
            </w:pPr>
          </w:p>
        </w:tc>
        <w:tc>
          <w:tcPr>
            <w:tcW w:w="0" w:type="auto"/>
            <w:gridSpan w:val="3"/>
            <w:shd w:val="clear" w:color="auto" w:fill="auto"/>
            <w:vAlign w:val="bottom"/>
          </w:tcPr>
          <w:p w14:paraId="67533F2A" w14:textId="77777777" w:rsidR="001B77DD" w:rsidRDefault="001B77DD">
            <w:pPr>
              <w:rPr>
                <w:rFonts w:ascii="宋体"/>
                <w:vanish/>
              </w:rPr>
            </w:pPr>
          </w:p>
        </w:tc>
      </w:tr>
      <w:tr w:rsidR="001B77DD" w14:paraId="67533F31" w14:textId="77777777">
        <w:trPr>
          <w:hidden/>
        </w:trPr>
        <w:tc>
          <w:tcPr>
            <w:tcW w:w="0" w:type="auto"/>
            <w:gridSpan w:val="3"/>
            <w:shd w:val="clear" w:color="auto" w:fill="auto"/>
            <w:vAlign w:val="bottom"/>
          </w:tcPr>
          <w:p w14:paraId="67533F2C" w14:textId="77777777" w:rsidR="001B77DD" w:rsidRDefault="001B77DD">
            <w:pPr>
              <w:rPr>
                <w:rFonts w:ascii="宋体"/>
                <w:vanish/>
              </w:rPr>
            </w:pPr>
          </w:p>
        </w:tc>
        <w:tc>
          <w:tcPr>
            <w:tcW w:w="0" w:type="auto"/>
            <w:shd w:val="clear" w:color="auto" w:fill="auto"/>
            <w:vAlign w:val="bottom"/>
          </w:tcPr>
          <w:p w14:paraId="67533F2D" w14:textId="77777777" w:rsidR="001B77DD" w:rsidRDefault="001B77DD">
            <w:pPr>
              <w:rPr>
                <w:rFonts w:ascii="宋体"/>
                <w:vanish/>
              </w:rPr>
            </w:pPr>
          </w:p>
        </w:tc>
        <w:tc>
          <w:tcPr>
            <w:tcW w:w="0" w:type="auto"/>
            <w:shd w:val="clear" w:color="auto" w:fill="auto"/>
            <w:vAlign w:val="bottom"/>
          </w:tcPr>
          <w:p w14:paraId="67533F2E" w14:textId="77777777" w:rsidR="001B77DD" w:rsidRDefault="001B77DD">
            <w:pPr>
              <w:rPr>
                <w:rFonts w:ascii="宋体"/>
                <w:vanish/>
              </w:rPr>
            </w:pPr>
          </w:p>
        </w:tc>
        <w:tc>
          <w:tcPr>
            <w:tcW w:w="0" w:type="auto"/>
            <w:gridSpan w:val="3"/>
            <w:shd w:val="clear" w:color="auto" w:fill="auto"/>
            <w:vAlign w:val="bottom"/>
          </w:tcPr>
          <w:p w14:paraId="67533F2F" w14:textId="77777777" w:rsidR="001B77DD" w:rsidRDefault="001B77DD">
            <w:pPr>
              <w:rPr>
                <w:rFonts w:ascii="宋体"/>
                <w:vanish/>
              </w:rPr>
            </w:pPr>
          </w:p>
        </w:tc>
        <w:tc>
          <w:tcPr>
            <w:tcW w:w="0" w:type="auto"/>
            <w:gridSpan w:val="3"/>
            <w:shd w:val="clear" w:color="auto" w:fill="auto"/>
            <w:vAlign w:val="bottom"/>
          </w:tcPr>
          <w:p w14:paraId="67533F30" w14:textId="77777777" w:rsidR="001B77DD" w:rsidRDefault="001B77DD">
            <w:pPr>
              <w:rPr>
                <w:rFonts w:ascii="宋体"/>
                <w:vanish/>
              </w:rPr>
            </w:pPr>
          </w:p>
        </w:tc>
      </w:tr>
      <w:tr w:rsidR="001B77DD" w14:paraId="67533F39"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67533F32" w14:textId="77777777" w:rsidR="001B77DD" w:rsidRDefault="00BF0A28">
            <w:pPr>
              <w:textAlignment w:val="center"/>
            </w:pPr>
            <w:r>
              <w:rPr>
                <w:rFonts w:ascii="Arial" w:eastAsia="宋体" w:hAnsi="Arial" w:cs="Arial"/>
                <w:color w:val="0068B5"/>
                <w:sz w:val="18"/>
                <w:szCs w:val="18"/>
              </w:rPr>
              <w:t>Social and Relationship</w:t>
            </w:r>
          </w:p>
        </w:tc>
        <w:tc>
          <w:tcPr>
            <w:tcW w:w="0" w:type="auto"/>
            <w:shd w:val="clear" w:color="auto" w:fill="auto"/>
            <w:vAlign w:val="bottom"/>
          </w:tcPr>
          <w:p w14:paraId="67533F33" w14:textId="77777777" w:rsidR="001B77DD" w:rsidRDefault="001B77DD">
            <w:pPr>
              <w:rPr>
                <w:rFonts w:ascii="宋体"/>
              </w:rPr>
            </w:pPr>
          </w:p>
        </w:tc>
        <w:tc>
          <w:tcPr>
            <w:tcW w:w="0" w:type="auto"/>
            <w:shd w:val="clear" w:color="auto" w:fill="auto"/>
            <w:vAlign w:val="bottom"/>
          </w:tcPr>
          <w:p w14:paraId="67533F34" w14:textId="77777777" w:rsidR="001B77DD" w:rsidRDefault="001B77DD">
            <w:pPr>
              <w:rPr>
                <w:rFonts w:ascii="宋体"/>
              </w:rPr>
            </w:pPr>
          </w:p>
        </w:tc>
        <w:tc>
          <w:tcPr>
            <w:tcW w:w="0" w:type="auto"/>
            <w:shd w:val="clear" w:color="auto" w:fill="auto"/>
            <w:vAlign w:val="bottom"/>
          </w:tcPr>
          <w:p w14:paraId="67533F35" w14:textId="77777777" w:rsidR="001B77DD" w:rsidRDefault="001B77DD">
            <w:pPr>
              <w:rPr>
                <w:rFonts w:ascii="宋体"/>
              </w:rPr>
            </w:pPr>
          </w:p>
        </w:tc>
        <w:tc>
          <w:tcPr>
            <w:tcW w:w="0" w:type="auto"/>
            <w:shd w:val="clear" w:color="auto" w:fill="auto"/>
            <w:vAlign w:val="bottom"/>
          </w:tcPr>
          <w:p w14:paraId="67533F36" w14:textId="77777777" w:rsidR="001B77DD" w:rsidRDefault="001B77DD">
            <w:pPr>
              <w:rPr>
                <w:rFonts w:ascii="宋体"/>
              </w:rPr>
            </w:pPr>
          </w:p>
        </w:tc>
        <w:tc>
          <w:tcPr>
            <w:tcW w:w="0" w:type="auto"/>
            <w:shd w:val="clear" w:color="auto" w:fill="auto"/>
            <w:vAlign w:val="bottom"/>
          </w:tcPr>
          <w:p w14:paraId="67533F37" w14:textId="77777777" w:rsidR="001B77DD" w:rsidRDefault="001B77DD">
            <w:pPr>
              <w:rPr>
                <w:rFonts w:ascii="宋体"/>
              </w:rPr>
            </w:pPr>
          </w:p>
        </w:tc>
        <w:tc>
          <w:tcPr>
            <w:tcW w:w="0" w:type="auto"/>
            <w:shd w:val="clear" w:color="auto" w:fill="auto"/>
            <w:vAlign w:val="bottom"/>
          </w:tcPr>
          <w:p w14:paraId="67533F38" w14:textId="77777777" w:rsidR="001B77DD" w:rsidRDefault="001B77DD">
            <w:pPr>
              <w:rPr>
                <w:rFonts w:ascii="宋体"/>
              </w:rPr>
            </w:pPr>
          </w:p>
        </w:tc>
      </w:tr>
      <w:tr w:rsidR="001B77DD" w14:paraId="67533F3F" w14:textId="77777777">
        <w:tc>
          <w:tcPr>
            <w:tcW w:w="0" w:type="auto"/>
            <w:gridSpan w:val="3"/>
            <w:shd w:val="clear" w:color="auto" w:fill="auto"/>
            <w:tcMar>
              <w:top w:w="0" w:type="dxa"/>
              <w:left w:w="20" w:type="dxa"/>
              <w:bottom w:w="0" w:type="dxa"/>
              <w:right w:w="20" w:type="dxa"/>
            </w:tcMar>
            <w:vAlign w:val="bottom"/>
          </w:tcPr>
          <w:p w14:paraId="67533F3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BA" wp14:editId="67538DBB">
                  <wp:extent cx="304800" cy="304800"/>
                  <wp:effectExtent l="0" t="0" r="0" b="0"/>
                  <wp:docPr id="254" name="图片 6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65"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3F3B" w14:textId="77777777" w:rsidR="001B77DD" w:rsidRDefault="001B77DD">
            <w:pPr>
              <w:rPr>
                <w:rFonts w:ascii="宋体"/>
                <w:vanish/>
              </w:rPr>
            </w:pPr>
          </w:p>
        </w:tc>
        <w:tc>
          <w:tcPr>
            <w:tcW w:w="0" w:type="auto"/>
            <w:shd w:val="clear" w:color="auto" w:fill="auto"/>
            <w:vAlign w:val="bottom"/>
          </w:tcPr>
          <w:p w14:paraId="67533F3C"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3F3D" w14:textId="77777777" w:rsidR="001B77DD" w:rsidRDefault="00BF0A28">
            <w:pPr>
              <w:textAlignment w:val="top"/>
            </w:pPr>
            <w:r>
              <w:rPr>
                <w:rFonts w:ascii="Arial" w:eastAsia="宋体" w:hAnsi="Arial" w:cs="Arial"/>
                <w:color w:val="262626"/>
                <w:sz w:val="18"/>
                <w:szCs w:val="18"/>
              </w:rPr>
              <w:t>Build trusted relationships for both Intel and our stakeholders, including employees, suppliers, customers,</w:t>
            </w:r>
            <w:r>
              <w:rPr>
                <w:rFonts w:ascii="Arial" w:eastAsia="宋体" w:hAnsi="Arial" w:cs="Arial"/>
                <w:color w:val="262626"/>
                <w:sz w:val="18"/>
                <w:szCs w:val="18"/>
              </w:rPr>
              <w:t xml:space="preserve"> local communities, and governments.</w:t>
            </w:r>
          </w:p>
        </w:tc>
        <w:tc>
          <w:tcPr>
            <w:tcW w:w="0" w:type="auto"/>
            <w:gridSpan w:val="3"/>
            <w:shd w:val="clear" w:color="auto" w:fill="auto"/>
            <w:tcMar>
              <w:top w:w="40" w:type="dxa"/>
              <w:left w:w="20" w:type="dxa"/>
              <w:bottom w:w="40" w:type="dxa"/>
              <w:right w:w="20" w:type="dxa"/>
            </w:tcMar>
          </w:tcPr>
          <w:p w14:paraId="67533F3E" w14:textId="77777777" w:rsidR="001B77DD" w:rsidRDefault="00BF0A28">
            <w:pPr>
              <w:textAlignment w:val="top"/>
            </w:pPr>
            <w:r>
              <w:rPr>
                <w:rFonts w:ascii="Arial" w:eastAsia="宋体" w:hAnsi="Arial" w:cs="Arial"/>
                <w:color w:val="262626"/>
                <w:sz w:val="18"/>
                <w:szCs w:val="18"/>
              </w:rPr>
              <w:t>We collaborate with stakeholders on programs to empower underserved communities through education and technology, and on initiatives to advance accountability and capabilities across our global supply chain, including a</w:t>
            </w:r>
            <w:r>
              <w:rPr>
                <w:rFonts w:ascii="Arial" w:eastAsia="宋体" w:hAnsi="Arial" w:cs="Arial"/>
                <w:color w:val="262626"/>
                <w:sz w:val="18"/>
                <w:szCs w:val="18"/>
              </w:rPr>
              <w:t>ccountability for the respect of human rights.</w:t>
            </w:r>
          </w:p>
        </w:tc>
      </w:tr>
      <w:tr w:rsidR="001B77DD" w14:paraId="67533F45" w14:textId="77777777">
        <w:trPr>
          <w:hidden/>
        </w:trPr>
        <w:tc>
          <w:tcPr>
            <w:tcW w:w="0" w:type="auto"/>
            <w:gridSpan w:val="3"/>
            <w:shd w:val="clear" w:color="auto" w:fill="auto"/>
            <w:vAlign w:val="bottom"/>
          </w:tcPr>
          <w:p w14:paraId="67533F40" w14:textId="77777777" w:rsidR="001B77DD" w:rsidRDefault="001B77DD">
            <w:pPr>
              <w:rPr>
                <w:rFonts w:ascii="宋体"/>
                <w:vanish/>
              </w:rPr>
            </w:pPr>
          </w:p>
        </w:tc>
        <w:tc>
          <w:tcPr>
            <w:tcW w:w="0" w:type="auto"/>
            <w:shd w:val="clear" w:color="auto" w:fill="auto"/>
            <w:vAlign w:val="bottom"/>
          </w:tcPr>
          <w:p w14:paraId="67533F41" w14:textId="77777777" w:rsidR="001B77DD" w:rsidRDefault="001B77DD">
            <w:pPr>
              <w:rPr>
                <w:rFonts w:ascii="宋体"/>
                <w:vanish/>
              </w:rPr>
            </w:pPr>
          </w:p>
        </w:tc>
        <w:tc>
          <w:tcPr>
            <w:tcW w:w="0" w:type="auto"/>
            <w:shd w:val="clear" w:color="auto" w:fill="auto"/>
            <w:vAlign w:val="bottom"/>
          </w:tcPr>
          <w:p w14:paraId="67533F42" w14:textId="77777777" w:rsidR="001B77DD" w:rsidRDefault="001B77DD">
            <w:pPr>
              <w:rPr>
                <w:rFonts w:ascii="宋体"/>
                <w:vanish/>
              </w:rPr>
            </w:pPr>
          </w:p>
        </w:tc>
        <w:tc>
          <w:tcPr>
            <w:tcW w:w="0" w:type="auto"/>
            <w:gridSpan w:val="3"/>
            <w:shd w:val="clear" w:color="auto" w:fill="auto"/>
            <w:vAlign w:val="bottom"/>
          </w:tcPr>
          <w:p w14:paraId="67533F43" w14:textId="77777777" w:rsidR="001B77DD" w:rsidRDefault="001B77DD">
            <w:pPr>
              <w:rPr>
                <w:rFonts w:ascii="宋体"/>
                <w:vanish/>
              </w:rPr>
            </w:pPr>
          </w:p>
        </w:tc>
        <w:tc>
          <w:tcPr>
            <w:tcW w:w="0" w:type="auto"/>
            <w:gridSpan w:val="3"/>
            <w:shd w:val="clear" w:color="auto" w:fill="auto"/>
            <w:vAlign w:val="bottom"/>
          </w:tcPr>
          <w:p w14:paraId="67533F44" w14:textId="77777777" w:rsidR="001B77DD" w:rsidRDefault="001B77DD">
            <w:pPr>
              <w:rPr>
                <w:rFonts w:ascii="宋体"/>
                <w:vanish/>
              </w:rPr>
            </w:pPr>
          </w:p>
        </w:tc>
      </w:tr>
      <w:tr w:rsidR="001B77DD" w14:paraId="67533F4B" w14:textId="77777777">
        <w:trPr>
          <w:hidden/>
        </w:trPr>
        <w:tc>
          <w:tcPr>
            <w:tcW w:w="0" w:type="auto"/>
            <w:gridSpan w:val="3"/>
            <w:shd w:val="clear" w:color="auto" w:fill="auto"/>
            <w:vAlign w:val="bottom"/>
          </w:tcPr>
          <w:p w14:paraId="67533F46" w14:textId="77777777" w:rsidR="001B77DD" w:rsidRDefault="001B77DD">
            <w:pPr>
              <w:rPr>
                <w:rFonts w:ascii="宋体"/>
                <w:vanish/>
              </w:rPr>
            </w:pPr>
          </w:p>
        </w:tc>
        <w:tc>
          <w:tcPr>
            <w:tcW w:w="0" w:type="auto"/>
            <w:shd w:val="clear" w:color="auto" w:fill="auto"/>
            <w:vAlign w:val="bottom"/>
          </w:tcPr>
          <w:p w14:paraId="67533F47" w14:textId="77777777" w:rsidR="001B77DD" w:rsidRDefault="001B77DD">
            <w:pPr>
              <w:rPr>
                <w:rFonts w:ascii="宋体"/>
                <w:vanish/>
              </w:rPr>
            </w:pPr>
          </w:p>
        </w:tc>
        <w:tc>
          <w:tcPr>
            <w:tcW w:w="0" w:type="auto"/>
            <w:shd w:val="clear" w:color="auto" w:fill="auto"/>
            <w:vAlign w:val="bottom"/>
          </w:tcPr>
          <w:p w14:paraId="67533F48" w14:textId="77777777" w:rsidR="001B77DD" w:rsidRDefault="001B77DD">
            <w:pPr>
              <w:rPr>
                <w:rFonts w:ascii="宋体"/>
                <w:vanish/>
              </w:rPr>
            </w:pPr>
          </w:p>
        </w:tc>
        <w:tc>
          <w:tcPr>
            <w:tcW w:w="0" w:type="auto"/>
            <w:gridSpan w:val="3"/>
            <w:shd w:val="clear" w:color="auto" w:fill="auto"/>
            <w:vAlign w:val="bottom"/>
          </w:tcPr>
          <w:p w14:paraId="67533F49" w14:textId="77777777" w:rsidR="001B77DD" w:rsidRDefault="001B77DD">
            <w:pPr>
              <w:rPr>
                <w:rFonts w:ascii="宋体"/>
                <w:vanish/>
              </w:rPr>
            </w:pPr>
          </w:p>
        </w:tc>
        <w:tc>
          <w:tcPr>
            <w:tcW w:w="0" w:type="auto"/>
            <w:gridSpan w:val="3"/>
            <w:shd w:val="clear" w:color="auto" w:fill="auto"/>
            <w:vAlign w:val="bottom"/>
          </w:tcPr>
          <w:p w14:paraId="67533F4A" w14:textId="77777777" w:rsidR="001B77DD" w:rsidRDefault="001B77DD">
            <w:pPr>
              <w:rPr>
                <w:rFonts w:ascii="宋体"/>
                <w:vanish/>
              </w:rPr>
            </w:pPr>
          </w:p>
        </w:tc>
      </w:tr>
      <w:tr w:rsidR="001B77DD" w14:paraId="67533F53" w14:textId="77777777">
        <w:tc>
          <w:tcPr>
            <w:tcW w:w="0" w:type="auto"/>
            <w:gridSpan w:val="5"/>
            <w:tcBorders>
              <w:top w:val="single" w:sz="8" w:space="0" w:color="0068B5"/>
            </w:tcBorders>
            <w:shd w:val="clear" w:color="auto" w:fill="auto"/>
            <w:tcMar>
              <w:top w:w="40" w:type="dxa"/>
              <w:left w:w="20" w:type="dxa"/>
              <w:bottom w:w="40" w:type="dxa"/>
              <w:right w:w="20" w:type="dxa"/>
            </w:tcMar>
            <w:vAlign w:val="center"/>
          </w:tcPr>
          <w:p w14:paraId="67533F4C" w14:textId="77777777" w:rsidR="001B77DD" w:rsidRDefault="00BF0A28">
            <w:pPr>
              <w:textAlignment w:val="center"/>
            </w:pPr>
            <w:r>
              <w:rPr>
                <w:rFonts w:ascii="Arial" w:eastAsia="宋体" w:hAnsi="Arial" w:cs="Arial"/>
                <w:color w:val="0068B5"/>
                <w:sz w:val="18"/>
                <w:szCs w:val="18"/>
              </w:rPr>
              <w:t>Natural</w:t>
            </w:r>
          </w:p>
        </w:tc>
        <w:tc>
          <w:tcPr>
            <w:tcW w:w="0" w:type="auto"/>
            <w:shd w:val="clear" w:color="auto" w:fill="auto"/>
            <w:vAlign w:val="bottom"/>
          </w:tcPr>
          <w:p w14:paraId="67533F4D" w14:textId="77777777" w:rsidR="001B77DD" w:rsidRDefault="001B77DD">
            <w:pPr>
              <w:rPr>
                <w:rFonts w:ascii="宋体"/>
              </w:rPr>
            </w:pPr>
          </w:p>
        </w:tc>
        <w:tc>
          <w:tcPr>
            <w:tcW w:w="0" w:type="auto"/>
            <w:shd w:val="clear" w:color="auto" w:fill="auto"/>
            <w:vAlign w:val="bottom"/>
          </w:tcPr>
          <w:p w14:paraId="67533F4E" w14:textId="77777777" w:rsidR="001B77DD" w:rsidRDefault="001B77DD">
            <w:pPr>
              <w:rPr>
                <w:rFonts w:ascii="宋体"/>
              </w:rPr>
            </w:pPr>
          </w:p>
        </w:tc>
        <w:tc>
          <w:tcPr>
            <w:tcW w:w="0" w:type="auto"/>
            <w:shd w:val="clear" w:color="auto" w:fill="auto"/>
            <w:vAlign w:val="bottom"/>
          </w:tcPr>
          <w:p w14:paraId="67533F4F" w14:textId="77777777" w:rsidR="001B77DD" w:rsidRDefault="001B77DD">
            <w:pPr>
              <w:rPr>
                <w:rFonts w:ascii="宋体"/>
              </w:rPr>
            </w:pPr>
          </w:p>
        </w:tc>
        <w:tc>
          <w:tcPr>
            <w:tcW w:w="0" w:type="auto"/>
            <w:shd w:val="clear" w:color="auto" w:fill="auto"/>
            <w:vAlign w:val="bottom"/>
          </w:tcPr>
          <w:p w14:paraId="67533F50" w14:textId="77777777" w:rsidR="001B77DD" w:rsidRDefault="001B77DD">
            <w:pPr>
              <w:rPr>
                <w:rFonts w:ascii="宋体"/>
              </w:rPr>
            </w:pPr>
          </w:p>
        </w:tc>
        <w:tc>
          <w:tcPr>
            <w:tcW w:w="0" w:type="auto"/>
            <w:shd w:val="clear" w:color="auto" w:fill="auto"/>
            <w:vAlign w:val="bottom"/>
          </w:tcPr>
          <w:p w14:paraId="67533F51" w14:textId="77777777" w:rsidR="001B77DD" w:rsidRDefault="001B77DD">
            <w:pPr>
              <w:rPr>
                <w:rFonts w:ascii="宋体"/>
              </w:rPr>
            </w:pPr>
          </w:p>
        </w:tc>
        <w:tc>
          <w:tcPr>
            <w:tcW w:w="0" w:type="auto"/>
            <w:shd w:val="clear" w:color="auto" w:fill="auto"/>
            <w:vAlign w:val="bottom"/>
          </w:tcPr>
          <w:p w14:paraId="67533F52" w14:textId="77777777" w:rsidR="001B77DD" w:rsidRDefault="001B77DD">
            <w:pPr>
              <w:rPr>
                <w:rFonts w:ascii="宋体"/>
              </w:rPr>
            </w:pPr>
          </w:p>
        </w:tc>
      </w:tr>
      <w:tr w:rsidR="001B77DD" w14:paraId="67533F59" w14:textId="77777777">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67533F54"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BC" wp14:editId="67538DBD">
                  <wp:extent cx="304800" cy="304800"/>
                  <wp:effectExtent l="0" t="0" r="0" b="0"/>
                  <wp:docPr id="233" name="图片 66"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66" descr="IMG_27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3F55" w14:textId="77777777" w:rsidR="001B77DD" w:rsidRDefault="001B77DD">
            <w:pPr>
              <w:rPr>
                <w:rFonts w:ascii="宋体"/>
                <w:vanish/>
              </w:rPr>
            </w:pPr>
          </w:p>
        </w:tc>
        <w:tc>
          <w:tcPr>
            <w:tcW w:w="0" w:type="auto"/>
            <w:shd w:val="clear" w:color="auto" w:fill="auto"/>
            <w:vAlign w:val="bottom"/>
          </w:tcPr>
          <w:p w14:paraId="67533F56" w14:textId="77777777" w:rsidR="001B77DD" w:rsidRDefault="001B77DD">
            <w:pPr>
              <w:rPr>
                <w:rFonts w:ascii="宋体"/>
                <w:vanish/>
              </w:rPr>
            </w:pPr>
          </w:p>
        </w:tc>
        <w:tc>
          <w:tcPr>
            <w:tcW w:w="0" w:type="auto"/>
            <w:gridSpan w:val="3"/>
            <w:tcBorders>
              <w:bottom w:val="single" w:sz="8" w:space="0" w:color="0068B5"/>
            </w:tcBorders>
            <w:shd w:val="clear" w:color="auto" w:fill="auto"/>
            <w:tcMar>
              <w:top w:w="40" w:type="dxa"/>
              <w:left w:w="20" w:type="dxa"/>
              <w:bottom w:w="40" w:type="dxa"/>
              <w:right w:w="20" w:type="dxa"/>
            </w:tcMar>
          </w:tcPr>
          <w:p w14:paraId="67533F57" w14:textId="77777777" w:rsidR="001B77DD" w:rsidRDefault="00BF0A28">
            <w:pPr>
              <w:textAlignment w:val="top"/>
            </w:pPr>
            <w:r>
              <w:rPr>
                <w:rFonts w:ascii="Arial" w:eastAsia="宋体" w:hAnsi="Arial" w:cs="Arial"/>
                <w:color w:val="262626"/>
                <w:sz w:val="18"/>
                <w:szCs w:val="18"/>
              </w:rPr>
              <w:t>Continually strive to reduce our environmental footprint through efficient and responsible use of natural r</w:t>
            </w:r>
            <w:r>
              <w:rPr>
                <w:rFonts w:ascii="Arial" w:eastAsia="宋体" w:hAnsi="Arial" w:cs="Arial"/>
                <w:color w:val="262626"/>
                <w:sz w:val="18"/>
                <w:szCs w:val="18"/>
              </w:rPr>
              <w:t>esources and materials used to create our products.</w:t>
            </w:r>
          </w:p>
        </w:tc>
        <w:tc>
          <w:tcPr>
            <w:tcW w:w="0" w:type="auto"/>
            <w:gridSpan w:val="3"/>
            <w:tcBorders>
              <w:bottom w:val="single" w:sz="8" w:space="0" w:color="0068B5"/>
            </w:tcBorders>
            <w:shd w:val="clear" w:color="auto" w:fill="auto"/>
            <w:tcMar>
              <w:top w:w="40" w:type="dxa"/>
              <w:left w:w="20" w:type="dxa"/>
              <w:bottom w:w="40" w:type="dxa"/>
              <w:right w:w="20" w:type="dxa"/>
            </w:tcMar>
          </w:tcPr>
          <w:p w14:paraId="67533F58" w14:textId="77777777" w:rsidR="001B77DD" w:rsidRDefault="00BF0A28">
            <w:pPr>
              <w:textAlignment w:val="top"/>
            </w:pPr>
            <w:r>
              <w:rPr>
                <w:rFonts w:ascii="Arial" w:eastAsia="宋体" w:hAnsi="Arial" w:cs="Arial"/>
                <w:color w:val="262626"/>
                <w:sz w:val="18"/>
                <w:szCs w:val="18"/>
              </w:rPr>
              <w:t>With our proactive efforts, we seek to mitigate climate and water impacts, achieve efficiencies, and lower costs, and position us to respond to the expectations of our stakeholders.</w:t>
            </w:r>
          </w:p>
        </w:tc>
      </w:tr>
    </w:tbl>
    <w:p w14:paraId="67533F5A" w14:textId="77777777" w:rsidR="001B77DD" w:rsidRDefault="00BF0A28">
      <w:pPr>
        <w:spacing w:before="80" w:after="180"/>
      </w:pPr>
      <w:r>
        <w:rPr>
          <w:rFonts w:ascii="Arial" w:eastAsia="宋体" w:hAnsi="Arial" w:cs="Arial"/>
          <w:color w:val="0068B5"/>
        </w:rPr>
        <w:t xml:space="preserve">2030 RISE </w:t>
      </w:r>
      <w:r>
        <w:rPr>
          <w:rFonts w:ascii="Arial" w:eastAsia="宋体" w:hAnsi="Arial" w:cs="Arial"/>
          <w:color w:val="0068B5"/>
        </w:rPr>
        <w:t>Strategy and Corporate Responsibility Goals</w:t>
      </w:r>
    </w:p>
    <w:p w14:paraId="67533F5B" w14:textId="77777777" w:rsidR="001B77DD" w:rsidRDefault="00BF0A28">
      <w:pPr>
        <w:spacing w:after="180"/>
      </w:pPr>
      <w:r>
        <w:rPr>
          <w:rFonts w:ascii="Arial" w:eastAsia="宋体" w:hAnsi="Arial" w:cs="Arial"/>
          <w:color w:val="262626"/>
          <w:sz w:val="18"/>
          <w:szCs w:val="18"/>
        </w:rPr>
        <w:t>Our commitment to corporate responsibility and sustainability leadership is deeply integrated throughout our business. We strive to create an inclusive and positive work environment where every employee has a voi</w:t>
      </w:r>
      <w:r>
        <w:rPr>
          <w:rFonts w:ascii="Arial" w:eastAsia="宋体" w:hAnsi="Arial" w:cs="Arial"/>
          <w:color w:val="262626"/>
          <w:sz w:val="18"/>
          <w:szCs w:val="18"/>
        </w:rPr>
        <w:t>ce and a sense of belonging, and we are proactive in our efforts to reduce our environmental footprint through efficient and responsible use of natural resources and materials.</w:t>
      </w:r>
    </w:p>
    <w:p w14:paraId="67533F5C" w14:textId="77777777" w:rsidR="001B77DD" w:rsidRDefault="00BF0A28">
      <w:pPr>
        <w:spacing w:after="180"/>
      </w:pPr>
      <w:r>
        <w:rPr>
          <w:rFonts w:ascii="Arial" w:eastAsia="宋体" w:hAnsi="Arial" w:cs="Arial"/>
          <w:color w:val="262626"/>
          <w:sz w:val="18"/>
          <w:szCs w:val="18"/>
        </w:rPr>
        <w:t>We continue to raise the bar for ourselves and leverage our leadership position</w:t>
      </w:r>
      <w:r>
        <w:rPr>
          <w:rFonts w:ascii="Arial" w:eastAsia="宋体" w:hAnsi="Arial" w:cs="Arial"/>
          <w:color w:val="262626"/>
          <w:sz w:val="18"/>
          <w:szCs w:val="18"/>
        </w:rPr>
        <w:t xml:space="preserve"> in the global technology ecosystem to make greater strides in corporate responsibility and apply technology to address social and environmental challenges. Through our </w:t>
      </w:r>
      <w:r>
        <w:rPr>
          <w:rFonts w:ascii="Arial" w:eastAsia="宋体" w:hAnsi="Arial" w:cs="Arial"/>
          <w:b/>
          <w:bCs/>
          <w:color w:val="262626"/>
          <w:sz w:val="18"/>
          <w:szCs w:val="18"/>
        </w:rPr>
        <w:t>RISE</w:t>
      </w:r>
      <w:r>
        <w:rPr>
          <w:rFonts w:ascii="Arial" w:eastAsia="宋体" w:hAnsi="Arial" w:cs="Arial"/>
          <w:color w:val="262626"/>
          <w:sz w:val="18"/>
          <w:szCs w:val="18"/>
        </w:rPr>
        <w:t xml:space="preserve"> strategy and 2030 goals, we aim to create a more </w:t>
      </w:r>
      <w:r>
        <w:rPr>
          <w:rFonts w:ascii="Arial" w:eastAsia="宋体" w:hAnsi="Arial" w:cs="Arial"/>
          <w:b/>
          <w:bCs/>
          <w:color w:val="262626"/>
          <w:sz w:val="18"/>
          <w:szCs w:val="18"/>
        </w:rPr>
        <w:t>responsible</w:t>
      </w:r>
      <w:r>
        <w:rPr>
          <w:rFonts w:ascii="Arial" w:eastAsia="宋体" w:hAnsi="Arial" w:cs="Arial"/>
          <w:color w:val="262626"/>
          <w:sz w:val="18"/>
          <w:szCs w:val="18"/>
        </w:rPr>
        <w:t xml:space="preserve">, </w:t>
      </w:r>
      <w:r>
        <w:rPr>
          <w:rFonts w:ascii="Arial" w:eastAsia="宋体" w:hAnsi="Arial" w:cs="Arial"/>
          <w:b/>
          <w:bCs/>
          <w:color w:val="262626"/>
          <w:sz w:val="18"/>
          <w:szCs w:val="18"/>
        </w:rPr>
        <w:t>inclusive,</w:t>
      </w:r>
      <w:r>
        <w:rPr>
          <w:rFonts w:ascii="Arial" w:eastAsia="宋体" w:hAnsi="Arial" w:cs="Arial"/>
          <w:color w:val="262626"/>
          <w:sz w:val="18"/>
          <w:szCs w:val="18"/>
        </w:rPr>
        <w:t xml:space="preserve"> and </w:t>
      </w:r>
      <w:r>
        <w:rPr>
          <w:rFonts w:ascii="Arial" w:eastAsia="宋体" w:hAnsi="Arial" w:cs="Arial"/>
          <w:b/>
          <w:bCs/>
          <w:color w:val="262626"/>
          <w:sz w:val="18"/>
          <w:szCs w:val="18"/>
        </w:rPr>
        <w:t>sustainable</w:t>
      </w:r>
      <w:r>
        <w:rPr>
          <w:rFonts w:ascii="Arial" w:eastAsia="宋体" w:hAnsi="Arial" w:cs="Arial"/>
          <w:color w:val="262626"/>
          <w:sz w:val="18"/>
          <w:szCs w:val="18"/>
        </w:rPr>
        <w:t xml:space="preserve"> world, </w:t>
      </w:r>
      <w:r>
        <w:rPr>
          <w:rFonts w:ascii="Arial" w:eastAsia="宋体" w:hAnsi="Arial" w:cs="Arial"/>
          <w:b/>
          <w:bCs/>
          <w:color w:val="262626"/>
          <w:sz w:val="18"/>
          <w:szCs w:val="18"/>
        </w:rPr>
        <w:t xml:space="preserve">enabled </w:t>
      </w:r>
      <w:r>
        <w:rPr>
          <w:rFonts w:ascii="Arial" w:eastAsia="宋体" w:hAnsi="Arial" w:cs="Arial"/>
          <w:color w:val="262626"/>
          <w:sz w:val="18"/>
          <w:szCs w:val="18"/>
        </w:rPr>
        <w:t>through our technology and the expertise and passion of our employees. Our corporate responsibility strategy is designed to increase the scale of our work through collaboration with our stakeholders and other organizations; we kn</w:t>
      </w:r>
      <w:r>
        <w:rPr>
          <w:rFonts w:ascii="Arial" w:eastAsia="宋体" w:hAnsi="Arial" w:cs="Arial"/>
          <w:color w:val="262626"/>
          <w:sz w:val="18"/>
          <w:szCs w:val="18"/>
        </w:rPr>
        <w:t>ow that acting alone, we cannot achieve the broad social impact to which we aspire. More information about our 2030 goals, including progress we have made toward achieving them, is included in our Corporate Responsibility Report</w:t>
      </w:r>
      <w:r>
        <w:rPr>
          <w:rFonts w:ascii="Arial" w:eastAsia="宋体" w:hAnsi="Arial" w:cs="Arial"/>
          <w:color w:val="262626"/>
          <w:sz w:val="11"/>
          <w:szCs w:val="11"/>
        </w:rPr>
        <w:t>1</w:t>
      </w:r>
      <w:r>
        <w:rPr>
          <w:rFonts w:ascii="Arial" w:eastAsia="宋体" w:hAnsi="Arial" w:cs="Arial"/>
          <w:color w:val="262626"/>
          <w:sz w:val="18"/>
          <w:szCs w:val="18"/>
        </w:rPr>
        <w:t>.</w:t>
      </w:r>
    </w:p>
    <w:p w14:paraId="67533F5D" w14:textId="77777777" w:rsidR="001B77DD" w:rsidRDefault="001B77DD"/>
    <w:p w14:paraId="67533F5E" w14:textId="77777777" w:rsidR="001B77DD" w:rsidRDefault="001B77DD"/>
    <w:p w14:paraId="67533F5F" w14:textId="77777777" w:rsidR="001B77DD" w:rsidRDefault="001B77DD"/>
    <w:p w14:paraId="67533F60" w14:textId="77777777" w:rsidR="001B77DD" w:rsidRDefault="001B77DD"/>
    <w:p w14:paraId="67533F61" w14:textId="77777777" w:rsidR="001B77DD" w:rsidRDefault="001B77DD"/>
    <w:p w14:paraId="67533F62" w14:textId="77777777" w:rsidR="001B77DD" w:rsidRDefault="001B77DD"/>
    <w:p w14:paraId="67533F63" w14:textId="77777777" w:rsidR="001B77DD" w:rsidRDefault="001B77DD"/>
    <w:p w14:paraId="67533F64" w14:textId="77777777" w:rsidR="001B77DD" w:rsidRDefault="001B77DD"/>
    <w:p w14:paraId="67533F65" w14:textId="77777777" w:rsidR="001B77DD" w:rsidRDefault="00BF0A28">
      <w:r>
        <w:rPr>
          <w:rFonts w:ascii="Arial" w:eastAsia="宋体" w:hAnsi="Arial" w:cs="Arial"/>
          <w:i/>
          <w:iCs/>
          <w:color w:val="262626"/>
          <w:sz w:val="10"/>
          <w:szCs w:val="10"/>
        </w:rPr>
        <w:t xml:space="preserve">1 </w:t>
      </w:r>
      <w:r>
        <w:rPr>
          <w:rFonts w:ascii="Arial" w:eastAsia="宋体" w:hAnsi="Arial" w:cs="Arial"/>
          <w:i/>
          <w:iCs/>
          <w:color w:val="262626"/>
          <w:sz w:val="16"/>
          <w:szCs w:val="16"/>
        </w:rPr>
        <w:t>The contents of</w:t>
      </w:r>
      <w:r>
        <w:rPr>
          <w:rFonts w:ascii="Arial" w:eastAsia="宋体" w:hAnsi="Arial" w:cs="Arial"/>
          <w:i/>
          <w:iCs/>
          <w:color w:val="262626"/>
          <w:sz w:val="16"/>
          <w:szCs w:val="16"/>
        </w:rPr>
        <w:t xml:space="preserve"> our Corporate Responsibility Report are referenced for general information only and are not incorporated by reference in this Form 10-K.</w:t>
      </w:r>
    </w:p>
    <w:p w14:paraId="67533F66"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85"/>
        <w:gridCol w:w="478"/>
        <w:gridCol w:w="36"/>
        <w:gridCol w:w="63"/>
        <w:gridCol w:w="1712"/>
        <w:gridCol w:w="36"/>
        <w:gridCol w:w="63"/>
        <w:gridCol w:w="2587"/>
        <w:gridCol w:w="36"/>
        <w:gridCol w:w="64"/>
        <w:gridCol w:w="3140"/>
        <w:gridCol w:w="36"/>
      </w:tblGrid>
      <w:tr w:rsidR="001B77DD" w14:paraId="67533F73" w14:textId="77777777">
        <w:tc>
          <w:tcPr>
            <w:tcW w:w="50" w:type="pct"/>
            <w:shd w:val="clear" w:color="auto" w:fill="auto"/>
            <w:vAlign w:val="bottom"/>
          </w:tcPr>
          <w:p w14:paraId="67533F67" w14:textId="77777777" w:rsidR="001B77DD" w:rsidRDefault="001B77DD">
            <w:pPr>
              <w:rPr>
                <w:rFonts w:ascii="宋体"/>
              </w:rPr>
            </w:pPr>
          </w:p>
        </w:tc>
        <w:tc>
          <w:tcPr>
            <w:tcW w:w="283" w:type="pct"/>
            <w:shd w:val="clear" w:color="auto" w:fill="auto"/>
            <w:vAlign w:val="bottom"/>
          </w:tcPr>
          <w:p w14:paraId="67533F68" w14:textId="77777777" w:rsidR="001B77DD" w:rsidRDefault="001B77DD">
            <w:pPr>
              <w:rPr>
                <w:rFonts w:ascii="宋体"/>
              </w:rPr>
            </w:pPr>
          </w:p>
        </w:tc>
        <w:tc>
          <w:tcPr>
            <w:tcW w:w="5" w:type="pct"/>
            <w:shd w:val="clear" w:color="auto" w:fill="auto"/>
            <w:vAlign w:val="bottom"/>
          </w:tcPr>
          <w:p w14:paraId="67533F69" w14:textId="77777777" w:rsidR="001B77DD" w:rsidRDefault="001B77DD">
            <w:pPr>
              <w:rPr>
                <w:rFonts w:ascii="宋体"/>
              </w:rPr>
            </w:pPr>
          </w:p>
        </w:tc>
        <w:tc>
          <w:tcPr>
            <w:tcW w:w="50" w:type="pct"/>
            <w:shd w:val="clear" w:color="auto" w:fill="auto"/>
            <w:vAlign w:val="bottom"/>
          </w:tcPr>
          <w:p w14:paraId="67533F6A" w14:textId="77777777" w:rsidR="001B77DD" w:rsidRDefault="001B77DD">
            <w:pPr>
              <w:rPr>
                <w:rFonts w:ascii="宋体"/>
              </w:rPr>
            </w:pPr>
          </w:p>
        </w:tc>
        <w:tc>
          <w:tcPr>
            <w:tcW w:w="1039" w:type="pct"/>
            <w:shd w:val="clear" w:color="auto" w:fill="auto"/>
            <w:vAlign w:val="bottom"/>
          </w:tcPr>
          <w:p w14:paraId="67533F6B" w14:textId="77777777" w:rsidR="001B77DD" w:rsidRDefault="001B77DD">
            <w:pPr>
              <w:rPr>
                <w:rFonts w:ascii="宋体"/>
              </w:rPr>
            </w:pPr>
          </w:p>
        </w:tc>
        <w:tc>
          <w:tcPr>
            <w:tcW w:w="5" w:type="pct"/>
            <w:shd w:val="clear" w:color="auto" w:fill="auto"/>
            <w:vAlign w:val="bottom"/>
          </w:tcPr>
          <w:p w14:paraId="67533F6C" w14:textId="77777777" w:rsidR="001B77DD" w:rsidRDefault="001B77DD">
            <w:pPr>
              <w:rPr>
                <w:rFonts w:ascii="宋体"/>
              </w:rPr>
            </w:pPr>
          </w:p>
        </w:tc>
        <w:tc>
          <w:tcPr>
            <w:tcW w:w="50" w:type="pct"/>
            <w:shd w:val="clear" w:color="auto" w:fill="auto"/>
            <w:vAlign w:val="bottom"/>
          </w:tcPr>
          <w:p w14:paraId="67533F6D" w14:textId="77777777" w:rsidR="001B77DD" w:rsidRDefault="001B77DD">
            <w:pPr>
              <w:rPr>
                <w:rFonts w:ascii="宋体"/>
              </w:rPr>
            </w:pPr>
          </w:p>
        </w:tc>
        <w:tc>
          <w:tcPr>
            <w:tcW w:w="1562" w:type="pct"/>
            <w:shd w:val="clear" w:color="auto" w:fill="auto"/>
            <w:vAlign w:val="bottom"/>
          </w:tcPr>
          <w:p w14:paraId="67533F6E" w14:textId="77777777" w:rsidR="001B77DD" w:rsidRDefault="001B77DD">
            <w:pPr>
              <w:rPr>
                <w:rFonts w:ascii="宋体"/>
              </w:rPr>
            </w:pPr>
          </w:p>
        </w:tc>
        <w:tc>
          <w:tcPr>
            <w:tcW w:w="5" w:type="pct"/>
            <w:shd w:val="clear" w:color="auto" w:fill="auto"/>
            <w:vAlign w:val="bottom"/>
          </w:tcPr>
          <w:p w14:paraId="67533F6F" w14:textId="77777777" w:rsidR="001B77DD" w:rsidRDefault="001B77DD">
            <w:pPr>
              <w:rPr>
                <w:rFonts w:ascii="宋体"/>
              </w:rPr>
            </w:pPr>
          </w:p>
        </w:tc>
        <w:tc>
          <w:tcPr>
            <w:tcW w:w="50" w:type="pct"/>
            <w:shd w:val="clear" w:color="auto" w:fill="auto"/>
            <w:vAlign w:val="bottom"/>
          </w:tcPr>
          <w:p w14:paraId="67533F70" w14:textId="77777777" w:rsidR="001B77DD" w:rsidRDefault="001B77DD">
            <w:pPr>
              <w:rPr>
                <w:rFonts w:ascii="宋体"/>
              </w:rPr>
            </w:pPr>
          </w:p>
        </w:tc>
        <w:tc>
          <w:tcPr>
            <w:tcW w:w="1894" w:type="pct"/>
            <w:shd w:val="clear" w:color="auto" w:fill="auto"/>
            <w:vAlign w:val="bottom"/>
          </w:tcPr>
          <w:p w14:paraId="67533F71" w14:textId="77777777" w:rsidR="001B77DD" w:rsidRDefault="001B77DD">
            <w:pPr>
              <w:rPr>
                <w:rFonts w:ascii="宋体"/>
              </w:rPr>
            </w:pPr>
          </w:p>
        </w:tc>
        <w:tc>
          <w:tcPr>
            <w:tcW w:w="5" w:type="pct"/>
            <w:shd w:val="clear" w:color="auto" w:fill="auto"/>
            <w:vAlign w:val="bottom"/>
          </w:tcPr>
          <w:p w14:paraId="67533F72" w14:textId="77777777" w:rsidR="001B77DD" w:rsidRDefault="001B77DD">
            <w:pPr>
              <w:rPr>
                <w:rFonts w:ascii="宋体"/>
              </w:rPr>
            </w:pPr>
          </w:p>
        </w:tc>
      </w:tr>
      <w:tr w:rsidR="001B77DD" w14:paraId="67533F78"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F74"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BE" wp14:editId="67538DBF">
                  <wp:extent cx="304800" cy="304800"/>
                  <wp:effectExtent l="0" t="0" r="0" b="0"/>
                  <wp:docPr id="50" name="图片 6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F75"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3F76"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3F77" w14:textId="77777777" w:rsidR="001B77DD" w:rsidRDefault="00BF0A28">
            <w:pPr>
              <w:jc w:val="right"/>
              <w:textAlignment w:val="center"/>
            </w:pPr>
            <w:r>
              <w:rPr>
                <w:rFonts w:ascii="Arial" w:eastAsia="宋体" w:hAnsi="Arial" w:cs="Arial"/>
                <w:color w:val="262626"/>
                <w:sz w:val="16"/>
                <w:szCs w:val="16"/>
              </w:rPr>
              <w:t>8</w:t>
            </w:r>
          </w:p>
        </w:tc>
      </w:tr>
    </w:tbl>
    <w:p w14:paraId="67533F79" w14:textId="77777777" w:rsidR="001B77DD" w:rsidRDefault="00BF0A28">
      <w:r>
        <w:pict w14:anchorId="67538DC0">
          <v:rect id="_x0000_i1034" style="width:415.3pt;height:1.5pt" o:hralign="center" o:hrstd="t" o:hr="t" fillcolor="#a0a0a0" stroked="f"/>
        </w:pict>
      </w:r>
    </w:p>
    <w:p w14:paraId="67533F7A" w14:textId="77777777" w:rsidR="001B77DD" w:rsidRDefault="00BF0A28">
      <w:pPr>
        <w:spacing w:after="180"/>
        <w:jc w:val="right"/>
      </w:pPr>
      <w:hyperlink r:id="rId49" w:anchor="i6c9ced68f6b24d58a3dcf326e8c3c699_16" w:history="1">
        <w:r>
          <w:rPr>
            <w:rStyle w:val="a5"/>
            <w:rFonts w:ascii="Arial" w:eastAsia="宋体" w:hAnsi="Arial" w:cs="Arial"/>
            <w:sz w:val="18"/>
            <w:szCs w:val="18"/>
          </w:rPr>
          <w:t>Table</w:t>
        </w:r>
      </w:hyperlink>
      <w:hyperlink r:id="rId50" w:anchor="i6c9ced68f6b24d58a3dcf326e8c3c699_16" w:history="1">
        <w:r>
          <w:rPr>
            <w:rStyle w:val="a5"/>
            <w:rFonts w:ascii="Arial" w:eastAsia="宋体" w:hAnsi="Arial" w:cs="Arial"/>
            <w:sz w:val="18"/>
            <w:szCs w:val="18"/>
          </w:rPr>
          <w:t xml:space="preserve"> of </w:t>
        </w:r>
      </w:hyperlink>
      <w:hyperlink r:id="rId51" w:anchor="i6c9ced68f6b24d58a3dcf326e8c3c699_16" w:history="1">
        <w:r>
          <w:rPr>
            <w:rStyle w:val="a5"/>
            <w:rFonts w:ascii="Arial" w:eastAsia="宋体" w:hAnsi="Arial" w:cs="Arial"/>
            <w:sz w:val="18"/>
            <w:szCs w:val="18"/>
          </w:rPr>
          <w:t>Contents</w:t>
        </w:r>
      </w:hyperlink>
    </w:p>
    <w:tbl>
      <w:tblPr>
        <w:tblW w:w="4904" w:type="pct"/>
        <w:tblCellMar>
          <w:top w:w="15" w:type="dxa"/>
          <w:left w:w="15" w:type="dxa"/>
          <w:bottom w:w="15" w:type="dxa"/>
          <w:right w:w="15" w:type="dxa"/>
        </w:tblCellMar>
        <w:tblLook w:val="04A0" w:firstRow="1" w:lastRow="0" w:firstColumn="1" w:lastColumn="0" w:noHBand="0" w:noVBand="1"/>
      </w:tblPr>
      <w:tblGrid>
        <w:gridCol w:w="80"/>
        <w:gridCol w:w="433"/>
        <w:gridCol w:w="36"/>
        <w:gridCol w:w="54"/>
        <w:gridCol w:w="7537"/>
        <w:gridCol w:w="36"/>
      </w:tblGrid>
      <w:tr w:rsidR="001B77DD" w14:paraId="67533F81" w14:textId="77777777">
        <w:tc>
          <w:tcPr>
            <w:tcW w:w="50" w:type="pct"/>
            <w:shd w:val="clear" w:color="auto" w:fill="auto"/>
            <w:vAlign w:val="bottom"/>
          </w:tcPr>
          <w:p w14:paraId="67533F7B" w14:textId="77777777" w:rsidR="001B77DD" w:rsidRDefault="001B77DD">
            <w:pPr>
              <w:rPr>
                <w:rFonts w:ascii="宋体"/>
              </w:rPr>
            </w:pPr>
          </w:p>
        </w:tc>
        <w:tc>
          <w:tcPr>
            <w:tcW w:w="272" w:type="pct"/>
            <w:shd w:val="clear" w:color="auto" w:fill="auto"/>
            <w:vAlign w:val="bottom"/>
          </w:tcPr>
          <w:p w14:paraId="67533F7C" w14:textId="77777777" w:rsidR="001B77DD" w:rsidRDefault="001B77DD">
            <w:pPr>
              <w:rPr>
                <w:rFonts w:ascii="宋体"/>
              </w:rPr>
            </w:pPr>
          </w:p>
        </w:tc>
        <w:tc>
          <w:tcPr>
            <w:tcW w:w="5" w:type="pct"/>
            <w:shd w:val="clear" w:color="auto" w:fill="auto"/>
            <w:vAlign w:val="bottom"/>
          </w:tcPr>
          <w:p w14:paraId="67533F7D" w14:textId="77777777" w:rsidR="001B77DD" w:rsidRDefault="001B77DD">
            <w:pPr>
              <w:rPr>
                <w:rFonts w:ascii="宋体"/>
              </w:rPr>
            </w:pPr>
          </w:p>
        </w:tc>
        <w:tc>
          <w:tcPr>
            <w:tcW w:w="50" w:type="pct"/>
            <w:shd w:val="clear" w:color="auto" w:fill="auto"/>
            <w:vAlign w:val="bottom"/>
          </w:tcPr>
          <w:p w14:paraId="67533F7E" w14:textId="77777777" w:rsidR="001B77DD" w:rsidRDefault="001B77DD">
            <w:pPr>
              <w:rPr>
                <w:rFonts w:ascii="宋体"/>
              </w:rPr>
            </w:pPr>
          </w:p>
        </w:tc>
        <w:tc>
          <w:tcPr>
            <w:tcW w:w="4617" w:type="pct"/>
            <w:shd w:val="clear" w:color="auto" w:fill="auto"/>
            <w:vAlign w:val="bottom"/>
          </w:tcPr>
          <w:p w14:paraId="67533F7F" w14:textId="77777777" w:rsidR="001B77DD" w:rsidRDefault="001B77DD">
            <w:pPr>
              <w:rPr>
                <w:rFonts w:ascii="宋体"/>
              </w:rPr>
            </w:pPr>
          </w:p>
        </w:tc>
        <w:tc>
          <w:tcPr>
            <w:tcW w:w="5" w:type="pct"/>
            <w:shd w:val="clear" w:color="auto" w:fill="auto"/>
            <w:vAlign w:val="bottom"/>
          </w:tcPr>
          <w:p w14:paraId="67533F80" w14:textId="77777777" w:rsidR="001B77DD" w:rsidRDefault="001B77DD">
            <w:pPr>
              <w:rPr>
                <w:rFonts w:ascii="宋体"/>
              </w:rPr>
            </w:pPr>
          </w:p>
        </w:tc>
      </w:tr>
      <w:tr w:rsidR="001B77DD" w14:paraId="67533F84" w14:textId="77777777">
        <w:tc>
          <w:tcPr>
            <w:tcW w:w="0" w:type="auto"/>
            <w:gridSpan w:val="3"/>
            <w:shd w:val="clear" w:color="auto" w:fill="auto"/>
            <w:tcMar>
              <w:top w:w="0" w:type="dxa"/>
              <w:left w:w="20" w:type="dxa"/>
              <w:bottom w:w="0" w:type="dxa"/>
              <w:right w:w="20" w:type="dxa"/>
            </w:tcMar>
            <w:vAlign w:val="bottom"/>
          </w:tcPr>
          <w:p w14:paraId="67533F82"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C1" wp14:editId="67538DC2">
                  <wp:extent cx="304800" cy="304800"/>
                  <wp:effectExtent l="0" t="0" r="0" b="0"/>
                  <wp:docPr id="100" name="图片 6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9" descr="IMG_28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67533F83" w14:textId="77777777" w:rsidR="001B77DD" w:rsidRDefault="00BF0A28">
            <w:pPr>
              <w:textAlignment w:val="center"/>
            </w:pPr>
            <w:r>
              <w:rPr>
                <w:rFonts w:ascii="Arial" w:eastAsia="宋体" w:hAnsi="Arial" w:cs="Arial"/>
                <w:color w:val="0068B5"/>
                <w:sz w:val="28"/>
                <w:szCs w:val="28"/>
              </w:rPr>
              <w:t>Financial Capital</w:t>
            </w:r>
          </w:p>
        </w:tc>
      </w:tr>
    </w:tbl>
    <w:p w14:paraId="67533F85" w14:textId="77777777" w:rsidR="001B77DD" w:rsidRDefault="00BF0A28">
      <w:pPr>
        <w:spacing w:after="120"/>
      </w:pPr>
      <w:r>
        <w:rPr>
          <w:rFonts w:ascii="Arial" w:eastAsia="宋体" w:hAnsi="Arial" w:cs="Arial"/>
          <w:color w:val="262626"/>
          <w:sz w:val="18"/>
          <w:szCs w:val="18"/>
        </w:rPr>
        <w:t>Our financial capital allocation strategy focuses on building stockholder value. Our alloc</w:t>
      </w:r>
      <w:r>
        <w:rPr>
          <w:rFonts w:ascii="Arial" w:eastAsia="宋体" w:hAnsi="Arial" w:cs="Arial"/>
          <w:color w:val="262626"/>
          <w:sz w:val="18"/>
          <w:szCs w:val="18"/>
        </w:rPr>
        <w:t>ation decisions are driven by our priorities to invest in the business, acquire and integrate businesses that complement our strategic objectives, and return cash to stockholders. As we invest in our IDM 2.0 strategy, our allocation priorities will shift m</w:t>
      </w:r>
      <w:r>
        <w:rPr>
          <w:rFonts w:ascii="Arial" w:eastAsia="宋体" w:hAnsi="Arial" w:cs="Arial"/>
          <w:color w:val="262626"/>
          <w:sz w:val="18"/>
          <w:szCs w:val="18"/>
        </w:rPr>
        <w:t>ore heavily toward investing in the business and away from share repurchases, as we plan our next phase of capacity expansions and the acceleration of our process technology roadmap. We will continue to look for opportunities to further our strategy throug</w:t>
      </w:r>
      <w:r>
        <w:rPr>
          <w:rFonts w:ascii="Arial" w:eastAsia="宋体" w:hAnsi="Arial" w:cs="Arial"/>
          <w:color w:val="262626"/>
          <w:sz w:val="18"/>
          <w:szCs w:val="18"/>
        </w:rPr>
        <w:t>h acquisitions and intend to maintain our dividend.</w:t>
      </w:r>
    </w:p>
    <w:tbl>
      <w:tblPr>
        <w:tblW w:w="10980" w:type="dxa"/>
        <w:tblCellMar>
          <w:top w:w="15" w:type="dxa"/>
          <w:left w:w="15" w:type="dxa"/>
          <w:bottom w:w="15" w:type="dxa"/>
          <w:right w:w="15" w:type="dxa"/>
        </w:tblCellMar>
        <w:tblLook w:val="04A0" w:firstRow="1" w:lastRow="0" w:firstColumn="1" w:lastColumn="0" w:noHBand="0" w:noVBand="1"/>
      </w:tblPr>
      <w:tblGrid>
        <w:gridCol w:w="36"/>
        <w:gridCol w:w="36"/>
        <w:gridCol w:w="10872"/>
        <w:gridCol w:w="36"/>
      </w:tblGrid>
      <w:tr w:rsidR="001B77DD" w14:paraId="67533F8A" w14:textId="77777777">
        <w:trPr>
          <w:hidden/>
        </w:trPr>
        <w:tc>
          <w:tcPr>
            <w:tcW w:w="0" w:type="auto"/>
            <w:shd w:val="clear" w:color="auto" w:fill="auto"/>
            <w:vAlign w:val="bottom"/>
          </w:tcPr>
          <w:p w14:paraId="67533F86" w14:textId="77777777" w:rsidR="001B77DD" w:rsidRDefault="001B77DD">
            <w:pPr>
              <w:rPr>
                <w:rFonts w:ascii="宋体"/>
                <w:vanish/>
              </w:rPr>
            </w:pPr>
          </w:p>
        </w:tc>
        <w:tc>
          <w:tcPr>
            <w:tcW w:w="20" w:type="dxa"/>
            <w:shd w:val="clear" w:color="auto" w:fill="auto"/>
            <w:vAlign w:val="bottom"/>
          </w:tcPr>
          <w:p w14:paraId="67533F87" w14:textId="77777777" w:rsidR="001B77DD" w:rsidRDefault="001B77DD">
            <w:pPr>
              <w:rPr>
                <w:rFonts w:ascii="宋体"/>
              </w:rPr>
            </w:pPr>
          </w:p>
        </w:tc>
        <w:tc>
          <w:tcPr>
            <w:tcW w:w="10940" w:type="dxa"/>
            <w:shd w:val="clear" w:color="auto" w:fill="auto"/>
            <w:vAlign w:val="bottom"/>
          </w:tcPr>
          <w:p w14:paraId="67533F88" w14:textId="77777777" w:rsidR="001B77DD" w:rsidRDefault="001B77DD">
            <w:pPr>
              <w:rPr>
                <w:rFonts w:ascii="宋体"/>
              </w:rPr>
            </w:pPr>
          </w:p>
        </w:tc>
        <w:tc>
          <w:tcPr>
            <w:tcW w:w="20" w:type="dxa"/>
            <w:shd w:val="clear" w:color="auto" w:fill="auto"/>
            <w:vAlign w:val="bottom"/>
          </w:tcPr>
          <w:p w14:paraId="67533F89" w14:textId="77777777" w:rsidR="001B77DD" w:rsidRDefault="001B77DD">
            <w:pPr>
              <w:rPr>
                <w:rFonts w:ascii="宋体"/>
              </w:rPr>
            </w:pPr>
          </w:p>
        </w:tc>
      </w:tr>
      <w:tr w:rsidR="001B77DD" w14:paraId="67533F8D" w14:textId="77777777">
        <w:trPr>
          <w:trHeight w:val="280"/>
          <w:hidden/>
        </w:trPr>
        <w:tc>
          <w:tcPr>
            <w:tcW w:w="0" w:type="auto"/>
            <w:shd w:val="clear" w:color="auto" w:fill="auto"/>
            <w:vAlign w:val="bottom"/>
          </w:tcPr>
          <w:p w14:paraId="67533F8B" w14:textId="77777777" w:rsidR="001B77DD" w:rsidRDefault="001B77DD">
            <w:pPr>
              <w:rPr>
                <w:rFonts w:ascii="宋体"/>
                <w:vanish/>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3F8C" w14:textId="77777777" w:rsidR="001B77DD" w:rsidRDefault="00BF0A28">
            <w:pPr>
              <w:jc w:val="center"/>
              <w:textAlignment w:val="bottom"/>
            </w:pPr>
            <w:r>
              <w:rPr>
                <w:rFonts w:ascii="Arial" w:eastAsia="宋体" w:hAnsi="Arial" w:cs="Arial"/>
                <w:color w:val="0068B5"/>
                <w:sz w:val="20"/>
                <w:szCs w:val="20"/>
              </w:rPr>
              <w:t>Cash from Operating Activities $B</w:t>
            </w:r>
          </w:p>
        </w:tc>
      </w:tr>
    </w:tbl>
    <w:p w14:paraId="67533F8E" w14:textId="77777777" w:rsidR="001B77DD" w:rsidRDefault="00BF0A28">
      <w:pPr>
        <w:ind w:firstLine="279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C3" wp14:editId="67538DC4">
            <wp:extent cx="304800" cy="304800"/>
            <wp:effectExtent l="0" t="0" r="0" b="0"/>
            <wp:docPr id="227" name="图片 70"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70" descr="IMG_28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7650" w:type="dxa"/>
        <w:tblCellMar>
          <w:top w:w="15" w:type="dxa"/>
          <w:left w:w="15" w:type="dxa"/>
          <w:bottom w:w="15" w:type="dxa"/>
          <w:right w:w="15" w:type="dxa"/>
        </w:tblCellMar>
        <w:tblLook w:val="04A0" w:firstRow="1" w:lastRow="0" w:firstColumn="1" w:lastColumn="0" w:noHBand="0" w:noVBand="1"/>
      </w:tblPr>
      <w:tblGrid>
        <w:gridCol w:w="36"/>
        <w:gridCol w:w="3862"/>
        <w:gridCol w:w="36"/>
        <w:gridCol w:w="36"/>
        <w:gridCol w:w="1641"/>
        <w:gridCol w:w="36"/>
        <w:gridCol w:w="36"/>
        <w:gridCol w:w="1931"/>
        <w:gridCol w:w="36"/>
      </w:tblGrid>
      <w:tr w:rsidR="001B77DD" w14:paraId="67533F98" w14:textId="77777777">
        <w:tc>
          <w:tcPr>
            <w:tcW w:w="20" w:type="dxa"/>
            <w:shd w:val="clear" w:color="auto" w:fill="auto"/>
            <w:vAlign w:val="bottom"/>
          </w:tcPr>
          <w:p w14:paraId="67533F8F" w14:textId="77777777" w:rsidR="001B77DD" w:rsidRDefault="001B77DD">
            <w:pPr>
              <w:rPr>
                <w:rFonts w:ascii="宋体"/>
              </w:rPr>
            </w:pPr>
          </w:p>
        </w:tc>
        <w:tc>
          <w:tcPr>
            <w:tcW w:w="3920" w:type="dxa"/>
            <w:shd w:val="clear" w:color="auto" w:fill="auto"/>
            <w:vAlign w:val="bottom"/>
          </w:tcPr>
          <w:p w14:paraId="67533F90" w14:textId="77777777" w:rsidR="001B77DD" w:rsidRDefault="001B77DD">
            <w:pPr>
              <w:rPr>
                <w:rFonts w:ascii="宋体"/>
              </w:rPr>
            </w:pPr>
          </w:p>
        </w:tc>
        <w:tc>
          <w:tcPr>
            <w:tcW w:w="20" w:type="dxa"/>
            <w:shd w:val="clear" w:color="auto" w:fill="auto"/>
            <w:vAlign w:val="bottom"/>
          </w:tcPr>
          <w:p w14:paraId="67533F91" w14:textId="77777777" w:rsidR="001B77DD" w:rsidRDefault="001B77DD">
            <w:pPr>
              <w:rPr>
                <w:rFonts w:ascii="宋体"/>
              </w:rPr>
            </w:pPr>
          </w:p>
        </w:tc>
        <w:tc>
          <w:tcPr>
            <w:tcW w:w="20" w:type="dxa"/>
            <w:shd w:val="clear" w:color="auto" w:fill="auto"/>
            <w:vAlign w:val="bottom"/>
          </w:tcPr>
          <w:p w14:paraId="67533F92" w14:textId="77777777" w:rsidR="001B77DD" w:rsidRDefault="001B77DD">
            <w:pPr>
              <w:rPr>
                <w:rFonts w:ascii="宋体"/>
              </w:rPr>
            </w:pPr>
          </w:p>
        </w:tc>
        <w:tc>
          <w:tcPr>
            <w:tcW w:w="1655" w:type="dxa"/>
            <w:shd w:val="clear" w:color="auto" w:fill="auto"/>
            <w:vAlign w:val="bottom"/>
          </w:tcPr>
          <w:p w14:paraId="67533F93" w14:textId="77777777" w:rsidR="001B77DD" w:rsidRDefault="001B77DD">
            <w:pPr>
              <w:rPr>
                <w:rFonts w:ascii="宋体"/>
              </w:rPr>
            </w:pPr>
          </w:p>
        </w:tc>
        <w:tc>
          <w:tcPr>
            <w:tcW w:w="20" w:type="dxa"/>
            <w:shd w:val="clear" w:color="auto" w:fill="auto"/>
            <w:vAlign w:val="bottom"/>
          </w:tcPr>
          <w:p w14:paraId="67533F94" w14:textId="77777777" w:rsidR="001B77DD" w:rsidRDefault="001B77DD">
            <w:pPr>
              <w:rPr>
                <w:rFonts w:ascii="宋体"/>
              </w:rPr>
            </w:pPr>
          </w:p>
        </w:tc>
        <w:tc>
          <w:tcPr>
            <w:tcW w:w="20" w:type="dxa"/>
            <w:shd w:val="clear" w:color="auto" w:fill="auto"/>
            <w:vAlign w:val="bottom"/>
          </w:tcPr>
          <w:p w14:paraId="67533F95" w14:textId="77777777" w:rsidR="001B77DD" w:rsidRDefault="001B77DD">
            <w:pPr>
              <w:rPr>
                <w:rFonts w:ascii="宋体"/>
              </w:rPr>
            </w:pPr>
          </w:p>
        </w:tc>
        <w:tc>
          <w:tcPr>
            <w:tcW w:w="1955" w:type="dxa"/>
            <w:shd w:val="clear" w:color="auto" w:fill="auto"/>
            <w:vAlign w:val="bottom"/>
          </w:tcPr>
          <w:p w14:paraId="67533F96" w14:textId="77777777" w:rsidR="001B77DD" w:rsidRDefault="001B77DD">
            <w:pPr>
              <w:rPr>
                <w:rFonts w:ascii="宋体"/>
              </w:rPr>
            </w:pPr>
          </w:p>
        </w:tc>
        <w:tc>
          <w:tcPr>
            <w:tcW w:w="20" w:type="dxa"/>
            <w:shd w:val="clear" w:color="auto" w:fill="auto"/>
            <w:vAlign w:val="bottom"/>
          </w:tcPr>
          <w:p w14:paraId="67533F97" w14:textId="77777777" w:rsidR="001B77DD" w:rsidRDefault="001B77DD">
            <w:pPr>
              <w:rPr>
                <w:rFonts w:ascii="宋体"/>
              </w:rPr>
            </w:pPr>
          </w:p>
        </w:tc>
      </w:tr>
      <w:tr w:rsidR="001B77DD" w14:paraId="67533F9C" w14:textId="77777777">
        <w:trPr>
          <w:trHeight w:val="280"/>
        </w:trPr>
        <w:tc>
          <w:tcPr>
            <w:tcW w:w="0" w:type="auto"/>
            <w:gridSpan w:val="3"/>
            <w:shd w:val="clear" w:color="auto" w:fill="auto"/>
            <w:tcMar>
              <w:top w:w="0" w:type="dxa"/>
              <w:left w:w="20" w:type="dxa"/>
              <w:bottom w:w="0" w:type="dxa"/>
              <w:right w:w="20" w:type="dxa"/>
            </w:tcMar>
            <w:vAlign w:val="bottom"/>
          </w:tcPr>
          <w:p w14:paraId="67533F99" w14:textId="77777777" w:rsidR="001B77DD" w:rsidRDefault="001B77DD"/>
        </w:tc>
        <w:tc>
          <w:tcPr>
            <w:tcW w:w="0" w:type="auto"/>
            <w:gridSpan w:val="3"/>
            <w:shd w:val="clear" w:color="auto" w:fill="auto"/>
            <w:tcMar>
              <w:top w:w="40" w:type="dxa"/>
              <w:left w:w="20" w:type="dxa"/>
              <w:bottom w:w="40" w:type="dxa"/>
              <w:right w:w="20" w:type="dxa"/>
            </w:tcMar>
            <w:vAlign w:val="bottom"/>
          </w:tcPr>
          <w:p w14:paraId="67533F9A" w14:textId="77777777" w:rsidR="001B77DD" w:rsidRDefault="00BF0A28">
            <w:pPr>
              <w:textAlignment w:val="bottom"/>
            </w:pPr>
            <w:r>
              <w:rPr>
                <w:rFonts w:ascii="Arial" w:eastAsia="宋体" w:hAnsi="Arial" w:cs="Arial"/>
                <w:color w:val="004A86"/>
                <w:sz w:val="16"/>
                <w:szCs w:val="16"/>
              </w:rPr>
              <w:t>■</w:t>
            </w:r>
            <w:r>
              <w:rPr>
                <w:rFonts w:ascii="Arial" w:eastAsia="宋体" w:hAnsi="Arial" w:cs="Arial"/>
                <w:color w:val="262626"/>
                <w:sz w:val="16"/>
                <w:szCs w:val="16"/>
              </w:rPr>
              <w:t xml:space="preserve"> Capital Investment</w:t>
            </w:r>
          </w:p>
        </w:tc>
        <w:tc>
          <w:tcPr>
            <w:tcW w:w="0" w:type="auto"/>
            <w:gridSpan w:val="3"/>
            <w:shd w:val="clear" w:color="auto" w:fill="auto"/>
            <w:tcMar>
              <w:top w:w="40" w:type="dxa"/>
              <w:left w:w="20" w:type="dxa"/>
              <w:bottom w:w="40" w:type="dxa"/>
              <w:right w:w="20" w:type="dxa"/>
            </w:tcMar>
            <w:vAlign w:val="bottom"/>
          </w:tcPr>
          <w:p w14:paraId="67533F9B" w14:textId="77777777" w:rsidR="001B77DD" w:rsidRDefault="00BF0A28">
            <w:pP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Free Cash Flow</w:t>
            </w:r>
            <w:r>
              <w:rPr>
                <w:rFonts w:ascii="Arial" w:eastAsia="宋体" w:hAnsi="Arial" w:cs="Arial"/>
                <w:color w:val="262626"/>
                <w:sz w:val="10"/>
                <w:szCs w:val="10"/>
              </w:rPr>
              <w:t>1</w:t>
            </w:r>
          </w:p>
        </w:tc>
      </w:tr>
    </w:tbl>
    <w:p w14:paraId="67533F9D" w14:textId="77777777" w:rsidR="001B77DD" w:rsidRDefault="00BF0A28">
      <w:pPr>
        <w:spacing w:after="180"/>
      </w:pPr>
      <w:r>
        <w:rPr>
          <w:rFonts w:ascii="Arial" w:eastAsia="宋体" w:hAnsi="Arial" w:cs="Arial"/>
          <w:color w:val="0068B5"/>
        </w:rPr>
        <w:t xml:space="preserve">Our Financial Capital Allocation Decisions Are </w:t>
      </w:r>
      <w:r>
        <w:rPr>
          <w:rFonts w:ascii="Arial" w:eastAsia="宋体" w:hAnsi="Arial" w:cs="Arial"/>
          <w:color w:val="0068B5"/>
        </w:rPr>
        <w:t>Driven by Three Priorities</w:t>
      </w:r>
    </w:p>
    <w:p w14:paraId="67533F9E" w14:textId="77777777" w:rsidR="001B77DD" w:rsidRDefault="00BF0A28">
      <w:pPr>
        <w:spacing w:after="120"/>
      </w:pPr>
      <w:r>
        <w:rPr>
          <w:rFonts w:ascii="Arial" w:eastAsia="宋体" w:hAnsi="Arial" w:cs="Arial"/>
          <w:color w:val="0068B5"/>
          <w:sz w:val="20"/>
          <w:szCs w:val="20"/>
        </w:rPr>
        <w:t>Invest in the Business</w:t>
      </w:r>
    </w:p>
    <w:p w14:paraId="67533F9F" w14:textId="77777777" w:rsidR="001B77DD" w:rsidRDefault="00BF0A28">
      <w:pPr>
        <w:spacing w:after="180"/>
      </w:pPr>
      <w:r>
        <w:rPr>
          <w:rFonts w:ascii="Arial" w:eastAsia="宋体" w:hAnsi="Arial" w:cs="Arial"/>
          <w:color w:val="262626"/>
          <w:sz w:val="18"/>
          <w:szCs w:val="18"/>
        </w:rPr>
        <w:t>Our first allocation priority is to invest in R&amp;D and capital spending to capitalize on the opportunity presented by the world's demand for semiconductors. We expect to increase our R&amp;D investment and our c</w:t>
      </w:r>
      <w:r>
        <w:rPr>
          <w:rFonts w:ascii="Arial" w:eastAsia="宋体" w:hAnsi="Arial" w:cs="Arial"/>
          <w:color w:val="262626"/>
          <w:sz w:val="18"/>
          <w:szCs w:val="18"/>
        </w:rPr>
        <w:t>apital investments in support of our IDM 2.0 strategy.</w:t>
      </w:r>
    </w:p>
    <w:p w14:paraId="67533FA0" w14:textId="77777777" w:rsidR="001B77DD" w:rsidRDefault="00BF0A28">
      <w:pPr>
        <w:spacing w:after="120"/>
      </w:pPr>
      <w:r>
        <w:rPr>
          <w:rFonts w:ascii="Arial" w:eastAsia="宋体" w:hAnsi="Arial" w:cs="Arial"/>
          <w:color w:val="0068B5"/>
          <w:sz w:val="20"/>
          <w:szCs w:val="20"/>
        </w:rPr>
        <w:t>Acquire and Integrate</w:t>
      </w:r>
    </w:p>
    <w:p w14:paraId="67533FA1" w14:textId="77777777" w:rsidR="001B77DD" w:rsidRDefault="00BF0A28">
      <w:pPr>
        <w:spacing w:after="180"/>
      </w:pPr>
      <w:r>
        <w:rPr>
          <w:rFonts w:ascii="Arial" w:eastAsia="宋体" w:hAnsi="Arial" w:cs="Arial"/>
          <w:color w:val="262626"/>
          <w:sz w:val="18"/>
          <w:szCs w:val="18"/>
        </w:rPr>
        <w:t xml:space="preserve">Our second allocation priority is to invest in and acquire companies that complement our strategic objectives. We look for acquisitions that supplement and strengthen our capital </w:t>
      </w:r>
      <w:r>
        <w:rPr>
          <w:rFonts w:ascii="Arial" w:eastAsia="宋体" w:hAnsi="Arial" w:cs="Arial"/>
          <w:color w:val="262626"/>
          <w:sz w:val="18"/>
          <w:szCs w:val="18"/>
        </w:rPr>
        <w:t>and R&amp;D investments. Our key acquisitions over the last three years include our 2020 acquisition of Moovit to accelerate Mobileye’s mobility-as-a-service offering and our 2019 acquisition of Habana Labs to strengthen and extend the reach of our AI portfoli</w:t>
      </w:r>
      <w:r>
        <w:rPr>
          <w:rFonts w:ascii="Arial" w:eastAsia="宋体" w:hAnsi="Arial" w:cs="Arial"/>
          <w:color w:val="262626"/>
          <w:sz w:val="18"/>
          <w:szCs w:val="18"/>
        </w:rPr>
        <w:t>o.</w:t>
      </w:r>
    </w:p>
    <w:p w14:paraId="67533FA2" w14:textId="77777777" w:rsidR="001B77DD" w:rsidRDefault="00BF0A28">
      <w:pPr>
        <w:spacing w:after="180"/>
      </w:pPr>
      <w:r>
        <w:rPr>
          <w:rFonts w:ascii="Arial" w:eastAsia="宋体" w:hAnsi="Arial" w:cs="Arial"/>
          <w:color w:val="262626"/>
          <w:sz w:val="18"/>
          <w:szCs w:val="18"/>
        </w:rPr>
        <w:t xml:space="preserve">We take action when investments do not strategically align to our key priorities, and subsequent to our fiscal 2021 year-end, we completed the first closing of the divestiture of our NAND memory business. Additionally, in 2020 we completed the </w:t>
      </w:r>
      <w:r>
        <w:rPr>
          <w:rFonts w:ascii="Arial" w:eastAsia="宋体" w:hAnsi="Arial" w:cs="Arial"/>
          <w:color w:val="262626"/>
          <w:sz w:val="18"/>
          <w:szCs w:val="18"/>
        </w:rPr>
        <w:t>divestiture of the majority of Home Gateway Platform, a division of CCG, and in 2019 we divested the majority of our smartphone modem business.</w:t>
      </w:r>
    </w:p>
    <w:p w14:paraId="67533FA3" w14:textId="77777777" w:rsidR="001B77DD" w:rsidRDefault="00BF0A28">
      <w:pPr>
        <w:spacing w:after="180"/>
      </w:pPr>
      <w:r>
        <w:rPr>
          <w:rFonts w:ascii="Arial" w:eastAsia="宋体" w:hAnsi="Arial" w:cs="Arial"/>
          <w:color w:val="0068B5"/>
          <w:sz w:val="20"/>
          <w:szCs w:val="20"/>
        </w:rPr>
        <w:t>Return Cash to Stockholders</w:t>
      </w:r>
    </w:p>
    <w:p w14:paraId="67533FA4" w14:textId="77777777" w:rsidR="001B77DD" w:rsidRDefault="00BF0A28">
      <w:pPr>
        <w:spacing w:after="300"/>
      </w:pPr>
      <w:r>
        <w:rPr>
          <w:rFonts w:ascii="Arial" w:eastAsia="宋体" w:hAnsi="Arial" w:cs="Arial"/>
          <w:color w:val="262626"/>
          <w:sz w:val="18"/>
          <w:szCs w:val="18"/>
        </w:rPr>
        <w:t>Our third allocation priority is to return cash to stockholders. We achieve this thr</w:t>
      </w:r>
      <w:r>
        <w:rPr>
          <w:rFonts w:ascii="Arial" w:eastAsia="宋体" w:hAnsi="Arial" w:cs="Arial"/>
          <w:color w:val="262626"/>
          <w:sz w:val="18"/>
          <w:szCs w:val="18"/>
        </w:rPr>
        <w:t xml:space="preserve">ough our dividend and share repurchase programs. We expect our future stock repurchases to be significantly below our levels from the last few years. </w:t>
      </w:r>
    </w:p>
    <w:tbl>
      <w:tblPr>
        <w:tblW w:w="10980" w:type="dxa"/>
        <w:tblCellMar>
          <w:top w:w="15" w:type="dxa"/>
          <w:left w:w="15" w:type="dxa"/>
          <w:bottom w:w="15" w:type="dxa"/>
          <w:right w:w="15" w:type="dxa"/>
        </w:tblCellMar>
        <w:tblLook w:val="04A0" w:firstRow="1" w:lastRow="0" w:firstColumn="1" w:lastColumn="0" w:noHBand="0" w:noVBand="1"/>
      </w:tblPr>
      <w:tblGrid>
        <w:gridCol w:w="37"/>
        <w:gridCol w:w="36"/>
        <w:gridCol w:w="5220"/>
        <w:gridCol w:w="36"/>
        <w:gridCol w:w="36"/>
        <w:gridCol w:w="153"/>
        <w:gridCol w:w="36"/>
        <w:gridCol w:w="36"/>
        <w:gridCol w:w="5354"/>
        <w:gridCol w:w="36"/>
      </w:tblGrid>
      <w:tr w:rsidR="001B77DD" w14:paraId="67533FAF" w14:textId="77777777">
        <w:trPr>
          <w:hidden/>
        </w:trPr>
        <w:tc>
          <w:tcPr>
            <w:tcW w:w="0" w:type="auto"/>
            <w:shd w:val="clear" w:color="auto" w:fill="auto"/>
            <w:vAlign w:val="bottom"/>
          </w:tcPr>
          <w:p w14:paraId="67533FA5" w14:textId="77777777" w:rsidR="001B77DD" w:rsidRDefault="001B77DD">
            <w:pPr>
              <w:rPr>
                <w:rFonts w:ascii="宋体"/>
                <w:vanish/>
              </w:rPr>
            </w:pPr>
          </w:p>
        </w:tc>
        <w:tc>
          <w:tcPr>
            <w:tcW w:w="20" w:type="dxa"/>
            <w:shd w:val="clear" w:color="auto" w:fill="auto"/>
            <w:vAlign w:val="bottom"/>
          </w:tcPr>
          <w:p w14:paraId="67533FA6" w14:textId="77777777" w:rsidR="001B77DD" w:rsidRDefault="001B77DD">
            <w:pPr>
              <w:rPr>
                <w:rFonts w:ascii="宋体"/>
              </w:rPr>
            </w:pPr>
          </w:p>
        </w:tc>
        <w:tc>
          <w:tcPr>
            <w:tcW w:w="5285" w:type="dxa"/>
            <w:shd w:val="clear" w:color="auto" w:fill="auto"/>
            <w:vAlign w:val="bottom"/>
          </w:tcPr>
          <w:p w14:paraId="67533FA7" w14:textId="77777777" w:rsidR="001B77DD" w:rsidRDefault="001B77DD">
            <w:pPr>
              <w:rPr>
                <w:rFonts w:ascii="宋体"/>
              </w:rPr>
            </w:pPr>
          </w:p>
        </w:tc>
        <w:tc>
          <w:tcPr>
            <w:tcW w:w="20" w:type="dxa"/>
            <w:shd w:val="clear" w:color="auto" w:fill="auto"/>
            <w:vAlign w:val="bottom"/>
          </w:tcPr>
          <w:p w14:paraId="67533FA8" w14:textId="77777777" w:rsidR="001B77DD" w:rsidRDefault="001B77DD">
            <w:pPr>
              <w:rPr>
                <w:rFonts w:ascii="宋体"/>
              </w:rPr>
            </w:pPr>
          </w:p>
        </w:tc>
        <w:tc>
          <w:tcPr>
            <w:tcW w:w="20" w:type="dxa"/>
            <w:shd w:val="clear" w:color="auto" w:fill="auto"/>
            <w:vAlign w:val="bottom"/>
          </w:tcPr>
          <w:p w14:paraId="67533FA9" w14:textId="77777777" w:rsidR="001B77DD" w:rsidRDefault="001B77DD">
            <w:pPr>
              <w:rPr>
                <w:rFonts w:ascii="宋体"/>
              </w:rPr>
            </w:pPr>
          </w:p>
        </w:tc>
        <w:tc>
          <w:tcPr>
            <w:tcW w:w="155" w:type="dxa"/>
            <w:shd w:val="clear" w:color="auto" w:fill="auto"/>
            <w:vAlign w:val="bottom"/>
          </w:tcPr>
          <w:p w14:paraId="67533FAA" w14:textId="77777777" w:rsidR="001B77DD" w:rsidRDefault="001B77DD">
            <w:pPr>
              <w:rPr>
                <w:rFonts w:ascii="宋体"/>
              </w:rPr>
            </w:pPr>
          </w:p>
        </w:tc>
        <w:tc>
          <w:tcPr>
            <w:tcW w:w="20" w:type="dxa"/>
            <w:shd w:val="clear" w:color="auto" w:fill="auto"/>
            <w:vAlign w:val="bottom"/>
          </w:tcPr>
          <w:p w14:paraId="67533FAB" w14:textId="77777777" w:rsidR="001B77DD" w:rsidRDefault="001B77DD">
            <w:pPr>
              <w:rPr>
                <w:rFonts w:ascii="宋体"/>
              </w:rPr>
            </w:pPr>
          </w:p>
        </w:tc>
        <w:tc>
          <w:tcPr>
            <w:tcW w:w="20" w:type="dxa"/>
            <w:shd w:val="clear" w:color="auto" w:fill="auto"/>
            <w:vAlign w:val="bottom"/>
          </w:tcPr>
          <w:p w14:paraId="67533FAC" w14:textId="77777777" w:rsidR="001B77DD" w:rsidRDefault="001B77DD">
            <w:pPr>
              <w:rPr>
                <w:rFonts w:ascii="宋体"/>
              </w:rPr>
            </w:pPr>
          </w:p>
        </w:tc>
        <w:tc>
          <w:tcPr>
            <w:tcW w:w="5420" w:type="dxa"/>
            <w:shd w:val="clear" w:color="auto" w:fill="auto"/>
            <w:vAlign w:val="bottom"/>
          </w:tcPr>
          <w:p w14:paraId="67533FAD" w14:textId="77777777" w:rsidR="001B77DD" w:rsidRDefault="001B77DD">
            <w:pPr>
              <w:rPr>
                <w:rFonts w:ascii="宋体"/>
              </w:rPr>
            </w:pPr>
          </w:p>
        </w:tc>
        <w:tc>
          <w:tcPr>
            <w:tcW w:w="20" w:type="dxa"/>
            <w:shd w:val="clear" w:color="auto" w:fill="auto"/>
            <w:vAlign w:val="bottom"/>
          </w:tcPr>
          <w:p w14:paraId="67533FAE" w14:textId="77777777" w:rsidR="001B77DD" w:rsidRDefault="001B77DD">
            <w:pPr>
              <w:rPr>
                <w:rFonts w:ascii="宋体"/>
              </w:rPr>
            </w:pPr>
          </w:p>
        </w:tc>
      </w:tr>
      <w:tr w:rsidR="001B77DD" w14:paraId="67533FB4" w14:textId="77777777">
        <w:trPr>
          <w:trHeight w:val="220"/>
          <w:hidden/>
        </w:trPr>
        <w:tc>
          <w:tcPr>
            <w:tcW w:w="0" w:type="auto"/>
            <w:shd w:val="clear" w:color="auto" w:fill="auto"/>
            <w:vAlign w:val="bottom"/>
          </w:tcPr>
          <w:p w14:paraId="67533FB0" w14:textId="77777777" w:rsidR="001B77DD" w:rsidRDefault="001B77DD">
            <w:pPr>
              <w:rPr>
                <w:rFonts w:ascii="宋体"/>
                <w:vanish/>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3FB1" w14:textId="77777777" w:rsidR="001B77DD" w:rsidRDefault="00BF0A28">
            <w:pPr>
              <w:jc w:val="center"/>
              <w:textAlignment w:val="bottom"/>
            </w:pPr>
            <w:r>
              <w:rPr>
                <w:rFonts w:ascii="Arial" w:eastAsia="宋体" w:hAnsi="Arial" w:cs="Arial"/>
                <w:color w:val="0068B5"/>
                <w:sz w:val="20"/>
                <w:szCs w:val="20"/>
              </w:rPr>
              <w:t>R&amp;D and Capital Investments $B</w:t>
            </w:r>
          </w:p>
        </w:tc>
        <w:tc>
          <w:tcPr>
            <w:tcW w:w="0" w:type="auto"/>
            <w:gridSpan w:val="3"/>
            <w:shd w:val="clear" w:color="auto" w:fill="auto"/>
            <w:tcMar>
              <w:top w:w="0" w:type="dxa"/>
              <w:left w:w="20" w:type="dxa"/>
              <w:bottom w:w="0" w:type="dxa"/>
              <w:right w:w="20" w:type="dxa"/>
            </w:tcMar>
            <w:vAlign w:val="bottom"/>
          </w:tcPr>
          <w:p w14:paraId="67533FB2"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3FB3" w14:textId="77777777" w:rsidR="001B77DD" w:rsidRDefault="00BF0A28">
            <w:pPr>
              <w:jc w:val="center"/>
              <w:textAlignment w:val="bottom"/>
            </w:pPr>
            <w:r>
              <w:rPr>
                <w:rFonts w:ascii="Arial" w:eastAsia="宋体" w:hAnsi="Arial" w:cs="Arial"/>
                <w:color w:val="0068B5"/>
                <w:sz w:val="20"/>
                <w:szCs w:val="20"/>
              </w:rPr>
              <w:t>Cash to Stockholders $B</w:t>
            </w:r>
          </w:p>
        </w:tc>
      </w:tr>
    </w:tbl>
    <w:p w14:paraId="67533FB5" w14:textId="77777777" w:rsidR="001B77DD" w:rsidRDefault="00BF0A28">
      <w:pPr>
        <w:ind w:firstLine="99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C5" wp14:editId="67538DC6">
            <wp:extent cx="304800" cy="304800"/>
            <wp:effectExtent l="0" t="0" r="0" b="0"/>
            <wp:docPr id="10" name="图片 71"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1" descr="IMG_28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w:instrText>
      </w:r>
      <w:r>
        <w:rPr>
          <w:rFonts w:ascii="宋体" w:eastAsia="宋体" w:hAnsi="宋体" w:cs="宋体"/>
        </w:rPr>
        <w:instrText xml:space="preserve">tc-20211225_g24.jpg"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C7" wp14:editId="67538DC8">
            <wp:extent cx="304800" cy="304800"/>
            <wp:effectExtent l="0" t="0" r="0" b="0"/>
            <wp:docPr id="40" name="图片 72"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2" descr="IMG_28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36"/>
        <w:gridCol w:w="1652"/>
        <w:gridCol w:w="36"/>
        <w:gridCol w:w="36"/>
        <w:gridCol w:w="561"/>
        <w:gridCol w:w="36"/>
        <w:gridCol w:w="36"/>
        <w:gridCol w:w="620"/>
        <w:gridCol w:w="36"/>
        <w:gridCol w:w="36"/>
        <w:gridCol w:w="832"/>
        <w:gridCol w:w="36"/>
        <w:gridCol w:w="36"/>
        <w:gridCol w:w="1284"/>
        <w:gridCol w:w="36"/>
        <w:gridCol w:w="36"/>
        <w:gridCol w:w="1611"/>
        <w:gridCol w:w="36"/>
        <w:gridCol w:w="36"/>
        <w:gridCol w:w="845"/>
        <w:gridCol w:w="36"/>
        <w:gridCol w:w="36"/>
        <w:gridCol w:w="888"/>
        <w:gridCol w:w="36"/>
        <w:gridCol w:w="36"/>
        <w:gridCol w:w="1895"/>
        <w:gridCol w:w="36"/>
        <w:gridCol w:w="36"/>
        <w:gridCol w:w="36"/>
        <w:gridCol w:w="36"/>
      </w:tblGrid>
      <w:tr w:rsidR="001B77DD" w14:paraId="67533FD3" w14:textId="77777777">
        <w:trPr>
          <w:hidden/>
        </w:trPr>
        <w:tc>
          <w:tcPr>
            <w:tcW w:w="0" w:type="auto"/>
            <w:shd w:val="clear" w:color="auto" w:fill="auto"/>
            <w:vAlign w:val="bottom"/>
          </w:tcPr>
          <w:p w14:paraId="67533FB6" w14:textId="77777777" w:rsidR="001B77DD" w:rsidRDefault="001B77DD">
            <w:pPr>
              <w:rPr>
                <w:rFonts w:ascii="宋体"/>
                <w:vanish/>
              </w:rPr>
            </w:pPr>
          </w:p>
        </w:tc>
        <w:tc>
          <w:tcPr>
            <w:tcW w:w="20" w:type="dxa"/>
            <w:shd w:val="clear" w:color="auto" w:fill="auto"/>
            <w:vAlign w:val="bottom"/>
          </w:tcPr>
          <w:p w14:paraId="67533FB7" w14:textId="77777777" w:rsidR="001B77DD" w:rsidRDefault="001B77DD">
            <w:pPr>
              <w:rPr>
                <w:rFonts w:ascii="宋体"/>
              </w:rPr>
            </w:pPr>
          </w:p>
        </w:tc>
        <w:tc>
          <w:tcPr>
            <w:tcW w:w="1745" w:type="dxa"/>
            <w:shd w:val="clear" w:color="auto" w:fill="auto"/>
            <w:vAlign w:val="bottom"/>
          </w:tcPr>
          <w:p w14:paraId="67533FB8" w14:textId="77777777" w:rsidR="001B77DD" w:rsidRDefault="001B77DD">
            <w:pPr>
              <w:rPr>
                <w:rFonts w:ascii="宋体"/>
              </w:rPr>
            </w:pPr>
          </w:p>
        </w:tc>
        <w:tc>
          <w:tcPr>
            <w:tcW w:w="20" w:type="dxa"/>
            <w:shd w:val="clear" w:color="auto" w:fill="auto"/>
            <w:vAlign w:val="bottom"/>
          </w:tcPr>
          <w:p w14:paraId="67533FB9" w14:textId="77777777" w:rsidR="001B77DD" w:rsidRDefault="001B77DD">
            <w:pPr>
              <w:rPr>
                <w:rFonts w:ascii="宋体"/>
              </w:rPr>
            </w:pPr>
          </w:p>
        </w:tc>
        <w:tc>
          <w:tcPr>
            <w:tcW w:w="20" w:type="dxa"/>
            <w:shd w:val="clear" w:color="auto" w:fill="auto"/>
            <w:vAlign w:val="bottom"/>
          </w:tcPr>
          <w:p w14:paraId="67533FBA" w14:textId="77777777" w:rsidR="001B77DD" w:rsidRDefault="001B77DD">
            <w:pPr>
              <w:rPr>
                <w:rFonts w:ascii="宋体"/>
              </w:rPr>
            </w:pPr>
          </w:p>
        </w:tc>
        <w:tc>
          <w:tcPr>
            <w:tcW w:w="575" w:type="dxa"/>
            <w:shd w:val="clear" w:color="auto" w:fill="auto"/>
            <w:vAlign w:val="bottom"/>
          </w:tcPr>
          <w:p w14:paraId="67533FBB" w14:textId="77777777" w:rsidR="001B77DD" w:rsidRDefault="001B77DD">
            <w:pPr>
              <w:rPr>
                <w:rFonts w:ascii="宋体"/>
              </w:rPr>
            </w:pPr>
          </w:p>
        </w:tc>
        <w:tc>
          <w:tcPr>
            <w:tcW w:w="20" w:type="dxa"/>
            <w:shd w:val="clear" w:color="auto" w:fill="auto"/>
            <w:vAlign w:val="bottom"/>
          </w:tcPr>
          <w:p w14:paraId="67533FBC" w14:textId="77777777" w:rsidR="001B77DD" w:rsidRDefault="001B77DD">
            <w:pPr>
              <w:rPr>
                <w:rFonts w:ascii="宋体"/>
              </w:rPr>
            </w:pPr>
          </w:p>
        </w:tc>
        <w:tc>
          <w:tcPr>
            <w:tcW w:w="20" w:type="dxa"/>
            <w:shd w:val="clear" w:color="auto" w:fill="auto"/>
            <w:vAlign w:val="bottom"/>
          </w:tcPr>
          <w:p w14:paraId="67533FBD" w14:textId="77777777" w:rsidR="001B77DD" w:rsidRDefault="001B77DD">
            <w:pPr>
              <w:rPr>
                <w:rFonts w:ascii="宋体"/>
              </w:rPr>
            </w:pPr>
          </w:p>
        </w:tc>
        <w:tc>
          <w:tcPr>
            <w:tcW w:w="635" w:type="dxa"/>
            <w:shd w:val="clear" w:color="auto" w:fill="auto"/>
            <w:vAlign w:val="bottom"/>
          </w:tcPr>
          <w:p w14:paraId="67533FBE" w14:textId="77777777" w:rsidR="001B77DD" w:rsidRDefault="001B77DD">
            <w:pPr>
              <w:rPr>
                <w:rFonts w:ascii="宋体"/>
              </w:rPr>
            </w:pPr>
          </w:p>
        </w:tc>
        <w:tc>
          <w:tcPr>
            <w:tcW w:w="20" w:type="dxa"/>
            <w:shd w:val="clear" w:color="auto" w:fill="auto"/>
            <w:vAlign w:val="bottom"/>
          </w:tcPr>
          <w:p w14:paraId="67533FBF" w14:textId="77777777" w:rsidR="001B77DD" w:rsidRDefault="001B77DD">
            <w:pPr>
              <w:rPr>
                <w:rFonts w:ascii="宋体"/>
              </w:rPr>
            </w:pPr>
          </w:p>
        </w:tc>
        <w:tc>
          <w:tcPr>
            <w:tcW w:w="20" w:type="dxa"/>
            <w:shd w:val="clear" w:color="auto" w:fill="auto"/>
            <w:vAlign w:val="bottom"/>
          </w:tcPr>
          <w:p w14:paraId="67533FC0" w14:textId="77777777" w:rsidR="001B77DD" w:rsidRDefault="001B77DD">
            <w:pPr>
              <w:rPr>
                <w:rFonts w:ascii="宋体"/>
              </w:rPr>
            </w:pPr>
          </w:p>
        </w:tc>
        <w:tc>
          <w:tcPr>
            <w:tcW w:w="845" w:type="dxa"/>
            <w:shd w:val="clear" w:color="auto" w:fill="auto"/>
            <w:vAlign w:val="bottom"/>
          </w:tcPr>
          <w:p w14:paraId="67533FC1" w14:textId="77777777" w:rsidR="001B77DD" w:rsidRDefault="001B77DD">
            <w:pPr>
              <w:rPr>
                <w:rFonts w:ascii="宋体"/>
              </w:rPr>
            </w:pPr>
          </w:p>
        </w:tc>
        <w:tc>
          <w:tcPr>
            <w:tcW w:w="20" w:type="dxa"/>
            <w:shd w:val="clear" w:color="auto" w:fill="auto"/>
            <w:vAlign w:val="bottom"/>
          </w:tcPr>
          <w:p w14:paraId="67533FC2" w14:textId="77777777" w:rsidR="001B77DD" w:rsidRDefault="001B77DD">
            <w:pPr>
              <w:rPr>
                <w:rFonts w:ascii="宋体"/>
              </w:rPr>
            </w:pPr>
          </w:p>
        </w:tc>
        <w:tc>
          <w:tcPr>
            <w:tcW w:w="20" w:type="dxa"/>
            <w:shd w:val="clear" w:color="auto" w:fill="auto"/>
            <w:vAlign w:val="bottom"/>
          </w:tcPr>
          <w:p w14:paraId="67533FC3" w14:textId="77777777" w:rsidR="001B77DD" w:rsidRDefault="001B77DD">
            <w:pPr>
              <w:rPr>
                <w:rFonts w:ascii="宋体"/>
              </w:rPr>
            </w:pPr>
          </w:p>
        </w:tc>
        <w:tc>
          <w:tcPr>
            <w:tcW w:w="1355" w:type="dxa"/>
            <w:shd w:val="clear" w:color="auto" w:fill="auto"/>
            <w:vAlign w:val="bottom"/>
          </w:tcPr>
          <w:p w14:paraId="67533FC4" w14:textId="77777777" w:rsidR="001B77DD" w:rsidRDefault="001B77DD">
            <w:pPr>
              <w:rPr>
                <w:rFonts w:ascii="宋体"/>
              </w:rPr>
            </w:pPr>
          </w:p>
        </w:tc>
        <w:tc>
          <w:tcPr>
            <w:tcW w:w="20" w:type="dxa"/>
            <w:shd w:val="clear" w:color="auto" w:fill="auto"/>
            <w:vAlign w:val="bottom"/>
          </w:tcPr>
          <w:p w14:paraId="67533FC5" w14:textId="77777777" w:rsidR="001B77DD" w:rsidRDefault="001B77DD">
            <w:pPr>
              <w:rPr>
                <w:rFonts w:ascii="宋体"/>
              </w:rPr>
            </w:pPr>
          </w:p>
        </w:tc>
        <w:tc>
          <w:tcPr>
            <w:tcW w:w="20" w:type="dxa"/>
            <w:shd w:val="clear" w:color="auto" w:fill="auto"/>
            <w:vAlign w:val="bottom"/>
          </w:tcPr>
          <w:p w14:paraId="67533FC6" w14:textId="77777777" w:rsidR="001B77DD" w:rsidRDefault="001B77DD">
            <w:pPr>
              <w:rPr>
                <w:rFonts w:ascii="宋体"/>
              </w:rPr>
            </w:pPr>
          </w:p>
        </w:tc>
        <w:tc>
          <w:tcPr>
            <w:tcW w:w="1700" w:type="dxa"/>
            <w:shd w:val="clear" w:color="auto" w:fill="auto"/>
            <w:vAlign w:val="bottom"/>
          </w:tcPr>
          <w:p w14:paraId="67533FC7" w14:textId="77777777" w:rsidR="001B77DD" w:rsidRDefault="001B77DD">
            <w:pPr>
              <w:rPr>
                <w:rFonts w:ascii="宋体"/>
              </w:rPr>
            </w:pPr>
          </w:p>
        </w:tc>
        <w:tc>
          <w:tcPr>
            <w:tcW w:w="20" w:type="dxa"/>
            <w:shd w:val="clear" w:color="auto" w:fill="auto"/>
            <w:vAlign w:val="bottom"/>
          </w:tcPr>
          <w:p w14:paraId="67533FC8" w14:textId="77777777" w:rsidR="001B77DD" w:rsidRDefault="001B77DD">
            <w:pPr>
              <w:rPr>
                <w:rFonts w:ascii="宋体"/>
              </w:rPr>
            </w:pPr>
          </w:p>
        </w:tc>
        <w:tc>
          <w:tcPr>
            <w:tcW w:w="20" w:type="dxa"/>
            <w:shd w:val="clear" w:color="auto" w:fill="auto"/>
            <w:vAlign w:val="bottom"/>
          </w:tcPr>
          <w:p w14:paraId="67533FC9" w14:textId="77777777" w:rsidR="001B77DD" w:rsidRDefault="001B77DD">
            <w:pPr>
              <w:rPr>
                <w:rFonts w:ascii="宋体"/>
              </w:rPr>
            </w:pPr>
          </w:p>
        </w:tc>
        <w:tc>
          <w:tcPr>
            <w:tcW w:w="860" w:type="dxa"/>
            <w:shd w:val="clear" w:color="auto" w:fill="auto"/>
            <w:vAlign w:val="bottom"/>
          </w:tcPr>
          <w:p w14:paraId="67533FCA" w14:textId="77777777" w:rsidR="001B77DD" w:rsidRDefault="001B77DD">
            <w:pPr>
              <w:rPr>
                <w:rFonts w:ascii="宋体"/>
              </w:rPr>
            </w:pPr>
          </w:p>
        </w:tc>
        <w:tc>
          <w:tcPr>
            <w:tcW w:w="20" w:type="dxa"/>
            <w:shd w:val="clear" w:color="auto" w:fill="auto"/>
            <w:vAlign w:val="bottom"/>
          </w:tcPr>
          <w:p w14:paraId="67533FCB" w14:textId="77777777" w:rsidR="001B77DD" w:rsidRDefault="001B77DD">
            <w:pPr>
              <w:rPr>
                <w:rFonts w:ascii="宋体"/>
              </w:rPr>
            </w:pPr>
          </w:p>
        </w:tc>
        <w:tc>
          <w:tcPr>
            <w:tcW w:w="20" w:type="dxa"/>
            <w:shd w:val="clear" w:color="auto" w:fill="auto"/>
            <w:vAlign w:val="bottom"/>
          </w:tcPr>
          <w:p w14:paraId="67533FCC" w14:textId="77777777" w:rsidR="001B77DD" w:rsidRDefault="001B77DD">
            <w:pPr>
              <w:rPr>
                <w:rFonts w:ascii="宋体"/>
              </w:rPr>
            </w:pPr>
          </w:p>
        </w:tc>
        <w:tc>
          <w:tcPr>
            <w:tcW w:w="905" w:type="dxa"/>
            <w:shd w:val="clear" w:color="auto" w:fill="auto"/>
            <w:vAlign w:val="bottom"/>
          </w:tcPr>
          <w:p w14:paraId="67533FCD" w14:textId="77777777" w:rsidR="001B77DD" w:rsidRDefault="001B77DD">
            <w:pPr>
              <w:rPr>
                <w:rFonts w:ascii="宋体"/>
              </w:rPr>
            </w:pPr>
          </w:p>
        </w:tc>
        <w:tc>
          <w:tcPr>
            <w:tcW w:w="20" w:type="dxa"/>
            <w:shd w:val="clear" w:color="auto" w:fill="auto"/>
            <w:vAlign w:val="bottom"/>
          </w:tcPr>
          <w:p w14:paraId="67533FCE" w14:textId="77777777" w:rsidR="001B77DD" w:rsidRDefault="001B77DD">
            <w:pPr>
              <w:rPr>
                <w:rFonts w:ascii="宋体"/>
              </w:rPr>
            </w:pPr>
          </w:p>
        </w:tc>
        <w:tc>
          <w:tcPr>
            <w:tcW w:w="20" w:type="dxa"/>
            <w:shd w:val="clear" w:color="auto" w:fill="auto"/>
            <w:vAlign w:val="bottom"/>
          </w:tcPr>
          <w:p w14:paraId="67533FCF" w14:textId="77777777" w:rsidR="001B77DD" w:rsidRDefault="001B77DD">
            <w:pPr>
              <w:rPr>
                <w:rFonts w:ascii="宋体"/>
              </w:rPr>
            </w:pPr>
          </w:p>
        </w:tc>
        <w:tc>
          <w:tcPr>
            <w:tcW w:w="2000" w:type="dxa"/>
            <w:shd w:val="clear" w:color="auto" w:fill="auto"/>
            <w:vAlign w:val="bottom"/>
          </w:tcPr>
          <w:p w14:paraId="67533FD0" w14:textId="77777777" w:rsidR="001B77DD" w:rsidRDefault="001B77DD">
            <w:pPr>
              <w:rPr>
                <w:rFonts w:ascii="宋体"/>
              </w:rPr>
            </w:pPr>
          </w:p>
        </w:tc>
        <w:tc>
          <w:tcPr>
            <w:tcW w:w="20" w:type="dxa"/>
            <w:shd w:val="clear" w:color="auto" w:fill="auto"/>
            <w:vAlign w:val="bottom"/>
          </w:tcPr>
          <w:p w14:paraId="67533FD1" w14:textId="77777777" w:rsidR="001B77DD" w:rsidRDefault="001B77DD">
            <w:pPr>
              <w:rPr>
                <w:rFonts w:ascii="宋体"/>
              </w:rPr>
            </w:pPr>
          </w:p>
        </w:tc>
        <w:tc>
          <w:tcPr>
            <w:tcW w:w="0" w:type="auto"/>
            <w:gridSpan w:val="3"/>
            <w:shd w:val="clear" w:color="auto" w:fill="auto"/>
            <w:vAlign w:val="bottom"/>
          </w:tcPr>
          <w:p w14:paraId="67533FD2" w14:textId="77777777" w:rsidR="001B77DD" w:rsidRDefault="001B77DD">
            <w:pPr>
              <w:rPr>
                <w:rFonts w:ascii="宋体"/>
                <w:vanish/>
              </w:rPr>
            </w:pPr>
          </w:p>
        </w:tc>
      </w:tr>
      <w:tr w:rsidR="001B77DD" w14:paraId="67533FDF" w14:textId="77777777">
        <w:trPr>
          <w:trHeight w:val="220"/>
          <w:hidden/>
        </w:trPr>
        <w:tc>
          <w:tcPr>
            <w:tcW w:w="0" w:type="auto"/>
            <w:shd w:val="clear" w:color="auto" w:fill="auto"/>
            <w:vAlign w:val="bottom"/>
          </w:tcPr>
          <w:p w14:paraId="67533FD4"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3FD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FD6" w14:textId="77777777" w:rsidR="001B77DD" w:rsidRDefault="00BF0A28">
            <w:pP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R&amp;D</w:t>
            </w:r>
          </w:p>
        </w:tc>
        <w:tc>
          <w:tcPr>
            <w:tcW w:w="0" w:type="auto"/>
            <w:gridSpan w:val="3"/>
            <w:shd w:val="clear" w:color="auto" w:fill="auto"/>
            <w:tcMar>
              <w:top w:w="40" w:type="dxa"/>
              <w:left w:w="20" w:type="dxa"/>
              <w:bottom w:w="40" w:type="dxa"/>
              <w:right w:w="20" w:type="dxa"/>
            </w:tcMar>
          </w:tcPr>
          <w:p w14:paraId="67533FD7" w14:textId="77777777" w:rsidR="001B77DD" w:rsidRDefault="00BF0A28">
            <w:pP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Logic</w:t>
            </w:r>
          </w:p>
        </w:tc>
        <w:tc>
          <w:tcPr>
            <w:tcW w:w="0" w:type="auto"/>
            <w:gridSpan w:val="3"/>
            <w:shd w:val="clear" w:color="auto" w:fill="auto"/>
            <w:tcMar>
              <w:top w:w="40" w:type="dxa"/>
              <w:left w:w="20" w:type="dxa"/>
              <w:bottom w:w="40" w:type="dxa"/>
              <w:right w:w="20" w:type="dxa"/>
            </w:tcMar>
          </w:tcPr>
          <w:p w14:paraId="67533FD8" w14:textId="77777777" w:rsidR="001B77DD" w:rsidRDefault="00BF0A28">
            <w:pPr>
              <w:textAlignment w:val="top"/>
            </w:pPr>
            <w:r>
              <w:rPr>
                <w:rFonts w:ascii="Arial" w:eastAsia="宋体" w:hAnsi="Arial" w:cs="Arial"/>
                <w:color w:val="AEAEAE"/>
                <w:sz w:val="16"/>
                <w:szCs w:val="16"/>
              </w:rPr>
              <w:t>■</w:t>
            </w:r>
            <w:r>
              <w:rPr>
                <w:rFonts w:ascii="Arial" w:eastAsia="宋体" w:hAnsi="Arial" w:cs="Arial"/>
                <w:color w:val="262626"/>
                <w:sz w:val="16"/>
                <w:szCs w:val="16"/>
              </w:rPr>
              <w:t xml:space="preserve"> Memory</w:t>
            </w:r>
            <w:r>
              <w:rPr>
                <w:rFonts w:ascii="Arial" w:eastAsia="宋体" w:hAnsi="Arial" w:cs="Arial"/>
                <w:color w:val="262626"/>
                <w:sz w:val="10"/>
                <w:szCs w:val="10"/>
              </w:rPr>
              <w:t>2</w:t>
            </w:r>
          </w:p>
        </w:tc>
        <w:tc>
          <w:tcPr>
            <w:tcW w:w="0" w:type="auto"/>
            <w:gridSpan w:val="3"/>
            <w:shd w:val="clear" w:color="auto" w:fill="auto"/>
            <w:tcMar>
              <w:top w:w="0" w:type="dxa"/>
              <w:left w:w="20" w:type="dxa"/>
              <w:bottom w:w="0" w:type="dxa"/>
              <w:right w:w="20" w:type="dxa"/>
            </w:tcMar>
            <w:vAlign w:val="bottom"/>
          </w:tcPr>
          <w:p w14:paraId="67533FD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3FD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3FDB" w14:textId="77777777" w:rsidR="001B77DD" w:rsidRDefault="00BF0A28">
            <w:pP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Buyback</w:t>
            </w:r>
          </w:p>
        </w:tc>
        <w:tc>
          <w:tcPr>
            <w:tcW w:w="0" w:type="auto"/>
            <w:gridSpan w:val="3"/>
            <w:shd w:val="clear" w:color="auto" w:fill="auto"/>
            <w:tcMar>
              <w:top w:w="40" w:type="dxa"/>
              <w:left w:w="20" w:type="dxa"/>
              <w:bottom w:w="40" w:type="dxa"/>
              <w:right w:w="20" w:type="dxa"/>
            </w:tcMar>
          </w:tcPr>
          <w:p w14:paraId="67533FDC" w14:textId="77777777" w:rsidR="001B77DD" w:rsidRDefault="00BF0A28">
            <w:pPr>
              <w:spacing w:after="60"/>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Dividend</w:t>
            </w:r>
          </w:p>
        </w:tc>
        <w:tc>
          <w:tcPr>
            <w:tcW w:w="0" w:type="auto"/>
            <w:gridSpan w:val="3"/>
            <w:shd w:val="clear" w:color="auto" w:fill="auto"/>
            <w:tcMar>
              <w:top w:w="0" w:type="dxa"/>
              <w:left w:w="20" w:type="dxa"/>
              <w:bottom w:w="0" w:type="dxa"/>
              <w:right w:w="20" w:type="dxa"/>
            </w:tcMar>
            <w:vAlign w:val="bottom"/>
          </w:tcPr>
          <w:p w14:paraId="67533FDD" w14:textId="77777777" w:rsidR="001B77DD" w:rsidRDefault="001B77DD">
            <w:pPr>
              <w:rPr>
                <w:rFonts w:ascii="宋体"/>
              </w:rPr>
            </w:pPr>
          </w:p>
        </w:tc>
        <w:tc>
          <w:tcPr>
            <w:tcW w:w="0" w:type="auto"/>
            <w:gridSpan w:val="3"/>
            <w:shd w:val="clear" w:color="auto" w:fill="auto"/>
            <w:vAlign w:val="bottom"/>
          </w:tcPr>
          <w:p w14:paraId="67533FDE" w14:textId="77777777" w:rsidR="001B77DD" w:rsidRDefault="001B77DD">
            <w:pPr>
              <w:rPr>
                <w:rFonts w:ascii="宋体"/>
                <w:vanish/>
              </w:rPr>
            </w:pPr>
          </w:p>
        </w:tc>
      </w:tr>
      <w:tr w:rsidR="001B77DD" w14:paraId="67533FFB" w14:textId="77777777">
        <w:trPr>
          <w:hidden/>
        </w:trPr>
        <w:tc>
          <w:tcPr>
            <w:tcW w:w="0" w:type="auto"/>
            <w:shd w:val="clear" w:color="auto" w:fill="auto"/>
            <w:vAlign w:val="bottom"/>
          </w:tcPr>
          <w:p w14:paraId="67533FE0" w14:textId="77777777" w:rsidR="001B77DD" w:rsidRDefault="001B77DD">
            <w:pPr>
              <w:rPr>
                <w:rFonts w:ascii="宋体"/>
                <w:vanish/>
              </w:rPr>
            </w:pPr>
          </w:p>
        </w:tc>
        <w:tc>
          <w:tcPr>
            <w:tcW w:w="0" w:type="auto"/>
            <w:gridSpan w:val="3"/>
            <w:shd w:val="clear" w:color="auto" w:fill="auto"/>
            <w:vAlign w:val="bottom"/>
          </w:tcPr>
          <w:p w14:paraId="67533FE1" w14:textId="77777777" w:rsidR="001B77DD" w:rsidRDefault="001B77DD">
            <w:pPr>
              <w:rPr>
                <w:rFonts w:ascii="宋体"/>
                <w:vanish/>
              </w:rPr>
            </w:pPr>
          </w:p>
        </w:tc>
        <w:tc>
          <w:tcPr>
            <w:tcW w:w="0" w:type="auto"/>
            <w:gridSpan w:val="3"/>
            <w:shd w:val="clear" w:color="auto" w:fill="auto"/>
            <w:vAlign w:val="bottom"/>
          </w:tcPr>
          <w:p w14:paraId="67533FE2" w14:textId="77777777" w:rsidR="001B77DD" w:rsidRDefault="001B77DD">
            <w:pPr>
              <w:rPr>
                <w:rFonts w:ascii="宋体"/>
                <w:vanish/>
              </w:rPr>
            </w:pPr>
          </w:p>
        </w:tc>
        <w:tc>
          <w:tcPr>
            <w:tcW w:w="0" w:type="auto"/>
            <w:shd w:val="clear" w:color="auto" w:fill="auto"/>
            <w:vAlign w:val="bottom"/>
          </w:tcPr>
          <w:p w14:paraId="67533FE3" w14:textId="77777777" w:rsidR="001B77DD" w:rsidRDefault="001B77DD">
            <w:pPr>
              <w:rPr>
                <w:rFonts w:ascii="宋体"/>
              </w:rPr>
            </w:pPr>
          </w:p>
        </w:tc>
        <w:tc>
          <w:tcPr>
            <w:tcW w:w="0" w:type="auto"/>
            <w:shd w:val="clear" w:color="auto" w:fill="auto"/>
            <w:vAlign w:val="bottom"/>
          </w:tcPr>
          <w:p w14:paraId="67533FE4" w14:textId="77777777" w:rsidR="001B77DD" w:rsidRDefault="001B77DD">
            <w:pPr>
              <w:rPr>
                <w:rFonts w:ascii="宋体"/>
              </w:rPr>
            </w:pPr>
          </w:p>
        </w:tc>
        <w:tc>
          <w:tcPr>
            <w:tcW w:w="0" w:type="auto"/>
            <w:shd w:val="clear" w:color="auto" w:fill="auto"/>
            <w:vAlign w:val="bottom"/>
          </w:tcPr>
          <w:p w14:paraId="67533FE5" w14:textId="77777777" w:rsidR="001B77DD" w:rsidRDefault="001B77DD">
            <w:pPr>
              <w:rPr>
                <w:rFonts w:ascii="宋体"/>
              </w:rPr>
            </w:pPr>
          </w:p>
        </w:tc>
        <w:tc>
          <w:tcPr>
            <w:tcW w:w="0" w:type="auto"/>
            <w:shd w:val="clear" w:color="auto" w:fill="auto"/>
            <w:vAlign w:val="bottom"/>
          </w:tcPr>
          <w:p w14:paraId="67533FE6" w14:textId="77777777" w:rsidR="001B77DD" w:rsidRDefault="001B77DD">
            <w:pPr>
              <w:rPr>
                <w:rFonts w:ascii="宋体"/>
              </w:rPr>
            </w:pPr>
          </w:p>
        </w:tc>
        <w:tc>
          <w:tcPr>
            <w:tcW w:w="0" w:type="auto"/>
            <w:shd w:val="clear" w:color="auto" w:fill="auto"/>
            <w:vAlign w:val="bottom"/>
          </w:tcPr>
          <w:p w14:paraId="67533FE7" w14:textId="77777777" w:rsidR="001B77DD" w:rsidRDefault="001B77DD">
            <w:pPr>
              <w:rPr>
                <w:rFonts w:ascii="宋体"/>
              </w:rPr>
            </w:pPr>
          </w:p>
        </w:tc>
        <w:tc>
          <w:tcPr>
            <w:tcW w:w="0" w:type="auto"/>
            <w:shd w:val="clear" w:color="auto" w:fill="auto"/>
            <w:vAlign w:val="bottom"/>
          </w:tcPr>
          <w:p w14:paraId="67533FE8" w14:textId="77777777" w:rsidR="001B77DD" w:rsidRDefault="001B77DD">
            <w:pPr>
              <w:rPr>
                <w:rFonts w:ascii="宋体"/>
              </w:rPr>
            </w:pPr>
          </w:p>
        </w:tc>
        <w:tc>
          <w:tcPr>
            <w:tcW w:w="0" w:type="auto"/>
            <w:shd w:val="clear" w:color="auto" w:fill="auto"/>
            <w:vAlign w:val="bottom"/>
          </w:tcPr>
          <w:p w14:paraId="67533FE9" w14:textId="77777777" w:rsidR="001B77DD" w:rsidRDefault="001B77DD">
            <w:pPr>
              <w:rPr>
                <w:rFonts w:ascii="宋体"/>
              </w:rPr>
            </w:pPr>
          </w:p>
        </w:tc>
        <w:tc>
          <w:tcPr>
            <w:tcW w:w="0" w:type="auto"/>
            <w:shd w:val="clear" w:color="auto" w:fill="auto"/>
            <w:vAlign w:val="bottom"/>
          </w:tcPr>
          <w:p w14:paraId="67533FEA" w14:textId="77777777" w:rsidR="001B77DD" w:rsidRDefault="001B77DD">
            <w:pPr>
              <w:rPr>
                <w:rFonts w:ascii="宋体"/>
              </w:rPr>
            </w:pPr>
          </w:p>
        </w:tc>
        <w:tc>
          <w:tcPr>
            <w:tcW w:w="0" w:type="auto"/>
            <w:shd w:val="clear" w:color="auto" w:fill="auto"/>
            <w:vAlign w:val="bottom"/>
          </w:tcPr>
          <w:p w14:paraId="67533FEB" w14:textId="77777777" w:rsidR="001B77DD" w:rsidRDefault="001B77DD">
            <w:pPr>
              <w:rPr>
                <w:rFonts w:ascii="宋体"/>
              </w:rPr>
            </w:pPr>
          </w:p>
        </w:tc>
        <w:tc>
          <w:tcPr>
            <w:tcW w:w="0" w:type="auto"/>
            <w:shd w:val="clear" w:color="auto" w:fill="auto"/>
            <w:vAlign w:val="bottom"/>
          </w:tcPr>
          <w:p w14:paraId="67533FEC" w14:textId="77777777" w:rsidR="001B77DD" w:rsidRDefault="001B77DD">
            <w:pPr>
              <w:rPr>
                <w:rFonts w:ascii="宋体"/>
              </w:rPr>
            </w:pPr>
          </w:p>
        </w:tc>
        <w:tc>
          <w:tcPr>
            <w:tcW w:w="0" w:type="auto"/>
            <w:shd w:val="clear" w:color="auto" w:fill="auto"/>
            <w:vAlign w:val="bottom"/>
          </w:tcPr>
          <w:p w14:paraId="67533FED" w14:textId="77777777" w:rsidR="001B77DD" w:rsidRDefault="001B77DD">
            <w:pPr>
              <w:rPr>
                <w:rFonts w:ascii="宋体"/>
              </w:rPr>
            </w:pPr>
          </w:p>
        </w:tc>
        <w:tc>
          <w:tcPr>
            <w:tcW w:w="0" w:type="auto"/>
            <w:shd w:val="clear" w:color="auto" w:fill="auto"/>
            <w:vAlign w:val="bottom"/>
          </w:tcPr>
          <w:p w14:paraId="67533FEE" w14:textId="77777777" w:rsidR="001B77DD" w:rsidRDefault="001B77DD">
            <w:pPr>
              <w:rPr>
                <w:rFonts w:ascii="宋体"/>
              </w:rPr>
            </w:pPr>
          </w:p>
        </w:tc>
        <w:tc>
          <w:tcPr>
            <w:tcW w:w="0" w:type="auto"/>
            <w:shd w:val="clear" w:color="auto" w:fill="auto"/>
            <w:vAlign w:val="bottom"/>
          </w:tcPr>
          <w:p w14:paraId="67533FEF" w14:textId="77777777" w:rsidR="001B77DD" w:rsidRDefault="001B77DD">
            <w:pPr>
              <w:rPr>
                <w:rFonts w:ascii="宋体"/>
              </w:rPr>
            </w:pPr>
          </w:p>
        </w:tc>
        <w:tc>
          <w:tcPr>
            <w:tcW w:w="0" w:type="auto"/>
            <w:shd w:val="clear" w:color="auto" w:fill="auto"/>
            <w:vAlign w:val="bottom"/>
          </w:tcPr>
          <w:p w14:paraId="67533FF0" w14:textId="77777777" w:rsidR="001B77DD" w:rsidRDefault="001B77DD">
            <w:pPr>
              <w:rPr>
                <w:rFonts w:ascii="宋体"/>
              </w:rPr>
            </w:pPr>
          </w:p>
        </w:tc>
        <w:tc>
          <w:tcPr>
            <w:tcW w:w="0" w:type="auto"/>
            <w:shd w:val="clear" w:color="auto" w:fill="auto"/>
            <w:vAlign w:val="bottom"/>
          </w:tcPr>
          <w:p w14:paraId="67533FF1" w14:textId="77777777" w:rsidR="001B77DD" w:rsidRDefault="001B77DD">
            <w:pPr>
              <w:rPr>
                <w:rFonts w:ascii="宋体"/>
              </w:rPr>
            </w:pPr>
          </w:p>
        </w:tc>
        <w:tc>
          <w:tcPr>
            <w:tcW w:w="0" w:type="auto"/>
            <w:shd w:val="clear" w:color="auto" w:fill="auto"/>
            <w:vAlign w:val="bottom"/>
          </w:tcPr>
          <w:p w14:paraId="67533FF2" w14:textId="77777777" w:rsidR="001B77DD" w:rsidRDefault="001B77DD">
            <w:pPr>
              <w:rPr>
                <w:rFonts w:ascii="宋体"/>
              </w:rPr>
            </w:pPr>
          </w:p>
        </w:tc>
        <w:tc>
          <w:tcPr>
            <w:tcW w:w="0" w:type="auto"/>
            <w:shd w:val="clear" w:color="auto" w:fill="auto"/>
            <w:vAlign w:val="bottom"/>
          </w:tcPr>
          <w:p w14:paraId="67533FF3" w14:textId="77777777" w:rsidR="001B77DD" w:rsidRDefault="001B77DD">
            <w:pPr>
              <w:rPr>
                <w:rFonts w:ascii="宋体"/>
              </w:rPr>
            </w:pPr>
          </w:p>
        </w:tc>
        <w:tc>
          <w:tcPr>
            <w:tcW w:w="0" w:type="auto"/>
            <w:shd w:val="clear" w:color="auto" w:fill="auto"/>
            <w:vAlign w:val="bottom"/>
          </w:tcPr>
          <w:p w14:paraId="67533FF4" w14:textId="77777777" w:rsidR="001B77DD" w:rsidRDefault="001B77DD">
            <w:pPr>
              <w:rPr>
                <w:rFonts w:ascii="宋体"/>
              </w:rPr>
            </w:pPr>
          </w:p>
        </w:tc>
        <w:tc>
          <w:tcPr>
            <w:tcW w:w="0" w:type="auto"/>
            <w:shd w:val="clear" w:color="auto" w:fill="auto"/>
            <w:vAlign w:val="bottom"/>
          </w:tcPr>
          <w:p w14:paraId="67533FF5" w14:textId="77777777" w:rsidR="001B77DD" w:rsidRDefault="001B77DD">
            <w:pPr>
              <w:rPr>
                <w:rFonts w:ascii="宋体"/>
              </w:rPr>
            </w:pPr>
          </w:p>
        </w:tc>
        <w:tc>
          <w:tcPr>
            <w:tcW w:w="0" w:type="auto"/>
            <w:shd w:val="clear" w:color="auto" w:fill="auto"/>
            <w:vAlign w:val="bottom"/>
          </w:tcPr>
          <w:p w14:paraId="67533FF6" w14:textId="77777777" w:rsidR="001B77DD" w:rsidRDefault="001B77DD">
            <w:pPr>
              <w:rPr>
                <w:rFonts w:ascii="宋体"/>
              </w:rPr>
            </w:pPr>
          </w:p>
        </w:tc>
        <w:tc>
          <w:tcPr>
            <w:tcW w:w="0" w:type="auto"/>
            <w:shd w:val="clear" w:color="auto" w:fill="auto"/>
            <w:vAlign w:val="bottom"/>
          </w:tcPr>
          <w:p w14:paraId="67533FF7" w14:textId="77777777" w:rsidR="001B77DD" w:rsidRDefault="001B77DD">
            <w:pPr>
              <w:rPr>
                <w:rFonts w:ascii="宋体"/>
              </w:rPr>
            </w:pPr>
          </w:p>
        </w:tc>
        <w:tc>
          <w:tcPr>
            <w:tcW w:w="0" w:type="auto"/>
            <w:shd w:val="clear" w:color="auto" w:fill="auto"/>
            <w:vAlign w:val="bottom"/>
          </w:tcPr>
          <w:p w14:paraId="67533FF8" w14:textId="77777777" w:rsidR="001B77DD" w:rsidRDefault="001B77DD">
            <w:pPr>
              <w:rPr>
                <w:rFonts w:ascii="宋体"/>
              </w:rPr>
            </w:pPr>
          </w:p>
        </w:tc>
        <w:tc>
          <w:tcPr>
            <w:tcW w:w="0" w:type="auto"/>
            <w:shd w:val="clear" w:color="auto" w:fill="auto"/>
            <w:vAlign w:val="bottom"/>
          </w:tcPr>
          <w:p w14:paraId="67533FF9" w14:textId="77777777" w:rsidR="001B77DD" w:rsidRDefault="001B77DD">
            <w:pPr>
              <w:rPr>
                <w:rFonts w:ascii="宋体"/>
              </w:rPr>
            </w:pPr>
          </w:p>
        </w:tc>
        <w:tc>
          <w:tcPr>
            <w:tcW w:w="0" w:type="auto"/>
            <w:shd w:val="clear" w:color="auto" w:fill="auto"/>
            <w:vAlign w:val="bottom"/>
          </w:tcPr>
          <w:p w14:paraId="67533FFA" w14:textId="77777777" w:rsidR="001B77DD" w:rsidRDefault="001B77DD">
            <w:pPr>
              <w:rPr>
                <w:rFonts w:ascii="宋体"/>
              </w:rPr>
            </w:pPr>
          </w:p>
        </w:tc>
      </w:tr>
    </w:tbl>
    <w:p w14:paraId="67533FFC" w14:textId="77777777" w:rsidR="001B77DD" w:rsidRDefault="001B77DD"/>
    <w:p w14:paraId="67533FFD" w14:textId="77777777" w:rsidR="001B77DD" w:rsidRDefault="001B77DD"/>
    <w:p w14:paraId="67533FFE" w14:textId="77777777" w:rsidR="001B77DD" w:rsidRDefault="001B77DD"/>
    <w:p w14:paraId="67533FFF" w14:textId="77777777" w:rsidR="001B77DD" w:rsidRDefault="00BF0A28">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p w14:paraId="67534000" w14:textId="77777777" w:rsidR="001B77DD" w:rsidRDefault="00BF0A28">
      <w:r>
        <w:rPr>
          <w:rFonts w:ascii="Arial" w:eastAsia="宋体" w:hAnsi="Arial" w:cs="Arial"/>
          <w:i/>
          <w:iCs/>
          <w:color w:val="262626"/>
          <w:sz w:val="10"/>
          <w:szCs w:val="10"/>
        </w:rPr>
        <w:t>2</w:t>
      </w:r>
      <w:r>
        <w:rPr>
          <w:rFonts w:ascii="Arial" w:eastAsia="宋体" w:hAnsi="Arial" w:cs="Arial"/>
          <w:i/>
          <w:iCs/>
          <w:color w:val="262626"/>
          <w:sz w:val="16"/>
          <w:szCs w:val="16"/>
        </w:rPr>
        <w:t xml:space="preserve"> 2021 capital investments in Memory are not presented due to the divestiture of the NAND memory business announced in October 2020. 2017-2020 capital investments presented include Memory. </w:t>
      </w:r>
    </w:p>
    <w:p w14:paraId="67534001"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85"/>
        <w:gridCol w:w="478"/>
        <w:gridCol w:w="36"/>
        <w:gridCol w:w="63"/>
        <w:gridCol w:w="1712"/>
        <w:gridCol w:w="36"/>
        <w:gridCol w:w="63"/>
        <w:gridCol w:w="2587"/>
        <w:gridCol w:w="36"/>
        <w:gridCol w:w="64"/>
        <w:gridCol w:w="3140"/>
        <w:gridCol w:w="36"/>
      </w:tblGrid>
      <w:tr w:rsidR="001B77DD" w14:paraId="6753400E" w14:textId="77777777">
        <w:tc>
          <w:tcPr>
            <w:tcW w:w="50" w:type="pct"/>
            <w:shd w:val="clear" w:color="auto" w:fill="auto"/>
            <w:vAlign w:val="bottom"/>
          </w:tcPr>
          <w:p w14:paraId="67534002" w14:textId="77777777" w:rsidR="001B77DD" w:rsidRDefault="001B77DD">
            <w:pPr>
              <w:rPr>
                <w:rFonts w:ascii="宋体"/>
              </w:rPr>
            </w:pPr>
          </w:p>
        </w:tc>
        <w:tc>
          <w:tcPr>
            <w:tcW w:w="283" w:type="pct"/>
            <w:shd w:val="clear" w:color="auto" w:fill="auto"/>
            <w:vAlign w:val="bottom"/>
          </w:tcPr>
          <w:p w14:paraId="67534003" w14:textId="77777777" w:rsidR="001B77DD" w:rsidRDefault="001B77DD">
            <w:pPr>
              <w:rPr>
                <w:rFonts w:ascii="宋体"/>
              </w:rPr>
            </w:pPr>
          </w:p>
        </w:tc>
        <w:tc>
          <w:tcPr>
            <w:tcW w:w="5" w:type="pct"/>
            <w:shd w:val="clear" w:color="auto" w:fill="auto"/>
            <w:vAlign w:val="bottom"/>
          </w:tcPr>
          <w:p w14:paraId="67534004" w14:textId="77777777" w:rsidR="001B77DD" w:rsidRDefault="001B77DD">
            <w:pPr>
              <w:rPr>
                <w:rFonts w:ascii="宋体"/>
              </w:rPr>
            </w:pPr>
          </w:p>
        </w:tc>
        <w:tc>
          <w:tcPr>
            <w:tcW w:w="50" w:type="pct"/>
            <w:shd w:val="clear" w:color="auto" w:fill="auto"/>
            <w:vAlign w:val="bottom"/>
          </w:tcPr>
          <w:p w14:paraId="67534005" w14:textId="77777777" w:rsidR="001B77DD" w:rsidRDefault="001B77DD">
            <w:pPr>
              <w:rPr>
                <w:rFonts w:ascii="宋体"/>
              </w:rPr>
            </w:pPr>
          </w:p>
        </w:tc>
        <w:tc>
          <w:tcPr>
            <w:tcW w:w="1039" w:type="pct"/>
            <w:shd w:val="clear" w:color="auto" w:fill="auto"/>
            <w:vAlign w:val="bottom"/>
          </w:tcPr>
          <w:p w14:paraId="67534006" w14:textId="77777777" w:rsidR="001B77DD" w:rsidRDefault="001B77DD">
            <w:pPr>
              <w:rPr>
                <w:rFonts w:ascii="宋体"/>
              </w:rPr>
            </w:pPr>
          </w:p>
        </w:tc>
        <w:tc>
          <w:tcPr>
            <w:tcW w:w="5" w:type="pct"/>
            <w:shd w:val="clear" w:color="auto" w:fill="auto"/>
            <w:vAlign w:val="bottom"/>
          </w:tcPr>
          <w:p w14:paraId="67534007" w14:textId="77777777" w:rsidR="001B77DD" w:rsidRDefault="001B77DD">
            <w:pPr>
              <w:rPr>
                <w:rFonts w:ascii="宋体"/>
              </w:rPr>
            </w:pPr>
          </w:p>
        </w:tc>
        <w:tc>
          <w:tcPr>
            <w:tcW w:w="50" w:type="pct"/>
            <w:shd w:val="clear" w:color="auto" w:fill="auto"/>
            <w:vAlign w:val="bottom"/>
          </w:tcPr>
          <w:p w14:paraId="67534008" w14:textId="77777777" w:rsidR="001B77DD" w:rsidRDefault="001B77DD">
            <w:pPr>
              <w:rPr>
                <w:rFonts w:ascii="宋体"/>
              </w:rPr>
            </w:pPr>
          </w:p>
        </w:tc>
        <w:tc>
          <w:tcPr>
            <w:tcW w:w="1562" w:type="pct"/>
            <w:shd w:val="clear" w:color="auto" w:fill="auto"/>
            <w:vAlign w:val="bottom"/>
          </w:tcPr>
          <w:p w14:paraId="67534009" w14:textId="77777777" w:rsidR="001B77DD" w:rsidRDefault="001B77DD">
            <w:pPr>
              <w:rPr>
                <w:rFonts w:ascii="宋体"/>
              </w:rPr>
            </w:pPr>
          </w:p>
        </w:tc>
        <w:tc>
          <w:tcPr>
            <w:tcW w:w="5" w:type="pct"/>
            <w:shd w:val="clear" w:color="auto" w:fill="auto"/>
            <w:vAlign w:val="bottom"/>
          </w:tcPr>
          <w:p w14:paraId="6753400A" w14:textId="77777777" w:rsidR="001B77DD" w:rsidRDefault="001B77DD">
            <w:pPr>
              <w:rPr>
                <w:rFonts w:ascii="宋体"/>
              </w:rPr>
            </w:pPr>
          </w:p>
        </w:tc>
        <w:tc>
          <w:tcPr>
            <w:tcW w:w="50" w:type="pct"/>
            <w:shd w:val="clear" w:color="auto" w:fill="auto"/>
            <w:vAlign w:val="bottom"/>
          </w:tcPr>
          <w:p w14:paraId="6753400B" w14:textId="77777777" w:rsidR="001B77DD" w:rsidRDefault="001B77DD">
            <w:pPr>
              <w:rPr>
                <w:rFonts w:ascii="宋体"/>
              </w:rPr>
            </w:pPr>
          </w:p>
        </w:tc>
        <w:tc>
          <w:tcPr>
            <w:tcW w:w="1894" w:type="pct"/>
            <w:shd w:val="clear" w:color="auto" w:fill="auto"/>
            <w:vAlign w:val="bottom"/>
          </w:tcPr>
          <w:p w14:paraId="6753400C" w14:textId="77777777" w:rsidR="001B77DD" w:rsidRDefault="001B77DD">
            <w:pPr>
              <w:rPr>
                <w:rFonts w:ascii="宋体"/>
              </w:rPr>
            </w:pPr>
          </w:p>
        </w:tc>
        <w:tc>
          <w:tcPr>
            <w:tcW w:w="5" w:type="pct"/>
            <w:shd w:val="clear" w:color="auto" w:fill="auto"/>
            <w:vAlign w:val="bottom"/>
          </w:tcPr>
          <w:p w14:paraId="6753400D" w14:textId="77777777" w:rsidR="001B77DD" w:rsidRDefault="001B77DD">
            <w:pPr>
              <w:rPr>
                <w:rFonts w:ascii="宋体"/>
              </w:rPr>
            </w:pPr>
          </w:p>
        </w:tc>
      </w:tr>
      <w:tr w:rsidR="001B77DD" w14:paraId="67534013"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0F"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C9" wp14:editId="67538DCA">
                  <wp:extent cx="304800" cy="304800"/>
                  <wp:effectExtent l="0" t="0" r="0" b="0"/>
                  <wp:docPr id="3" name="图片 7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10"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011"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12" w14:textId="77777777" w:rsidR="001B77DD" w:rsidRDefault="00BF0A28">
            <w:pPr>
              <w:jc w:val="right"/>
              <w:textAlignment w:val="center"/>
            </w:pPr>
            <w:r>
              <w:rPr>
                <w:rFonts w:ascii="Arial" w:eastAsia="宋体" w:hAnsi="Arial" w:cs="Arial"/>
                <w:color w:val="262626"/>
                <w:sz w:val="16"/>
                <w:szCs w:val="16"/>
              </w:rPr>
              <w:t>9</w:t>
            </w:r>
          </w:p>
        </w:tc>
      </w:tr>
    </w:tbl>
    <w:p w14:paraId="67534014" w14:textId="77777777" w:rsidR="001B77DD" w:rsidRDefault="00BF0A28">
      <w:r>
        <w:pict w14:anchorId="67538DCB">
          <v:rect id="_x0000_i1035" style="width:415.3pt;height:1.5pt" o:hralign="center" o:hrstd="t" o:hr="t" fillcolor="#a0a0a0" stroked="f"/>
        </w:pict>
      </w:r>
    </w:p>
    <w:p w14:paraId="67534015" w14:textId="77777777" w:rsidR="001B77DD" w:rsidRDefault="00BF0A28">
      <w:pPr>
        <w:spacing w:after="180"/>
        <w:jc w:val="right"/>
      </w:pPr>
      <w:hyperlink r:id="rId52" w:anchor="i6c9ced68f6b24d58a3dcf326e8c3c699_16" w:history="1">
        <w:r>
          <w:rPr>
            <w:rStyle w:val="a5"/>
            <w:rFonts w:ascii="Arial" w:eastAsia="宋体" w:hAnsi="Arial" w:cs="Arial"/>
            <w:sz w:val="18"/>
            <w:szCs w:val="18"/>
          </w:rPr>
          <w:t>Table</w:t>
        </w:r>
      </w:hyperlink>
      <w:hyperlink r:id="rId53" w:anchor="i6c9ced68f6b24d58a3dcf326e8c3c699_16" w:history="1">
        <w:r>
          <w:rPr>
            <w:rStyle w:val="a5"/>
            <w:rFonts w:ascii="Arial" w:eastAsia="宋体" w:hAnsi="Arial" w:cs="Arial"/>
            <w:sz w:val="18"/>
            <w:szCs w:val="18"/>
          </w:rPr>
          <w:t xml:space="preserve"> of </w:t>
        </w:r>
      </w:hyperlink>
      <w:hyperlink r:id="rId54" w:anchor="i6c9ced68f6b24d58a3dcf326e8c3c699_16" w:history="1">
        <w:r>
          <w:rPr>
            <w:rStyle w:val="a5"/>
            <w:rFonts w:ascii="Arial" w:eastAsia="宋体" w:hAnsi="Arial" w:cs="Arial"/>
            <w:sz w:val="18"/>
            <w:szCs w:val="18"/>
          </w:rPr>
          <w:t>Contents</w:t>
        </w:r>
      </w:hyperlink>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1B77DD" w14:paraId="6753401C" w14:textId="77777777">
        <w:tc>
          <w:tcPr>
            <w:tcW w:w="20" w:type="dxa"/>
            <w:shd w:val="clear" w:color="auto" w:fill="auto"/>
            <w:vAlign w:val="bottom"/>
          </w:tcPr>
          <w:p w14:paraId="67534016" w14:textId="77777777" w:rsidR="001B77DD" w:rsidRDefault="001B77DD">
            <w:pPr>
              <w:rPr>
                <w:rFonts w:ascii="宋体"/>
              </w:rPr>
            </w:pPr>
          </w:p>
        </w:tc>
        <w:tc>
          <w:tcPr>
            <w:tcW w:w="665" w:type="dxa"/>
            <w:shd w:val="clear" w:color="auto" w:fill="auto"/>
            <w:vAlign w:val="bottom"/>
          </w:tcPr>
          <w:p w14:paraId="67534017" w14:textId="77777777" w:rsidR="001B77DD" w:rsidRDefault="001B77DD">
            <w:pPr>
              <w:rPr>
                <w:rFonts w:ascii="宋体"/>
              </w:rPr>
            </w:pPr>
          </w:p>
        </w:tc>
        <w:tc>
          <w:tcPr>
            <w:tcW w:w="20" w:type="dxa"/>
            <w:shd w:val="clear" w:color="auto" w:fill="auto"/>
            <w:vAlign w:val="bottom"/>
          </w:tcPr>
          <w:p w14:paraId="67534018" w14:textId="77777777" w:rsidR="001B77DD" w:rsidRDefault="001B77DD">
            <w:pPr>
              <w:rPr>
                <w:rFonts w:ascii="宋体"/>
              </w:rPr>
            </w:pPr>
          </w:p>
        </w:tc>
        <w:tc>
          <w:tcPr>
            <w:tcW w:w="20" w:type="dxa"/>
            <w:shd w:val="clear" w:color="auto" w:fill="auto"/>
            <w:vAlign w:val="bottom"/>
          </w:tcPr>
          <w:p w14:paraId="67534019" w14:textId="77777777" w:rsidR="001B77DD" w:rsidRDefault="001B77DD">
            <w:pPr>
              <w:rPr>
                <w:rFonts w:ascii="宋体"/>
              </w:rPr>
            </w:pPr>
          </w:p>
        </w:tc>
        <w:tc>
          <w:tcPr>
            <w:tcW w:w="10025" w:type="dxa"/>
            <w:shd w:val="clear" w:color="auto" w:fill="auto"/>
            <w:vAlign w:val="bottom"/>
          </w:tcPr>
          <w:p w14:paraId="6753401A" w14:textId="77777777" w:rsidR="001B77DD" w:rsidRDefault="001B77DD">
            <w:pPr>
              <w:rPr>
                <w:rFonts w:ascii="宋体"/>
              </w:rPr>
            </w:pPr>
          </w:p>
        </w:tc>
        <w:tc>
          <w:tcPr>
            <w:tcW w:w="20" w:type="dxa"/>
            <w:shd w:val="clear" w:color="auto" w:fill="auto"/>
            <w:vAlign w:val="bottom"/>
          </w:tcPr>
          <w:p w14:paraId="6753401B" w14:textId="77777777" w:rsidR="001B77DD" w:rsidRDefault="001B77DD">
            <w:pPr>
              <w:rPr>
                <w:rFonts w:ascii="宋体"/>
              </w:rPr>
            </w:pPr>
          </w:p>
        </w:tc>
      </w:tr>
      <w:tr w:rsidR="001B77DD" w14:paraId="6753401F" w14:textId="77777777">
        <w:trPr>
          <w:trHeight w:val="600"/>
        </w:trPr>
        <w:tc>
          <w:tcPr>
            <w:tcW w:w="0" w:type="auto"/>
            <w:gridSpan w:val="3"/>
            <w:shd w:val="clear" w:color="auto" w:fill="auto"/>
            <w:tcMar>
              <w:top w:w="0" w:type="dxa"/>
              <w:left w:w="20" w:type="dxa"/>
              <w:bottom w:w="0" w:type="dxa"/>
              <w:right w:w="20" w:type="dxa"/>
            </w:tcMar>
            <w:vAlign w:val="bottom"/>
          </w:tcPr>
          <w:p w14:paraId="6753401D"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CC" wp14:editId="67538DCD">
                  <wp:extent cx="304800" cy="304800"/>
                  <wp:effectExtent l="0" t="0" r="0" b="0"/>
                  <wp:docPr id="255" name="图片 7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75" descr="IMG_28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6753401E" w14:textId="77777777" w:rsidR="001B77DD" w:rsidRDefault="00BF0A28">
            <w:pPr>
              <w:textAlignment w:val="center"/>
            </w:pPr>
            <w:r>
              <w:rPr>
                <w:rFonts w:ascii="Arial" w:eastAsia="宋体" w:hAnsi="Arial" w:cs="Arial"/>
                <w:color w:val="0068B5"/>
                <w:sz w:val="28"/>
                <w:szCs w:val="28"/>
              </w:rPr>
              <w:t>Intellectual Capital</w:t>
            </w:r>
          </w:p>
        </w:tc>
      </w:tr>
    </w:tbl>
    <w:p w14:paraId="67534020" w14:textId="77777777" w:rsidR="001B77DD" w:rsidRDefault="00BF0A28">
      <w:pPr>
        <w:spacing w:after="120"/>
      </w:pPr>
      <w:r>
        <w:rPr>
          <w:rFonts w:ascii="Arial" w:eastAsia="宋体" w:hAnsi="Arial" w:cs="Arial"/>
          <w:color w:val="0068B5"/>
        </w:rPr>
        <w:t>Research and Development</w:t>
      </w:r>
    </w:p>
    <w:p w14:paraId="67534021" w14:textId="77777777" w:rsidR="001B77DD" w:rsidRDefault="00BF0A28">
      <w:pPr>
        <w:spacing w:after="180"/>
      </w:pPr>
      <w:r>
        <w:rPr>
          <w:rFonts w:ascii="Arial" w:eastAsia="宋体" w:hAnsi="Arial" w:cs="Arial"/>
          <w:color w:val="262626"/>
          <w:sz w:val="18"/>
          <w:szCs w:val="18"/>
        </w:rPr>
        <w:t xml:space="preserve">R&amp;D investment is critical to enable us to deliver on our </w:t>
      </w:r>
      <w:r>
        <w:rPr>
          <w:rFonts w:ascii="Arial" w:eastAsia="宋体" w:hAnsi="Arial" w:cs="Arial"/>
          <w:color w:val="262626"/>
          <w:sz w:val="18"/>
          <w:szCs w:val="18"/>
        </w:rPr>
        <w:t xml:space="preserve">accelerated process technology roadmap, introduce leading products, and develop new businesses and capabilities in the future. We seek to protect our R&amp;D efforts through our IP rights and may augment R&amp;D initiatives by acquiring or investing in companies, </w:t>
      </w:r>
      <w:r>
        <w:rPr>
          <w:rFonts w:ascii="Arial" w:eastAsia="宋体" w:hAnsi="Arial" w:cs="Arial"/>
          <w:color w:val="262626"/>
          <w:sz w:val="18"/>
          <w:szCs w:val="18"/>
        </w:rPr>
        <w:t>entering into R&amp;D agreements, and directly purchasing or licensing technology.</w:t>
      </w:r>
    </w:p>
    <w:p w14:paraId="67534022" w14:textId="77777777" w:rsidR="001B77DD" w:rsidRDefault="00BF0A28">
      <w:pPr>
        <w:spacing w:after="120"/>
      </w:pPr>
      <w:r>
        <w:rPr>
          <w:rFonts w:ascii="Arial" w:eastAsia="宋体" w:hAnsi="Arial" w:cs="Arial"/>
          <w:color w:val="0068B5"/>
        </w:rPr>
        <w:t>Areas Key to Product Leadership</w:t>
      </w:r>
    </w:p>
    <w:p w14:paraId="67534023" w14:textId="77777777" w:rsidR="001B77DD" w:rsidRDefault="00BF0A28">
      <w:pPr>
        <w:spacing w:after="120"/>
      </w:pPr>
      <w:r>
        <w:rPr>
          <w:rFonts w:ascii="Arial" w:eastAsia="宋体" w:hAnsi="Arial" w:cs="Arial"/>
          <w:color w:val="262626"/>
          <w:sz w:val="18"/>
          <w:szCs w:val="18"/>
        </w:rPr>
        <w:t>Every year we make significant investments in R&amp;D and we have intensified our focus on areas key to product leadership. Our objective with each n</w:t>
      </w:r>
      <w:r>
        <w:rPr>
          <w:rFonts w:ascii="Arial" w:eastAsia="宋体" w:hAnsi="Arial" w:cs="Arial"/>
          <w:color w:val="262626"/>
          <w:sz w:val="18"/>
          <w:szCs w:val="18"/>
        </w:rPr>
        <w:t>ew generation of products is to improve user experiences and value through advances in performance, power, cost, connectivity, security, form factor, and other features. We also focus on reducing our design complexity, re-using IP, and increasing ecosystem</w:t>
      </w:r>
      <w:r>
        <w:rPr>
          <w:rFonts w:ascii="Arial" w:eastAsia="宋体" w:hAnsi="Arial" w:cs="Arial"/>
          <w:color w:val="262626"/>
          <w:sz w:val="18"/>
          <w:szCs w:val="18"/>
        </w:rPr>
        <w:t xml:space="preserve"> collaboration to improve our efficiency.</w:t>
      </w:r>
    </w:p>
    <w:tbl>
      <w:tblPr>
        <w:tblW w:w="5000" w:type="pct"/>
        <w:tblCellMar>
          <w:top w:w="15" w:type="dxa"/>
          <w:left w:w="15" w:type="dxa"/>
          <w:bottom w:w="15" w:type="dxa"/>
          <w:right w:w="15" w:type="dxa"/>
        </w:tblCellMar>
        <w:tblLook w:val="04A0" w:firstRow="1" w:lastRow="0" w:firstColumn="1" w:lastColumn="0" w:noHBand="0" w:noVBand="1"/>
      </w:tblPr>
      <w:tblGrid>
        <w:gridCol w:w="68"/>
        <w:gridCol w:w="2079"/>
        <w:gridCol w:w="38"/>
        <w:gridCol w:w="69"/>
        <w:gridCol w:w="6045"/>
        <w:gridCol w:w="37"/>
      </w:tblGrid>
      <w:tr w:rsidR="001B77DD" w14:paraId="6753402A" w14:textId="77777777">
        <w:tc>
          <w:tcPr>
            <w:tcW w:w="50" w:type="pct"/>
            <w:shd w:val="clear" w:color="auto" w:fill="auto"/>
            <w:vAlign w:val="bottom"/>
          </w:tcPr>
          <w:p w14:paraId="67534024" w14:textId="77777777" w:rsidR="001B77DD" w:rsidRDefault="001B77DD">
            <w:pPr>
              <w:rPr>
                <w:rFonts w:ascii="宋体"/>
              </w:rPr>
            </w:pPr>
          </w:p>
        </w:tc>
        <w:tc>
          <w:tcPr>
            <w:tcW w:w="1256" w:type="pct"/>
            <w:shd w:val="clear" w:color="auto" w:fill="auto"/>
            <w:vAlign w:val="bottom"/>
          </w:tcPr>
          <w:p w14:paraId="67534025" w14:textId="77777777" w:rsidR="001B77DD" w:rsidRDefault="001B77DD">
            <w:pPr>
              <w:rPr>
                <w:rFonts w:ascii="宋体"/>
              </w:rPr>
            </w:pPr>
          </w:p>
        </w:tc>
        <w:tc>
          <w:tcPr>
            <w:tcW w:w="5" w:type="pct"/>
            <w:shd w:val="clear" w:color="auto" w:fill="auto"/>
            <w:vAlign w:val="bottom"/>
          </w:tcPr>
          <w:p w14:paraId="67534026" w14:textId="77777777" w:rsidR="001B77DD" w:rsidRDefault="001B77DD">
            <w:pPr>
              <w:rPr>
                <w:rFonts w:ascii="宋体"/>
              </w:rPr>
            </w:pPr>
          </w:p>
        </w:tc>
        <w:tc>
          <w:tcPr>
            <w:tcW w:w="50" w:type="pct"/>
            <w:shd w:val="clear" w:color="auto" w:fill="auto"/>
            <w:vAlign w:val="bottom"/>
          </w:tcPr>
          <w:p w14:paraId="67534027" w14:textId="77777777" w:rsidR="001B77DD" w:rsidRDefault="001B77DD">
            <w:pPr>
              <w:rPr>
                <w:rFonts w:ascii="宋体"/>
              </w:rPr>
            </w:pPr>
          </w:p>
        </w:tc>
        <w:tc>
          <w:tcPr>
            <w:tcW w:w="3633" w:type="pct"/>
            <w:shd w:val="clear" w:color="auto" w:fill="auto"/>
            <w:vAlign w:val="bottom"/>
          </w:tcPr>
          <w:p w14:paraId="67534028" w14:textId="77777777" w:rsidR="001B77DD" w:rsidRDefault="001B77DD">
            <w:pPr>
              <w:rPr>
                <w:rFonts w:ascii="宋体"/>
              </w:rPr>
            </w:pPr>
          </w:p>
        </w:tc>
        <w:tc>
          <w:tcPr>
            <w:tcW w:w="5" w:type="pct"/>
            <w:shd w:val="clear" w:color="auto" w:fill="auto"/>
            <w:vAlign w:val="bottom"/>
          </w:tcPr>
          <w:p w14:paraId="67534029" w14:textId="77777777" w:rsidR="001B77DD" w:rsidRDefault="001B77DD">
            <w:pPr>
              <w:rPr>
                <w:rFonts w:ascii="宋体"/>
              </w:rPr>
            </w:pPr>
          </w:p>
        </w:tc>
      </w:tr>
      <w:tr w:rsidR="001B77DD" w14:paraId="6753402D" w14:textId="77777777">
        <w:trPr>
          <w:hidden/>
        </w:trPr>
        <w:tc>
          <w:tcPr>
            <w:tcW w:w="0" w:type="auto"/>
            <w:gridSpan w:val="3"/>
            <w:shd w:val="clear" w:color="auto" w:fill="auto"/>
            <w:vAlign w:val="bottom"/>
          </w:tcPr>
          <w:p w14:paraId="6753402B" w14:textId="77777777" w:rsidR="001B77DD" w:rsidRDefault="001B77DD">
            <w:pPr>
              <w:rPr>
                <w:rFonts w:ascii="宋体"/>
                <w:vanish/>
              </w:rPr>
            </w:pPr>
          </w:p>
        </w:tc>
        <w:tc>
          <w:tcPr>
            <w:tcW w:w="0" w:type="auto"/>
            <w:gridSpan w:val="3"/>
            <w:shd w:val="clear" w:color="auto" w:fill="auto"/>
            <w:vAlign w:val="bottom"/>
          </w:tcPr>
          <w:p w14:paraId="6753402C" w14:textId="77777777" w:rsidR="001B77DD" w:rsidRDefault="001B77DD">
            <w:pPr>
              <w:rPr>
                <w:rFonts w:ascii="宋体"/>
                <w:vanish/>
              </w:rPr>
            </w:pPr>
          </w:p>
        </w:tc>
      </w:tr>
      <w:tr w:rsidR="001B77DD" w14:paraId="67534030" w14:textId="77777777">
        <w:trPr>
          <w:hidden/>
        </w:trPr>
        <w:tc>
          <w:tcPr>
            <w:tcW w:w="0" w:type="auto"/>
            <w:gridSpan w:val="3"/>
            <w:shd w:val="clear" w:color="auto" w:fill="auto"/>
            <w:vAlign w:val="bottom"/>
          </w:tcPr>
          <w:p w14:paraId="6753402E" w14:textId="77777777" w:rsidR="001B77DD" w:rsidRDefault="001B77DD">
            <w:pPr>
              <w:rPr>
                <w:rFonts w:ascii="宋体"/>
                <w:vanish/>
              </w:rPr>
            </w:pPr>
          </w:p>
        </w:tc>
        <w:tc>
          <w:tcPr>
            <w:tcW w:w="0" w:type="auto"/>
            <w:gridSpan w:val="3"/>
            <w:shd w:val="clear" w:color="auto" w:fill="auto"/>
            <w:vAlign w:val="bottom"/>
          </w:tcPr>
          <w:p w14:paraId="6753402F" w14:textId="77777777" w:rsidR="001B77DD" w:rsidRDefault="001B77DD">
            <w:pPr>
              <w:rPr>
                <w:rFonts w:ascii="宋体"/>
                <w:vanish/>
              </w:rPr>
            </w:pPr>
          </w:p>
        </w:tc>
      </w:tr>
      <w:tr w:rsidR="001B77DD" w14:paraId="67534032" w14:textId="77777777">
        <w:tc>
          <w:tcPr>
            <w:tcW w:w="0" w:type="auto"/>
            <w:gridSpan w:val="6"/>
            <w:shd w:val="clear" w:color="auto" w:fill="auto"/>
            <w:tcMar>
              <w:top w:w="40" w:type="dxa"/>
              <w:left w:w="20" w:type="dxa"/>
              <w:bottom w:w="40" w:type="dxa"/>
              <w:right w:w="20" w:type="dxa"/>
            </w:tcMar>
          </w:tcPr>
          <w:p w14:paraId="67534031" w14:textId="77777777" w:rsidR="001B77DD" w:rsidRDefault="00BF0A28">
            <w:pPr>
              <w:spacing w:after="180"/>
              <w:textAlignment w:val="top"/>
            </w:pPr>
            <w:r>
              <w:rPr>
                <w:rFonts w:ascii="Arial" w:eastAsia="宋体" w:hAnsi="Arial" w:cs="Arial"/>
                <w:color w:val="0068B5"/>
                <w:sz w:val="18"/>
                <w:szCs w:val="18"/>
              </w:rPr>
              <w:t>Process and packaging.</w:t>
            </w:r>
            <w:r>
              <w:rPr>
                <w:rFonts w:ascii="Arial" w:eastAsia="宋体" w:hAnsi="Arial" w:cs="Arial"/>
                <w:color w:val="262626"/>
                <w:sz w:val="18"/>
                <w:szCs w:val="18"/>
              </w:rPr>
              <w:t xml:space="preserve"> At our Intel Accelerated event in July 2021, we provided an update on our manufacturing process and packaging technology roadmaps. As part of the update, we also introduced a new naming structure for our manufacturing process nodes, which includes the nam</w:t>
            </w:r>
            <w:r>
              <w:rPr>
                <w:rFonts w:ascii="Arial" w:eastAsia="宋体" w:hAnsi="Arial" w:cs="Arial"/>
                <w:color w:val="262626"/>
                <w:sz w:val="18"/>
                <w:szCs w:val="18"/>
              </w:rPr>
              <w:t xml:space="preserve">e changes summarized in "Key Terms". In addition, we introduced future nodes and discussed future process and packaging technologies on our roadmap. Our updates included the following: </w:t>
            </w:r>
          </w:p>
        </w:tc>
      </w:tr>
      <w:tr w:rsidR="001B77DD" w14:paraId="6753403B" w14:textId="77777777">
        <w:tc>
          <w:tcPr>
            <w:tcW w:w="0" w:type="auto"/>
            <w:gridSpan w:val="6"/>
            <w:shd w:val="clear" w:color="auto" w:fill="auto"/>
            <w:tcMar>
              <w:top w:w="40" w:type="dxa"/>
              <w:left w:w="20" w:type="dxa"/>
              <w:bottom w:w="40" w:type="dxa"/>
              <w:right w:w="20" w:type="dxa"/>
            </w:tcMar>
          </w:tcPr>
          <w:p w14:paraId="67534033" w14:textId="77777777" w:rsidR="001B77DD" w:rsidRDefault="00BF0A28">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We introduced further optimizations to our Intel 7 process node, whi</w:t>
            </w:r>
            <w:r>
              <w:rPr>
                <w:rFonts w:ascii="Arial" w:eastAsia="宋体" w:hAnsi="Arial" w:cs="Arial"/>
                <w:color w:val="262626"/>
                <w:sz w:val="18"/>
                <w:szCs w:val="18"/>
              </w:rPr>
              <w:t>ch is now in production for our 12th Gen Intel Core (Alder Lake) processors.</w:t>
            </w:r>
          </w:p>
          <w:p w14:paraId="67534034" w14:textId="77777777" w:rsidR="001B77DD" w:rsidRDefault="00BF0A28">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Intel 4 will make use of EUV to print incredibly small features using ultra-short wavelength light. Intel 4 will be used for our future Meteor Lake client processors.</w:t>
            </w:r>
          </w:p>
          <w:p w14:paraId="67534035" w14:textId="77777777" w:rsidR="001B77DD" w:rsidRDefault="00BF0A28">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Intel 3 wi</w:t>
            </w:r>
            <w:r>
              <w:rPr>
                <w:rFonts w:ascii="Arial" w:eastAsia="宋体" w:hAnsi="Arial" w:cs="Arial"/>
                <w:color w:val="262626"/>
                <w:sz w:val="18"/>
                <w:szCs w:val="18"/>
              </w:rPr>
              <w:t>ll leverage further FinFET optimizations and increased EUV to deliver additional performance-per-watt and area improvements over Intel 4.</w:t>
            </w:r>
          </w:p>
          <w:p w14:paraId="67534036" w14:textId="77777777" w:rsidR="001B77DD" w:rsidRDefault="00BF0A28">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Intel 20A will follow Intel 3 and will introduce two breakthrough technologies: Ribbon FET and PowerVia. RibbonFET, I</w:t>
            </w:r>
            <w:r>
              <w:rPr>
                <w:rFonts w:ascii="Arial" w:eastAsia="宋体" w:hAnsi="Arial" w:cs="Arial"/>
                <w:color w:val="262626"/>
                <w:sz w:val="18"/>
                <w:szCs w:val="18"/>
              </w:rPr>
              <w:t>ntel’s implementation of a gate-all-around transistor, will be our first new transistor architecture since we pioneered FinFET in 2011. The technology is expected to deliver faster transistor switching speeds while achieving the same drive current as multi</w:t>
            </w:r>
            <w:r>
              <w:rPr>
                <w:rFonts w:ascii="Arial" w:eastAsia="宋体" w:hAnsi="Arial" w:cs="Arial"/>
                <w:color w:val="262626"/>
                <w:sz w:val="18"/>
                <w:szCs w:val="18"/>
              </w:rPr>
              <w:t>ple fins in a smaller footprint. PowerVia will be our unique industry-first implementation of backside power delivery, optimizing signal transmission by eliminating the need for power routing on the front side of the wafer.</w:t>
            </w:r>
          </w:p>
          <w:p w14:paraId="67534037" w14:textId="77777777" w:rsidR="001B77DD" w:rsidRDefault="00BF0A28">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Beyond Intel 20A, we are develo</w:t>
            </w:r>
            <w:r>
              <w:rPr>
                <w:rFonts w:ascii="Arial" w:eastAsia="宋体" w:hAnsi="Arial" w:cs="Arial"/>
                <w:color w:val="262626"/>
                <w:sz w:val="18"/>
                <w:szCs w:val="18"/>
              </w:rPr>
              <w:t>ping our Intel 18A node, with expected refinements to RibbonFET to deliver additional transistor performance improvements. We are also working to define, build, and deploy next-generation High Numerical Aperture EUV in our process technology roadmap.</w:t>
            </w:r>
          </w:p>
          <w:p w14:paraId="67534038" w14:textId="77777777" w:rsidR="001B77DD" w:rsidRDefault="00BF0A28">
            <w:pPr>
              <w:spacing w:after="60"/>
              <w:ind w:hanging="360"/>
              <w:textAlignment w:val="top"/>
            </w:pPr>
            <w:r>
              <w:rPr>
                <w:rFonts w:ascii="Arial" w:eastAsia="宋体" w:hAnsi="Arial" w:cs="Arial"/>
                <w:b/>
                <w:bCs/>
                <w:color w:val="0068B5"/>
                <w:sz w:val="18"/>
                <w:szCs w:val="18"/>
              </w:rPr>
              <w:t>▪</w:t>
            </w:r>
            <w:r>
              <w:rPr>
                <w:rFonts w:ascii="Arial" w:eastAsia="宋体" w:hAnsi="Arial" w:cs="Arial"/>
                <w:color w:val="262626"/>
                <w:sz w:val="18"/>
                <w:szCs w:val="18"/>
              </w:rPr>
              <w:t xml:space="preserve">Our </w:t>
            </w:r>
            <w:r>
              <w:rPr>
                <w:rFonts w:ascii="Arial" w:eastAsia="宋体" w:hAnsi="Arial" w:cs="Arial"/>
                <w:color w:val="262626"/>
                <w:sz w:val="18"/>
                <w:szCs w:val="18"/>
              </w:rPr>
              <w:t>future Foveros Omni advanced packaging technology will usher in the next generation of our 3D stacking Foveros technology, enabling us to mix multiple top die tiles with multiple base tiles across mixed fab nodes and giving us greater flexibility for disag</w:t>
            </w:r>
            <w:r>
              <w:rPr>
                <w:rFonts w:ascii="Arial" w:eastAsia="宋体" w:hAnsi="Arial" w:cs="Arial"/>
                <w:color w:val="262626"/>
                <w:sz w:val="18"/>
                <w:szCs w:val="18"/>
              </w:rPr>
              <w:t>gregated chip designs. With our future Foveros Direct technology, we will move to direct copper-to-copper bonding for low-resistance interconnects and blur the boundary between where the wafer ends and the package begins.</w:t>
            </w:r>
          </w:p>
          <w:p w14:paraId="67534039" w14:textId="77777777" w:rsidR="001B77DD" w:rsidRDefault="001B77DD">
            <w:pPr>
              <w:textAlignment w:val="top"/>
            </w:pPr>
          </w:p>
          <w:p w14:paraId="6753403A" w14:textId="77777777" w:rsidR="001B77DD" w:rsidRDefault="001B77DD">
            <w:pPr>
              <w:spacing w:after="60"/>
              <w:textAlignment w:val="top"/>
            </w:pPr>
          </w:p>
        </w:tc>
      </w:tr>
      <w:tr w:rsidR="001B77DD" w14:paraId="6753403D" w14:textId="77777777">
        <w:tc>
          <w:tcPr>
            <w:tcW w:w="0" w:type="auto"/>
            <w:gridSpan w:val="6"/>
            <w:shd w:val="clear" w:color="auto" w:fill="auto"/>
            <w:tcMar>
              <w:top w:w="40" w:type="dxa"/>
              <w:left w:w="20" w:type="dxa"/>
              <w:bottom w:w="40" w:type="dxa"/>
              <w:right w:w="20" w:type="dxa"/>
            </w:tcMar>
          </w:tcPr>
          <w:p w14:paraId="6753403C" w14:textId="77777777" w:rsidR="001B77DD" w:rsidRDefault="00BF0A28">
            <w:pPr>
              <w:spacing w:after="60"/>
              <w:textAlignment w:val="top"/>
            </w:pPr>
            <w:r>
              <w:rPr>
                <w:rFonts w:ascii="Arial" w:eastAsia="宋体" w:hAnsi="Arial" w:cs="Arial"/>
                <w:color w:val="0068B5"/>
                <w:sz w:val="18"/>
                <w:szCs w:val="18"/>
              </w:rPr>
              <w:t xml:space="preserve">xPU architecture. </w:t>
            </w:r>
            <w:r>
              <w:rPr>
                <w:rFonts w:ascii="Arial" w:eastAsia="宋体" w:hAnsi="Arial" w:cs="Arial"/>
                <w:color w:val="262626"/>
                <w:sz w:val="18"/>
                <w:szCs w:val="18"/>
              </w:rPr>
              <w:t>The future is a diverse mix of scalar, vector, matrix, and spatial architectures deployed in CPU, GPU, accelerator, and FPGA sockets, enabled by a scalable software stack and integrated into systems by advanced packaging technology. We ar</w:t>
            </w:r>
            <w:r>
              <w:rPr>
                <w:rFonts w:ascii="Arial" w:eastAsia="宋体" w:hAnsi="Arial" w:cs="Arial"/>
                <w:color w:val="262626"/>
                <w:sz w:val="18"/>
                <w:szCs w:val="18"/>
              </w:rPr>
              <w:t xml:space="preserve">e building processors that span several major computing architectures, moving toward an era of heterogeneous computing: </w:t>
            </w:r>
          </w:p>
        </w:tc>
      </w:tr>
    </w:tbl>
    <w:p w14:paraId="6753403E"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CPU.</w:t>
      </w:r>
      <w:r>
        <w:rPr>
          <w:rFonts w:ascii="Arial" w:eastAsia="宋体" w:hAnsi="Arial" w:cs="Arial"/>
          <w:color w:val="262626"/>
          <w:sz w:val="18"/>
          <w:szCs w:val="18"/>
        </w:rPr>
        <w:t xml:space="preserve"> We started shipping our 3rd Gen Xeon Scalable processors (Ice Lake) with the new Sunny Cove core, built-in AI acceleration, cryp</w:t>
      </w:r>
      <w:r>
        <w:rPr>
          <w:rFonts w:ascii="Arial" w:eastAsia="宋体" w:hAnsi="Arial" w:cs="Arial"/>
          <w:color w:val="262626"/>
          <w:sz w:val="18"/>
          <w:szCs w:val="18"/>
        </w:rPr>
        <w:t>tographic acceleration, and advanced security capabilities. We also launched our 12th Gen Intel Core processors (Alder Lake), which will scale from thin and light laptops to enthusiast desktop and notebook platforms. They utilize the new breakthrough Perfo</w:t>
      </w:r>
      <w:r>
        <w:rPr>
          <w:rFonts w:ascii="Arial" w:eastAsia="宋体" w:hAnsi="Arial" w:cs="Arial"/>
          <w:color w:val="262626"/>
          <w:sz w:val="18"/>
          <w:szCs w:val="18"/>
        </w:rPr>
        <w:t>rmance-core (Golden Cove) and Efficient-core (Gracemont) microarchitectures and work with Intel</w:t>
      </w:r>
      <w:r>
        <w:rPr>
          <w:rFonts w:ascii="Arial" w:eastAsia="宋体" w:hAnsi="Arial" w:cs="Arial"/>
          <w:color w:val="262626"/>
          <w:sz w:val="11"/>
          <w:szCs w:val="11"/>
        </w:rPr>
        <w:t>®</w:t>
      </w:r>
      <w:r>
        <w:rPr>
          <w:rFonts w:ascii="Arial" w:eastAsia="宋体" w:hAnsi="Arial" w:cs="Arial"/>
          <w:color w:val="262626"/>
          <w:sz w:val="18"/>
          <w:szCs w:val="18"/>
        </w:rPr>
        <w:t xml:space="preserve"> Thread Director for scheduling optimization.</w:t>
      </w:r>
    </w:p>
    <w:p w14:paraId="6753403F"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GPU.</w:t>
      </w:r>
      <w:r>
        <w:rPr>
          <w:rFonts w:ascii="Arial" w:eastAsia="宋体" w:hAnsi="Arial" w:cs="Arial"/>
          <w:color w:val="262626"/>
          <w:sz w:val="18"/>
          <w:szCs w:val="18"/>
        </w:rPr>
        <w:t xml:space="preserve"> We announced Alchemist, our first Intel Arc branded high-performance discrete GPU family of products focused on gaming and content creation, which began shipping to OEMs in Q1 2022. We also powered on Ponte Vecchio, our discrete GPU focused on high-perfor</w:t>
      </w:r>
      <w:r>
        <w:rPr>
          <w:rFonts w:ascii="Arial" w:eastAsia="宋体" w:hAnsi="Arial" w:cs="Arial"/>
          <w:color w:val="262626"/>
          <w:sz w:val="18"/>
          <w:szCs w:val="18"/>
        </w:rPr>
        <w:t>mance computing applications, which delivers leading floating-point operations per second (FLOPS) and compute density to accelerate AI, high-performance computing, and advanced analytics workloads. Ponte Vecchio will be released in 2022 for HPC and AI mark</w:t>
      </w:r>
      <w:r>
        <w:rPr>
          <w:rFonts w:ascii="Arial" w:eastAsia="宋体" w:hAnsi="Arial" w:cs="Arial"/>
          <w:color w:val="262626"/>
          <w:sz w:val="18"/>
          <w:szCs w:val="18"/>
        </w:rPr>
        <w:t>ets.</w:t>
      </w:r>
    </w:p>
    <w:p w14:paraId="67534040"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Interconnect.</w:t>
      </w:r>
      <w:r>
        <w:rPr>
          <w:rFonts w:ascii="Arial" w:eastAsia="宋体" w:hAnsi="Arial" w:cs="Arial"/>
          <w:color w:val="262626"/>
          <w:sz w:val="18"/>
          <w:szCs w:val="18"/>
        </w:rPr>
        <w:t xml:space="preserve"> Mount Evans, Intel’s first ASIC IPU, is designed to address the complexity of diverse and dispersed data centers. An IPU is designed to enable cloud and communication service providers to reduce overhead and free up performance for CPUs</w:t>
      </w:r>
      <w:r>
        <w:rPr>
          <w:rFonts w:ascii="Arial" w:eastAsia="宋体" w:hAnsi="Arial" w:cs="Arial"/>
          <w:color w:val="262626"/>
          <w:sz w:val="18"/>
          <w:szCs w:val="18"/>
        </w:rPr>
        <w:t>.</w:t>
      </w:r>
    </w:p>
    <w:p w14:paraId="67534041" w14:textId="77777777" w:rsidR="001B77DD" w:rsidRDefault="00BF0A28">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 xml:space="preserve">Matrix Accelerator. </w:t>
      </w:r>
      <w:r>
        <w:rPr>
          <w:rFonts w:ascii="Arial" w:eastAsia="宋体" w:hAnsi="Arial" w:cs="Arial"/>
          <w:color w:val="262626"/>
          <w:sz w:val="18"/>
          <w:szCs w:val="18"/>
        </w:rPr>
        <w:t>Habana Gaudi accelerators are at the forefront of AI solutions for data centers. Amazon Web Services launched the EC2 DL1 instance featuring Habana Gaudi in Amazon Elastic Compute Cloud for training deep learning models.</w:t>
      </w:r>
    </w:p>
    <w:p w14:paraId="67534042" w14:textId="77777777" w:rsidR="001B77DD" w:rsidRDefault="001B77DD"/>
    <w:p w14:paraId="67534043" w14:textId="77777777" w:rsidR="001B77DD" w:rsidRDefault="001B77DD"/>
    <w:p w14:paraId="67534044" w14:textId="77777777" w:rsidR="001B77DD" w:rsidRDefault="001B77DD"/>
    <w:p w14:paraId="67534045" w14:textId="77777777" w:rsidR="001B77DD" w:rsidRDefault="001B77DD"/>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1B77DD" w14:paraId="67534052" w14:textId="77777777">
        <w:tc>
          <w:tcPr>
            <w:tcW w:w="50" w:type="pct"/>
            <w:shd w:val="clear" w:color="auto" w:fill="auto"/>
            <w:vAlign w:val="bottom"/>
          </w:tcPr>
          <w:p w14:paraId="67534046" w14:textId="77777777" w:rsidR="001B77DD" w:rsidRDefault="001B77DD">
            <w:pPr>
              <w:rPr>
                <w:rFonts w:ascii="宋体"/>
              </w:rPr>
            </w:pPr>
          </w:p>
        </w:tc>
        <w:tc>
          <w:tcPr>
            <w:tcW w:w="283" w:type="pct"/>
            <w:shd w:val="clear" w:color="auto" w:fill="auto"/>
            <w:vAlign w:val="bottom"/>
          </w:tcPr>
          <w:p w14:paraId="67534047" w14:textId="77777777" w:rsidR="001B77DD" w:rsidRDefault="001B77DD">
            <w:pPr>
              <w:rPr>
                <w:rFonts w:ascii="宋体"/>
              </w:rPr>
            </w:pPr>
          </w:p>
        </w:tc>
        <w:tc>
          <w:tcPr>
            <w:tcW w:w="5" w:type="pct"/>
            <w:shd w:val="clear" w:color="auto" w:fill="auto"/>
            <w:vAlign w:val="bottom"/>
          </w:tcPr>
          <w:p w14:paraId="67534048" w14:textId="77777777" w:rsidR="001B77DD" w:rsidRDefault="001B77DD">
            <w:pPr>
              <w:rPr>
                <w:rFonts w:ascii="宋体"/>
              </w:rPr>
            </w:pPr>
          </w:p>
        </w:tc>
        <w:tc>
          <w:tcPr>
            <w:tcW w:w="50" w:type="pct"/>
            <w:shd w:val="clear" w:color="auto" w:fill="auto"/>
            <w:vAlign w:val="bottom"/>
          </w:tcPr>
          <w:p w14:paraId="67534049" w14:textId="77777777" w:rsidR="001B77DD" w:rsidRDefault="001B77DD">
            <w:pPr>
              <w:rPr>
                <w:rFonts w:ascii="宋体"/>
              </w:rPr>
            </w:pPr>
          </w:p>
        </w:tc>
        <w:tc>
          <w:tcPr>
            <w:tcW w:w="1039" w:type="pct"/>
            <w:shd w:val="clear" w:color="auto" w:fill="auto"/>
            <w:vAlign w:val="bottom"/>
          </w:tcPr>
          <w:p w14:paraId="6753404A" w14:textId="77777777" w:rsidR="001B77DD" w:rsidRDefault="001B77DD">
            <w:pPr>
              <w:rPr>
                <w:rFonts w:ascii="宋体"/>
              </w:rPr>
            </w:pPr>
          </w:p>
        </w:tc>
        <w:tc>
          <w:tcPr>
            <w:tcW w:w="5" w:type="pct"/>
            <w:shd w:val="clear" w:color="auto" w:fill="auto"/>
            <w:vAlign w:val="bottom"/>
          </w:tcPr>
          <w:p w14:paraId="6753404B" w14:textId="77777777" w:rsidR="001B77DD" w:rsidRDefault="001B77DD">
            <w:pPr>
              <w:rPr>
                <w:rFonts w:ascii="宋体"/>
              </w:rPr>
            </w:pPr>
          </w:p>
        </w:tc>
        <w:tc>
          <w:tcPr>
            <w:tcW w:w="50" w:type="pct"/>
            <w:shd w:val="clear" w:color="auto" w:fill="auto"/>
            <w:vAlign w:val="bottom"/>
          </w:tcPr>
          <w:p w14:paraId="6753404C" w14:textId="77777777" w:rsidR="001B77DD" w:rsidRDefault="001B77DD">
            <w:pPr>
              <w:rPr>
                <w:rFonts w:ascii="宋体"/>
              </w:rPr>
            </w:pPr>
          </w:p>
        </w:tc>
        <w:tc>
          <w:tcPr>
            <w:tcW w:w="1562" w:type="pct"/>
            <w:shd w:val="clear" w:color="auto" w:fill="auto"/>
            <w:vAlign w:val="bottom"/>
          </w:tcPr>
          <w:p w14:paraId="6753404D" w14:textId="77777777" w:rsidR="001B77DD" w:rsidRDefault="001B77DD">
            <w:pPr>
              <w:rPr>
                <w:rFonts w:ascii="宋体"/>
              </w:rPr>
            </w:pPr>
          </w:p>
        </w:tc>
        <w:tc>
          <w:tcPr>
            <w:tcW w:w="5" w:type="pct"/>
            <w:shd w:val="clear" w:color="auto" w:fill="auto"/>
            <w:vAlign w:val="bottom"/>
          </w:tcPr>
          <w:p w14:paraId="6753404E" w14:textId="77777777" w:rsidR="001B77DD" w:rsidRDefault="001B77DD">
            <w:pPr>
              <w:rPr>
                <w:rFonts w:ascii="宋体"/>
              </w:rPr>
            </w:pPr>
          </w:p>
        </w:tc>
        <w:tc>
          <w:tcPr>
            <w:tcW w:w="50" w:type="pct"/>
            <w:shd w:val="clear" w:color="auto" w:fill="auto"/>
            <w:vAlign w:val="bottom"/>
          </w:tcPr>
          <w:p w14:paraId="6753404F" w14:textId="77777777" w:rsidR="001B77DD" w:rsidRDefault="001B77DD">
            <w:pPr>
              <w:rPr>
                <w:rFonts w:ascii="宋体"/>
              </w:rPr>
            </w:pPr>
          </w:p>
        </w:tc>
        <w:tc>
          <w:tcPr>
            <w:tcW w:w="1894" w:type="pct"/>
            <w:shd w:val="clear" w:color="auto" w:fill="auto"/>
            <w:vAlign w:val="bottom"/>
          </w:tcPr>
          <w:p w14:paraId="67534050" w14:textId="77777777" w:rsidR="001B77DD" w:rsidRDefault="001B77DD">
            <w:pPr>
              <w:rPr>
                <w:rFonts w:ascii="宋体"/>
              </w:rPr>
            </w:pPr>
          </w:p>
        </w:tc>
        <w:tc>
          <w:tcPr>
            <w:tcW w:w="5" w:type="pct"/>
            <w:shd w:val="clear" w:color="auto" w:fill="auto"/>
            <w:vAlign w:val="bottom"/>
          </w:tcPr>
          <w:p w14:paraId="67534051" w14:textId="77777777" w:rsidR="001B77DD" w:rsidRDefault="001B77DD">
            <w:pPr>
              <w:rPr>
                <w:rFonts w:ascii="宋体"/>
              </w:rPr>
            </w:pPr>
          </w:p>
        </w:tc>
      </w:tr>
      <w:tr w:rsidR="001B77DD" w14:paraId="67534057"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53"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CE" wp14:editId="67538DCF">
                  <wp:extent cx="304800" cy="304800"/>
                  <wp:effectExtent l="0" t="0" r="0" b="0"/>
                  <wp:docPr id="229" name="图片 7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7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54"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055"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56" w14:textId="77777777" w:rsidR="001B77DD" w:rsidRDefault="00BF0A28">
            <w:pPr>
              <w:jc w:val="right"/>
              <w:textAlignment w:val="center"/>
            </w:pPr>
            <w:r>
              <w:rPr>
                <w:rFonts w:ascii="Arial" w:eastAsia="宋体" w:hAnsi="Arial" w:cs="Arial"/>
                <w:color w:val="262626"/>
                <w:sz w:val="16"/>
                <w:szCs w:val="16"/>
              </w:rPr>
              <w:t>10</w:t>
            </w:r>
          </w:p>
        </w:tc>
      </w:tr>
    </w:tbl>
    <w:p w14:paraId="67534058" w14:textId="77777777" w:rsidR="001B77DD" w:rsidRDefault="00BF0A28">
      <w:r>
        <w:pict w14:anchorId="67538DD0">
          <v:rect id="_x0000_i1036" style="width:415.3pt;height:1.5pt" o:hralign="center" o:hrstd="t" o:hr="t" fillcolor="#a0a0a0" stroked="f"/>
        </w:pict>
      </w:r>
    </w:p>
    <w:p w14:paraId="67534059" w14:textId="77777777" w:rsidR="001B77DD" w:rsidRDefault="00BF0A28">
      <w:pPr>
        <w:spacing w:after="180"/>
        <w:jc w:val="right"/>
      </w:pPr>
      <w:hyperlink r:id="rId55" w:anchor="i6c9ced68f6b24d58a3dcf326e8c3c699_16" w:history="1">
        <w:r>
          <w:rPr>
            <w:rStyle w:val="a5"/>
            <w:rFonts w:ascii="Arial" w:eastAsia="宋体" w:hAnsi="Arial" w:cs="Arial"/>
            <w:sz w:val="18"/>
            <w:szCs w:val="18"/>
          </w:rPr>
          <w:t>Table</w:t>
        </w:r>
      </w:hyperlink>
      <w:hyperlink r:id="rId56" w:anchor="i6c9ced68f6b24d58a3dcf326e8c3c699_16" w:history="1">
        <w:r>
          <w:rPr>
            <w:rStyle w:val="a5"/>
            <w:rFonts w:ascii="Arial" w:eastAsia="宋体" w:hAnsi="Arial" w:cs="Arial"/>
            <w:sz w:val="18"/>
            <w:szCs w:val="18"/>
          </w:rPr>
          <w:t xml:space="preserve"> of </w:t>
        </w:r>
      </w:hyperlink>
      <w:hyperlink r:id="rId57" w:anchor="i6c9ced68f6b24d58a3dcf326e8c3c699_16" w:history="1">
        <w:r>
          <w:rPr>
            <w:rStyle w:val="a5"/>
            <w:rFonts w:ascii="Arial" w:eastAsia="宋体" w:hAnsi="Arial" w:cs="Arial"/>
            <w:sz w:val="18"/>
            <w:szCs w:val="18"/>
          </w:rPr>
          <w:t>Contents</w:t>
        </w:r>
      </w:hyperlink>
    </w:p>
    <w:p w14:paraId="6753405A" w14:textId="77777777" w:rsidR="001B77DD" w:rsidRDefault="00BF0A28">
      <w:pPr>
        <w:spacing w:after="120"/>
      </w:pPr>
      <w:r>
        <w:rPr>
          <w:rFonts w:ascii="Arial" w:eastAsia="宋体" w:hAnsi="Arial" w:cs="Arial"/>
          <w:color w:val="0068B5"/>
          <w:sz w:val="18"/>
          <w:szCs w:val="18"/>
        </w:rPr>
        <w:t>Software.</w:t>
      </w:r>
      <w:r>
        <w:rPr>
          <w:rFonts w:ascii="Arial" w:eastAsia="宋体" w:hAnsi="Arial" w:cs="Arial"/>
          <w:color w:val="0068B5"/>
          <w:sz w:val="20"/>
          <w:szCs w:val="20"/>
        </w:rPr>
        <w:t xml:space="preserve"> </w:t>
      </w:r>
      <w:r>
        <w:rPr>
          <w:rFonts w:ascii="Arial" w:eastAsia="宋体" w:hAnsi="Arial" w:cs="Arial"/>
          <w:color w:val="262626"/>
          <w:sz w:val="18"/>
          <w:szCs w:val="18"/>
        </w:rPr>
        <w:t xml:space="preserve">Software unleashes the potential of our hardware platforms across all workloads, domains, and architectures. </w:t>
      </w:r>
    </w:p>
    <w:p w14:paraId="6753405B"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 2021, oneAPI adoption expanded across the industry. oneAPI enables </w:t>
      </w:r>
      <w:r>
        <w:rPr>
          <w:rFonts w:ascii="Arial" w:eastAsia="宋体" w:hAnsi="Arial" w:cs="Arial"/>
          <w:color w:val="262626"/>
          <w:sz w:val="18"/>
          <w:szCs w:val="18"/>
        </w:rPr>
        <w:t>developers to build cross-architecture applications using a single code base across xPUs that take advantage of unique hardware features and lower software development and maintenance costs. Developers can choose the best architecture for the problem at ha</w:t>
      </w:r>
      <w:r>
        <w:rPr>
          <w:rFonts w:ascii="Arial" w:eastAsia="宋体" w:hAnsi="Arial" w:cs="Arial"/>
          <w:color w:val="262626"/>
          <w:sz w:val="18"/>
          <w:szCs w:val="18"/>
        </w:rPr>
        <w:t>nd without rewriting their entire code base, accelerating their time to value.</w:t>
      </w:r>
    </w:p>
    <w:p w14:paraId="6753405C"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We seek to accelerate adoption of oneAPI and Intel software developer tools through diverse ecosystem activities including developer trainings, summits, centers of excellence, </w:t>
      </w:r>
      <w:r>
        <w:rPr>
          <w:rFonts w:ascii="Arial" w:eastAsia="宋体" w:hAnsi="Arial" w:cs="Arial"/>
          <w:color w:val="262626"/>
          <w:sz w:val="18"/>
          <w:szCs w:val="18"/>
        </w:rPr>
        <w:t>and access to Intel hardware and software through a developer cloud. The Intel® DevCloud for oneAPI hosts global users spanning AI, data science, high-performance computing, and media &amp; graphics and other accelerated computing workloads.</w:t>
      </w:r>
    </w:p>
    <w:p w14:paraId="6753405D"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believe AI wil</w:t>
      </w:r>
      <w:r>
        <w:rPr>
          <w:rFonts w:ascii="Arial" w:eastAsia="宋体" w:hAnsi="Arial" w:cs="Arial"/>
          <w:color w:val="262626"/>
          <w:sz w:val="18"/>
          <w:szCs w:val="18"/>
        </w:rPr>
        <w:t>l be ubiquitous, and with our tools and the broad open software ecosystem, we are well-positioned to scale AI. We optimize for the most widely used AI frameworks and libraries, including TensorFlow, Pytorch, Scikit-learn, NumPy, XGBoost, and Spark, with ce</w:t>
      </w:r>
      <w:r>
        <w:rPr>
          <w:rFonts w:ascii="Arial" w:eastAsia="宋体" w:hAnsi="Arial" w:cs="Arial"/>
          <w:color w:val="262626"/>
          <w:sz w:val="18"/>
          <w:szCs w:val="18"/>
        </w:rPr>
        <w:t>rtain optimizations delivering up to 10 to 100 times performance improvements to support end-to-end AI, as well as OpenVINO</w:t>
      </w:r>
      <w:r>
        <w:rPr>
          <w:rFonts w:ascii="Arial" w:eastAsia="宋体" w:hAnsi="Arial" w:cs="Arial"/>
          <w:color w:val="262626"/>
          <w:sz w:val="11"/>
          <w:szCs w:val="11"/>
        </w:rPr>
        <w:t>TM</w:t>
      </w:r>
      <w:r>
        <w:rPr>
          <w:rFonts w:ascii="Arial" w:eastAsia="宋体" w:hAnsi="Arial" w:cs="Arial"/>
          <w:color w:val="262626"/>
          <w:sz w:val="18"/>
          <w:szCs w:val="18"/>
        </w:rPr>
        <w:t xml:space="preserve"> and oneAPI AI Analytics toolkits.</w:t>
      </w:r>
    </w:p>
    <w:p w14:paraId="6753405E"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We seek to continually improve our BIOS and firmware in support of our client, data center, net</w:t>
      </w:r>
      <w:r>
        <w:rPr>
          <w:rFonts w:ascii="Arial" w:eastAsia="宋体" w:hAnsi="Arial" w:cs="Arial"/>
          <w:color w:val="262626"/>
          <w:sz w:val="18"/>
          <w:szCs w:val="18"/>
        </w:rPr>
        <w:t xml:space="preserve">working, and graphics products, including delivering simplified and cloud-optimized open firmware for data center customers through our Firmware Support Package and Minimum Platform Architecture. </w:t>
      </w:r>
    </w:p>
    <w:p w14:paraId="6753405F" w14:textId="77777777" w:rsidR="001B77DD" w:rsidRDefault="00BF0A28">
      <w:pPr>
        <w:spacing w:after="120"/>
      </w:pPr>
      <w:r>
        <w:rPr>
          <w:rFonts w:ascii="Arial" w:eastAsia="宋体" w:hAnsi="Arial" w:cs="Arial"/>
          <w:color w:val="0068B5"/>
        </w:rPr>
        <w:t>IP Rights</w:t>
      </w:r>
    </w:p>
    <w:p w14:paraId="67534060" w14:textId="77777777" w:rsidR="001B77DD" w:rsidRDefault="00BF0A28">
      <w:pPr>
        <w:spacing w:after="120"/>
      </w:pPr>
      <w:r>
        <w:rPr>
          <w:rFonts w:ascii="Arial" w:eastAsia="宋体" w:hAnsi="Arial" w:cs="Arial"/>
          <w:color w:val="262626"/>
          <w:sz w:val="18"/>
          <w:szCs w:val="18"/>
        </w:rPr>
        <w:t>We own and develop significant IP and related IP rights around the world that support our products, services, R&amp;D, and other activities and assets. Our IP portfolio includes patents, copyrights, trade secrets, trademarks, mask works, and other rights. We a</w:t>
      </w:r>
      <w:r>
        <w:rPr>
          <w:rFonts w:ascii="Arial" w:eastAsia="宋体" w:hAnsi="Arial" w:cs="Arial"/>
          <w:color w:val="262626"/>
          <w:sz w:val="18"/>
          <w:szCs w:val="18"/>
        </w:rPr>
        <w:t xml:space="preserve">ctively seek to protect our global IP rights and to deter unauthorized use of our IP and other assets. </w:t>
      </w:r>
    </w:p>
    <w:p w14:paraId="67534061" w14:textId="77777777" w:rsidR="001B77DD" w:rsidRDefault="00BF0A28">
      <w:pPr>
        <w:spacing w:after="120"/>
      </w:pPr>
      <w:r>
        <w:rPr>
          <w:rFonts w:ascii="Arial" w:eastAsia="宋体" w:hAnsi="Arial" w:cs="Arial"/>
          <w:color w:val="262626"/>
          <w:sz w:val="18"/>
          <w:szCs w:val="18"/>
        </w:rPr>
        <w:t xml:space="preserve">We have obtained patents in the US and other countries. Because of the fast pace of innovation and product development, our products are often obsolete </w:t>
      </w:r>
      <w:r>
        <w:rPr>
          <w:rFonts w:ascii="Arial" w:eastAsia="宋体" w:hAnsi="Arial" w:cs="Arial"/>
          <w:color w:val="262626"/>
          <w:sz w:val="18"/>
          <w:szCs w:val="18"/>
        </w:rPr>
        <w:t>before the patents related to them expire, and in some cases may be obsolete before the patents are granted. As we expand our product offerings into new areas, we also seek to extend our patent development efforts to patent such products. In addition to de</w:t>
      </w:r>
      <w:r>
        <w:rPr>
          <w:rFonts w:ascii="Arial" w:eastAsia="宋体" w:hAnsi="Arial" w:cs="Arial"/>
          <w:color w:val="262626"/>
          <w:sz w:val="18"/>
          <w:szCs w:val="18"/>
        </w:rPr>
        <w:t xml:space="preserve">veloping patents based on our own R&amp;D efforts, we may purchase or license patents from third parties. </w:t>
      </w:r>
    </w:p>
    <w:p w14:paraId="67534062" w14:textId="77777777" w:rsidR="001B77DD" w:rsidRDefault="00BF0A28">
      <w:pPr>
        <w:spacing w:after="120"/>
      </w:pPr>
      <w:r>
        <w:rPr>
          <w:rFonts w:ascii="Arial" w:eastAsia="宋体" w:hAnsi="Arial" w:cs="Arial"/>
          <w:color w:val="262626"/>
          <w:sz w:val="18"/>
          <w:szCs w:val="18"/>
        </w:rPr>
        <w:t>The software that we distribute, including software embedded in our products, is entitled to copyright and other IP protection. To distinguish our produc</w:t>
      </w:r>
      <w:r>
        <w:rPr>
          <w:rFonts w:ascii="Arial" w:eastAsia="宋体" w:hAnsi="Arial" w:cs="Arial"/>
          <w:color w:val="262626"/>
          <w:sz w:val="18"/>
          <w:szCs w:val="18"/>
        </w:rPr>
        <w:t>ts from our competitors' products, we have obtained trademarks and trade names for our products, and we maintain cooperative advertising programs with customers to promote our brands and to identify products containing genuine Intel components. We also pro</w:t>
      </w:r>
      <w:r>
        <w:rPr>
          <w:rFonts w:ascii="Arial" w:eastAsia="宋体" w:hAnsi="Arial" w:cs="Arial"/>
          <w:color w:val="262626"/>
          <w:sz w:val="18"/>
          <w:szCs w:val="18"/>
        </w:rPr>
        <w:t>tect details about our processes, products, and strategies as trade secrets, keeping confidential the information that we believe provides us with a competitive advantage.</w:t>
      </w:r>
    </w:p>
    <w:p w14:paraId="67534063" w14:textId="77777777" w:rsidR="001B77DD" w:rsidRDefault="00BF0A28">
      <w:pPr>
        <w:spacing w:after="120"/>
      </w:pPr>
      <w:r>
        <w:rPr>
          <w:rFonts w:ascii="Arial" w:eastAsia="宋体" w:hAnsi="Arial" w:cs="Arial"/>
          <w:color w:val="262626"/>
          <w:sz w:val="18"/>
          <w:szCs w:val="18"/>
        </w:rPr>
        <w:t xml:space="preserve">Efforts to protect our IP can be difficult, particularly in countries that </w:t>
      </w:r>
      <w:r>
        <w:rPr>
          <w:rFonts w:ascii="Arial" w:eastAsia="宋体" w:hAnsi="Arial" w:cs="Arial"/>
          <w:color w:val="262626"/>
          <w:sz w:val="18"/>
          <w:szCs w:val="18"/>
        </w:rPr>
        <w:t>provide less protection to IP rights and in the absence of harmonized international IP standards. Competitors and others may already have IP rights covering similar products. There is no assurance that we will be able to obtain IP rights covering our own p</w:t>
      </w:r>
      <w:r>
        <w:rPr>
          <w:rFonts w:ascii="Arial" w:eastAsia="宋体" w:hAnsi="Arial" w:cs="Arial"/>
          <w:color w:val="262626"/>
          <w:sz w:val="18"/>
          <w:szCs w:val="18"/>
        </w:rPr>
        <w:t xml:space="preserve">roducts, or that we will be able to obtain IP licenses from other companies on favorable terms or at all. For a discussion of IP-related risks, see "Risk Factors" within Other Key Information. While our IP rights are important to our success, our business </w:t>
      </w:r>
      <w:r>
        <w:rPr>
          <w:rFonts w:ascii="Arial" w:eastAsia="宋体" w:hAnsi="Arial" w:cs="Arial"/>
          <w:color w:val="262626"/>
          <w:sz w:val="18"/>
          <w:szCs w:val="18"/>
        </w:rPr>
        <w:t>as a whole is not significantly dependent on any single patent, copyright, or other IP right.</w:t>
      </w:r>
    </w:p>
    <w:tbl>
      <w:tblPr>
        <w:tblW w:w="4884" w:type="pct"/>
        <w:tblCellMar>
          <w:top w:w="15" w:type="dxa"/>
          <w:left w:w="15" w:type="dxa"/>
          <w:bottom w:w="15" w:type="dxa"/>
          <w:right w:w="15" w:type="dxa"/>
        </w:tblCellMar>
        <w:tblLook w:val="04A0" w:firstRow="1" w:lastRow="0" w:firstColumn="1" w:lastColumn="0" w:noHBand="0" w:noVBand="1"/>
      </w:tblPr>
      <w:tblGrid>
        <w:gridCol w:w="58"/>
        <w:gridCol w:w="1426"/>
        <w:gridCol w:w="37"/>
        <w:gridCol w:w="36"/>
        <w:gridCol w:w="85"/>
        <w:gridCol w:w="36"/>
        <w:gridCol w:w="59"/>
        <w:gridCol w:w="6370"/>
        <w:gridCol w:w="36"/>
      </w:tblGrid>
      <w:tr w:rsidR="001B77DD" w14:paraId="6753406D" w14:textId="77777777">
        <w:tc>
          <w:tcPr>
            <w:tcW w:w="50" w:type="pct"/>
            <w:shd w:val="clear" w:color="auto" w:fill="auto"/>
            <w:vAlign w:val="bottom"/>
          </w:tcPr>
          <w:p w14:paraId="67534064" w14:textId="77777777" w:rsidR="001B77DD" w:rsidRDefault="001B77DD">
            <w:pPr>
              <w:rPr>
                <w:rFonts w:ascii="宋体"/>
              </w:rPr>
            </w:pPr>
          </w:p>
        </w:tc>
        <w:tc>
          <w:tcPr>
            <w:tcW w:w="889" w:type="pct"/>
            <w:shd w:val="clear" w:color="auto" w:fill="auto"/>
            <w:vAlign w:val="bottom"/>
          </w:tcPr>
          <w:p w14:paraId="67534065" w14:textId="77777777" w:rsidR="001B77DD" w:rsidRDefault="001B77DD">
            <w:pPr>
              <w:rPr>
                <w:rFonts w:ascii="宋体"/>
              </w:rPr>
            </w:pPr>
          </w:p>
        </w:tc>
        <w:tc>
          <w:tcPr>
            <w:tcW w:w="5" w:type="pct"/>
            <w:shd w:val="clear" w:color="auto" w:fill="auto"/>
            <w:vAlign w:val="bottom"/>
          </w:tcPr>
          <w:p w14:paraId="67534066" w14:textId="77777777" w:rsidR="001B77DD" w:rsidRDefault="001B77DD">
            <w:pPr>
              <w:rPr>
                <w:rFonts w:ascii="宋体"/>
              </w:rPr>
            </w:pPr>
          </w:p>
        </w:tc>
        <w:tc>
          <w:tcPr>
            <w:tcW w:w="5" w:type="pct"/>
            <w:shd w:val="clear" w:color="auto" w:fill="auto"/>
            <w:vAlign w:val="bottom"/>
          </w:tcPr>
          <w:p w14:paraId="67534067" w14:textId="77777777" w:rsidR="001B77DD" w:rsidRDefault="001B77DD">
            <w:pPr>
              <w:rPr>
                <w:rFonts w:ascii="宋体"/>
              </w:rPr>
            </w:pPr>
          </w:p>
        </w:tc>
        <w:tc>
          <w:tcPr>
            <w:tcW w:w="66" w:type="pct"/>
            <w:shd w:val="clear" w:color="auto" w:fill="auto"/>
            <w:vAlign w:val="bottom"/>
          </w:tcPr>
          <w:p w14:paraId="67534068" w14:textId="77777777" w:rsidR="001B77DD" w:rsidRDefault="001B77DD">
            <w:pPr>
              <w:rPr>
                <w:rFonts w:ascii="宋体"/>
              </w:rPr>
            </w:pPr>
          </w:p>
        </w:tc>
        <w:tc>
          <w:tcPr>
            <w:tcW w:w="5" w:type="pct"/>
            <w:shd w:val="clear" w:color="auto" w:fill="auto"/>
            <w:vAlign w:val="bottom"/>
          </w:tcPr>
          <w:p w14:paraId="67534069" w14:textId="77777777" w:rsidR="001B77DD" w:rsidRDefault="001B77DD">
            <w:pPr>
              <w:rPr>
                <w:rFonts w:ascii="宋体"/>
              </w:rPr>
            </w:pPr>
          </w:p>
        </w:tc>
        <w:tc>
          <w:tcPr>
            <w:tcW w:w="50" w:type="pct"/>
            <w:shd w:val="clear" w:color="auto" w:fill="auto"/>
            <w:vAlign w:val="bottom"/>
          </w:tcPr>
          <w:p w14:paraId="6753406A" w14:textId="77777777" w:rsidR="001B77DD" w:rsidRDefault="001B77DD">
            <w:pPr>
              <w:rPr>
                <w:rFonts w:ascii="宋体"/>
              </w:rPr>
            </w:pPr>
          </w:p>
        </w:tc>
        <w:tc>
          <w:tcPr>
            <w:tcW w:w="3924" w:type="pct"/>
            <w:shd w:val="clear" w:color="auto" w:fill="auto"/>
            <w:vAlign w:val="bottom"/>
          </w:tcPr>
          <w:p w14:paraId="6753406B" w14:textId="77777777" w:rsidR="001B77DD" w:rsidRDefault="001B77DD">
            <w:pPr>
              <w:rPr>
                <w:rFonts w:ascii="宋体"/>
              </w:rPr>
            </w:pPr>
          </w:p>
        </w:tc>
        <w:tc>
          <w:tcPr>
            <w:tcW w:w="5" w:type="pct"/>
            <w:shd w:val="clear" w:color="auto" w:fill="auto"/>
            <w:vAlign w:val="bottom"/>
          </w:tcPr>
          <w:p w14:paraId="6753406C" w14:textId="77777777" w:rsidR="001B77DD" w:rsidRDefault="001B77DD">
            <w:pPr>
              <w:rPr>
                <w:rFonts w:ascii="宋体"/>
              </w:rPr>
            </w:pPr>
          </w:p>
        </w:tc>
      </w:tr>
      <w:tr w:rsidR="001B77DD" w14:paraId="67534072" w14:textId="77777777">
        <w:tc>
          <w:tcPr>
            <w:tcW w:w="0" w:type="auto"/>
            <w:gridSpan w:val="6"/>
            <w:shd w:val="clear" w:color="auto" w:fill="auto"/>
            <w:tcMar>
              <w:top w:w="0" w:type="dxa"/>
              <w:left w:w="20" w:type="dxa"/>
              <w:bottom w:w="0" w:type="dxa"/>
              <w:right w:w="20" w:type="dxa"/>
            </w:tcMar>
            <w:vAlign w:val="bottom"/>
          </w:tcPr>
          <w:p w14:paraId="6753406E"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D1" wp14:editId="67538DD2">
                  <wp:extent cx="304800" cy="304800"/>
                  <wp:effectExtent l="0" t="0" r="0" b="0"/>
                  <wp:docPr id="236" name="图片 7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78"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6753406F" w14:textId="77777777" w:rsidR="001B77DD" w:rsidRDefault="00BF0A28">
            <w:pPr>
              <w:textAlignment w:val="center"/>
            </w:pPr>
            <w:r>
              <w:rPr>
                <w:rFonts w:ascii="Arial" w:eastAsia="宋体" w:hAnsi="Arial" w:cs="Arial"/>
                <w:b/>
                <w:bCs/>
                <w:i/>
                <w:iCs/>
                <w:color w:val="262626"/>
                <w:sz w:val="18"/>
                <w:szCs w:val="18"/>
              </w:rPr>
              <w:t>"Here at Intel, we take pride in attracting some of the world’s best engineers, technologists, and innovators</w:t>
            </w:r>
            <w:r>
              <w:rPr>
                <w:rFonts w:ascii="Arial" w:eastAsia="宋体" w:hAnsi="Arial" w:cs="Arial"/>
                <w:b/>
                <w:bCs/>
                <w:i/>
                <w:iCs/>
                <w:color w:val="262626"/>
                <w:sz w:val="18"/>
                <w:szCs w:val="18"/>
              </w:rPr>
              <w:t>. We are advocates for a patent system that eliminates abuse by hedge funds and others who exploit weaknesses in the system to drive their profits at the expense of those of us who actually invent, create, and produce products that are central to the moder</w:t>
            </w:r>
            <w:r>
              <w:rPr>
                <w:rFonts w:ascii="Arial" w:eastAsia="宋体" w:hAnsi="Arial" w:cs="Arial"/>
                <w:b/>
                <w:bCs/>
                <w:i/>
                <w:iCs/>
                <w:color w:val="262626"/>
                <w:sz w:val="18"/>
                <w:szCs w:val="18"/>
              </w:rPr>
              <w:t>n economy."</w:t>
            </w:r>
          </w:p>
          <w:p w14:paraId="67534070" w14:textId="77777777" w:rsidR="001B77DD" w:rsidRDefault="001B77DD">
            <w:pPr>
              <w:textAlignment w:val="center"/>
            </w:pPr>
          </w:p>
          <w:p w14:paraId="67534071" w14:textId="77777777" w:rsidR="001B77DD" w:rsidRDefault="00BF0A28">
            <w:pPr>
              <w:spacing w:after="180"/>
              <w:textAlignment w:val="center"/>
            </w:pPr>
            <w:r>
              <w:rPr>
                <w:rFonts w:ascii="Arial" w:eastAsia="宋体" w:hAnsi="Arial" w:cs="Arial"/>
                <w:b/>
                <w:bCs/>
                <w:color w:val="262626"/>
                <w:sz w:val="18"/>
                <w:szCs w:val="18"/>
              </w:rPr>
              <w:t>—Steve Rodgers,</w:t>
            </w:r>
            <w:r>
              <w:rPr>
                <w:rFonts w:ascii="Arial" w:eastAsia="宋体" w:hAnsi="Arial" w:cs="Arial"/>
                <w:color w:val="262626"/>
                <w:sz w:val="18"/>
                <w:szCs w:val="18"/>
              </w:rPr>
              <w:t xml:space="preserve"> Executive Vice President and General Counsel</w:t>
            </w:r>
          </w:p>
        </w:tc>
      </w:tr>
    </w:tbl>
    <w:p w14:paraId="67534073" w14:textId="77777777" w:rsidR="001B77DD" w:rsidRDefault="001B77DD">
      <w:pPr>
        <w:rPr>
          <w:vanish/>
        </w:rPr>
      </w:pPr>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1B77DD" w14:paraId="6753407A" w14:textId="77777777">
        <w:tc>
          <w:tcPr>
            <w:tcW w:w="20" w:type="dxa"/>
            <w:shd w:val="clear" w:color="auto" w:fill="auto"/>
            <w:vAlign w:val="bottom"/>
          </w:tcPr>
          <w:p w14:paraId="67534074" w14:textId="77777777" w:rsidR="001B77DD" w:rsidRDefault="001B77DD">
            <w:pPr>
              <w:rPr>
                <w:rFonts w:ascii="宋体"/>
              </w:rPr>
            </w:pPr>
          </w:p>
        </w:tc>
        <w:tc>
          <w:tcPr>
            <w:tcW w:w="665" w:type="dxa"/>
            <w:shd w:val="clear" w:color="auto" w:fill="auto"/>
            <w:vAlign w:val="bottom"/>
          </w:tcPr>
          <w:p w14:paraId="67534075" w14:textId="77777777" w:rsidR="001B77DD" w:rsidRDefault="001B77DD">
            <w:pPr>
              <w:rPr>
                <w:rFonts w:ascii="宋体"/>
              </w:rPr>
            </w:pPr>
          </w:p>
        </w:tc>
        <w:tc>
          <w:tcPr>
            <w:tcW w:w="20" w:type="dxa"/>
            <w:shd w:val="clear" w:color="auto" w:fill="auto"/>
            <w:vAlign w:val="bottom"/>
          </w:tcPr>
          <w:p w14:paraId="67534076" w14:textId="77777777" w:rsidR="001B77DD" w:rsidRDefault="001B77DD">
            <w:pPr>
              <w:rPr>
                <w:rFonts w:ascii="宋体"/>
              </w:rPr>
            </w:pPr>
          </w:p>
        </w:tc>
        <w:tc>
          <w:tcPr>
            <w:tcW w:w="20" w:type="dxa"/>
            <w:shd w:val="clear" w:color="auto" w:fill="auto"/>
            <w:vAlign w:val="bottom"/>
          </w:tcPr>
          <w:p w14:paraId="67534077" w14:textId="77777777" w:rsidR="001B77DD" w:rsidRDefault="001B77DD">
            <w:pPr>
              <w:rPr>
                <w:rFonts w:ascii="宋体"/>
              </w:rPr>
            </w:pPr>
          </w:p>
        </w:tc>
        <w:tc>
          <w:tcPr>
            <w:tcW w:w="10025" w:type="dxa"/>
            <w:shd w:val="clear" w:color="auto" w:fill="auto"/>
            <w:vAlign w:val="bottom"/>
          </w:tcPr>
          <w:p w14:paraId="67534078" w14:textId="77777777" w:rsidR="001B77DD" w:rsidRDefault="001B77DD">
            <w:pPr>
              <w:rPr>
                <w:rFonts w:ascii="宋体"/>
              </w:rPr>
            </w:pPr>
          </w:p>
        </w:tc>
        <w:tc>
          <w:tcPr>
            <w:tcW w:w="20" w:type="dxa"/>
            <w:shd w:val="clear" w:color="auto" w:fill="auto"/>
            <w:vAlign w:val="bottom"/>
          </w:tcPr>
          <w:p w14:paraId="67534079" w14:textId="77777777" w:rsidR="001B77DD" w:rsidRDefault="001B77DD">
            <w:pPr>
              <w:rPr>
                <w:rFonts w:ascii="宋体"/>
              </w:rPr>
            </w:pPr>
          </w:p>
        </w:tc>
      </w:tr>
      <w:tr w:rsidR="001B77DD" w14:paraId="6753407D" w14:textId="77777777">
        <w:trPr>
          <w:trHeight w:val="600"/>
        </w:trPr>
        <w:tc>
          <w:tcPr>
            <w:tcW w:w="0" w:type="auto"/>
            <w:gridSpan w:val="3"/>
            <w:shd w:val="clear" w:color="auto" w:fill="auto"/>
            <w:tcMar>
              <w:top w:w="0" w:type="dxa"/>
              <w:left w:w="20" w:type="dxa"/>
              <w:bottom w:w="0" w:type="dxa"/>
              <w:right w:w="20" w:type="dxa"/>
            </w:tcMar>
            <w:vAlign w:val="bottom"/>
          </w:tcPr>
          <w:p w14:paraId="6753407B"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D3" wp14:editId="67538DD4">
                  <wp:extent cx="304800" cy="304800"/>
                  <wp:effectExtent l="0" t="0" r="0" b="0"/>
                  <wp:docPr id="237" name="图片 7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79"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6753407C" w14:textId="77777777" w:rsidR="001B77DD" w:rsidRDefault="00BF0A28">
            <w:pPr>
              <w:textAlignment w:val="center"/>
            </w:pPr>
            <w:r>
              <w:rPr>
                <w:rFonts w:ascii="Arial" w:eastAsia="宋体" w:hAnsi="Arial" w:cs="Arial"/>
                <w:color w:val="0068B5"/>
                <w:sz w:val="28"/>
                <w:szCs w:val="28"/>
              </w:rPr>
              <w:t>Manufacturing Capital</w:t>
            </w:r>
          </w:p>
        </w:tc>
      </w:tr>
    </w:tbl>
    <w:p w14:paraId="6753407E" w14:textId="77777777" w:rsidR="001B77DD" w:rsidRDefault="00BF0A28">
      <w:pPr>
        <w:spacing w:after="180"/>
      </w:pPr>
      <w:r>
        <w:rPr>
          <w:rFonts w:ascii="Arial" w:eastAsia="宋体" w:hAnsi="Arial" w:cs="Arial"/>
          <w:color w:val="262626"/>
          <w:sz w:val="18"/>
          <w:szCs w:val="18"/>
        </w:rPr>
        <w:t>Inspired by Moore's Law, a law of economics put forth by our co-founder Gordon Moore m</w:t>
      </w:r>
      <w:r>
        <w:rPr>
          <w:rFonts w:ascii="Arial" w:eastAsia="宋体" w:hAnsi="Arial" w:cs="Arial"/>
          <w:color w:val="262626"/>
          <w:sz w:val="18"/>
          <w:szCs w:val="18"/>
        </w:rPr>
        <w:t>ore than 50 years ago, we continuously work to advance the design and manufacturing of semiconductors to help address our customers' greatest challenges. This makes possible the innovation of new products with higher performance while balancing power effic</w:t>
      </w:r>
      <w:r>
        <w:rPr>
          <w:rFonts w:ascii="Arial" w:eastAsia="宋体" w:hAnsi="Arial" w:cs="Arial"/>
          <w:color w:val="262626"/>
          <w:sz w:val="18"/>
          <w:szCs w:val="18"/>
        </w:rPr>
        <w:t>iency, cost, and size. We continue to work across our supply chain to minimize disruptions, improve productivity, and increase overall capacity and output to meet customer expectations. In 2021, our factories performed well in a highly dynamic environment,</w:t>
      </w:r>
      <w:r>
        <w:rPr>
          <w:rFonts w:ascii="Arial" w:eastAsia="宋体" w:hAnsi="Arial" w:cs="Arial"/>
          <w:color w:val="262626"/>
          <w:sz w:val="18"/>
          <w:szCs w:val="18"/>
        </w:rPr>
        <w:t xml:space="preserve"> where we adapted to rapid demand shifts and industry component shortages affecting us and our customers.</w:t>
      </w:r>
    </w:p>
    <w:p w14:paraId="6753407F" w14:textId="77777777" w:rsidR="001B77DD" w:rsidRDefault="00BF0A28">
      <w:pPr>
        <w:spacing w:after="180"/>
        <w:jc w:val="both"/>
      </w:pPr>
      <w:r>
        <w:rPr>
          <w:rFonts w:ascii="Arial" w:eastAsia="宋体" w:hAnsi="Arial" w:cs="Arial"/>
          <w:color w:val="262626"/>
          <w:sz w:val="18"/>
          <w:szCs w:val="18"/>
        </w:rPr>
        <w:t xml:space="preserve">Our IDM 2.0 strategy allows us to deliver leadership products through the use of internal and external capacity while leveraging our core </w:t>
      </w:r>
      <w:r>
        <w:rPr>
          <w:rFonts w:ascii="Arial" w:eastAsia="宋体" w:hAnsi="Arial" w:cs="Arial"/>
          <w:color w:val="262626"/>
          <w:sz w:val="18"/>
          <w:szCs w:val="18"/>
        </w:rPr>
        <w:t>strengths for growth via providing foundry services to others. IDM 2.0 combines three factors. First, we will continue to build the majority of our products in Intel fabs. Second, we expect our use of third party foundry capacity to grow and to include man</w:t>
      </w:r>
      <w:r>
        <w:rPr>
          <w:rFonts w:ascii="Arial" w:eastAsia="宋体" w:hAnsi="Arial" w:cs="Arial"/>
          <w:color w:val="262626"/>
          <w:sz w:val="18"/>
          <w:szCs w:val="18"/>
        </w:rPr>
        <w:t>ufacturing for a range of modular tiles on advanced process technologies. Third, we intend to build a world-class foundry business with IFS, which will combine leading-edge process and packaging technology, committed capacity in the US and Europe, and a wo</w:t>
      </w:r>
      <w:r>
        <w:rPr>
          <w:rFonts w:ascii="Arial" w:eastAsia="宋体" w:hAnsi="Arial" w:cs="Arial"/>
          <w:color w:val="262626"/>
          <w:sz w:val="18"/>
          <w:szCs w:val="18"/>
        </w:rPr>
        <w:t>rld-class IP portfolio for customers, including x86 cores. During the year we began shipping packaging units for our first IFS customer, Amazon Web Services.</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1B77DD" w14:paraId="6753408C" w14:textId="77777777">
        <w:tc>
          <w:tcPr>
            <w:tcW w:w="50" w:type="pct"/>
            <w:shd w:val="clear" w:color="auto" w:fill="auto"/>
            <w:vAlign w:val="bottom"/>
          </w:tcPr>
          <w:p w14:paraId="67534080" w14:textId="77777777" w:rsidR="001B77DD" w:rsidRDefault="001B77DD">
            <w:pPr>
              <w:rPr>
                <w:rFonts w:ascii="宋体"/>
              </w:rPr>
            </w:pPr>
          </w:p>
        </w:tc>
        <w:tc>
          <w:tcPr>
            <w:tcW w:w="283" w:type="pct"/>
            <w:shd w:val="clear" w:color="auto" w:fill="auto"/>
            <w:vAlign w:val="bottom"/>
          </w:tcPr>
          <w:p w14:paraId="67534081" w14:textId="77777777" w:rsidR="001B77DD" w:rsidRDefault="001B77DD">
            <w:pPr>
              <w:rPr>
                <w:rFonts w:ascii="宋体"/>
              </w:rPr>
            </w:pPr>
          </w:p>
        </w:tc>
        <w:tc>
          <w:tcPr>
            <w:tcW w:w="5" w:type="pct"/>
            <w:shd w:val="clear" w:color="auto" w:fill="auto"/>
            <w:vAlign w:val="bottom"/>
          </w:tcPr>
          <w:p w14:paraId="67534082" w14:textId="77777777" w:rsidR="001B77DD" w:rsidRDefault="001B77DD">
            <w:pPr>
              <w:rPr>
                <w:rFonts w:ascii="宋体"/>
              </w:rPr>
            </w:pPr>
          </w:p>
        </w:tc>
        <w:tc>
          <w:tcPr>
            <w:tcW w:w="50" w:type="pct"/>
            <w:shd w:val="clear" w:color="auto" w:fill="auto"/>
            <w:vAlign w:val="bottom"/>
          </w:tcPr>
          <w:p w14:paraId="67534083" w14:textId="77777777" w:rsidR="001B77DD" w:rsidRDefault="001B77DD">
            <w:pPr>
              <w:rPr>
                <w:rFonts w:ascii="宋体"/>
              </w:rPr>
            </w:pPr>
          </w:p>
        </w:tc>
        <w:tc>
          <w:tcPr>
            <w:tcW w:w="1039" w:type="pct"/>
            <w:shd w:val="clear" w:color="auto" w:fill="auto"/>
            <w:vAlign w:val="bottom"/>
          </w:tcPr>
          <w:p w14:paraId="67534084" w14:textId="77777777" w:rsidR="001B77DD" w:rsidRDefault="001B77DD">
            <w:pPr>
              <w:rPr>
                <w:rFonts w:ascii="宋体"/>
              </w:rPr>
            </w:pPr>
          </w:p>
        </w:tc>
        <w:tc>
          <w:tcPr>
            <w:tcW w:w="5" w:type="pct"/>
            <w:shd w:val="clear" w:color="auto" w:fill="auto"/>
            <w:vAlign w:val="bottom"/>
          </w:tcPr>
          <w:p w14:paraId="67534085" w14:textId="77777777" w:rsidR="001B77DD" w:rsidRDefault="001B77DD">
            <w:pPr>
              <w:rPr>
                <w:rFonts w:ascii="宋体"/>
              </w:rPr>
            </w:pPr>
          </w:p>
        </w:tc>
        <w:tc>
          <w:tcPr>
            <w:tcW w:w="50" w:type="pct"/>
            <w:shd w:val="clear" w:color="auto" w:fill="auto"/>
            <w:vAlign w:val="bottom"/>
          </w:tcPr>
          <w:p w14:paraId="67534086" w14:textId="77777777" w:rsidR="001B77DD" w:rsidRDefault="001B77DD">
            <w:pPr>
              <w:rPr>
                <w:rFonts w:ascii="宋体"/>
              </w:rPr>
            </w:pPr>
          </w:p>
        </w:tc>
        <w:tc>
          <w:tcPr>
            <w:tcW w:w="1562" w:type="pct"/>
            <w:shd w:val="clear" w:color="auto" w:fill="auto"/>
            <w:vAlign w:val="bottom"/>
          </w:tcPr>
          <w:p w14:paraId="67534087" w14:textId="77777777" w:rsidR="001B77DD" w:rsidRDefault="001B77DD">
            <w:pPr>
              <w:rPr>
                <w:rFonts w:ascii="宋体"/>
              </w:rPr>
            </w:pPr>
          </w:p>
        </w:tc>
        <w:tc>
          <w:tcPr>
            <w:tcW w:w="5" w:type="pct"/>
            <w:shd w:val="clear" w:color="auto" w:fill="auto"/>
            <w:vAlign w:val="bottom"/>
          </w:tcPr>
          <w:p w14:paraId="67534088" w14:textId="77777777" w:rsidR="001B77DD" w:rsidRDefault="001B77DD">
            <w:pPr>
              <w:rPr>
                <w:rFonts w:ascii="宋体"/>
              </w:rPr>
            </w:pPr>
          </w:p>
        </w:tc>
        <w:tc>
          <w:tcPr>
            <w:tcW w:w="50" w:type="pct"/>
            <w:shd w:val="clear" w:color="auto" w:fill="auto"/>
            <w:vAlign w:val="bottom"/>
          </w:tcPr>
          <w:p w14:paraId="67534089" w14:textId="77777777" w:rsidR="001B77DD" w:rsidRDefault="001B77DD">
            <w:pPr>
              <w:rPr>
                <w:rFonts w:ascii="宋体"/>
              </w:rPr>
            </w:pPr>
          </w:p>
        </w:tc>
        <w:tc>
          <w:tcPr>
            <w:tcW w:w="1894" w:type="pct"/>
            <w:shd w:val="clear" w:color="auto" w:fill="auto"/>
            <w:vAlign w:val="bottom"/>
          </w:tcPr>
          <w:p w14:paraId="6753408A" w14:textId="77777777" w:rsidR="001B77DD" w:rsidRDefault="001B77DD">
            <w:pPr>
              <w:rPr>
                <w:rFonts w:ascii="宋体"/>
              </w:rPr>
            </w:pPr>
          </w:p>
        </w:tc>
        <w:tc>
          <w:tcPr>
            <w:tcW w:w="5" w:type="pct"/>
            <w:shd w:val="clear" w:color="auto" w:fill="auto"/>
            <w:vAlign w:val="bottom"/>
          </w:tcPr>
          <w:p w14:paraId="6753408B" w14:textId="77777777" w:rsidR="001B77DD" w:rsidRDefault="001B77DD">
            <w:pPr>
              <w:rPr>
                <w:rFonts w:ascii="宋体"/>
              </w:rPr>
            </w:pPr>
          </w:p>
        </w:tc>
      </w:tr>
      <w:tr w:rsidR="001B77DD" w14:paraId="67534091"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8D"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D5" wp14:editId="67538DD6">
                  <wp:extent cx="304800" cy="304800"/>
                  <wp:effectExtent l="0" t="0" r="0" b="0"/>
                  <wp:docPr id="67" name="图片 8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8E"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08F"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90" w14:textId="77777777" w:rsidR="001B77DD" w:rsidRDefault="00BF0A28">
            <w:pPr>
              <w:jc w:val="right"/>
              <w:textAlignment w:val="center"/>
            </w:pPr>
            <w:r>
              <w:rPr>
                <w:rFonts w:ascii="Arial" w:eastAsia="宋体" w:hAnsi="Arial" w:cs="Arial"/>
                <w:color w:val="262626"/>
                <w:sz w:val="16"/>
                <w:szCs w:val="16"/>
              </w:rPr>
              <w:t>11</w:t>
            </w:r>
          </w:p>
        </w:tc>
      </w:tr>
    </w:tbl>
    <w:p w14:paraId="67534092" w14:textId="77777777" w:rsidR="001B77DD" w:rsidRDefault="00BF0A28">
      <w:r>
        <w:pict w14:anchorId="67538DD7">
          <v:rect id="_x0000_i1037" style="width:415.3pt;height:1.5pt" o:hralign="center" o:hrstd="t" o:hr="t" fillcolor="#a0a0a0" stroked="f"/>
        </w:pict>
      </w:r>
    </w:p>
    <w:p w14:paraId="67534093" w14:textId="77777777" w:rsidR="001B77DD" w:rsidRDefault="00BF0A28">
      <w:pPr>
        <w:spacing w:after="180"/>
        <w:jc w:val="right"/>
      </w:pPr>
      <w:hyperlink r:id="rId58" w:anchor="i6c9ced68f6b24d58a3dcf326e8c3c699_16" w:history="1">
        <w:r>
          <w:rPr>
            <w:rStyle w:val="a5"/>
            <w:rFonts w:ascii="Arial" w:eastAsia="宋体" w:hAnsi="Arial" w:cs="Arial"/>
            <w:sz w:val="18"/>
            <w:szCs w:val="18"/>
          </w:rPr>
          <w:t>Table</w:t>
        </w:r>
      </w:hyperlink>
      <w:hyperlink r:id="rId59" w:anchor="i6c9ced68f6b24d58a3dcf326e8c3c699_16" w:history="1">
        <w:r>
          <w:rPr>
            <w:rStyle w:val="a5"/>
            <w:rFonts w:ascii="Arial" w:eastAsia="宋体" w:hAnsi="Arial" w:cs="Arial"/>
            <w:sz w:val="18"/>
            <w:szCs w:val="18"/>
          </w:rPr>
          <w:t xml:space="preserve"> of </w:t>
        </w:r>
      </w:hyperlink>
      <w:hyperlink r:id="rId60" w:anchor="i6c9ced68f6b24d58a3dcf326e8c3c699_16" w:history="1">
        <w:r>
          <w:rPr>
            <w:rStyle w:val="a5"/>
            <w:rFonts w:ascii="Arial" w:eastAsia="宋体" w:hAnsi="Arial" w:cs="Arial"/>
            <w:sz w:val="18"/>
            <w:szCs w:val="18"/>
          </w:rPr>
          <w:t>Contents</w:t>
        </w:r>
      </w:hyperlink>
    </w:p>
    <w:tbl>
      <w:tblPr>
        <w:tblW w:w="4877" w:type="pct"/>
        <w:tblCellMar>
          <w:top w:w="15" w:type="dxa"/>
          <w:left w:w="15" w:type="dxa"/>
          <w:bottom w:w="15" w:type="dxa"/>
          <w:right w:w="15" w:type="dxa"/>
        </w:tblCellMar>
        <w:tblLook w:val="04A0" w:firstRow="1" w:lastRow="0" w:firstColumn="1" w:lastColumn="0" w:noHBand="0" w:noVBand="1"/>
      </w:tblPr>
      <w:tblGrid>
        <w:gridCol w:w="67"/>
        <w:gridCol w:w="1541"/>
        <w:gridCol w:w="36"/>
        <w:gridCol w:w="67"/>
        <w:gridCol w:w="6348"/>
        <w:gridCol w:w="36"/>
        <w:gridCol w:w="36"/>
      </w:tblGrid>
      <w:tr w:rsidR="001B77DD" w14:paraId="6753409A" w14:textId="77777777">
        <w:trPr>
          <w:gridAfter w:val="1"/>
        </w:trPr>
        <w:tc>
          <w:tcPr>
            <w:tcW w:w="50" w:type="pct"/>
            <w:shd w:val="clear" w:color="auto" w:fill="auto"/>
            <w:vAlign w:val="bottom"/>
          </w:tcPr>
          <w:p w14:paraId="67534094" w14:textId="77777777" w:rsidR="001B77DD" w:rsidRDefault="001B77DD">
            <w:pPr>
              <w:rPr>
                <w:rFonts w:ascii="宋体"/>
              </w:rPr>
            </w:pPr>
          </w:p>
        </w:tc>
        <w:tc>
          <w:tcPr>
            <w:tcW w:w="960" w:type="pct"/>
            <w:shd w:val="clear" w:color="auto" w:fill="auto"/>
            <w:vAlign w:val="bottom"/>
          </w:tcPr>
          <w:p w14:paraId="67534095" w14:textId="77777777" w:rsidR="001B77DD" w:rsidRDefault="001B77DD">
            <w:pPr>
              <w:rPr>
                <w:rFonts w:ascii="宋体"/>
              </w:rPr>
            </w:pPr>
          </w:p>
        </w:tc>
        <w:tc>
          <w:tcPr>
            <w:tcW w:w="5" w:type="pct"/>
            <w:shd w:val="clear" w:color="auto" w:fill="auto"/>
            <w:vAlign w:val="bottom"/>
          </w:tcPr>
          <w:p w14:paraId="67534096" w14:textId="77777777" w:rsidR="001B77DD" w:rsidRDefault="001B77DD">
            <w:pPr>
              <w:rPr>
                <w:rFonts w:ascii="宋体"/>
              </w:rPr>
            </w:pPr>
          </w:p>
        </w:tc>
        <w:tc>
          <w:tcPr>
            <w:tcW w:w="50" w:type="pct"/>
            <w:shd w:val="clear" w:color="auto" w:fill="auto"/>
            <w:vAlign w:val="bottom"/>
          </w:tcPr>
          <w:p w14:paraId="67534097" w14:textId="77777777" w:rsidR="001B77DD" w:rsidRDefault="001B77DD">
            <w:pPr>
              <w:rPr>
                <w:rFonts w:ascii="宋体"/>
              </w:rPr>
            </w:pPr>
          </w:p>
        </w:tc>
        <w:tc>
          <w:tcPr>
            <w:tcW w:w="3929" w:type="pct"/>
            <w:shd w:val="clear" w:color="auto" w:fill="auto"/>
            <w:vAlign w:val="bottom"/>
          </w:tcPr>
          <w:p w14:paraId="67534098" w14:textId="77777777" w:rsidR="001B77DD" w:rsidRDefault="001B77DD">
            <w:pPr>
              <w:rPr>
                <w:rFonts w:ascii="宋体"/>
              </w:rPr>
            </w:pPr>
          </w:p>
        </w:tc>
        <w:tc>
          <w:tcPr>
            <w:tcW w:w="5" w:type="pct"/>
            <w:shd w:val="clear" w:color="auto" w:fill="auto"/>
            <w:vAlign w:val="bottom"/>
          </w:tcPr>
          <w:p w14:paraId="67534099" w14:textId="77777777" w:rsidR="001B77DD" w:rsidRDefault="001B77DD">
            <w:pPr>
              <w:rPr>
                <w:rFonts w:ascii="宋体"/>
              </w:rPr>
            </w:pPr>
          </w:p>
        </w:tc>
      </w:tr>
      <w:tr w:rsidR="001B77DD" w14:paraId="6753409D" w14:textId="77777777">
        <w:trPr>
          <w:gridAfter w:val="1"/>
          <w:trHeight w:val="720"/>
        </w:trPr>
        <w:tc>
          <w:tcPr>
            <w:tcW w:w="0" w:type="auto"/>
            <w:gridSpan w:val="3"/>
            <w:vMerge w:val="restart"/>
            <w:shd w:val="clear" w:color="auto" w:fill="auto"/>
            <w:tcMar>
              <w:top w:w="0" w:type="dxa"/>
              <w:left w:w="20" w:type="dxa"/>
              <w:bottom w:w="0" w:type="dxa"/>
              <w:right w:w="20" w:type="dxa"/>
            </w:tcMar>
            <w:vAlign w:val="bottom"/>
          </w:tcPr>
          <w:p w14:paraId="6753409B"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D8" wp14:editId="67538DD9">
                  <wp:extent cx="304800" cy="304800"/>
                  <wp:effectExtent l="0" t="0" r="0" b="0"/>
                  <wp:docPr id="239" name="图片 8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82" descr="IMG_29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40" w:type="dxa"/>
              <w:left w:w="20" w:type="dxa"/>
              <w:bottom w:w="40" w:type="dxa"/>
              <w:right w:w="20" w:type="dxa"/>
            </w:tcMar>
            <w:vAlign w:val="center"/>
          </w:tcPr>
          <w:p w14:paraId="6753409C" w14:textId="77777777" w:rsidR="001B77DD" w:rsidRDefault="00BF0A28">
            <w:pPr>
              <w:textAlignment w:val="center"/>
            </w:pPr>
            <w:r>
              <w:rPr>
                <w:rFonts w:ascii="Arial" w:eastAsia="宋体" w:hAnsi="Arial" w:cs="Arial"/>
                <w:b/>
                <w:bCs/>
                <w:i/>
                <w:iCs/>
                <w:color w:val="262626"/>
                <w:sz w:val="18"/>
                <w:szCs w:val="18"/>
              </w:rPr>
              <w:t>“In alignment with our IDM 2.0 strategy, we are repositioning Intel for growth by increasing our investment i</w:t>
            </w:r>
            <w:r>
              <w:rPr>
                <w:rFonts w:ascii="Arial" w:eastAsia="宋体" w:hAnsi="Arial" w:cs="Arial"/>
                <w:b/>
                <w:bCs/>
                <w:i/>
                <w:iCs/>
                <w:color w:val="262626"/>
                <w:sz w:val="18"/>
                <w:szCs w:val="18"/>
              </w:rPr>
              <w:t>n internal manufacturing, expanding our global capacity for supply chain resiliency, and delivering on world class manufacturing execution.”</w:t>
            </w:r>
            <w:r>
              <w:rPr>
                <w:rFonts w:ascii="Arial" w:eastAsia="宋体" w:hAnsi="Arial" w:cs="Arial"/>
                <w:b/>
                <w:bCs/>
                <w:i/>
                <w:iCs/>
                <w:color w:val="262626"/>
                <w:sz w:val="18"/>
                <w:szCs w:val="18"/>
              </w:rPr>
              <w:br/>
            </w:r>
            <w:r>
              <w:rPr>
                <w:rFonts w:ascii="Arial" w:eastAsia="宋体" w:hAnsi="Arial" w:cs="Arial"/>
                <w:b/>
                <w:bCs/>
                <w:color w:val="262626"/>
                <w:sz w:val="18"/>
                <w:szCs w:val="18"/>
              </w:rPr>
              <w:br/>
              <w:t xml:space="preserve">—Keyvan Esfarjani, </w:t>
            </w:r>
            <w:r>
              <w:rPr>
                <w:rFonts w:ascii="Arial" w:eastAsia="宋体" w:hAnsi="Arial" w:cs="Arial"/>
                <w:color w:val="262626"/>
                <w:sz w:val="18"/>
                <w:szCs w:val="18"/>
              </w:rPr>
              <w:t xml:space="preserve">Senior Vice President and General Manager of Manufacturing, Supply Chain, and </w:t>
            </w:r>
            <w:r>
              <w:rPr>
                <w:rFonts w:ascii="Arial" w:eastAsia="宋体" w:hAnsi="Arial" w:cs="Arial"/>
                <w:color w:val="262626"/>
                <w:sz w:val="18"/>
                <w:szCs w:val="18"/>
              </w:rPr>
              <w:t>Operations</w:t>
            </w:r>
          </w:p>
        </w:tc>
      </w:tr>
      <w:tr w:rsidR="001B77DD" w14:paraId="675340A1" w14:textId="77777777">
        <w:trPr>
          <w:trHeight w:val="720"/>
        </w:trPr>
        <w:tc>
          <w:tcPr>
            <w:tcW w:w="0" w:type="auto"/>
            <w:gridSpan w:val="3"/>
            <w:vMerge/>
            <w:shd w:val="clear" w:color="auto" w:fill="auto"/>
            <w:tcMar>
              <w:top w:w="0" w:type="dxa"/>
              <w:left w:w="20" w:type="dxa"/>
              <w:bottom w:w="0" w:type="dxa"/>
              <w:right w:w="20" w:type="dxa"/>
            </w:tcMar>
            <w:vAlign w:val="bottom"/>
          </w:tcPr>
          <w:p w14:paraId="6753409E"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vAlign w:val="center"/>
          </w:tcPr>
          <w:p w14:paraId="6753409F" w14:textId="77777777" w:rsidR="001B77DD" w:rsidRDefault="001B77DD">
            <w:pPr>
              <w:rPr>
                <w:rFonts w:ascii="宋体"/>
              </w:rPr>
            </w:pPr>
          </w:p>
        </w:tc>
        <w:tc>
          <w:tcPr>
            <w:tcW w:w="0" w:type="auto"/>
            <w:shd w:val="clear" w:color="auto" w:fill="auto"/>
            <w:vAlign w:val="bottom"/>
          </w:tcPr>
          <w:p w14:paraId="675340A0" w14:textId="77777777" w:rsidR="001B77DD" w:rsidRDefault="001B77DD">
            <w:pPr>
              <w:rPr>
                <w:rFonts w:ascii="宋体"/>
                <w:vanish/>
              </w:rPr>
            </w:pPr>
          </w:p>
        </w:tc>
      </w:tr>
    </w:tbl>
    <w:p w14:paraId="675340A2" w14:textId="77777777" w:rsidR="001B77DD" w:rsidRDefault="001B77DD">
      <w:pPr>
        <w:rPr>
          <w:vanish/>
        </w:rPr>
      </w:pPr>
    </w:p>
    <w:tbl>
      <w:tblPr>
        <w:tblW w:w="4877" w:type="pct"/>
        <w:tblCellMar>
          <w:top w:w="15" w:type="dxa"/>
          <w:left w:w="15" w:type="dxa"/>
          <w:bottom w:w="15" w:type="dxa"/>
          <w:right w:w="15" w:type="dxa"/>
        </w:tblCellMar>
        <w:tblLook w:val="04A0" w:firstRow="1" w:lastRow="0" w:firstColumn="1" w:lastColumn="0" w:noHBand="0" w:noVBand="1"/>
      </w:tblPr>
      <w:tblGrid>
        <w:gridCol w:w="67"/>
        <w:gridCol w:w="1541"/>
        <w:gridCol w:w="36"/>
        <w:gridCol w:w="67"/>
        <w:gridCol w:w="6348"/>
        <w:gridCol w:w="36"/>
        <w:gridCol w:w="36"/>
      </w:tblGrid>
      <w:tr w:rsidR="001B77DD" w14:paraId="675340A9" w14:textId="77777777">
        <w:trPr>
          <w:gridAfter w:val="1"/>
        </w:trPr>
        <w:tc>
          <w:tcPr>
            <w:tcW w:w="50" w:type="pct"/>
            <w:shd w:val="clear" w:color="auto" w:fill="auto"/>
            <w:vAlign w:val="bottom"/>
          </w:tcPr>
          <w:p w14:paraId="675340A3" w14:textId="77777777" w:rsidR="001B77DD" w:rsidRDefault="001B77DD">
            <w:pPr>
              <w:rPr>
                <w:rFonts w:ascii="宋体"/>
              </w:rPr>
            </w:pPr>
          </w:p>
        </w:tc>
        <w:tc>
          <w:tcPr>
            <w:tcW w:w="960" w:type="pct"/>
            <w:shd w:val="clear" w:color="auto" w:fill="auto"/>
            <w:vAlign w:val="bottom"/>
          </w:tcPr>
          <w:p w14:paraId="675340A4" w14:textId="77777777" w:rsidR="001B77DD" w:rsidRDefault="001B77DD">
            <w:pPr>
              <w:rPr>
                <w:rFonts w:ascii="宋体"/>
              </w:rPr>
            </w:pPr>
          </w:p>
        </w:tc>
        <w:tc>
          <w:tcPr>
            <w:tcW w:w="5" w:type="pct"/>
            <w:shd w:val="clear" w:color="auto" w:fill="auto"/>
            <w:vAlign w:val="bottom"/>
          </w:tcPr>
          <w:p w14:paraId="675340A5" w14:textId="77777777" w:rsidR="001B77DD" w:rsidRDefault="001B77DD">
            <w:pPr>
              <w:rPr>
                <w:rFonts w:ascii="宋体"/>
              </w:rPr>
            </w:pPr>
          </w:p>
        </w:tc>
        <w:tc>
          <w:tcPr>
            <w:tcW w:w="50" w:type="pct"/>
            <w:shd w:val="clear" w:color="auto" w:fill="auto"/>
            <w:vAlign w:val="bottom"/>
          </w:tcPr>
          <w:p w14:paraId="675340A6" w14:textId="77777777" w:rsidR="001B77DD" w:rsidRDefault="001B77DD">
            <w:pPr>
              <w:rPr>
                <w:rFonts w:ascii="宋体"/>
              </w:rPr>
            </w:pPr>
          </w:p>
        </w:tc>
        <w:tc>
          <w:tcPr>
            <w:tcW w:w="3929" w:type="pct"/>
            <w:shd w:val="clear" w:color="auto" w:fill="auto"/>
            <w:vAlign w:val="bottom"/>
          </w:tcPr>
          <w:p w14:paraId="675340A7" w14:textId="77777777" w:rsidR="001B77DD" w:rsidRDefault="001B77DD">
            <w:pPr>
              <w:rPr>
                <w:rFonts w:ascii="宋体"/>
              </w:rPr>
            </w:pPr>
          </w:p>
        </w:tc>
        <w:tc>
          <w:tcPr>
            <w:tcW w:w="5" w:type="pct"/>
            <w:shd w:val="clear" w:color="auto" w:fill="auto"/>
            <w:vAlign w:val="bottom"/>
          </w:tcPr>
          <w:p w14:paraId="675340A8" w14:textId="77777777" w:rsidR="001B77DD" w:rsidRDefault="001B77DD">
            <w:pPr>
              <w:rPr>
                <w:rFonts w:ascii="宋体"/>
              </w:rPr>
            </w:pPr>
          </w:p>
        </w:tc>
      </w:tr>
      <w:tr w:rsidR="001B77DD" w14:paraId="675340AD" w14:textId="77777777">
        <w:trPr>
          <w:gridAfter w:val="1"/>
          <w:trHeight w:val="780"/>
        </w:trPr>
        <w:tc>
          <w:tcPr>
            <w:tcW w:w="0" w:type="auto"/>
            <w:gridSpan w:val="3"/>
            <w:vMerge w:val="restart"/>
            <w:shd w:val="clear" w:color="auto" w:fill="auto"/>
            <w:tcMar>
              <w:top w:w="0" w:type="dxa"/>
              <w:left w:w="20" w:type="dxa"/>
              <w:bottom w:w="0" w:type="dxa"/>
              <w:right w:w="20" w:type="dxa"/>
            </w:tcMar>
            <w:vAlign w:val="bottom"/>
          </w:tcPr>
          <w:p w14:paraId="675340A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DA" wp14:editId="67538DDB">
                  <wp:extent cx="304800" cy="304800"/>
                  <wp:effectExtent l="0" t="0" r="0" b="0"/>
                  <wp:docPr id="250" name="图片 83"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83"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40" w:type="dxa"/>
              <w:left w:w="20" w:type="dxa"/>
              <w:bottom w:w="40" w:type="dxa"/>
              <w:right w:w="20" w:type="dxa"/>
            </w:tcMar>
            <w:vAlign w:val="center"/>
          </w:tcPr>
          <w:p w14:paraId="675340AB" w14:textId="77777777" w:rsidR="001B77DD" w:rsidRDefault="00BF0A28">
            <w:pPr>
              <w:textAlignment w:val="center"/>
            </w:pPr>
            <w:r>
              <w:rPr>
                <w:rFonts w:ascii="Arial" w:eastAsia="宋体" w:hAnsi="Arial" w:cs="Arial"/>
                <w:b/>
                <w:bCs/>
                <w:i/>
                <w:iCs/>
                <w:color w:val="000000"/>
                <w:sz w:val="18"/>
                <w:szCs w:val="18"/>
              </w:rPr>
              <w:t>"Process and packaging are at the very heart of Intel’s heritage and are the foundation of everything we buil</w:t>
            </w:r>
            <w:r>
              <w:rPr>
                <w:rFonts w:ascii="Arial" w:eastAsia="宋体" w:hAnsi="Arial" w:cs="Arial"/>
                <w:b/>
                <w:bCs/>
                <w:i/>
                <w:iCs/>
                <w:color w:val="000000"/>
                <w:sz w:val="18"/>
                <w:szCs w:val="18"/>
              </w:rPr>
              <w:t xml:space="preserve">d. With the roadmaps we unveiled this year, we plan to accelerate our rate of innovation to reach process performance-per-watt parity by 2024 and leadership by 2025, and to maintain advanced packaging leadership." </w:t>
            </w:r>
          </w:p>
          <w:p w14:paraId="675340AC" w14:textId="77777777" w:rsidR="001B77DD" w:rsidRDefault="00BF0A28">
            <w:pPr>
              <w:textAlignment w:val="center"/>
            </w:pPr>
            <w:r>
              <w:rPr>
                <w:rFonts w:ascii="Arial" w:eastAsia="宋体" w:hAnsi="Arial" w:cs="Arial"/>
                <w:b/>
                <w:bCs/>
                <w:color w:val="262626"/>
                <w:sz w:val="18"/>
                <w:szCs w:val="18"/>
              </w:rPr>
              <w:br/>
              <w:t xml:space="preserve">—Dr. Ann Kelleher, </w:t>
            </w:r>
            <w:r>
              <w:rPr>
                <w:rFonts w:ascii="Arial" w:eastAsia="宋体" w:hAnsi="Arial" w:cs="Arial"/>
                <w:color w:val="262626"/>
                <w:sz w:val="18"/>
                <w:szCs w:val="18"/>
              </w:rPr>
              <w:t>Executive Vice Presid</w:t>
            </w:r>
            <w:r>
              <w:rPr>
                <w:rFonts w:ascii="Arial" w:eastAsia="宋体" w:hAnsi="Arial" w:cs="Arial"/>
                <w:color w:val="262626"/>
                <w:sz w:val="18"/>
                <w:szCs w:val="18"/>
              </w:rPr>
              <w:t>ent and General Manager of Technology Development</w:t>
            </w:r>
          </w:p>
        </w:tc>
      </w:tr>
      <w:tr w:rsidR="001B77DD" w14:paraId="675340B1" w14:textId="77777777">
        <w:trPr>
          <w:trHeight w:val="640"/>
        </w:trPr>
        <w:tc>
          <w:tcPr>
            <w:tcW w:w="0" w:type="auto"/>
            <w:gridSpan w:val="3"/>
            <w:vMerge/>
            <w:shd w:val="clear" w:color="auto" w:fill="auto"/>
            <w:tcMar>
              <w:top w:w="0" w:type="dxa"/>
              <w:left w:w="20" w:type="dxa"/>
              <w:bottom w:w="0" w:type="dxa"/>
              <w:right w:w="20" w:type="dxa"/>
            </w:tcMar>
            <w:vAlign w:val="bottom"/>
          </w:tcPr>
          <w:p w14:paraId="675340AE"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vAlign w:val="center"/>
          </w:tcPr>
          <w:p w14:paraId="675340AF" w14:textId="77777777" w:rsidR="001B77DD" w:rsidRDefault="001B77DD">
            <w:pPr>
              <w:rPr>
                <w:rFonts w:ascii="宋体"/>
              </w:rPr>
            </w:pPr>
          </w:p>
        </w:tc>
        <w:tc>
          <w:tcPr>
            <w:tcW w:w="0" w:type="auto"/>
            <w:shd w:val="clear" w:color="auto" w:fill="auto"/>
            <w:vAlign w:val="bottom"/>
          </w:tcPr>
          <w:p w14:paraId="675340B0" w14:textId="77777777" w:rsidR="001B77DD" w:rsidRDefault="001B77DD">
            <w:pPr>
              <w:rPr>
                <w:rFonts w:ascii="宋体"/>
                <w:vanish/>
              </w:rPr>
            </w:pPr>
          </w:p>
        </w:tc>
      </w:tr>
    </w:tbl>
    <w:p w14:paraId="675340B2" w14:textId="77777777" w:rsidR="001B77DD" w:rsidRDefault="00BF0A28">
      <w:pPr>
        <w:spacing w:after="120"/>
      </w:pPr>
      <w:r>
        <w:rPr>
          <w:rFonts w:ascii="Arial" w:eastAsia="宋体" w:hAnsi="Arial" w:cs="Arial"/>
          <w:color w:val="0068B5"/>
        </w:rPr>
        <w:t>Network and Supply Chain</w:t>
      </w:r>
    </w:p>
    <w:p w14:paraId="675340B3" w14:textId="77777777" w:rsidR="001B77DD" w:rsidRDefault="00BF0A28">
      <w:pPr>
        <w:spacing w:after="180"/>
      </w:pPr>
      <w:r>
        <w:rPr>
          <w:rFonts w:ascii="Arial" w:eastAsia="宋体" w:hAnsi="Arial" w:cs="Arial"/>
          <w:color w:val="262626"/>
          <w:sz w:val="18"/>
          <w:szCs w:val="18"/>
        </w:rPr>
        <w:t xml:space="preserve">Our global supply chain supports internal partners across architecture, product design, </w:t>
      </w:r>
      <w:r>
        <w:rPr>
          <w:rFonts w:ascii="Arial" w:eastAsia="宋体" w:hAnsi="Arial" w:cs="Arial"/>
          <w:color w:val="262626"/>
          <w:sz w:val="18"/>
          <w:szCs w:val="18"/>
          <w:shd w:val="clear" w:color="auto" w:fill="FFFFFF"/>
        </w:rPr>
        <w:t xml:space="preserve">technology development, manufacturing and operations, sales and marketing, and </w:t>
      </w:r>
      <w:r>
        <w:rPr>
          <w:rFonts w:ascii="Arial" w:eastAsia="宋体" w:hAnsi="Arial" w:cs="Arial"/>
          <w:color w:val="262626"/>
          <w:sz w:val="18"/>
          <w:szCs w:val="18"/>
          <w:shd w:val="clear" w:color="auto" w:fill="FFFFFF"/>
        </w:rPr>
        <w:t>business units, and our supply ecosystem comprises thousands of suppliers globally. Our mission is to enable product and process leadership, industry-leading total cost of ownership, and uninterrupted supply for our cus</w:t>
      </w:r>
      <w:r>
        <w:rPr>
          <w:rFonts w:ascii="Arial" w:eastAsia="宋体" w:hAnsi="Arial" w:cs="Arial"/>
          <w:color w:val="262626"/>
          <w:sz w:val="18"/>
          <w:szCs w:val="18"/>
        </w:rPr>
        <w:t>tomers. In addition to our own manufa</w:t>
      </w:r>
      <w:r>
        <w:rPr>
          <w:rFonts w:ascii="Arial" w:eastAsia="宋体" w:hAnsi="Arial" w:cs="Arial"/>
          <w:color w:val="262626"/>
          <w:sz w:val="18"/>
          <w:szCs w:val="18"/>
        </w:rPr>
        <w:t xml:space="preserve">cturing capacity, we continue to expand our use of third-party foundries. </w:t>
      </w:r>
    </w:p>
    <w:p w14:paraId="675340B4" w14:textId="77777777" w:rsidR="001B77DD" w:rsidRDefault="00BF0A28">
      <w:pPr>
        <w:spacing w:after="180"/>
      </w:pPr>
      <w:r>
        <w:rPr>
          <w:rFonts w:ascii="Arial" w:eastAsia="宋体" w:hAnsi="Arial" w:cs="Arial"/>
          <w:color w:val="262626"/>
          <w:sz w:val="18"/>
          <w:szCs w:val="18"/>
        </w:rPr>
        <w:t>The majority of our logic wafer manufacturing is conducted in the US. As of our fiscal 2021 year-end, we had ten manufacturing sites — six are wafer fabrication and four are assembl</w:t>
      </w:r>
      <w:r>
        <w:rPr>
          <w:rFonts w:ascii="Arial" w:eastAsia="宋体" w:hAnsi="Arial" w:cs="Arial"/>
          <w:color w:val="262626"/>
          <w:sz w:val="18"/>
          <w:szCs w:val="18"/>
        </w:rPr>
        <w:t>y/test facilities. The following map shows these factory sites and the countries where we have a significant R&amp;D and/or sales presence. In response to COVID-19, we maintained operational changes and measures to enable a continued safe environment for our e</w:t>
      </w:r>
      <w:r>
        <w:rPr>
          <w:rFonts w:ascii="Arial" w:eastAsia="宋体" w:hAnsi="Arial" w:cs="Arial"/>
          <w:color w:val="262626"/>
          <w:sz w:val="18"/>
          <w:szCs w:val="18"/>
        </w:rPr>
        <w:t>mployees and operation of our manufacturing sites.</w:t>
      </w:r>
    </w:p>
    <w:p w14:paraId="675340B5" w14:textId="77777777" w:rsidR="001B77DD" w:rsidRDefault="00BF0A28">
      <w:pPr>
        <w:spacing w:after="180"/>
      </w:pPr>
      <w:r>
        <w:rPr>
          <w:rFonts w:ascii="Arial" w:eastAsia="宋体" w:hAnsi="Arial" w:cs="Arial"/>
          <w:color w:val="262626"/>
          <w:sz w:val="18"/>
          <w:szCs w:val="18"/>
        </w:rPr>
        <w:t>Our manufacturing facilities are primarily used for silicon wafer manufacturing, assembling, and testing of our platform products. We operate in a network of manufacturing facilities integrated as one fact</w:t>
      </w:r>
      <w:r>
        <w:rPr>
          <w:rFonts w:ascii="Arial" w:eastAsia="宋体" w:hAnsi="Arial" w:cs="Arial"/>
          <w:color w:val="262626"/>
          <w:sz w:val="18"/>
          <w:szCs w:val="18"/>
        </w:rPr>
        <w:t>ory to provide the most flexible supply capacity, allowing us to better analyze our production costs and adapt to changes in capacity needs. Our new process technologies are transferred identically from a central development fab to each manufacturing facil</w:t>
      </w:r>
      <w:r>
        <w:rPr>
          <w:rFonts w:ascii="Arial" w:eastAsia="宋体" w:hAnsi="Arial" w:cs="Arial"/>
          <w:color w:val="262626"/>
          <w:sz w:val="18"/>
          <w:szCs w:val="18"/>
        </w:rPr>
        <w:t>ity. After transfer, the network of factories and the development fab collaborate to continue driving operational improvements. This enables fast ramp of the operation, fast learning, and quality control. We are expanding manufacturing capacity across mult</w:t>
      </w:r>
      <w:r>
        <w:rPr>
          <w:rFonts w:ascii="Arial" w:eastAsia="宋体" w:hAnsi="Arial" w:cs="Arial"/>
          <w:color w:val="262626"/>
          <w:sz w:val="18"/>
          <w:szCs w:val="18"/>
        </w:rPr>
        <w:t>iple sites, including Arizona, Ireland, Israel, and Oregon. To accelerate our IDM 2.0 strategy, we announced plans to invest $20 billion to build two new fabs in Arizona, which we broke ground on in September, and we recently announced plans to invest more</w:t>
      </w:r>
      <w:r>
        <w:rPr>
          <w:rFonts w:ascii="Arial" w:eastAsia="宋体" w:hAnsi="Arial" w:cs="Arial"/>
          <w:color w:val="262626"/>
          <w:sz w:val="18"/>
          <w:szCs w:val="18"/>
        </w:rPr>
        <w:t xml:space="preserve"> than $20 billion in the construction of two new leading-edge fabs in Ohio, while actively searching for additional manufacturing locations in Europe. Our plans include utilizing a "smart capital" strategy in which we focus first on aggressively building o</w:t>
      </w:r>
      <w:r>
        <w:rPr>
          <w:rFonts w:ascii="Arial" w:eastAsia="宋体" w:hAnsi="Arial" w:cs="Arial"/>
          <w:color w:val="262626"/>
          <w:sz w:val="18"/>
          <w:szCs w:val="18"/>
        </w:rPr>
        <w:t>ut fab shells, which are the smaller portion of the overall cost of a fab but have the longest lead time, giving us flexibility in how and when we bring additional capacity and tools online. We also announced approximately $10.5 billion total investment to</w:t>
      </w:r>
      <w:r>
        <w:rPr>
          <w:rFonts w:ascii="Arial" w:eastAsia="宋体" w:hAnsi="Arial" w:cs="Arial"/>
          <w:color w:val="262626"/>
          <w:sz w:val="18"/>
          <w:szCs w:val="18"/>
        </w:rPr>
        <w:t xml:space="preserve"> equip our Rio Rancho, New Mexico and Malaysia sites for advanced packaging manufacturing.</w:t>
      </w:r>
    </w:p>
    <w:p w14:paraId="675340B6"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DC" wp14:editId="67538DDD">
            <wp:extent cx="304800" cy="304800"/>
            <wp:effectExtent l="0" t="0" r="0" b="0"/>
            <wp:docPr id="48" name="图片 84"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40B7" w14:textId="77777777" w:rsidR="001B77DD" w:rsidRDefault="00BF0A28">
      <w:pPr>
        <w:spacing w:after="120"/>
        <w:ind w:hanging="180"/>
      </w:pPr>
      <w:r>
        <w:rPr>
          <w:rFonts w:ascii="Arial" w:eastAsia="宋体" w:hAnsi="Arial" w:cs="Arial"/>
          <w:i/>
          <w:iCs/>
          <w:color w:val="262626"/>
          <w:sz w:val="16"/>
          <w:szCs w:val="16"/>
        </w:rPr>
        <w:t xml:space="preserve">Note: The </w:t>
      </w:r>
      <w:r>
        <w:rPr>
          <w:rFonts w:ascii="Arial" w:eastAsia="宋体" w:hAnsi="Arial" w:cs="Arial"/>
          <w:i/>
          <w:iCs/>
          <w:color w:val="262626"/>
          <w:sz w:val="16"/>
          <w:szCs w:val="16"/>
        </w:rPr>
        <w:t>Dalian factory, presented above, was sold subsequent to year-end as part of the first closing of the divestiture of our NAND Memory business. See Note 10 : Acquisitions and Divestitures.</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1B77DD" w14:paraId="675340C4" w14:textId="77777777">
        <w:tc>
          <w:tcPr>
            <w:tcW w:w="50" w:type="pct"/>
            <w:shd w:val="clear" w:color="auto" w:fill="auto"/>
            <w:vAlign w:val="bottom"/>
          </w:tcPr>
          <w:p w14:paraId="675340B8" w14:textId="77777777" w:rsidR="001B77DD" w:rsidRDefault="001B77DD">
            <w:pPr>
              <w:rPr>
                <w:rFonts w:ascii="宋体"/>
              </w:rPr>
            </w:pPr>
          </w:p>
        </w:tc>
        <w:tc>
          <w:tcPr>
            <w:tcW w:w="283" w:type="pct"/>
            <w:shd w:val="clear" w:color="auto" w:fill="auto"/>
            <w:vAlign w:val="bottom"/>
          </w:tcPr>
          <w:p w14:paraId="675340B9" w14:textId="77777777" w:rsidR="001B77DD" w:rsidRDefault="001B77DD">
            <w:pPr>
              <w:rPr>
                <w:rFonts w:ascii="宋体"/>
              </w:rPr>
            </w:pPr>
          </w:p>
        </w:tc>
        <w:tc>
          <w:tcPr>
            <w:tcW w:w="5" w:type="pct"/>
            <w:shd w:val="clear" w:color="auto" w:fill="auto"/>
            <w:vAlign w:val="bottom"/>
          </w:tcPr>
          <w:p w14:paraId="675340BA" w14:textId="77777777" w:rsidR="001B77DD" w:rsidRDefault="001B77DD">
            <w:pPr>
              <w:rPr>
                <w:rFonts w:ascii="宋体"/>
              </w:rPr>
            </w:pPr>
          </w:p>
        </w:tc>
        <w:tc>
          <w:tcPr>
            <w:tcW w:w="50" w:type="pct"/>
            <w:shd w:val="clear" w:color="auto" w:fill="auto"/>
            <w:vAlign w:val="bottom"/>
          </w:tcPr>
          <w:p w14:paraId="675340BB" w14:textId="77777777" w:rsidR="001B77DD" w:rsidRDefault="001B77DD">
            <w:pPr>
              <w:rPr>
                <w:rFonts w:ascii="宋体"/>
              </w:rPr>
            </w:pPr>
          </w:p>
        </w:tc>
        <w:tc>
          <w:tcPr>
            <w:tcW w:w="1039" w:type="pct"/>
            <w:shd w:val="clear" w:color="auto" w:fill="auto"/>
            <w:vAlign w:val="bottom"/>
          </w:tcPr>
          <w:p w14:paraId="675340BC" w14:textId="77777777" w:rsidR="001B77DD" w:rsidRDefault="001B77DD">
            <w:pPr>
              <w:rPr>
                <w:rFonts w:ascii="宋体"/>
              </w:rPr>
            </w:pPr>
          </w:p>
        </w:tc>
        <w:tc>
          <w:tcPr>
            <w:tcW w:w="5" w:type="pct"/>
            <w:shd w:val="clear" w:color="auto" w:fill="auto"/>
            <w:vAlign w:val="bottom"/>
          </w:tcPr>
          <w:p w14:paraId="675340BD" w14:textId="77777777" w:rsidR="001B77DD" w:rsidRDefault="001B77DD">
            <w:pPr>
              <w:rPr>
                <w:rFonts w:ascii="宋体"/>
              </w:rPr>
            </w:pPr>
          </w:p>
        </w:tc>
        <w:tc>
          <w:tcPr>
            <w:tcW w:w="50" w:type="pct"/>
            <w:shd w:val="clear" w:color="auto" w:fill="auto"/>
            <w:vAlign w:val="bottom"/>
          </w:tcPr>
          <w:p w14:paraId="675340BE" w14:textId="77777777" w:rsidR="001B77DD" w:rsidRDefault="001B77DD">
            <w:pPr>
              <w:rPr>
                <w:rFonts w:ascii="宋体"/>
              </w:rPr>
            </w:pPr>
          </w:p>
        </w:tc>
        <w:tc>
          <w:tcPr>
            <w:tcW w:w="1562" w:type="pct"/>
            <w:shd w:val="clear" w:color="auto" w:fill="auto"/>
            <w:vAlign w:val="bottom"/>
          </w:tcPr>
          <w:p w14:paraId="675340BF" w14:textId="77777777" w:rsidR="001B77DD" w:rsidRDefault="001B77DD">
            <w:pPr>
              <w:rPr>
                <w:rFonts w:ascii="宋体"/>
              </w:rPr>
            </w:pPr>
          </w:p>
        </w:tc>
        <w:tc>
          <w:tcPr>
            <w:tcW w:w="5" w:type="pct"/>
            <w:shd w:val="clear" w:color="auto" w:fill="auto"/>
            <w:vAlign w:val="bottom"/>
          </w:tcPr>
          <w:p w14:paraId="675340C0" w14:textId="77777777" w:rsidR="001B77DD" w:rsidRDefault="001B77DD">
            <w:pPr>
              <w:rPr>
                <w:rFonts w:ascii="宋体"/>
              </w:rPr>
            </w:pPr>
          </w:p>
        </w:tc>
        <w:tc>
          <w:tcPr>
            <w:tcW w:w="50" w:type="pct"/>
            <w:shd w:val="clear" w:color="auto" w:fill="auto"/>
            <w:vAlign w:val="bottom"/>
          </w:tcPr>
          <w:p w14:paraId="675340C1" w14:textId="77777777" w:rsidR="001B77DD" w:rsidRDefault="001B77DD">
            <w:pPr>
              <w:rPr>
                <w:rFonts w:ascii="宋体"/>
              </w:rPr>
            </w:pPr>
          </w:p>
        </w:tc>
        <w:tc>
          <w:tcPr>
            <w:tcW w:w="1894" w:type="pct"/>
            <w:shd w:val="clear" w:color="auto" w:fill="auto"/>
            <w:vAlign w:val="bottom"/>
          </w:tcPr>
          <w:p w14:paraId="675340C2" w14:textId="77777777" w:rsidR="001B77DD" w:rsidRDefault="001B77DD">
            <w:pPr>
              <w:rPr>
                <w:rFonts w:ascii="宋体"/>
              </w:rPr>
            </w:pPr>
          </w:p>
        </w:tc>
        <w:tc>
          <w:tcPr>
            <w:tcW w:w="5" w:type="pct"/>
            <w:shd w:val="clear" w:color="auto" w:fill="auto"/>
            <w:vAlign w:val="bottom"/>
          </w:tcPr>
          <w:p w14:paraId="675340C3" w14:textId="77777777" w:rsidR="001B77DD" w:rsidRDefault="001B77DD">
            <w:pPr>
              <w:rPr>
                <w:rFonts w:ascii="宋体"/>
              </w:rPr>
            </w:pPr>
          </w:p>
        </w:tc>
      </w:tr>
      <w:tr w:rsidR="001B77DD" w14:paraId="675340C9"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C5"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DE" wp14:editId="67538DDF">
                  <wp:extent cx="304800" cy="304800"/>
                  <wp:effectExtent l="0" t="0" r="0" b="0"/>
                  <wp:docPr id="2" name="图片 8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5"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C6"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0C7"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0C8" w14:textId="77777777" w:rsidR="001B77DD" w:rsidRDefault="00BF0A28">
            <w:pPr>
              <w:jc w:val="right"/>
              <w:textAlignment w:val="center"/>
            </w:pPr>
            <w:r>
              <w:rPr>
                <w:rFonts w:ascii="Arial" w:eastAsia="宋体" w:hAnsi="Arial" w:cs="Arial"/>
                <w:color w:val="262626"/>
                <w:sz w:val="16"/>
                <w:szCs w:val="16"/>
              </w:rPr>
              <w:t>12</w:t>
            </w:r>
          </w:p>
        </w:tc>
      </w:tr>
    </w:tbl>
    <w:p w14:paraId="675340CA" w14:textId="77777777" w:rsidR="001B77DD" w:rsidRDefault="00BF0A28">
      <w:r>
        <w:pict w14:anchorId="67538DE0">
          <v:rect id="_x0000_i1038" style="width:415.3pt;height:1.5pt" o:hralign="center" o:hrstd="t" o:hr="t" fillcolor="#a0a0a0" stroked="f"/>
        </w:pict>
      </w:r>
    </w:p>
    <w:p w14:paraId="675340CB" w14:textId="77777777" w:rsidR="001B77DD" w:rsidRDefault="00BF0A28">
      <w:pPr>
        <w:spacing w:after="180"/>
        <w:jc w:val="right"/>
      </w:pPr>
      <w:hyperlink r:id="rId61" w:anchor="i6c9ced68f6b24d58a3dcf326e8c3c699_16" w:history="1">
        <w:r>
          <w:rPr>
            <w:rStyle w:val="a5"/>
            <w:rFonts w:ascii="Arial" w:eastAsia="宋体" w:hAnsi="Arial" w:cs="Arial"/>
            <w:sz w:val="18"/>
            <w:szCs w:val="18"/>
          </w:rPr>
          <w:t>Table</w:t>
        </w:r>
      </w:hyperlink>
      <w:hyperlink r:id="rId62" w:anchor="i6c9ced68f6b24d58a3dcf326e8c3c699_16" w:history="1">
        <w:r>
          <w:rPr>
            <w:rStyle w:val="a5"/>
            <w:rFonts w:ascii="Arial" w:eastAsia="宋体" w:hAnsi="Arial" w:cs="Arial"/>
            <w:sz w:val="18"/>
            <w:szCs w:val="18"/>
          </w:rPr>
          <w:t xml:space="preserve"> of </w:t>
        </w:r>
      </w:hyperlink>
      <w:hyperlink r:id="rId63" w:anchor="i6c9ced68f6b24d58a3dcf326e8c3c699_16" w:history="1">
        <w:r>
          <w:rPr>
            <w:rStyle w:val="a5"/>
            <w:rFonts w:ascii="Arial" w:eastAsia="宋体" w:hAnsi="Arial" w:cs="Arial"/>
            <w:sz w:val="18"/>
            <w:szCs w:val="18"/>
          </w:rPr>
          <w:t>Contents</w:t>
        </w:r>
      </w:hyperlink>
    </w:p>
    <w:tbl>
      <w:tblPr>
        <w:tblW w:w="10860" w:type="dxa"/>
        <w:tblCellMar>
          <w:top w:w="15" w:type="dxa"/>
          <w:left w:w="15" w:type="dxa"/>
          <w:bottom w:w="15" w:type="dxa"/>
          <w:right w:w="15" w:type="dxa"/>
        </w:tblCellMar>
        <w:tblLook w:val="04A0" w:firstRow="1" w:lastRow="0" w:firstColumn="1" w:lastColumn="0" w:noHBand="0" w:noVBand="1"/>
      </w:tblPr>
      <w:tblGrid>
        <w:gridCol w:w="36"/>
        <w:gridCol w:w="664"/>
        <w:gridCol w:w="36"/>
        <w:gridCol w:w="36"/>
        <w:gridCol w:w="10052"/>
        <w:gridCol w:w="36"/>
      </w:tblGrid>
      <w:tr w:rsidR="001B77DD" w14:paraId="675340D2" w14:textId="77777777">
        <w:tc>
          <w:tcPr>
            <w:tcW w:w="20" w:type="dxa"/>
            <w:shd w:val="clear" w:color="auto" w:fill="auto"/>
            <w:vAlign w:val="bottom"/>
          </w:tcPr>
          <w:p w14:paraId="675340CC" w14:textId="77777777" w:rsidR="001B77DD" w:rsidRDefault="001B77DD">
            <w:pPr>
              <w:rPr>
                <w:rFonts w:ascii="宋体"/>
              </w:rPr>
            </w:pPr>
          </w:p>
        </w:tc>
        <w:tc>
          <w:tcPr>
            <w:tcW w:w="665" w:type="dxa"/>
            <w:shd w:val="clear" w:color="auto" w:fill="auto"/>
            <w:vAlign w:val="bottom"/>
          </w:tcPr>
          <w:p w14:paraId="675340CD" w14:textId="77777777" w:rsidR="001B77DD" w:rsidRDefault="001B77DD">
            <w:pPr>
              <w:rPr>
                <w:rFonts w:ascii="宋体"/>
              </w:rPr>
            </w:pPr>
          </w:p>
        </w:tc>
        <w:tc>
          <w:tcPr>
            <w:tcW w:w="20" w:type="dxa"/>
            <w:shd w:val="clear" w:color="auto" w:fill="auto"/>
            <w:vAlign w:val="bottom"/>
          </w:tcPr>
          <w:p w14:paraId="675340CE" w14:textId="77777777" w:rsidR="001B77DD" w:rsidRDefault="001B77DD">
            <w:pPr>
              <w:rPr>
                <w:rFonts w:ascii="宋体"/>
              </w:rPr>
            </w:pPr>
          </w:p>
        </w:tc>
        <w:tc>
          <w:tcPr>
            <w:tcW w:w="20" w:type="dxa"/>
            <w:shd w:val="clear" w:color="auto" w:fill="auto"/>
            <w:vAlign w:val="bottom"/>
          </w:tcPr>
          <w:p w14:paraId="675340CF" w14:textId="77777777" w:rsidR="001B77DD" w:rsidRDefault="001B77DD">
            <w:pPr>
              <w:rPr>
                <w:rFonts w:ascii="宋体"/>
              </w:rPr>
            </w:pPr>
          </w:p>
        </w:tc>
        <w:tc>
          <w:tcPr>
            <w:tcW w:w="10115" w:type="dxa"/>
            <w:shd w:val="clear" w:color="auto" w:fill="auto"/>
            <w:vAlign w:val="bottom"/>
          </w:tcPr>
          <w:p w14:paraId="675340D0" w14:textId="77777777" w:rsidR="001B77DD" w:rsidRDefault="001B77DD">
            <w:pPr>
              <w:rPr>
                <w:rFonts w:ascii="宋体"/>
              </w:rPr>
            </w:pPr>
          </w:p>
        </w:tc>
        <w:tc>
          <w:tcPr>
            <w:tcW w:w="20" w:type="dxa"/>
            <w:shd w:val="clear" w:color="auto" w:fill="auto"/>
            <w:vAlign w:val="bottom"/>
          </w:tcPr>
          <w:p w14:paraId="675340D1" w14:textId="77777777" w:rsidR="001B77DD" w:rsidRDefault="001B77DD">
            <w:pPr>
              <w:rPr>
                <w:rFonts w:ascii="宋体"/>
              </w:rPr>
            </w:pPr>
          </w:p>
        </w:tc>
      </w:tr>
      <w:tr w:rsidR="001B77DD" w14:paraId="675340D5" w14:textId="77777777">
        <w:trPr>
          <w:trHeight w:val="600"/>
        </w:trPr>
        <w:tc>
          <w:tcPr>
            <w:tcW w:w="0" w:type="auto"/>
            <w:gridSpan w:val="3"/>
            <w:shd w:val="clear" w:color="auto" w:fill="auto"/>
            <w:tcMar>
              <w:top w:w="0" w:type="dxa"/>
              <w:left w:w="20" w:type="dxa"/>
              <w:bottom w:w="0" w:type="dxa"/>
              <w:right w:w="20" w:type="dxa"/>
            </w:tcMar>
            <w:vAlign w:val="bottom"/>
          </w:tcPr>
          <w:p w14:paraId="675340D3"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E1" wp14:editId="67538DE2">
                  <wp:extent cx="304800" cy="304800"/>
                  <wp:effectExtent l="0" t="0" r="0" b="0"/>
                  <wp:docPr id="246" name="图片 87"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87" descr="IMG_2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675340D4" w14:textId="77777777" w:rsidR="001B77DD" w:rsidRDefault="00BF0A28">
            <w:pPr>
              <w:textAlignment w:val="center"/>
            </w:pPr>
            <w:r>
              <w:rPr>
                <w:rFonts w:ascii="Arial" w:eastAsia="宋体" w:hAnsi="Arial" w:cs="Arial"/>
                <w:color w:val="0068B5"/>
                <w:sz w:val="28"/>
                <w:szCs w:val="28"/>
              </w:rPr>
              <w:t>Human Capital</w:t>
            </w:r>
          </w:p>
        </w:tc>
      </w:tr>
    </w:tbl>
    <w:p w14:paraId="675340D6" w14:textId="77777777" w:rsidR="001B77DD" w:rsidRDefault="00BF0A28">
      <w:pPr>
        <w:spacing w:after="180"/>
      </w:pPr>
      <w:r>
        <w:rPr>
          <w:rFonts w:ascii="Arial" w:eastAsia="宋体" w:hAnsi="Arial" w:cs="Arial"/>
          <w:color w:val="262626"/>
          <w:sz w:val="18"/>
          <w:szCs w:val="18"/>
        </w:rPr>
        <w:t>Our human capital strategy is grounded in our belief that our people are fundamental to our su</w:t>
      </w:r>
      <w:r>
        <w:rPr>
          <w:rFonts w:ascii="Arial" w:eastAsia="宋体" w:hAnsi="Arial" w:cs="Arial"/>
          <w:color w:val="262626"/>
          <w:sz w:val="18"/>
          <w:szCs w:val="18"/>
        </w:rPr>
        <w:t>ccess. Delivering on our IDM 2.0 strategy and growth ambitions requires attracting, developing, and retaining top talent from across the world. We are committed to creating an inclusive workplace where the world’s best engineers and technologists can fulfi</w:t>
      </w:r>
      <w:r>
        <w:rPr>
          <w:rFonts w:ascii="Arial" w:eastAsia="宋体" w:hAnsi="Arial" w:cs="Arial"/>
          <w:color w:val="262626"/>
          <w:sz w:val="18"/>
          <w:szCs w:val="18"/>
        </w:rPr>
        <w:t>ll their dreams and create technology that improves the life of every person on the planet. We invest in our highly skilled workforce of 121,100 people through creating practices, programs and benefits that support the evolving world of work and our employ</w:t>
      </w:r>
      <w:r>
        <w:rPr>
          <w:rFonts w:ascii="Arial" w:eastAsia="宋体" w:hAnsi="Arial" w:cs="Arial"/>
          <w:color w:val="262626"/>
          <w:sz w:val="18"/>
          <w:szCs w:val="18"/>
        </w:rPr>
        <w:t xml:space="preserve">ees’ needs. </w:t>
      </w:r>
    </w:p>
    <w:p w14:paraId="675340D7" w14:textId="77777777" w:rsidR="001B77DD" w:rsidRDefault="00BF0A28">
      <w:pPr>
        <w:spacing w:after="60"/>
      </w:pPr>
      <w:r>
        <w:rPr>
          <w:rFonts w:ascii="Arial" w:eastAsia="宋体" w:hAnsi="Arial" w:cs="Arial"/>
          <w:color w:val="262626"/>
          <w:sz w:val="18"/>
          <w:szCs w:val="18"/>
        </w:rPr>
        <w:t xml:space="preserve">Fostering a culture of empowerment, inclusion, and accountability is also core to our IDM 2.0 strategy. We are focused on reinvigorating our culture to strengthen our execution and accelerate our cadence of innovation. Our </w:t>
      </w:r>
      <w:r>
        <w:rPr>
          <w:rFonts w:ascii="Arial" w:eastAsia="宋体" w:hAnsi="Arial" w:cs="Arial"/>
          <w:color w:val="262626"/>
          <w:sz w:val="18"/>
          <w:szCs w:val="18"/>
        </w:rPr>
        <w:t>values—customer first, fearless innovation, results driven, one Intel, inclusion, quality, and integrity—inspire us and are key to delivering on our purpose. This year, we added a new value—results driven—as we seek to return to our roots of innovation and</w:t>
      </w:r>
      <w:r>
        <w:rPr>
          <w:rFonts w:ascii="Arial" w:eastAsia="宋体" w:hAnsi="Arial" w:cs="Arial"/>
          <w:color w:val="262626"/>
          <w:sz w:val="18"/>
          <w:szCs w:val="18"/>
        </w:rPr>
        <w:t xml:space="preserve"> execution, making data-driven decisions quickly and setting disciplined goals that drive business results. All employees are responsible for upholding these values, the Intel Code of Conduct, and Intel's Global Human Rights Principles, which form the foun</w:t>
      </w:r>
      <w:r>
        <w:rPr>
          <w:rFonts w:ascii="Arial" w:eastAsia="宋体" w:hAnsi="Arial" w:cs="Arial"/>
          <w:color w:val="262626"/>
          <w:sz w:val="18"/>
          <w:szCs w:val="18"/>
        </w:rPr>
        <w:t>dation of our policies and practices and ethical business culture.</w:t>
      </w:r>
    </w:p>
    <w:tbl>
      <w:tblPr>
        <w:tblW w:w="5000" w:type="pct"/>
        <w:tblCellMar>
          <w:top w:w="15" w:type="dxa"/>
          <w:left w:w="15" w:type="dxa"/>
          <w:bottom w:w="15" w:type="dxa"/>
          <w:right w:w="15" w:type="dxa"/>
        </w:tblCellMar>
        <w:tblLook w:val="04A0" w:firstRow="1" w:lastRow="0" w:firstColumn="1" w:lastColumn="0" w:noHBand="0" w:noVBand="1"/>
      </w:tblPr>
      <w:tblGrid>
        <w:gridCol w:w="36"/>
        <w:gridCol w:w="68"/>
        <w:gridCol w:w="1445"/>
        <w:gridCol w:w="36"/>
        <w:gridCol w:w="68"/>
        <w:gridCol w:w="6503"/>
        <w:gridCol w:w="36"/>
        <w:gridCol w:w="36"/>
        <w:gridCol w:w="36"/>
        <w:gridCol w:w="36"/>
        <w:gridCol w:w="36"/>
      </w:tblGrid>
      <w:tr w:rsidR="001B77DD" w14:paraId="675340E1" w14:textId="77777777">
        <w:trPr>
          <w:hidden/>
        </w:trPr>
        <w:tc>
          <w:tcPr>
            <w:tcW w:w="0" w:type="auto"/>
            <w:shd w:val="clear" w:color="auto" w:fill="auto"/>
            <w:vAlign w:val="bottom"/>
          </w:tcPr>
          <w:p w14:paraId="675340D8" w14:textId="77777777" w:rsidR="001B77DD" w:rsidRDefault="001B77DD">
            <w:pPr>
              <w:rPr>
                <w:rFonts w:ascii="宋体"/>
                <w:vanish/>
              </w:rPr>
            </w:pPr>
          </w:p>
        </w:tc>
        <w:tc>
          <w:tcPr>
            <w:tcW w:w="50" w:type="pct"/>
            <w:shd w:val="clear" w:color="auto" w:fill="auto"/>
            <w:vAlign w:val="bottom"/>
          </w:tcPr>
          <w:p w14:paraId="675340D9" w14:textId="77777777" w:rsidR="001B77DD" w:rsidRDefault="001B77DD">
            <w:pPr>
              <w:rPr>
                <w:rFonts w:ascii="宋体"/>
              </w:rPr>
            </w:pPr>
          </w:p>
        </w:tc>
        <w:tc>
          <w:tcPr>
            <w:tcW w:w="894" w:type="pct"/>
            <w:shd w:val="clear" w:color="auto" w:fill="auto"/>
            <w:vAlign w:val="bottom"/>
          </w:tcPr>
          <w:p w14:paraId="675340DA" w14:textId="77777777" w:rsidR="001B77DD" w:rsidRDefault="001B77DD">
            <w:pPr>
              <w:rPr>
                <w:rFonts w:ascii="宋体"/>
              </w:rPr>
            </w:pPr>
          </w:p>
        </w:tc>
        <w:tc>
          <w:tcPr>
            <w:tcW w:w="5" w:type="pct"/>
            <w:shd w:val="clear" w:color="auto" w:fill="auto"/>
            <w:vAlign w:val="bottom"/>
          </w:tcPr>
          <w:p w14:paraId="675340DB" w14:textId="77777777" w:rsidR="001B77DD" w:rsidRDefault="001B77DD">
            <w:pPr>
              <w:rPr>
                <w:rFonts w:ascii="宋体"/>
              </w:rPr>
            </w:pPr>
          </w:p>
        </w:tc>
        <w:tc>
          <w:tcPr>
            <w:tcW w:w="50" w:type="pct"/>
            <w:shd w:val="clear" w:color="auto" w:fill="auto"/>
            <w:vAlign w:val="bottom"/>
          </w:tcPr>
          <w:p w14:paraId="675340DC" w14:textId="77777777" w:rsidR="001B77DD" w:rsidRDefault="001B77DD">
            <w:pPr>
              <w:rPr>
                <w:rFonts w:ascii="宋体"/>
              </w:rPr>
            </w:pPr>
          </w:p>
        </w:tc>
        <w:tc>
          <w:tcPr>
            <w:tcW w:w="3995" w:type="pct"/>
            <w:shd w:val="clear" w:color="auto" w:fill="auto"/>
            <w:vAlign w:val="bottom"/>
          </w:tcPr>
          <w:p w14:paraId="675340DD" w14:textId="77777777" w:rsidR="001B77DD" w:rsidRDefault="001B77DD">
            <w:pPr>
              <w:rPr>
                <w:rFonts w:ascii="宋体"/>
              </w:rPr>
            </w:pPr>
          </w:p>
        </w:tc>
        <w:tc>
          <w:tcPr>
            <w:tcW w:w="5" w:type="pct"/>
            <w:shd w:val="clear" w:color="auto" w:fill="auto"/>
            <w:vAlign w:val="bottom"/>
          </w:tcPr>
          <w:p w14:paraId="675340DE" w14:textId="77777777" w:rsidR="001B77DD" w:rsidRDefault="001B77DD">
            <w:pPr>
              <w:rPr>
                <w:rFonts w:ascii="宋体"/>
              </w:rPr>
            </w:pPr>
          </w:p>
        </w:tc>
        <w:tc>
          <w:tcPr>
            <w:tcW w:w="0" w:type="auto"/>
            <w:shd w:val="clear" w:color="auto" w:fill="auto"/>
            <w:vAlign w:val="bottom"/>
          </w:tcPr>
          <w:p w14:paraId="675340DF" w14:textId="77777777" w:rsidR="001B77DD" w:rsidRDefault="001B77DD">
            <w:pPr>
              <w:rPr>
                <w:rFonts w:ascii="宋体"/>
                <w:vanish/>
              </w:rPr>
            </w:pPr>
          </w:p>
        </w:tc>
        <w:tc>
          <w:tcPr>
            <w:tcW w:w="0" w:type="auto"/>
            <w:gridSpan w:val="3"/>
            <w:shd w:val="clear" w:color="auto" w:fill="auto"/>
            <w:vAlign w:val="bottom"/>
          </w:tcPr>
          <w:p w14:paraId="675340E0" w14:textId="77777777" w:rsidR="001B77DD" w:rsidRDefault="001B77DD">
            <w:pPr>
              <w:rPr>
                <w:rFonts w:ascii="宋体"/>
                <w:vanish/>
              </w:rPr>
            </w:pPr>
          </w:p>
        </w:tc>
      </w:tr>
      <w:tr w:rsidR="001B77DD" w14:paraId="675340E9" w14:textId="77777777">
        <w:trPr>
          <w:hidden/>
        </w:trPr>
        <w:tc>
          <w:tcPr>
            <w:tcW w:w="0" w:type="auto"/>
            <w:shd w:val="clear" w:color="auto" w:fill="auto"/>
            <w:vAlign w:val="bottom"/>
          </w:tcPr>
          <w:p w14:paraId="675340E2" w14:textId="77777777" w:rsidR="001B77DD" w:rsidRDefault="001B77DD">
            <w:pPr>
              <w:rPr>
                <w:rFonts w:ascii="宋体"/>
                <w:vanish/>
              </w:rPr>
            </w:pPr>
          </w:p>
        </w:tc>
        <w:tc>
          <w:tcPr>
            <w:tcW w:w="0" w:type="auto"/>
            <w:gridSpan w:val="3"/>
            <w:shd w:val="clear" w:color="auto" w:fill="auto"/>
            <w:vAlign w:val="bottom"/>
          </w:tcPr>
          <w:p w14:paraId="675340E3" w14:textId="77777777" w:rsidR="001B77DD" w:rsidRDefault="001B77DD">
            <w:pPr>
              <w:rPr>
                <w:rFonts w:ascii="宋体"/>
                <w:vanish/>
              </w:rPr>
            </w:pPr>
          </w:p>
        </w:tc>
        <w:tc>
          <w:tcPr>
            <w:tcW w:w="0" w:type="auto"/>
            <w:gridSpan w:val="3"/>
            <w:shd w:val="clear" w:color="auto" w:fill="auto"/>
            <w:vAlign w:val="bottom"/>
          </w:tcPr>
          <w:p w14:paraId="675340E4" w14:textId="77777777" w:rsidR="001B77DD" w:rsidRDefault="001B77DD">
            <w:pPr>
              <w:rPr>
                <w:rFonts w:ascii="宋体"/>
                <w:vanish/>
              </w:rPr>
            </w:pPr>
          </w:p>
        </w:tc>
        <w:tc>
          <w:tcPr>
            <w:tcW w:w="0" w:type="auto"/>
            <w:shd w:val="clear" w:color="auto" w:fill="auto"/>
            <w:vAlign w:val="bottom"/>
          </w:tcPr>
          <w:p w14:paraId="675340E5" w14:textId="77777777" w:rsidR="001B77DD" w:rsidRDefault="001B77DD">
            <w:pPr>
              <w:rPr>
                <w:rFonts w:ascii="宋体"/>
                <w:vanish/>
              </w:rPr>
            </w:pPr>
          </w:p>
        </w:tc>
        <w:tc>
          <w:tcPr>
            <w:tcW w:w="0" w:type="auto"/>
            <w:shd w:val="clear" w:color="auto" w:fill="auto"/>
            <w:vAlign w:val="bottom"/>
          </w:tcPr>
          <w:p w14:paraId="675340E6" w14:textId="77777777" w:rsidR="001B77DD" w:rsidRDefault="001B77DD">
            <w:pPr>
              <w:rPr>
                <w:rFonts w:ascii="宋体"/>
              </w:rPr>
            </w:pPr>
          </w:p>
        </w:tc>
        <w:tc>
          <w:tcPr>
            <w:tcW w:w="0" w:type="auto"/>
            <w:shd w:val="clear" w:color="auto" w:fill="auto"/>
            <w:vAlign w:val="bottom"/>
          </w:tcPr>
          <w:p w14:paraId="675340E7" w14:textId="77777777" w:rsidR="001B77DD" w:rsidRDefault="001B77DD">
            <w:pPr>
              <w:rPr>
                <w:rFonts w:ascii="宋体"/>
              </w:rPr>
            </w:pPr>
          </w:p>
        </w:tc>
        <w:tc>
          <w:tcPr>
            <w:tcW w:w="0" w:type="auto"/>
            <w:shd w:val="clear" w:color="auto" w:fill="auto"/>
            <w:vAlign w:val="bottom"/>
          </w:tcPr>
          <w:p w14:paraId="675340E8" w14:textId="77777777" w:rsidR="001B77DD" w:rsidRDefault="001B77DD">
            <w:pPr>
              <w:rPr>
                <w:rFonts w:ascii="宋体"/>
              </w:rPr>
            </w:pPr>
          </w:p>
        </w:tc>
      </w:tr>
      <w:tr w:rsidR="001B77DD" w14:paraId="675340EF" w14:textId="77777777">
        <w:trPr>
          <w:hidden/>
        </w:trPr>
        <w:tc>
          <w:tcPr>
            <w:tcW w:w="0" w:type="auto"/>
            <w:shd w:val="clear" w:color="auto" w:fill="auto"/>
            <w:vAlign w:val="bottom"/>
          </w:tcPr>
          <w:p w14:paraId="675340EA" w14:textId="77777777" w:rsidR="001B77DD" w:rsidRDefault="001B77DD">
            <w:pPr>
              <w:rPr>
                <w:rFonts w:ascii="宋体"/>
                <w:vanish/>
              </w:rPr>
            </w:pPr>
          </w:p>
        </w:tc>
        <w:tc>
          <w:tcPr>
            <w:tcW w:w="0" w:type="auto"/>
            <w:gridSpan w:val="3"/>
            <w:shd w:val="clear" w:color="auto" w:fill="auto"/>
            <w:vAlign w:val="bottom"/>
          </w:tcPr>
          <w:p w14:paraId="675340EB" w14:textId="77777777" w:rsidR="001B77DD" w:rsidRDefault="001B77DD">
            <w:pPr>
              <w:rPr>
                <w:rFonts w:ascii="宋体"/>
                <w:vanish/>
              </w:rPr>
            </w:pPr>
          </w:p>
        </w:tc>
        <w:tc>
          <w:tcPr>
            <w:tcW w:w="0" w:type="auto"/>
            <w:gridSpan w:val="3"/>
            <w:shd w:val="clear" w:color="auto" w:fill="auto"/>
            <w:vAlign w:val="bottom"/>
          </w:tcPr>
          <w:p w14:paraId="675340EC" w14:textId="77777777" w:rsidR="001B77DD" w:rsidRDefault="001B77DD">
            <w:pPr>
              <w:rPr>
                <w:rFonts w:ascii="宋体"/>
                <w:vanish/>
              </w:rPr>
            </w:pPr>
          </w:p>
        </w:tc>
        <w:tc>
          <w:tcPr>
            <w:tcW w:w="0" w:type="auto"/>
            <w:shd w:val="clear" w:color="auto" w:fill="auto"/>
            <w:vAlign w:val="bottom"/>
          </w:tcPr>
          <w:p w14:paraId="675340ED" w14:textId="77777777" w:rsidR="001B77DD" w:rsidRDefault="001B77DD">
            <w:pPr>
              <w:rPr>
                <w:rFonts w:ascii="宋体"/>
                <w:vanish/>
              </w:rPr>
            </w:pPr>
          </w:p>
        </w:tc>
        <w:tc>
          <w:tcPr>
            <w:tcW w:w="0" w:type="auto"/>
            <w:gridSpan w:val="3"/>
            <w:shd w:val="clear" w:color="auto" w:fill="auto"/>
            <w:vAlign w:val="bottom"/>
          </w:tcPr>
          <w:p w14:paraId="675340EE" w14:textId="77777777" w:rsidR="001B77DD" w:rsidRDefault="001B77DD">
            <w:pPr>
              <w:rPr>
                <w:rFonts w:ascii="宋体"/>
                <w:vanish/>
              </w:rPr>
            </w:pPr>
          </w:p>
        </w:tc>
      </w:tr>
      <w:tr w:rsidR="001B77DD" w14:paraId="675340F6" w14:textId="77777777">
        <w:trPr>
          <w:hidden/>
        </w:trPr>
        <w:tc>
          <w:tcPr>
            <w:tcW w:w="0" w:type="auto"/>
            <w:shd w:val="clear" w:color="auto" w:fill="auto"/>
            <w:vAlign w:val="bottom"/>
          </w:tcPr>
          <w:p w14:paraId="675340F0"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0F1"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E3" wp14:editId="67538DE4">
                  <wp:extent cx="304800" cy="304800"/>
                  <wp:effectExtent l="0" t="0" r="0" b="0"/>
                  <wp:docPr id="251" name="图片 88"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88"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675340F2" w14:textId="77777777" w:rsidR="001B77DD" w:rsidRDefault="00BF0A28">
            <w:pPr>
              <w:textAlignment w:val="center"/>
            </w:pPr>
            <w:r>
              <w:rPr>
                <w:rFonts w:ascii="Arial" w:eastAsia="宋体" w:hAnsi="Arial" w:cs="Arial"/>
                <w:b/>
                <w:bCs/>
                <w:i/>
                <w:iCs/>
                <w:color w:val="262626"/>
                <w:sz w:val="18"/>
                <w:szCs w:val="18"/>
              </w:rPr>
              <w:t>"</w:t>
            </w:r>
            <w:r>
              <w:rPr>
                <w:rFonts w:ascii="Arial" w:eastAsia="宋体" w:hAnsi="Arial" w:cs="Arial"/>
                <w:b/>
                <w:bCs/>
                <w:i/>
                <w:iCs/>
                <w:color w:val="262626"/>
                <w:sz w:val="18"/>
                <w:szCs w:val="18"/>
                <w:shd w:val="clear" w:color="auto" w:fill="FFFFFF"/>
              </w:rPr>
              <w:t xml:space="preserve">At Intel we tackle hard problems, think boldly, and create technology that improves the life of every </w:t>
            </w:r>
            <w:r>
              <w:rPr>
                <w:rFonts w:ascii="Arial" w:eastAsia="宋体" w:hAnsi="Arial" w:cs="Arial"/>
                <w:b/>
                <w:bCs/>
                <w:i/>
                <w:iCs/>
                <w:color w:val="262626"/>
                <w:sz w:val="18"/>
                <w:szCs w:val="18"/>
                <w:shd w:val="clear" w:color="auto" w:fill="FFFFFF"/>
              </w:rPr>
              <w:t>person on the planet. Our culture unleashes the diverse perspectives, experiences, and potential of our employees to drive innovation and business results for Intel and our customers</w:t>
            </w:r>
            <w:r>
              <w:rPr>
                <w:rFonts w:ascii="Arial" w:eastAsia="宋体" w:hAnsi="Arial" w:cs="Arial"/>
                <w:b/>
                <w:bCs/>
                <w:i/>
                <w:iCs/>
                <w:color w:val="262626"/>
                <w:sz w:val="18"/>
                <w:szCs w:val="18"/>
              </w:rPr>
              <w:t>."</w:t>
            </w:r>
          </w:p>
          <w:p w14:paraId="675340F3" w14:textId="77777777" w:rsidR="001B77DD" w:rsidRDefault="00BF0A28">
            <w:pPr>
              <w:textAlignment w:val="center"/>
            </w:pPr>
            <w:r>
              <w:rPr>
                <w:rFonts w:ascii="Arial" w:eastAsia="宋体" w:hAnsi="Arial" w:cs="Arial"/>
                <w:b/>
                <w:bCs/>
                <w:color w:val="262626"/>
                <w:sz w:val="18"/>
                <w:szCs w:val="18"/>
              </w:rPr>
              <w:br/>
              <w:t>—Christy Pambianchi</w:t>
            </w:r>
            <w:r>
              <w:rPr>
                <w:rFonts w:ascii="Arial" w:eastAsia="宋体" w:hAnsi="Arial" w:cs="Arial"/>
                <w:color w:val="262626"/>
                <w:sz w:val="18"/>
                <w:szCs w:val="18"/>
              </w:rPr>
              <w:t>, Executive Vice President and Chief People Officer</w:t>
            </w:r>
          </w:p>
        </w:tc>
        <w:tc>
          <w:tcPr>
            <w:tcW w:w="0" w:type="auto"/>
            <w:shd w:val="clear" w:color="auto" w:fill="auto"/>
            <w:vAlign w:val="bottom"/>
          </w:tcPr>
          <w:p w14:paraId="675340F4" w14:textId="77777777" w:rsidR="001B77DD" w:rsidRDefault="001B77DD">
            <w:pPr>
              <w:rPr>
                <w:rFonts w:ascii="宋体"/>
                <w:vanish/>
              </w:rPr>
            </w:pPr>
          </w:p>
        </w:tc>
        <w:tc>
          <w:tcPr>
            <w:tcW w:w="0" w:type="auto"/>
            <w:gridSpan w:val="3"/>
            <w:shd w:val="clear" w:color="auto" w:fill="auto"/>
            <w:vAlign w:val="bottom"/>
          </w:tcPr>
          <w:p w14:paraId="675340F5" w14:textId="77777777" w:rsidR="001B77DD" w:rsidRDefault="001B77DD">
            <w:pPr>
              <w:rPr>
                <w:rFonts w:ascii="宋体"/>
                <w:vanish/>
              </w:rPr>
            </w:pPr>
          </w:p>
        </w:tc>
      </w:tr>
    </w:tbl>
    <w:p w14:paraId="675340F7" w14:textId="77777777" w:rsidR="001B77DD" w:rsidRDefault="00BF0A28">
      <w:pPr>
        <w:spacing w:after="60"/>
      </w:pPr>
      <w:r>
        <w:rPr>
          <w:rFonts w:ascii="Arial" w:eastAsia="宋体" w:hAnsi="Arial" w:cs="Arial"/>
          <w:color w:val="0068B5"/>
        </w:rPr>
        <w:t>Talent Management</w:t>
      </w:r>
    </w:p>
    <w:p w14:paraId="675340F8" w14:textId="77777777" w:rsidR="001B77DD" w:rsidRDefault="00BF0A28">
      <w:pPr>
        <w:spacing w:after="120"/>
      </w:pPr>
      <w:r>
        <w:rPr>
          <w:rFonts w:ascii="Arial" w:eastAsia="宋体" w:hAnsi="Arial" w:cs="Arial"/>
          <w:color w:val="262626"/>
          <w:sz w:val="18"/>
          <w:szCs w:val="18"/>
        </w:rPr>
        <w:t xml:space="preserve">The digitization of everything is driving growth and global demand for semiconductors. Combined with the tightening labor market and economic recovery from COVID-19, this has driven a significant increase in competition </w:t>
      </w:r>
      <w:r>
        <w:rPr>
          <w:rFonts w:ascii="Arial" w:eastAsia="宋体" w:hAnsi="Arial" w:cs="Arial"/>
          <w:color w:val="262626"/>
          <w:sz w:val="18"/>
          <w:szCs w:val="18"/>
        </w:rPr>
        <w:t>throughout the industry to attract and retain talent – especially technical talent. In 2021, we intensified our efforts to continue to attract and retain talent, including introducing new employee referral programs, expanding wellness benefits and time off</w:t>
      </w:r>
      <w:r>
        <w:rPr>
          <w:rFonts w:ascii="Arial" w:eastAsia="宋体" w:hAnsi="Arial" w:cs="Arial"/>
          <w:color w:val="262626"/>
          <w:sz w:val="18"/>
          <w:szCs w:val="18"/>
        </w:rPr>
        <w:t>, heightening our focus on revitalizing our culture, and increasing mentoring in our technical community. In 2021, our undesired turnover rate</w:t>
      </w:r>
      <w:r>
        <w:rPr>
          <w:rFonts w:ascii="Arial" w:eastAsia="宋体" w:hAnsi="Arial" w:cs="Arial"/>
          <w:color w:val="262626"/>
          <w:sz w:val="11"/>
          <w:szCs w:val="11"/>
        </w:rPr>
        <w:t>1</w:t>
      </w:r>
      <w:r>
        <w:rPr>
          <w:rFonts w:ascii="Arial" w:eastAsia="宋体" w:hAnsi="Arial" w:cs="Arial"/>
          <w:color w:val="262626"/>
          <w:sz w:val="18"/>
          <w:szCs w:val="18"/>
        </w:rPr>
        <w:t xml:space="preserve"> was 5.6%, compared to 4.0% in 2020.</w:t>
      </w:r>
    </w:p>
    <w:p w14:paraId="675340F9" w14:textId="77777777" w:rsidR="001B77DD" w:rsidRDefault="00BF0A28">
      <w:pPr>
        <w:spacing w:after="120"/>
      </w:pPr>
      <w:r>
        <w:rPr>
          <w:rFonts w:ascii="Arial" w:eastAsia="宋体" w:hAnsi="Arial" w:cs="Arial"/>
          <w:color w:val="262626"/>
          <w:sz w:val="18"/>
          <w:szCs w:val="18"/>
        </w:rPr>
        <w:t>We invest significant resources to develop the talent needed to remain at th</w:t>
      </w:r>
      <w:r>
        <w:rPr>
          <w:rFonts w:ascii="Arial" w:eastAsia="宋体" w:hAnsi="Arial" w:cs="Arial"/>
          <w:color w:val="262626"/>
          <w:sz w:val="18"/>
          <w:szCs w:val="18"/>
        </w:rPr>
        <w:t>e forefront of innovation and make Intel an employer of choice. We offer extensive training programs and provide rotational assignment opportunities. We evolved our performance management system to support our culture evolution and increase our focus on di</w:t>
      </w:r>
      <w:r>
        <w:rPr>
          <w:rFonts w:ascii="Arial" w:eastAsia="宋体" w:hAnsi="Arial" w:cs="Arial"/>
          <w:color w:val="262626"/>
          <w:sz w:val="18"/>
          <w:szCs w:val="18"/>
        </w:rPr>
        <w:t>sciplined goal setting and results. Through our annual Employee Experience Surveys and Manager Development Feedback Surveys, employees can voice their perceptions of the company, their managers, their work experience, and learning and development opportuni</w:t>
      </w:r>
      <w:r>
        <w:rPr>
          <w:rFonts w:ascii="Arial" w:eastAsia="宋体" w:hAnsi="Arial" w:cs="Arial"/>
          <w:color w:val="262626"/>
          <w:sz w:val="18"/>
          <w:szCs w:val="18"/>
        </w:rPr>
        <w:t>ties.</w:t>
      </w:r>
    </w:p>
    <w:tbl>
      <w:tblPr>
        <w:tblW w:w="5000" w:type="pct"/>
        <w:tblCellMar>
          <w:top w:w="15" w:type="dxa"/>
          <w:left w:w="15" w:type="dxa"/>
          <w:bottom w:w="15" w:type="dxa"/>
          <w:right w:w="15" w:type="dxa"/>
        </w:tblCellMar>
        <w:tblLook w:val="04A0" w:firstRow="1" w:lastRow="0" w:firstColumn="1" w:lastColumn="0" w:noHBand="0" w:noVBand="1"/>
      </w:tblPr>
      <w:tblGrid>
        <w:gridCol w:w="68"/>
        <w:gridCol w:w="6355"/>
        <w:gridCol w:w="36"/>
        <w:gridCol w:w="36"/>
        <w:gridCol w:w="36"/>
        <w:gridCol w:w="69"/>
        <w:gridCol w:w="1700"/>
        <w:gridCol w:w="36"/>
      </w:tblGrid>
      <w:tr w:rsidR="001B77DD" w14:paraId="67534102" w14:textId="77777777">
        <w:tc>
          <w:tcPr>
            <w:tcW w:w="50" w:type="pct"/>
            <w:shd w:val="clear" w:color="auto" w:fill="auto"/>
            <w:vAlign w:val="bottom"/>
          </w:tcPr>
          <w:p w14:paraId="675340FA" w14:textId="77777777" w:rsidR="001B77DD" w:rsidRDefault="001B77DD">
            <w:pPr>
              <w:rPr>
                <w:rFonts w:ascii="宋体"/>
              </w:rPr>
            </w:pPr>
          </w:p>
        </w:tc>
        <w:tc>
          <w:tcPr>
            <w:tcW w:w="3852" w:type="pct"/>
            <w:shd w:val="clear" w:color="auto" w:fill="auto"/>
            <w:vAlign w:val="bottom"/>
          </w:tcPr>
          <w:p w14:paraId="675340FB" w14:textId="77777777" w:rsidR="001B77DD" w:rsidRDefault="001B77DD">
            <w:pPr>
              <w:rPr>
                <w:rFonts w:ascii="宋体"/>
              </w:rPr>
            </w:pPr>
          </w:p>
        </w:tc>
        <w:tc>
          <w:tcPr>
            <w:tcW w:w="5" w:type="pct"/>
            <w:shd w:val="clear" w:color="auto" w:fill="auto"/>
            <w:vAlign w:val="bottom"/>
          </w:tcPr>
          <w:p w14:paraId="675340FC" w14:textId="77777777" w:rsidR="001B77DD" w:rsidRDefault="001B77DD">
            <w:pPr>
              <w:rPr>
                <w:rFonts w:ascii="宋体"/>
              </w:rPr>
            </w:pPr>
          </w:p>
        </w:tc>
        <w:tc>
          <w:tcPr>
            <w:tcW w:w="0" w:type="auto"/>
            <w:shd w:val="clear" w:color="auto" w:fill="auto"/>
            <w:vAlign w:val="bottom"/>
          </w:tcPr>
          <w:p w14:paraId="675340FD" w14:textId="77777777" w:rsidR="001B77DD" w:rsidRDefault="001B77DD">
            <w:pPr>
              <w:rPr>
                <w:rFonts w:ascii="宋体"/>
                <w:vanish/>
              </w:rPr>
            </w:pPr>
          </w:p>
        </w:tc>
        <w:tc>
          <w:tcPr>
            <w:tcW w:w="0" w:type="auto"/>
            <w:shd w:val="clear" w:color="auto" w:fill="auto"/>
            <w:vAlign w:val="bottom"/>
          </w:tcPr>
          <w:p w14:paraId="675340FE" w14:textId="77777777" w:rsidR="001B77DD" w:rsidRDefault="001B77DD">
            <w:pPr>
              <w:rPr>
                <w:rFonts w:ascii="宋体"/>
                <w:vanish/>
              </w:rPr>
            </w:pPr>
          </w:p>
        </w:tc>
        <w:tc>
          <w:tcPr>
            <w:tcW w:w="50" w:type="pct"/>
            <w:shd w:val="clear" w:color="auto" w:fill="auto"/>
            <w:vAlign w:val="bottom"/>
          </w:tcPr>
          <w:p w14:paraId="675340FF" w14:textId="77777777" w:rsidR="001B77DD" w:rsidRDefault="001B77DD">
            <w:pPr>
              <w:rPr>
                <w:rFonts w:ascii="宋体"/>
              </w:rPr>
            </w:pPr>
          </w:p>
        </w:tc>
        <w:tc>
          <w:tcPr>
            <w:tcW w:w="1037" w:type="pct"/>
            <w:shd w:val="clear" w:color="auto" w:fill="auto"/>
            <w:vAlign w:val="bottom"/>
          </w:tcPr>
          <w:p w14:paraId="67534100" w14:textId="77777777" w:rsidR="001B77DD" w:rsidRDefault="001B77DD">
            <w:pPr>
              <w:rPr>
                <w:rFonts w:ascii="宋体"/>
              </w:rPr>
            </w:pPr>
          </w:p>
        </w:tc>
        <w:tc>
          <w:tcPr>
            <w:tcW w:w="5" w:type="pct"/>
            <w:shd w:val="clear" w:color="auto" w:fill="auto"/>
            <w:vAlign w:val="bottom"/>
          </w:tcPr>
          <w:p w14:paraId="67534101" w14:textId="77777777" w:rsidR="001B77DD" w:rsidRDefault="001B77DD">
            <w:pPr>
              <w:rPr>
                <w:rFonts w:ascii="宋体"/>
              </w:rPr>
            </w:pPr>
          </w:p>
        </w:tc>
      </w:tr>
      <w:tr w:rsidR="001B77DD" w14:paraId="67534107" w14:textId="77777777">
        <w:trPr>
          <w:trHeight w:val="340"/>
        </w:trPr>
        <w:tc>
          <w:tcPr>
            <w:tcW w:w="0" w:type="auto"/>
            <w:gridSpan w:val="3"/>
            <w:shd w:val="clear" w:color="auto" w:fill="auto"/>
            <w:tcMar>
              <w:top w:w="40" w:type="dxa"/>
              <w:left w:w="20" w:type="dxa"/>
              <w:bottom w:w="40" w:type="dxa"/>
              <w:right w:w="20" w:type="dxa"/>
            </w:tcMar>
          </w:tcPr>
          <w:p w14:paraId="67534103" w14:textId="77777777" w:rsidR="001B77DD" w:rsidRDefault="00BF0A28">
            <w:pPr>
              <w:textAlignment w:val="top"/>
            </w:pPr>
            <w:r>
              <w:rPr>
                <w:rFonts w:ascii="Arial" w:eastAsia="宋体" w:hAnsi="Arial" w:cs="Arial"/>
                <w:color w:val="0068B5"/>
              </w:rPr>
              <w:t>Inclusion</w:t>
            </w:r>
          </w:p>
        </w:tc>
        <w:tc>
          <w:tcPr>
            <w:tcW w:w="0" w:type="auto"/>
            <w:shd w:val="clear" w:color="auto" w:fill="auto"/>
            <w:vAlign w:val="bottom"/>
          </w:tcPr>
          <w:p w14:paraId="67534104" w14:textId="77777777" w:rsidR="001B77DD" w:rsidRDefault="001B77DD">
            <w:pPr>
              <w:rPr>
                <w:rFonts w:ascii="宋体"/>
                <w:vanish/>
              </w:rPr>
            </w:pPr>
          </w:p>
        </w:tc>
        <w:tc>
          <w:tcPr>
            <w:tcW w:w="0" w:type="auto"/>
            <w:shd w:val="clear" w:color="auto" w:fill="auto"/>
            <w:vAlign w:val="bottom"/>
          </w:tcPr>
          <w:p w14:paraId="67534105" w14:textId="77777777" w:rsidR="001B77DD" w:rsidRDefault="001B77DD">
            <w:pPr>
              <w:rPr>
                <w:rFonts w:ascii="宋体"/>
                <w:vanish/>
              </w:rPr>
            </w:pPr>
          </w:p>
        </w:tc>
        <w:tc>
          <w:tcPr>
            <w:tcW w:w="0" w:type="auto"/>
            <w:gridSpan w:val="3"/>
            <w:vMerge w:val="restart"/>
            <w:shd w:val="clear" w:color="auto" w:fill="auto"/>
            <w:tcMar>
              <w:top w:w="0" w:type="dxa"/>
              <w:left w:w="20" w:type="dxa"/>
              <w:bottom w:w="0" w:type="dxa"/>
              <w:right w:w="20" w:type="dxa"/>
            </w:tcMar>
            <w:vAlign w:val="bottom"/>
          </w:tcPr>
          <w:p w14:paraId="67534106"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E5" wp14:editId="67538DE6">
                  <wp:extent cx="304800" cy="304800"/>
                  <wp:effectExtent l="0" t="0" r="0" b="0"/>
                  <wp:docPr id="245" name="图片 89"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89" descr="IMG_29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410D" w14:textId="77777777">
        <w:trPr>
          <w:trHeight w:val="3520"/>
        </w:trPr>
        <w:tc>
          <w:tcPr>
            <w:tcW w:w="0" w:type="auto"/>
            <w:gridSpan w:val="3"/>
            <w:vMerge w:val="restart"/>
            <w:shd w:val="clear" w:color="auto" w:fill="auto"/>
            <w:tcMar>
              <w:top w:w="40" w:type="dxa"/>
              <w:left w:w="20" w:type="dxa"/>
              <w:bottom w:w="40" w:type="dxa"/>
              <w:right w:w="20" w:type="dxa"/>
            </w:tcMar>
          </w:tcPr>
          <w:p w14:paraId="67534108" w14:textId="77777777" w:rsidR="001B77DD" w:rsidRDefault="00BF0A28">
            <w:pPr>
              <w:spacing w:after="180"/>
              <w:textAlignment w:val="top"/>
            </w:pPr>
            <w:r>
              <w:rPr>
                <w:rFonts w:ascii="Arial" w:eastAsia="宋体" w:hAnsi="Arial" w:cs="Arial"/>
                <w:color w:val="262626"/>
                <w:sz w:val="18"/>
                <w:szCs w:val="18"/>
              </w:rPr>
              <w:t>Diversity and inclusion are core to Intel's values and instrumental to driving innovation and positioning us for growth. Over the past decade, we have taken actions to integrate diversity and inclusion expectations into our culture, performance and managem</w:t>
            </w:r>
            <w:r>
              <w:rPr>
                <w:rFonts w:ascii="Arial" w:eastAsia="宋体" w:hAnsi="Arial" w:cs="Arial"/>
                <w:color w:val="262626"/>
                <w:sz w:val="18"/>
                <w:szCs w:val="18"/>
              </w:rPr>
              <w:t>ent systems, leadership expectations, and annual bonus metrics. We are proud of what we have accomplished to advance diversity and inclusion, but we recognize we still have work to do, including beyond the walls of Intel. We also recognize the additional c</w:t>
            </w:r>
            <w:r>
              <w:rPr>
                <w:rFonts w:ascii="Arial" w:eastAsia="宋体" w:hAnsi="Arial" w:cs="Arial"/>
                <w:color w:val="262626"/>
                <w:sz w:val="18"/>
                <w:szCs w:val="18"/>
              </w:rPr>
              <w:t>hallenges that COVID-19 has presented to our employees, including women and individuals with disabilities. Our RISE strategy and 2030 goals set our global ambitions for the rest of the decade, including doubling the number of women in senior leadership; do</w:t>
            </w:r>
            <w:r>
              <w:rPr>
                <w:rFonts w:ascii="Arial" w:eastAsia="宋体" w:hAnsi="Arial" w:cs="Arial"/>
                <w:color w:val="262626"/>
                <w:sz w:val="18"/>
                <w:szCs w:val="18"/>
              </w:rPr>
              <w:t>ubling the number of underrepresented minorities in US senior leadership; and embedding inclusive leadership practices across our business. Our goals also include increasing the percentage of employees who self-identify as having a disability to 10%; and e</w:t>
            </w:r>
            <w:r>
              <w:rPr>
                <w:rFonts w:ascii="Arial" w:eastAsia="宋体" w:hAnsi="Arial" w:cs="Arial"/>
                <w:color w:val="262626"/>
                <w:sz w:val="18"/>
                <w:szCs w:val="18"/>
              </w:rPr>
              <w:t>xceeding 40% representation of women in technical roles, including engineering positions and other roles with technical job requirements. To drive accountability, we continue to link a portion of our executive and employee compensation to diversity and inc</w:t>
            </w:r>
            <w:r>
              <w:rPr>
                <w:rFonts w:ascii="Arial" w:eastAsia="宋体" w:hAnsi="Arial" w:cs="Arial"/>
                <w:color w:val="262626"/>
                <w:sz w:val="18"/>
                <w:szCs w:val="18"/>
              </w:rPr>
              <w:t xml:space="preserve">lusion metrics. </w:t>
            </w:r>
          </w:p>
          <w:p w14:paraId="67534109" w14:textId="77777777" w:rsidR="001B77DD" w:rsidRDefault="00BF0A28">
            <w:pPr>
              <w:spacing w:after="120"/>
              <w:textAlignment w:val="top"/>
            </w:pPr>
            <w:r>
              <w:rPr>
                <w:rFonts w:ascii="Arial" w:eastAsia="宋体" w:hAnsi="Arial" w:cs="Arial"/>
                <w:color w:val="262626"/>
                <w:sz w:val="18"/>
                <w:szCs w:val="18"/>
              </w:rPr>
              <w:t>We have committed our scale, expertise, and reach through our comprehensive RISE strategy to work with customers and other stakeholders to accelerate the adoption of inclusive business practices across industries. In 2021, we partnered wit</w:t>
            </w:r>
            <w:r>
              <w:rPr>
                <w:rFonts w:ascii="Arial" w:eastAsia="宋体" w:hAnsi="Arial" w:cs="Arial"/>
                <w:color w:val="262626"/>
                <w:sz w:val="18"/>
                <w:szCs w:val="18"/>
              </w:rPr>
              <w:t>h other technology companies to launch the Alliance for Global Inclusion to create and implement an Inclusion Index with unified goals and metrics. This collective effort will allow the industry to more clearly identify actions needed to advance progress o</w:t>
            </w:r>
            <w:r>
              <w:rPr>
                <w:rFonts w:ascii="Arial" w:eastAsia="宋体" w:hAnsi="Arial" w:cs="Arial"/>
                <w:color w:val="262626"/>
                <w:sz w:val="18"/>
                <w:szCs w:val="18"/>
              </w:rPr>
              <w:t>n closing persistent gaps and advancing more inclusive practices in workplaces, industry, and society. We will also continue to collaborate on initiatives that expand the diverse pipeline of talent for our industry, advance social equity, make technology f</w:t>
            </w:r>
            <w:r>
              <w:rPr>
                <w:rFonts w:ascii="Arial" w:eastAsia="宋体" w:hAnsi="Arial" w:cs="Arial"/>
                <w:color w:val="262626"/>
                <w:sz w:val="18"/>
                <w:szCs w:val="18"/>
              </w:rPr>
              <w:t xml:space="preserve">ully inclusive, and expand digital readiness for millions of people around the world. </w:t>
            </w:r>
          </w:p>
        </w:tc>
        <w:tc>
          <w:tcPr>
            <w:tcW w:w="0" w:type="auto"/>
            <w:shd w:val="clear" w:color="auto" w:fill="auto"/>
            <w:vAlign w:val="bottom"/>
          </w:tcPr>
          <w:p w14:paraId="6753410A" w14:textId="77777777" w:rsidR="001B77DD" w:rsidRDefault="001B77DD">
            <w:pPr>
              <w:rPr>
                <w:rFonts w:ascii="宋体"/>
                <w:vanish/>
              </w:rPr>
            </w:pPr>
          </w:p>
        </w:tc>
        <w:tc>
          <w:tcPr>
            <w:tcW w:w="0" w:type="auto"/>
            <w:shd w:val="clear" w:color="auto" w:fill="auto"/>
            <w:vAlign w:val="bottom"/>
          </w:tcPr>
          <w:p w14:paraId="6753410B"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10C" w14:textId="77777777" w:rsidR="001B77DD" w:rsidRDefault="001B77DD">
            <w:pPr>
              <w:rPr>
                <w:rFonts w:ascii="宋体"/>
              </w:rPr>
            </w:pPr>
          </w:p>
        </w:tc>
      </w:tr>
      <w:tr w:rsidR="001B77DD" w14:paraId="67534112" w14:textId="77777777">
        <w:trPr>
          <w:trHeight w:val="300"/>
        </w:trPr>
        <w:tc>
          <w:tcPr>
            <w:tcW w:w="0" w:type="auto"/>
            <w:gridSpan w:val="3"/>
            <w:vMerge/>
            <w:shd w:val="clear" w:color="auto" w:fill="auto"/>
            <w:tcMar>
              <w:top w:w="40" w:type="dxa"/>
              <w:left w:w="20" w:type="dxa"/>
              <w:bottom w:w="40" w:type="dxa"/>
              <w:right w:w="20" w:type="dxa"/>
            </w:tcMar>
          </w:tcPr>
          <w:p w14:paraId="6753410E" w14:textId="77777777" w:rsidR="001B77DD" w:rsidRDefault="001B77DD">
            <w:pPr>
              <w:rPr>
                <w:rFonts w:ascii="宋体"/>
              </w:rPr>
            </w:pPr>
          </w:p>
        </w:tc>
        <w:tc>
          <w:tcPr>
            <w:tcW w:w="0" w:type="auto"/>
            <w:shd w:val="clear" w:color="auto" w:fill="auto"/>
            <w:vAlign w:val="bottom"/>
          </w:tcPr>
          <w:p w14:paraId="6753410F" w14:textId="77777777" w:rsidR="001B77DD" w:rsidRDefault="001B77DD">
            <w:pPr>
              <w:rPr>
                <w:rFonts w:ascii="宋体"/>
                <w:vanish/>
              </w:rPr>
            </w:pPr>
          </w:p>
        </w:tc>
        <w:tc>
          <w:tcPr>
            <w:tcW w:w="0" w:type="auto"/>
            <w:shd w:val="clear" w:color="auto" w:fill="auto"/>
            <w:vAlign w:val="bottom"/>
          </w:tcPr>
          <w:p w14:paraId="67534110"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111" w14:textId="77777777" w:rsidR="001B77DD" w:rsidRDefault="001B77DD">
            <w:pPr>
              <w:rPr>
                <w:rFonts w:ascii="宋体"/>
              </w:rPr>
            </w:pPr>
          </w:p>
        </w:tc>
      </w:tr>
      <w:tr w:rsidR="001B77DD" w14:paraId="67534117" w14:textId="77777777">
        <w:trPr>
          <w:trHeight w:val="300"/>
        </w:trPr>
        <w:tc>
          <w:tcPr>
            <w:tcW w:w="0" w:type="auto"/>
            <w:gridSpan w:val="3"/>
            <w:vMerge/>
            <w:shd w:val="clear" w:color="auto" w:fill="auto"/>
            <w:tcMar>
              <w:top w:w="40" w:type="dxa"/>
              <w:left w:w="20" w:type="dxa"/>
              <w:bottom w:w="40" w:type="dxa"/>
              <w:right w:w="20" w:type="dxa"/>
            </w:tcMar>
          </w:tcPr>
          <w:p w14:paraId="67534113" w14:textId="77777777" w:rsidR="001B77DD" w:rsidRDefault="001B77DD">
            <w:pPr>
              <w:rPr>
                <w:rFonts w:ascii="宋体"/>
              </w:rPr>
            </w:pPr>
          </w:p>
        </w:tc>
        <w:tc>
          <w:tcPr>
            <w:tcW w:w="0" w:type="auto"/>
            <w:shd w:val="clear" w:color="auto" w:fill="auto"/>
            <w:vAlign w:val="bottom"/>
          </w:tcPr>
          <w:p w14:paraId="67534114" w14:textId="77777777" w:rsidR="001B77DD" w:rsidRDefault="001B77DD">
            <w:pPr>
              <w:rPr>
                <w:rFonts w:ascii="宋体"/>
                <w:vanish/>
              </w:rPr>
            </w:pPr>
          </w:p>
        </w:tc>
        <w:tc>
          <w:tcPr>
            <w:tcW w:w="0" w:type="auto"/>
            <w:shd w:val="clear" w:color="auto" w:fill="auto"/>
            <w:vAlign w:val="bottom"/>
          </w:tcPr>
          <w:p w14:paraId="67534115"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116" w14:textId="77777777" w:rsidR="001B77DD" w:rsidRDefault="001B77DD">
            <w:pPr>
              <w:rPr>
                <w:rFonts w:ascii="宋体"/>
              </w:rPr>
            </w:pPr>
          </w:p>
        </w:tc>
      </w:tr>
      <w:tr w:rsidR="001B77DD" w14:paraId="6753411C" w14:textId="77777777">
        <w:trPr>
          <w:trHeight w:val="300"/>
        </w:trPr>
        <w:tc>
          <w:tcPr>
            <w:tcW w:w="0" w:type="auto"/>
            <w:gridSpan w:val="3"/>
            <w:vMerge/>
            <w:shd w:val="clear" w:color="auto" w:fill="auto"/>
            <w:tcMar>
              <w:top w:w="40" w:type="dxa"/>
              <w:left w:w="20" w:type="dxa"/>
              <w:bottom w:w="40" w:type="dxa"/>
              <w:right w:w="20" w:type="dxa"/>
            </w:tcMar>
          </w:tcPr>
          <w:p w14:paraId="67534118" w14:textId="77777777" w:rsidR="001B77DD" w:rsidRDefault="001B77DD">
            <w:pPr>
              <w:rPr>
                <w:rFonts w:ascii="宋体"/>
              </w:rPr>
            </w:pPr>
          </w:p>
        </w:tc>
        <w:tc>
          <w:tcPr>
            <w:tcW w:w="0" w:type="auto"/>
            <w:shd w:val="clear" w:color="auto" w:fill="auto"/>
            <w:vAlign w:val="bottom"/>
          </w:tcPr>
          <w:p w14:paraId="67534119" w14:textId="77777777" w:rsidR="001B77DD" w:rsidRDefault="001B77DD">
            <w:pPr>
              <w:rPr>
                <w:rFonts w:ascii="宋体"/>
                <w:vanish/>
              </w:rPr>
            </w:pPr>
          </w:p>
        </w:tc>
        <w:tc>
          <w:tcPr>
            <w:tcW w:w="0" w:type="auto"/>
            <w:shd w:val="clear" w:color="auto" w:fill="auto"/>
            <w:vAlign w:val="bottom"/>
          </w:tcPr>
          <w:p w14:paraId="6753411A"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11B" w14:textId="77777777" w:rsidR="001B77DD" w:rsidRDefault="001B77DD">
            <w:pPr>
              <w:rPr>
                <w:rFonts w:ascii="宋体"/>
              </w:rPr>
            </w:pPr>
          </w:p>
        </w:tc>
      </w:tr>
      <w:tr w:rsidR="001B77DD" w14:paraId="67534121" w14:textId="77777777">
        <w:trPr>
          <w:trHeight w:val="300"/>
        </w:trPr>
        <w:tc>
          <w:tcPr>
            <w:tcW w:w="0" w:type="auto"/>
            <w:gridSpan w:val="3"/>
            <w:vMerge/>
            <w:shd w:val="clear" w:color="auto" w:fill="auto"/>
            <w:tcMar>
              <w:top w:w="40" w:type="dxa"/>
              <w:left w:w="20" w:type="dxa"/>
              <w:bottom w:w="40" w:type="dxa"/>
              <w:right w:w="20" w:type="dxa"/>
            </w:tcMar>
          </w:tcPr>
          <w:p w14:paraId="6753411D" w14:textId="77777777" w:rsidR="001B77DD" w:rsidRDefault="001B77DD">
            <w:pPr>
              <w:rPr>
                <w:rFonts w:ascii="宋体"/>
              </w:rPr>
            </w:pPr>
          </w:p>
        </w:tc>
        <w:tc>
          <w:tcPr>
            <w:tcW w:w="0" w:type="auto"/>
            <w:shd w:val="clear" w:color="auto" w:fill="auto"/>
            <w:vAlign w:val="bottom"/>
          </w:tcPr>
          <w:p w14:paraId="6753411E" w14:textId="77777777" w:rsidR="001B77DD" w:rsidRDefault="001B77DD">
            <w:pPr>
              <w:rPr>
                <w:rFonts w:ascii="宋体"/>
                <w:vanish/>
              </w:rPr>
            </w:pPr>
          </w:p>
        </w:tc>
        <w:tc>
          <w:tcPr>
            <w:tcW w:w="0" w:type="auto"/>
            <w:shd w:val="clear" w:color="auto" w:fill="auto"/>
            <w:vAlign w:val="bottom"/>
          </w:tcPr>
          <w:p w14:paraId="6753411F"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120" w14:textId="77777777" w:rsidR="001B77DD" w:rsidRDefault="001B77DD">
            <w:pPr>
              <w:rPr>
                <w:rFonts w:ascii="宋体"/>
              </w:rPr>
            </w:pPr>
          </w:p>
        </w:tc>
      </w:tr>
      <w:tr w:rsidR="001B77DD" w14:paraId="67534126" w14:textId="77777777">
        <w:tc>
          <w:tcPr>
            <w:tcW w:w="0" w:type="auto"/>
            <w:gridSpan w:val="3"/>
            <w:vMerge/>
            <w:shd w:val="clear" w:color="auto" w:fill="auto"/>
            <w:tcMar>
              <w:top w:w="40" w:type="dxa"/>
              <w:left w:w="20" w:type="dxa"/>
              <w:bottom w:w="40" w:type="dxa"/>
              <w:right w:w="20" w:type="dxa"/>
            </w:tcMar>
          </w:tcPr>
          <w:p w14:paraId="67534122" w14:textId="77777777" w:rsidR="001B77DD" w:rsidRDefault="001B77DD">
            <w:pPr>
              <w:rPr>
                <w:rFonts w:ascii="宋体"/>
              </w:rPr>
            </w:pPr>
          </w:p>
        </w:tc>
        <w:tc>
          <w:tcPr>
            <w:tcW w:w="0" w:type="auto"/>
            <w:shd w:val="clear" w:color="auto" w:fill="auto"/>
            <w:vAlign w:val="bottom"/>
          </w:tcPr>
          <w:p w14:paraId="67534123" w14:textId="77777777" w:rsidR="001B77DD" w:rsidRDefault="001B77DD">
            <w:pPr>
              <w:rPr>
                <w:rFonts w:ascii="宋体"/>
                <w:vanish/>
              </w:rPr>
            </w:pPr>
          </w:p>
        </w:tc>
        <w:tc>
          <w:tcPr>
            <w:tcW w:w="0" w:type="auto"/>
            <w:shd w:val="clear" w:color="auto" w:fill="auto"/>
            <w:vAlign w:val="bottom"/>
          </w:tcPr>
          <w:p w14:paraId="67534124"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125" w14:textId="77777777" w:rsidR="001B77DD" w:rsidRDefault="001B77DD">
            <w:pPr>
              <w:rPr>
                <w:rFonts w:ascii="宋体"/>
              </w:rPr>
            </w:pPr>
          </w:p>
        </w:tc>
      </w:tr>
    </w:tbl>
    <w:p w14:paraId="67534127" w14:textId="77777777" w:rsidR="001B77DD" w:rsidRDefault="00BF0A28">
      <w:r>
        <w:rPr>
          <w:rFonts w:ascii="Arial" w:eastAsia="宋体" w:hAnsi="Arial" w:cs="Arial"/>
          <w:i/>
          <w:iCs/>
          <w:color w:val="262626"/>
          <w:sz w:val="10"/>
          <w:szCs w:val="10"/>
        </w:rPr>
        <w:br/>
        <w:t xml:space="preserve">1 </w:t>
      </w:r>
      <w:r>
        <w:rPr>
          <w:rFonts w:ascii="Arial" w:eastAsia="宋体" w:hAnsi="Arial" w:cs="Arial"/>
          <w:i/>
          <w:iCs/>
          <w:color w:val="262626"/>
          <w:sz w:val="16"/>
          <w:szCs w:val="16"/>
        </w:rPr>
        <w:t xml:space="preserve">Undesired turnover includes all regular Intel employees who voluntarily left Intel, but do not include Intel contract </w:t>
      </w:r>
      <w:r>
        <w:rPr>
          <w:rFonts w:ascii="Arial" w:eastAsia="宋体" w:hAnsi="Arial" w:cs="Arial"/>
          <w:i/>
          <w:iCs/>
          <w:color w:val="262626"/>
          <w:sz w:val="16"/>
          <w:szCs w:val="16"/>
        </w:rPr>
        <w:t>employees, interns, or employees who separated from Intel due to divestiture, retirement, voluntary separation packages, death, job elimination, or redeployment.</w:t>
      </w:r>
    </w:p>
    <w:p w14:paraId="67534128" w14:textId="77777777" w:rsidR="001B77DD" w:rsidRDefault="00BF0A28">
      <w:r>
        <w:rPr>
          <w:rFonts w:ascii="Arial" w:eastAsia="宋体" w:hAnsi="Arial" w:cs="Arial"/>
          <w:i/>
          <w:iCs/>
          <w:color w:val="262626"/>
          <w:sz w:val="10"/>
          <w:szCs w:val="10"/>
        </w:rPr>
        <w:t xml:space="preserve">2 </w:t>
      </w:r>
      <w:r>
        <w:rPr>
          <w:rFonts w:ascii="Arial" w:eastAsia="宋体" w:hAnsi="Arial" w:cs="Arial"/>
          <w:i/>
          <w:iCs/>
          <w:color w:val="262626"/>
          <w:sz w:val="16"/>
          <w:szCs w:val="16"/>
        </w:rPr>
        <w:t>Senior leadership refers to salary grades 10+ and equivalent grades. While we present male a</w:t>
      </w:r>
      <w:r>
        <w:rPr>
          <w:rFonts w:ascii="Arial" w:eastAsia="宋体" w:hAnsi="Arial" w:cs="Arial"/>
          <w:i/>
          <w:iCs/>
          <w:color w:val="262626"/>
          <w:sz w:val="16"/>
          <w:szCs w:val="16"/>
        </w:rPr>
        <w:t>nd female, we acknowledge this is not fully encompassing of all gender identities.</w:t>
      </w:r>
    </w:p>
    <w:p w14:paraId="67534129" w14:textId="77777777" w:rsidR="001B77DD" w:rsidRDefault="00BF0A28">
      <w:pPr>
        <w:spacing w:after="180"/>
        <w:ind w:hanging="180"/>
      </w:pPr>
      <w:r>
        <w:rPr>
          <w:rFonts w:ascii="Arial" w:eastAsia="宋体" w:hAnsi="Arial" w:cs="Arial"/>
          <w:i/>
          <w:iCs/>
          <w:color w:val="262626"/>
          <w:sz w:val="10"/>
          <w:szCs w:val="10"/>
        </w:rPr>
        <w:t xml:space="preserve">3 </w:t>
      </w:r>
      <w:r>
        <w:rPr>
          <w:rFonts w:ascii="Arial" w:eastAsia="宋体" w:hAnsi="Arial" w:cs="Arial"/>
          <w:i/>
          <w:iCs/>
          <w:color w:val="262626"/>
          <w:sz w:val="16"/>
          <w:szCs w:val="16"/>
        </w:rPr>
        <w:t xml:space="preserve">The term underrepresented minority (URM) is used to describe diverse populations, including Black/African American, Hispanic, and Native American employees in the US. </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1B77DD" w14:paraId="67534136" w14:textId="77777777">
        <w:tc>
          <w:tcPr>
            <w:tcW w:w="50" w:type="pct"/>
            <w:shd w:val="clear" w:color="auto" w:fill="auto"/>
            <w:vAlign w:val="bottom"/>
          </w:tcPr>
          <w:p w14:paraId="6753412A" w14:textId="77777777" w:rsidR="001B77DD" w:rsidRDefault="001B77DD">
            <w:pPr>
              <w:rPr>
                <w:rFonts w:ascii="宋体"/>
              </w:rPr>
            </w:pPr>
          </w:p>
        </w:tc>
        <w:tc>
          <w:tcPr>
            <w:tcW w:w="283" w:type="pct"/>
            <w:shd w:val="clear" w:color="auto" w:fill="auto"/>
            <w:vAlign w:val="bottom"/>
          </w:tcPr>
          <w:p w14:paraId="6753412B" w14:textId="77777777" w:rsidR="001B77DD" w:rsidRDefault="001B77DD">
            <w:pPr>
              <w:rPr>
                <w:rFonts w:ascii="宋体"/>
              </w:rPr>
            </w:pPr>
          </w:p>
        </w:tc>
        <w:tc>
          <w:tcPr>
            <w:tcW w:w="5" w:type="pct"/>
            <w:shd w:val="clear" w:color="auto" w:fill="auto"/>
            <w:vAlign w:val="bottom"/>
          </w:tcPr>
          <w:p w14:paraId="6753412C" w14:textId="77777777" w:rsidR="001B77DD" w:rsidRDefault="001B77DD">
            <w:pPr>
              <w:rPr>
                <w:rFonts w:ascii="宋体"/>
              </w:rPr>
            </w:pPr>
          </w:p>
        </w:tc>
        <w:tc>
          <w:tcPr>
            <w:tcW w:w="50" w:type="pct"/>
            <w:shd w:val="clear" w:color="auto" w:fill="auto"/>
            <w:vAlign w:val="bottom"/>
          </w:tcPr>
          <w:p w14:paraId="6753412D" w14:textId="77777777" w:rsidR="001B77DD" w:rsidRDefault="001B77DD">
            <w:pPr>
              <w:rPr>
                <w:rFonts w:ascii="宋体"/>
              </w:rPr>
            </w:pPr>
          </w:p>
        </w:tc>
        <w:tc>
          <w:tcPr>
            <w:tcW w:w="1039" w:type="pct"/>
            <w:shd w:val="clear" w:color="auto" w:fill="auto"/>
            <w:vAlign w:val="bottom"/>
          </w:tcPr>
          <w:p w14:paraId="6753412E" w14:textId="77777777" w:rsidR="001B77DD" w:rsidRDefault="001B77DD">
            <w:pPr>
              <w:rPr>
                <w:rFonts w:ascii="宋体"/>
              </w:rPr>
            </w:pPr>
          </w:p>
        </w:tc>
        <w:tc>
          <w:tcPr>
            <w:tcW w:w="5" w:type="pct"/>
            <w:shd w:val="clear" w:color="auto" w:fill="auto"/>
            <w:vAlign w:val="bottom"/>
          </w:tcPr>
          <w:p w14:paraId="6753412F" w14:textId="77777777" w:rsidR="001B77DD" w:rsidRDefault="001B77DD">
            <w:pPr>
              <w:rPr>
                <w:rFonts w:ascii="宋体"/>
              </w:rPr>
            </w:pPr>
          </w:p>
        </w:tc>
        <w:tc>
          <w:tcPr>
            <w:tcW w:w="50" w:type="pct"/>
            <w:shd w:val="clear" w:color="auto" w:fill="auto"/>
            <w:vAlign w:val="bottom"/>
          </w:tcPr>
          <w:p w14:paraId="67534130" w14:textId="77777777" w:rsidR="001B77DD" w:rsidRDefault="001B77DD">
            <w:pPr>
              <w:rPr>
                <w:rFonts w:ascii="宋体"/>
              </w:rPr>
            </w:pPr>
          </w:p>
        </w:tc>
        <w:tc>
          <w:tcPr>
            <w:tcW w:w="1562" w:type="pct"/>
            <w:shd w:val="clear" w:color="auto" w:fill="auto"/>
            <w:vAlign w:val="bottom"/>
          </w:tcPr>
          <w:p w14:paraId="67534131" w14:textId="77777777" w:rsidR="001B77DD" w:rsidRDefault="001B77DD">
            <w:pPr>
              <w:rPr>
                <w:rFonts w:ascii="宋体"/>
              </w:rPr>
            </w:pPr>
          </w:p>
        </w:tc>
        <w:tc>
          <w:tcPr>
            <w:tcW w:w="5" w:type="pct"/>
            <w:shd w:val="clear" w:color="auto" w:fill="auto"/>
            <w:vAlign w:val="bottom"/>
          </w:tcPr>
          <w:p w14:paraId="67534132" w14:textId="77777777" w:rsidR="001B77DD" w:rsidRDefault="001B77DD">
            <w:pPr>
              <w:rPr>
                <w:rFonts w:ascii="宋体"/>
              </w:rPr>
            </w:pPr>
          </w:p>
        </w:tc>
        <w:tc>
          <w:tcPr>
            <w:tcW w:w="50" w:type="pct"/>
            <w:shd w:val="clear" w:color="auto" w:fill="auto"/>
            <w:vAlign w:val="bottom"/>
          </w:tcPr>
          <w:p w14:paraId="67534133" w14:textId="77777777" w:rsidR="001B77DD" w:rsidRDefault="001B77DD">
            <w:pPr>
              <w:rPr>
                <w:rFonts w:ascii="宋体"/>
              </w:rPr>
            </w:pPr>
          </w:p>
        </w:tc>
        <w:tc>
          <w:tcPr>
            <w:tcW w:w="1894" w:type="pct"/>
            <w:shd w:val="clear" w:color="auto" w:fill="auto"/>
            <w:vAlign w:val="bottom"/>
          </w:tcPr>
          <w:p w14:paraId="67534134" w14:textId="77777777" w:rsidR="001B77DD" w:rsidRDefault="001B77DD">
            <w:pPr>
              <w:rPr>
                <w:rFonts w:ascii="宋体"/>
              </w:rPr>
            </w:pPr>
          </w:p>
        </w:tc>
        <w:tc>
          <w:tcPr>
            <w:tcW w:w="5" w:type="pct"/>
            <w:shd w:val="clear" w:color="auto" w:fill="auto"/>
            <w:vAlign w:val="bottom"/>
          </w:tcPr>
          <w:p w14:paraId="67534135" w14:textId="77777777" w:rsidR="001B77DD" w:rsidRDefault="001B77DD">
            <w:pPr>
              <w:rPr>
                <w:rFonts w:ascii="宋体"/>
              </w:rPr>
            </w:pPr>
          </w:p>
        </w:tc>
      </w:tr>
      <w:tr w:rsidR="001B77DD" w14:paraId="6753413B"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37"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E7" wp14:editId="67538DE8">
                  <wp:extent cx="304800" cy="304800"/>
                  <wp:effectExtent l="0" t="0" r="0" b="0"/>
                  <wp:docPr id="27" name="图片 9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38"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139"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3A" w14:textId="77777777" w:rsidR="001B77DD" w:rsidRDefault="00BF0A28">
            <w:pPr>
              <w:jc w:val="right"/>
              <w:textAlignment w:val="center"/>
            </w:pPr>
            <w:r>
              <w:rPr>
                <w:rFonts w:ascii="Arial" w:eastAsia="宋体" w:hAnsi="Arial" w:cs="Arial"/>
                <w:color w:val="262626"/>
                <w:sz w:val="16"/>
                <w:szCs w:val="16"/>
              </w:rPr>
              <w:t>13</w:t>
            </w:r>
          </w:p>
        </w:tc>
      </w:tr>
    </w:tbl>
    <w:p w14:paraId="6753413C" w14:textId="77777777" w:rsidR="001B77DD" w:rsidRDefault="00BF0A28">
      <w:r>
        <w:pict w14:anchorId="67538DE9">
          <v:rect id="_x0000_i1039" style="width:415.3pt;height:1.5pt" o:hralign="center" o:hrstd="t" o:hr="t" fillcolor="#a0a0a0" stroked="f"/>
        </w:pict>
      </w:r>
    </w:p>
    <w:p w14:paraId="6753413D" w14:textId="77777777" w:rsidR="001B77DD" w:rsidRDefault="00BF0A28">
      <w:pPr>
        <w:spacing w:after="180"/>
        <w:jc w:val="right"/>
      </w:pPr>
      <w:hyperlink r:id="rId64" w:anchor="i6c9ced68f6b24d58a3dcf326e8c3c699_16" w:history="1">
        <w:r>
          <w:rPr>
            <w:rStyle w:val="a5"/>
            <w:rFonts w:ascii="Arial" w:eastAsia="宋体" w:hAnsi="Arial" w:cs="Arial"/>
            <w:sz w:val="18"/>
            <w:szCs w:val="18"/>
          </w:rPr>
          <w:t>Table</w:t>
        </w:r>
      </w:hyperlink>
      <w:hyperlink r:id="rId65" w:anchor="i6c9ced68f6b24d58a3dcf326e8c3c699_16" w:history="1">
        <w:r>
          <w:rPr>
            <w:rStyle w:val="a5"/>
            <w:rFonts w:ascii="Arial" w:eastAsia="宋体" w:hAnsi="Arial" w:cs="Arial"/>
            <w:sz w:val="18"/>
            <w:szCs w:val="18"/>
          </w:rPr>
          <w:t xml:space="preserve"> of </w:t>
        </w:r>
      </w:hyperlink>
      <w:hyperlink r:id="rId66" w:anchor="i6c9ced68f6b24d58a3dcf326e8c3c699_16" w:history="1">
        <w:r>
          <w:rPr>
            <w:rStyle w:val="a5"/>
            <w:rFonts w:ascii="Arial" w:eastAsia="宋体" w:hAnsi="Arial" w:cs="Arial"/>
            <w:sz w:val="18"/>
            <w:szCs w:val="18"/>
          </w:rPr>
          <w:t>Contents</w:t>
        </w:r>
      </w:hyperlink>
    </w:p>
    <w:p w14:paraId="6753413E" w14:textId="77777777" w:rsidR="001B77DD" w:rsidRDefault="00BF0A28">
      <w:pPr>
        <w:spacing w:after="120"/>
      </w:pPr>
      <w:r>
        <w:rPr>
          <w:rFonts w:ascii="Arial" w:eastAsia="宋体" w:hAnsi="Arial" w:cs="Arial"/>
          <w:color w:val="0068B5"/>
        </w:rPr>
        <w:t>Compensation and Benefits</w:t>
      </w:r>
    </w:p>
    <w:p w14:paraId="6753413F" w14:textId="77777777" w:rsidR="001B77DD" w:rsidRDefault="00BF0A28">
      <w:pPr>
        <w:spacing w:after="60"/>
      </w:pPr>
      <w:r>
        <w:rPr>
          <w:rFonts w:ascii="Arial" w:eastAsia="宋体" w:hAnsi="Arial" w:cs="Arial"/>
          <w:color w:val="262626"/>
          <w:sz w:val="18"/>
          <w:szCs w:val="18"/>
        </w:rPr>
        <w:t>We str</w:t>
      </w:r>
      <w:r>
        <w:rPr>
          <w:rFonts w:ascii="Arial" w:eastAsia="宋体" w:hAnsi="Arial" w:cs="Arial"/>
          <w:color w:val="262626"/>
          <w:sz w:val="18"/>
          <w:szCs w:val="18"/>
        </w:rPr>
        <w:t>ucture pay, benefits, and services to meet the varying needs of our employees. Our total rewards package includes market-competitive pay, broad-based stock grants and bonuses, an employee stock purchase plan, healthcare and retirement benefits, paid time o</w:t>
      </w:r>
      <w:r>
        <w:rPr>
          <w:rFonts w:ascii="Arial" w:eastAsia="宋体" w:hAnsi="Arial" w:cs="Arial"/>
          <w:color w:val="262626"/>
          <w:sz w:val="18"/>
          <w:szCs w:val="18"/>
        </w:rPr>
        <w:t>ff and family leave, parent reintegration, fertility assistance, flexible work schedules, sabbaticals, and on-site services. Since 2019, we have achieved gender pay equity globally and we continue to maintain race/ethnicity pay equity in the US. We achieve</w:t>
      </w:r>
      <w:r>
        <w:rPr>
          <w:rFonts w:ascii="Arial" w:eastAsia="宋体" w:hAnsi="Arial" w:cs="Arial"/>
          <w:color w:val="262626"/>
          <w:sz w:val="18"/>
          <w:szCs w:val="18"/>
        </w:rPr>
        <w:t xml:space="preserve"> pay equity by closing the gap in average pay between employees of different genders or race/ethnicity in the same or similar roles after accounting for legitimate business factors that can explain differences, such as location, time at grade level, and te</w:t>
      </w:r>
      <w:r>
        <w:rPr>
          <w:rFonts w:ascii="Arial" w:eastAsia="宋体" w:hAnsi="Arial" w:cs="Arial"/>
          <w:color w:val="262626"/>
          <w:sz w:val="18"/>
          <w:szCs w:val="18"/>
        </w:rPr>
        <w:t>nure. We have also advanced transparency in our pay and representation data by publicly releasing our EEO-1 survey pay data since 2019. We believe that our holistic approach toward pay equity, representation, and creating an inclusive culture enables us to</w:t>
      </w:r>
      <w:r>
        <w:rPr>
          <w:rFonts w:ascii="Arial" w:eastAsia="宋体" w:hAnsi="Arial" w:cs="Arial"/>
          <w:color w:val="262626"/>
          <w:sz w:val="18"/>
          <w:szCs w:val="18"/>
        </w:rPr>
        <w:t xml:space="preserve"> cultivate a workplace that helps employees develop and progress in their careers at all levels. Though flexible work schedules are part of our existing total rewards package, the COVID-19 pandemic provided an opportunity to further reimagine how our emplo</w:t>
      </w:r>
      <w:r>
        <w:rPr>
          <w:rFonts w:ascii="Arial" w:eastAsia="宋体" w:hAnsi="Arial" w:cs="Arial"/>
          <w:color w:val="262626"/>
          <w:sz w:val="18"/>
          <w:szCs w:val="18"/>
        </w:rPr>
        <w:t>yees work and collaborate. In designing the future of our workplace, we surveyed employees around the globe to inform our “hybrid-first” approach, where the majority of our employees will split their time between working remotely and in the office, with no</w:t>
      </w:r>
      <w:r>
        <w:rPr>
          <w:rFonts w:ascii="Arial" w:eastAsia="宋体" w:hAnsi="Arial" w:cs="Arial"/>
          <w:color w:val="262626"/>
          <w:sz w:val="18"/>
          <w:szCs w:val="18"/>
        </w:rPr>
        <w:t xml:space="preserve"> company-wide mandate on the number of days per week employees should be on-site or how they should collaborate. Our goal is to enable remote and on-site work where it drives the best output, while ensuring our employees have equitable access to systems, r</w:t>
      </w:r>
      <w:r>
        <w:rPr>
          <w:rFonts w:ascii="Arial" w:eastAsia="宋体" w:hAnsi="Arial" w:cs="Arial"/>
          <w:color w:val="262626"/>
          <w:sz w:val="18"/>
          <w:szCs w:val="18"/>
        </w:rPr>
        <w:t>esources, and opportunities that allow them to succeed.</w:t>
      </w:r>
    </w:p>
    <w:p w14:paraId="67534140" w14:textId="77777777" w:rsidR="001B77DD" w:rsidRDefault="00BF0A28">
      <w:pPr>
        <w:spacing w:after="120"/>
      </w:pPr>
      <w:r>
        <w:rPr>
          <w:rFonts w:ascii="Arial" w:eastAsia="宋体" w:hAnsi="Arial" w:cs="Arial"/>
          <w:color w:val="0068B5"/>
        </w:rPr>
        <w:t>Health, Safety, and Wellness</w:t>
      </w:r>
    </w:p>
    <w:p w14:paraId="67534141" w14:textId="77777777" w:rsidR="001B77DD" w:rsidRDefault="00BF0A28">
      <w:pPr>
        <w:spacing w:after="180"/>
      </w:pPr>
      <w:r>
        <w:rPr>
          <w:rFonts w:ascii="Arial" w:eastAsia="宋体" w:hAnsi="Arial" w:cs="Arial"/>
          <w:color w:val="262626"/>
          <w:sz w:val="18"/>
          <w:szCs w:val="18"/>
        </w:rPr>
        <w:t>Our commitment in Intel's Environmental, Health, and Safety Policy is to provide a safe and injury-free workplace. We continually invest in programs designed to improve ph</w:t>
      </w:r>
      <w:r>
        <w:rPr>
          <w:rFonts w:ascii="Arial" w:eastAsia="宋体" w:hAnsi="Arial" w:cs="Arial"/>
          <w:color w:val="262626"/>
          <w:sz w:val="18"/>
          <w:szCs w:val="18"/>
        </w:rPr>
        <w:t>ysical, mental, and social well-being. We provide access to a variety of innovative, flexible, and convenient health and wellness programs, including on-site health centers. Throughout our response to COVID-19, our priority has remained protecting the heal</w:t>
      </w:r>
      <w:r>
        <w:rPr>
          <w:rFonts w:ascii="Arial" w:eastAsia="宋体" w:hAnsi="Arial" w:cs="Arial"/>
          <w:color w:val="262626"/>
          <w:sz w:val="18"/>
          <w:szCs w:val="18"/>
        </w:rPr>
        <w:t>th and safety of our employees. This includes mental health, as we aim to increase awareness of and support for mental and behavioral health. In support of our 2030 goals, we will continue to build our strong safety culture and drive global expansion of ou</w:t>
      </w:r>
      <w:r>
        <w:rPr>
          <w:rFonts w:ascii="Arial" w:eastAsia="宋体" w:hAnsi="Arial" w:cs="Arial"/>
          <w:color w:val="262626"/>
          <w:sz w:val="18"/>
          <w:szCs w:val="18"/>
        </w:rPr>
        <w:t>r corporate wellness program through employee education and engagement activities.</w:t>
      </w:r>
    </w:p>
    <w:tbl>
      <w:tblPr>
        <w:tblW w:w="10770" w:type="dxa"/>
        <w:tblCellMar>
          <w:top w:w="15" w:type="dxa"/>
          <w:left w:w="15" w:type="dxa"/>
          <w:bottom w:w="15" w:type="dxa"/>
          <w:right w:w="15" w:type="dxa"/>
        </w:tblCellMar>
        <w:tblLook w:val="04A0" w:firstRow="1" w:lastRow="0" w:firstColumn="1" w:lastColumn="0" w:noHBand="0" w:noVBand="1"/>
      </w:tblPr>
      <w:tblGrid>
        <w:gridCol w:w="36"/>
        <w:gridCol w:w="663"/>
        <w:gridCol w:w="36"/>
        <w:gridCol w:w="36"/>
        <w:gridCol w:w="9963"/>
        <w:gridCol w:w="36"/>
      </w:tblGrid>
      <w:tr w:rsidR="001B77DD" w14:paraId="67534148" w14:textId="77777777">
        <w:tc>
          <w:tcPr>
            <w:tcW w:w="20" w:type="dxa"/>
            <w:shd w:val="clear" w:color="auto" w:fill="auto"/>
            <w:vAlign w:val="bottom"/>
          </w:tcPr>
          <w:p w14:paraId="67534142" w14:textId="77777777" w:rsidR="001B77DD" w:rsidRDefault="001B77DD">
            <w:pPr>
              <w:rPr>
                <w:rFonts w:ascii="宋体"/>
              </w:rPr>
            </w:pPr>
          </w:p>
        </w:tc>
        <w:tc>
          <w:tcPr>
            <w:tcW w:w="665" w:type="dxa"/>
            <w:shd w:val="clear" w:color="auto" w:fill="auto"/>
            <w:vAlign w:val="bottom"/>
          </w:tcPr>
          <w:p w14:paraId="67534143" w14:textId="77777777" w:rsidR="001B77DD" w:rsidRDefault="001B77DD">
            <w:pPr>
              <w:rPr>
                <w:rFonts w:ascii="宋体"/>
              </w:rPr>
            </w:pPr>
          </w:p>
        </w:tc>
        <w:tc>
          <w:tcPr>
            <w:tcW w:w="20" w:type="dxa"/>
            <w:shd w:val="clear" w:color="auto" w:fill="auto"/>
            <w:vAlign w:val="bottom"/>
          </w:tcPr>
          <w:p w14:paraId="67534144" w14:textId="77777777" w:rsidR="001B77DD" w:rsidRDefault="001B77DD">
            <w:pPr>
              <w:rPr>
                <w:rFonts w:ascii="宋体"/>
              </w:rPr>
            </w:pPr>
          </w:p>
        </w:tc>
        <w:tc>
          <w:tcPr>
            <w:tcW w:w="20" w:type="dxa"/>
            <w:shd w:val="clear" w:color="auto" w:fill="auto"/>
            <w:vAlign w:val="bottom"/>
          </w:tcPr>
          <w:p w14:paraId="67534145" w14:textId="77777777" w:rsidR="001B77DD" w:rsidRDefault="001B77DD">
            <w:pPr>
              <w:rPr>
                <w:rFonts w:ascii="宋体"/>
              </w:rPr>
            </w:pPr>
          </w:p>
        </w:tc>
        <w:tc>
          <w:tcPr>
            <w:tcW w:w="10025" w:type="dxa"/>
            <w:shd w:val="clear" w:color="auto" w:fill="auto"/>
            <w:vAlign w:val="bottom"/>
          </w:tcPr>
          <w:p w14:paraId="67534146" w14:textId="77777777" w:rsidR="001B77DD" w:rsidRDefault="001B77DD">
            <w:pPr>
              <w:rPr>
                <w:rFonts w:ascii="宋体"/>
              </w:rPr>
            </w:pPr>
          </w:p>
        </w:tc>
        <w:tc>
          <w:tcPr>
            <w:tcW w:w="20" w:type="dxa"/>
            <w:shd w:val="clear" w:color="auto" w:fill="auto"/>
            <w:vAlign w:val="bottom"/>
          </w:tcPr>
          <w:p w14:paraId="67534147" w14:textId="77777777" w:rsidR="001B77DD" w:rsidRDefault="001B77DD">
            <w:pPr>
              <w:rPr>
                <w:rFonts w:ascii="宋体"/>
              </w:rPr>
            </w:pPr>
          </w:p>
        </w:tc>
      </w:tr>
      <w:tr w:rsidR="001B77DD" w14:paraId="6753414B" w14:textId="77777777">
        <w:trPr>
          <w:trHeight w:val="600"/>
        </w:trPr>
        <w:tc>
          <w:tcPr>
            <w:tcW w:w="0" w:type="auto"/>
            <w:gridSpan w:val="3"/>
            <w:shd w:val="clear" w:color="auto" w:fill="auto"/>
            <w:tcMar>
              <w:top w:w="0" w:type="dxa"/>
              <w:left w:w="20" w:type="dxa"/>
              <w:bottom w:w="0" w:type="dxa"/>
              <w:right w:w="20" w:type="dxa"/>
            </w:tcMar>
            <w:vAlign w:val="bottom"/>
          </w:tcPr>
          <w:p w14:paraId="67534149"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EA" wp14:editId="67538DEB">
                  <wp:extent cx="304800" cy="304800"/>
                  <wp:effectExtent l="0" t="0" r="0" b="0"/>
                  <wp:docPr id="4" name="图片 92"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2"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tcMar>
              <w:top w:w="40" w:type="dxa"/>
              <w:left w:w="20" w:type="dxa"/>
              <w:bottom w:w="40" w:type="dxa"/>
              <w:right w:w="20" w:type="dxa"/>
            </w:tcMar>
            <w:vAlign w:val="center"/>
          </w:tcPr>
          <w:p w14:paraId="6753414A" w14:textId="77777777" w:rsidR="001B77DD" w:rsidRDefault="00BF0A28">
            <w:pPr>
              <w:textAlignment w:val="center"/>
            </w:pPr>
            <w:r>
              <w:rPr>
                <w:rFonts w:ascii="Arial" w:eastAsia="宋体" w:hAnsi="Arial" w:cs="Arial"/>
                <w:color w:val="0068B5"/>
                <w:sz w:val="28"/>
                <w:szCs w:val="28"/>
              </w:rPr>
              <w:t>Social and Relationship Capital</w:t>
            </w:r>
          </w:p>
        </w:tc>
      </w:tr>
    </w:tbl>
    <w:p w14:paraId="6753414C" w14:textId="77777777" w:rsidR="001B77DD" w:rsidRDefault="00BF0A28">
      <w:pPr>
        <w:spacing w:after="120"/>
      </w:pPr>
      <w:r>
        <w:rPr>
          <w:rFonts w:ascii="Arial" w:eastAsia="宋体" w:hAnsi="Arial" w:cs="Arial"/>
          <w:color w:val="262626"/>
          <w:sz w:val="18"/>
          <w:szCs w:val="18"/>
        </w:rPr>
        <w:t xml:space="preserve">We are committed to engaging in corporate responsibility and </w:t>
      </w:r>
      <w:r>
        <w:rPr>
          <w:rFonts w:ascii="Arial" w:eastAsia="宋体" w:hAnsi="Arial" w:cs="Arial"/>
          <w:color w:val="262626"/>
          <w:sz w:val="18"/>
          <w:szCs w:val="18"/>
        </w:rPr>
        <w:t>sustainability initiatives that support our communities and help us develop trusted relationships with our stakeholders. Proactive engagement with our stakeholders and investments in social impact initiatives, including those aligned with the United Nation</w:t>
      </w:r>
      <w:r>
        <w:rPr>
          <w:rFonts w:ascii="Arial" w:eastAsia="宋体" w:hAnsi="Arial" w:cs="Arial"/>
          <w:color w:val="262626"/>
          <w:sz w:val="18"/>
          <w:szCs w:val="18"/>
        </w:rPr>
        <w:t>s Sustainable Development Goals, advance our position as a leading corporate citizen and create shared value for Intel, our global supply chain, and our communities.</w:t>
      </w:r>
    </w:p>
    <w:p w14:paraId="6753414D" w14:textId="77777777" w:rsidR="001B77DD" w:rsidRDefault="00BF0A28">
      <w:pPr>
        <w:spacing w:after="120"/>
      </w:pPr>
      <w:r>
        <w:rPr>
          <w:rFonts w:ascii="Arial" w:eastAsia="宋体" w:hAnsi="Arial" w:cs="Arial"/>
          <w:color w:val="0071C5"/>
          <w:sz w:val="18"/>
          <w:szCs w:val="18"/>
        </w:rPr>
        <w:t xml:space="preserve">Economic and social. </w:t>
      </w:r>
      <w:r>
        <w:rPr>
          <w:rFonts w:ascii="Arial" w:eastAsia="宋体" w:hAnsi="Arial" w:cs="Arial"/>
          <w:color w:val="262626"/>
          <w:sz w:val="18"/>
          <w:szCs w:val="18"/>
        </w:rPr>
        <w:t>The health of our business and local economies depends on continued i</w:t>
      </w:r>
      <w:r>
        <w:rPr>
          <w:rFonts w:ascii="Arial" w:eastAsia="宋体" w:hAnsi="Arial" w:cs="Arial"/>
          <w:color w:val="262626"/>
          <w:sz w:val="18"/>
          <w:szCs w:val="18"/>
        </w:rPr>
        <w:t>nvestments in innovation. We provide high-skill, high-paying jobs around the world. Many of these are manufacturing and R&amp;D jobs located in our own domestic and international factories. We also benefit economies through our R&amp;D ecosystem spending, sourcing</w:t>
      </w:r>
      <w:r>
        <w:rPr>
          <w:rFonts w:ascii="Arial" w:eastAsia="宋体" w:hAnsi="Arial" w:cs="Arial"/>
          <w:color w:val="262626"/>
          <w:sz w:val="18"/>
          <w:szCs w:val="18"/>
        </w:rPr>
        <w:t xml:space="preserve"> activities, consumer spending by our employees, and tax payments. We make sizable capital investments and provide leadership in public-private partnerships to spur economic growth and innovation. We engage third-party organizations to conduct analyses of </w:t>
      </w:r>
      <w:r>
        <w:rPr>
          <w:rFonts w:ascii="Arial" w:eastAsia="宋体" w:hAnsi="Arial" w:cs="Arial"/>
          <w:color w:val="262626"/>
          <w:sz w:val="18"/>
          <w:szCs w:val="18"/>
        </w:rPr>
        <w:t xml:space="preserve">the economic impact of our operations, including a US impact study in 2021 that found that for every US Intel job, Intel's economic activity in the US indirectly supports an additional 13 jobs. </w:t>
      </w:r>
    </w:p>
    <w:p w14:paraId="6753414E" w14:textId="77777777" w:rsidR="001B77DD" w:rsidRDefault="00BF0A28">
      <w:pPr>
        <w:spacing w:after="120"/>
      </w:pPr>
      <w:r>
        <w:rPr>
          <w:rFonts w:ascii="Arial" w:eastAsia="宋体" w:hAnsi="Arial" w:cs="Arial"/>
          <w:color w:val="262626"/>
          <w:sz w:val="18"/>
          <w:szCs w:val="18"/>
        </w:rPr>
        <w:t>We stand at the forefront of new technologies that are increa</w:t>
      </w:r>
      <w:r>
        <w:rPr>
          <w:rFonts w:ascii="Arial" w:eastAsia="宋体" w:hAnsi="Arial" w:cs="Arial"/>
          <w:color w:val="262626"/>
          <w:sz w:val="18"/>
          <w:szCs w:val="18"/>
        </w:rPr>
        <w:t>singly being used to empower individuals, companies, and governments around the world to solve global challenges. We also aim to empower people through education and advance social initiatives to create career pathways into the technology industry. This ha</w:t>
      </w:r>
      <w:r>
        <w:rPr>
          <w:rFonts w:ascii="Arial" w:eastAsia="宋体" w:hAnsi="Arial" w:cs="Arial"/>
          <w:color w:val="262626"/>
          <w:sz w:val="18"/>
          <w:szCs w:val="18"/>
        </w:rPr>
        <w:t>s included our global Intel Digital Readiness Programs, such as AI for Youth and AI for Workforce, scaled in partnership with governments and institutions to empower individuals with digital readiness and AI skills. Additionally, we have invested in multi-</w:t>
      </w:r>
      <w:r>
        <w:rPr>
          <w:rFonts w:ascii="Arial" w:eastAsia="宋体" w:hAnsi="Arial" w:cs="Arial"/>
          <w:color w:val="262626"/>
          <w:sz w:val="18"/>
          <w:szCs w:val="18"/>
        </w:rPr>
        <w:t>year partnerships with historically Black colleges and universities in the US to increase the number of Black/African Americans who pursue electrical engineering, computer engineering, and computer science fields. Our employees and retirees share their exp</w:t>
      </w:r>
      <w:r>
        <w:rPr>
          <w:rFonts w:ascii="Arial" w:eastAsia="宋体" w:hAnsi="Arial" w:cs="Arial"/>
          <w:color w:val="262626"/>
          <w:sz w:val="18"/>
          <w:szCs w:val="18"/>
        </w:rPr>
        <w:t>ertise through volunteer initiatives in the communities where we operate, volunteering more than 1.7</w:t>
      </w:r>
      <w:r>
        <w:rPr>
          <w:rFonts w:ascii="Arial" w:eastAsia="宋体" w:hAnsi="Arial" w:cs="Arial"/>
          <w:color w:val="262626"/>
          <w:sz w:val="11"/>
          <w:szCs w:val="11"/>
        </w:rPr>
        <w:t>1</w:t>
      </w:r>
      <w:r>
        <w:rPr>
          <w:rFonts w:ascii="Arial" w:eastAsia="宋体" w:hAnsi="Arial" w:cs="Arial"/>
          <w:color w:val="262626"/>
          <w:sz w:val="18"/>
          <w:szCs w:val="18"/>
        </w:rPr>
        <w:t xml:space="preserve"> million hours over the past two years. These efforts contribute to the 2030 goal we established last year to volunteer 10 million hours over a decade. COV</w:t>
      </w:r>
      <w:r>
        <w:rPr>
          <w:rFonts w:ascii="Arial" w:eastAsia="宋体" w:hAnsi="Arial" w:cs="Arial"/>
          <w:color w:val="262626"/>
          <w:sz w:val="18"/>
          <w:szCs w:val="18"/>
        </w:rPr>
        <w:t>ID-19 presented challenges over the last two years for in-person volunteering, but we continued to see an outpouring of support from employees in 2021 for virtual volunteering, donations, and innovative technology projects to support our communities. In 20</w:t>
      </w:r>
      <w:r>
        <w:rPr>
          <w:rFonts w:ascii="Arial" w:eastAsia="宋体" w:hAnsi="Arial" w:cs="Arial"/>
          <w:color w:val="262626"/>
          <w:sz w:val="18"/>
          <w:szCs w:val="18"/>
        </w:rPr>
        <w:t>20 we announced the Pandemic Response Technology Initiative to combat COVID-19. We expanded the initiative in 2021 and renamed it the RISE Technology Initiative to reflect a broader platform for action. It provides an expanded channel to build deeper relat</w:t>
      </w:r>
      <w:r>
        <w:rPr>
          <w:rFonts w:ascii="Arial" w:eastAsia="宋体" w:hAnsi="Arial" w:cs="Arial"/>
          <w:color w:val="262626"/>
          <w:sz w:val="18"/>
          <w:szCs w:val="18"/>
        </w:rPr>
        <w:t>ionships with our customers and partners aligned with our corporate purpose and work to create shared value through our 2030 RISE strategy. Specifically, we are funding projects in areas that include using technology to improve health and safety; making te</w:t>
      </w:r>
      <w:r>
        <w:rPr>
          <w:rFonts w:ascii="Arial" w:eastAsia="宋体" w:hAnsi="Arial" w:cs="Arial"/>
          <w:color w:val="262626"/>
          <w:sz w:val="18"/>
          <w:szCs w:val="18"/>
        </w:rPr>
        <w:t xml:space="preserve">chnology more inclusive while expanding digital readiness; and carbon neutral computing to help address climate change. </w:t>
      </w:r>
      <w:r>
        <w:rPr>
          <w:rFonts w:ascii="Arial" w:eastAsia="宋体" w:hAnsi="Arial" w:cs="Arial"/>
          <w:color w:val="262626"/>
          <w:sz w:val="18"/>
          <w:szCs w:val="18"/>
        </w:rPr>
        <w:br/>
      </w:r>
      <w:r>
        <w:rPr>
          <w:rFonts w:ascii="Arial" w:eastAsia="宋体" w:hAnsi="Arial" w:cs="Arial"/>
          <w:color w:val="262626"/>
          <w:sz w:val="18"/>
          <w:szCs w:val="18"/>
        </w:rPr>
        <w:br/>
      </w:r>
      <w:r>
        <w:rPr>
          <w:rFonts w:ascii="Arial" w:eastAsia="宋体" w:hAnsi="Arial" w:cs="Arial"/>
          <w:color w:val="0071C5"/>
          <w:sz w:val="18"/>
          <w:szCs w:val="18"/>
        </w:rPr>
        <w:t>Human rights commitment.</w:t>
      </w:r>
      <w:r>
        <w:rPr>
          <w:rFonts w:ascii="Arial" w:eastAsia="宋体" w:hAnsi="Arial" w:cs="Arial"/>
          <w:color w:val="262626"/>
          <w:sz w:val="18"/>
          <w:szCs w:val="18"/>
        </w:rPr>
        <w:t xml:space="preserve"> We are committed to maintaining and improving processes to avoid complicity in human rights violations relate</w:t>
      </w:r>
      <w:r>
        <w:rPr>
          <w:rFonts w:ascii="Arial" w:eastAsia="宋体" w:hAnsi="Arial" w:cs="Arial"/>
          <w:color w:val="262626"/>
          <w:sz w:val="18"/>
          <w:szCs w:val="18"/>
        </w:rPr>
        <w:t>d to our operations, supply chain, and products. We have established an integrated approach to managing human rights across our business, including board-level oversight and the involvement of senior-level Management Review Committees. We also meet through</w:t>
      </w:r>
      <w:r>
        <w:rPr>
          <w:rFonts w:ascii="Arial" w:eastAsia="宋体" w:hAnsi="Arial" w:cs="Arial"/>
          <w:color w:val="262626"/>
          <w:sz w:val="18"/>
          <w:szCs w:val="18"/>
        </w:rPr>
        <w:t>out the year with external stakeholders and experts on human rights to continue to inform and evolve our human rights policies and oversight processes. While we do not always know nor can we control what products our customers create or the applications en</w:t>
      </w:r>
      <w:r>
        <w:rPr>
          <w:rFonts w:ascii="Arial" w:eastAsia="宋体" w:hAnsi="Arial" w:cs="Arial"/>
          <w:color w:val="262626"/>
          <w:sz w:val="18"/>
          <w:szCs w:val="18"/>
        </w:rPr>
        <w:t>d users may develop, we do not tolerate our products being used to violate human rights. Where we become aware of a concern that our products are being used by a business partner in connection with abuses of human rights, we restrict or cease business with</w:t>
      </w:r>
      <w:r>
        <w:rPr>
          <w:rFonts w:ascii="Arial" w:eastAsia="宋体" w:hAnsi="Arial" w:cs="Arial"/>
          <w:color w:val="262626"/>
          <w:sz w:val="18"/>
          <w:szCs w:val="18"/>
        </w:rPr>
        <w:t xml:space="preserve"> the third party until we have high confidence that our products are not being used to violate human rights. </w:t>
      </w:r>
      <w:r>
        <w:rPr>
          <w:rFonts w:ascii="Arial" w:eastAsia="宋体" w:hAnsi="Arial" w:cs="Arial"/>
          <w:color w:val="262626"/>
          <w:sz w:val="18"/>
          <w:szCs w:val="18"/>
        </w:rPr>
        <w:br/>
      </w:r>
      <w:r>
        <w:rPr>
          <w:rFonts w:ascii="Arial" w:eastAsia="宋体" w:hAnsi="Arial" w:cs="Arial"/>
          <w:color w:val="262626"/>
          <w:sz w:val="18"/>
          <w:szCs w:val="18"/>
        </w:rPr>
        <w:br/>
      </w:r>
      <w:r>
        <w:rPr>
          <w:rFonts w:ascii="Arial" w:eastAsia="宋体" w:hAnsi="Arial" w:cs="Arial"/>
          <w:i/>
          <w:iCs/>
          <w:color w:val="262626"/>
          <w:sz w:val="10"/>
          <w:szCs w:val="10"/>
        </w:rPr>
        <w:t xml:space="preserve">1 </w:t>
      </w:r>
      <w:r>
        <w:rPr>
          <w:rFonts w:ascii="Arial" w:eastAsia="宋体" w:hAnsi="Arial" w:cs="Arial"/>
          <w:i/>
          <w:iCs/>
          <w:color w:val="262626"/>
          <w:sz w:val="16"/>
          <w:szCs w:val="16"/>
        </w:rPr>
        <w:t>This is a preliminary estimate. The final number will be reported in our 2021-22 Corporate Responsibility Report, to be issued later in 2022.</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1B77DD" w14:paraId="6753415B" w14:textId="77777777">
        <w:tc>
          <w:tcPr>
            <w:tcW w:w="50" w:type="pct"/>
            <w:shd w:val="clear" w:color="auto" w:fill="auto"/>
            <w:vAlign w:val="bottom"/>
          </w:tcPr>
          <w:p w14:paraId="6753414F" w14:textId="77777777" w:rsidR="001B77DD" w:rsidRDefault="001B77DD">
            <w:pPr>
              <w:rPr>
                <w:rFonts w:ascii="宋体"/>
              </w:rPr>
            </w:pPr>
          </w:p>
        </w:tc>
        <w:tc>
          <w:tcPr>
            <w:tcW w:w="283" w:type="pct"/>
            <w:shd w:val="clear" w:color="auto" w:fill="auto"/>
            <w:vAlign w:val="bottom"/>
          </w:tcPr>
          <w:p w14:paraId="67534150" w14:textId="77777777" w:rsidR="001B77DD" w:rsidRDefault="001B77DD">
            <w:pPr>
              <w:rPr>
                <w:rFonts w:ascii="宋体"/>
              </w:rPr>
            </w:pPr>
          </w:p>
        </w:tc>
        <w:tc>
          <w:tcPr>
            <w:tcW w:w="5" w:type="pct"/>
            <w:shd w:val="clear" w:color="auto" w:fill="auto"/>
            <w:vAlign w:val="bottom"/>
          </w:tcPr>
          <w:p w14:paraId="67534151" w14:textId="77777777" w:rsidR="001B77DD" w:rsidRDefault="001B77DD">
            <w:pPr>
              <w:rPr>
                <w:rFonts w:ascii="宋体"/>
              </w:rPr>
            </w:pPr>
          </w:p>
        </w:tc>
        <w:tc>
          <w:tcPr>
            <w:tcW w:w="50" w:type="pct"/>
            <w:shd w:val="clear" w:color="auto" w:fill="auto"/>
            <w:vAlign w:val="bottom"/>
          </w:tcPr>
          <w:p w14:paraId="67534152" w14:textId="77777777" w:rsidR="001B77DD" w:rsidRDefault="001B77DD">
            <w:pPr>
              <w:rPr>
                <w:rFonts w:ascii="宋体"/>
              </w:rPr>
            </w:pPr>
          </w:p>
        </w:tc>
        <w:tc>
          <w:tcPr>
            <w:tcW w:w="1039" w:type="pct"/>
            <w:shd w:val="clear" w:color="auto" w:fill="auto"/>
            <w:vAlign w:val="bottom"/>
          </w:tcPr>
          <w:p w14:paraId="67534153" w14:textId="77777777" w:rsidR="001B77DD" w:rsidRDefault="001B77DD">
            <w:pPr>
              <w:rPr>
                <w:rFonts w:ascii="宋体"/>
              </w:rPr>
            </w:pPr>
          </w:p>
        </w:tc>
        <w:tc>
          <w:tcPr>
            <w:tcW w:w="5" w:type="pct"/>
            <w:shd w:val="clear" w:color="auto" w:fill="auto"/>
            <w:vAlign w:val="bottom"/>
          </w:tcPr>
          <w:p w14:paraId="67534154" w14:textId="77777777" w:rsidR="001B77DD" w:rsidRDefault="001B77DD">
            <w:pPr>
              <w:rPr>
                <w:rFonts w:ascii="宋体"/>
              </w:rPr>
            </w:pPr>
          </w:p>
        </w:tc>
        <w:tc>
          <w:tcPr>
            <w:tcW w:w="50" w:type="pct"/>
            <w:shd w:val="clear" w:color="auto" w:fill="auto"/>
            <w:vAlign w:val="bottom"/>
          </w:tcPr>
          <w:p w14:paraId="67534155" w14:textId="77777777" w:rsidR="001B77DD" w:rsidRDefault="001B77DD">
            <w:pPr>
              <w:rPr>
                <w:rFonts w:ascii="宋体"/>
              </w:rPr>
            </w:pPr>
          </w:p>
        </w:tc>
        <w:tc>
          <w:tcPr>
            <w:tcW w:w="1562" w:type="pct"/>
            <w:shd w:val="clear" w:color="auto" w:fill="auto"/>
            <w:vAlign w:val="bottom"/>
          </w:tcPr>
          <w:p w14:paraId="67534156" w14:textId="77777777" w:rsidR="001B77DD" w:rsidRDefault="001B77DD">
            <w:pPr>
              <w:rPr>
                <w:rFonts w:ascii="宋体"/>
              </w:rPr>
            </w:pPr>
          </w:p>
        </w:tc>
        <w:tc>
          <w:tcPr>
            <w:tcW w:w="5" w:type="pct"/>
            <w:shd w:val="clear" w:color="auto" w:fill="auto"/>
            <w:vAlign w:val="bottom"/>
          </w:tcPr>
          <w:p w14:paraId="67534157" w14:textId="77777777" w:rsidR="001B77DD" w:rsidRDefault="001B77DD">
            <w:pPr>
              <w:rPr>
                <w:rFonts w:ascii="宋体"/>
              </w:rPr>
            </w:pPr>
          </w:p>
        </w:tc>
        <w:tc>
          <w:tcPr>
            <w:tcW w:w="50" w:type="pct"/>
            <w:shd w:val="clear" w:color="auto" w:fill="auto"/>
            <w:vAlign w:val="bottom"/>
          </w:tcPr>
          <w:p w14:paraId="67534158" w14:textId="77777777" w:rsidR="001B77DD" w:rsidRDefault="001B77DD">
            <w:pPr>
              <w:rPr>
                <w:rFonts w:ascii="宋体"/>
              </w:rPr>
            </w:pPr>
          </w:p>
        </w:tc>
        <w:tc>
          <w:tcPr>
            <w:tcW w:w="1894" w:type="pct"/>
            <w:shd w:val="clear" w:color="auto" w:fill="auto"/>
            <w:vAlign w:val="bottom"/>
          </w:tcPr>
          <w:p w14:paraId="67534159" w14:textId="77777777" w:rsidR="001B77DD" w:rsidRDefault="001B77DD">
            <w:pPr>
              <w:rPr>
                <w:rFonts w:ascii="宋体"/>
              </w:rPr>
            </w:pPr>
          </w:p>
        </w:tc>
        <w:tc>
          <w:tcPr>
            <w:tcW w:w="5" w:type="pct"/>
            <w:shd w:val="clear" w:color="auto" w:fill="auto"/>
            <w:vAlign w:val="bottom"/>
          </w:tcPr>
          <w:p w14:paraId="6753415A" w14:textId="77777777" w:rsidR="001B77DD" w:rsidRDefault="001B77DD">
            <w:pPr>
              <w:rPr>
                <w:rFonts w:ascii="宋体"/>
              </w:rPr>
            </w:pPr>
          </w:p>
        </w:tc>
      </w:tr>
      <w:tr w:rsidR="001B77DD" w14:paraId="67534160"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5C"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EC" wp14:editId="67538DED">
                  <wp:extent cx="304800" cy="304800"/>
                  <wp:effectExtent l="0" t="0" r="0" b="0"/>
                  <wp:docPr id="5" name="图片 9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5D"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15E"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5F" w14:textId="77777777" w:rsidR="001B77DD" w:rsidRDefault="00BF0A28">
            <w:pPr>
              <w:jc w:val="right"/>
              <w:textAlignment w:val="center"/>
            </w:pPr>
            <w:r>
              <w:rPr>
                <w:rFonts w:ascii="Arial" w:eastAsia="宋体" w:hAnsi="Arial" w:cs="Arial"/>
                <w:color w:val="262626"/>
                <w:sz w:val="16"/>
                <w:szCs w:val="16"/>
              </w:rPr>
              <w:t>14</w:t>
            </w:r>
          </w:p>
        </w:tc>
      </w:tr>
    </w:tbl>
    <w:p w14:paraId="67534161" w14:textId="77777777" w:rsidR="001B77DD" w:rsidRDefault="00BF0A28">
      <w:r>
        <w:pict w14:anchorId="67538DEE">
          <v:rect id="_x0000_i1040" style="width:415.3pt;height:1.5pt" o:hralign="center" o:hrstd="t" o:hr="t" fillcolor="#a0a0a0" stroked="f"/>
        </w:pict>
      </w:r>
    </w:p>
    <w:p w14:paraId="67534162" w14:textId="77777777" w:rsidR="001B77DD" w:rsidRDefault="00BF0A28">
      <w:pPr>
        <w:spacing w:after="180"/>
        <w:jc w:val="right"/>
      </w:pPr>
      <w:hyperlink r:id="rId67" w:anchor="i6c9ced68f6b24d58a3dcf326e8c3c699_16" w:history="1">
        <w:r>
          <w:rPr>
            <w:rStyle w:val="a5"/>
            <w:rFonts w:ascii="Arial" w:eastAsia="宋体" w:hAnsi="Arial" w:cs="Arial"/>
            <w:sz w:val="18"/>
            <w:szCs w:val="18"/>
          </w:rPr>
          <w:t>Table</w:t>
        </w:r>
      </w:hyperlink>
      <w:hyperlink r:id="rId68" w:anchor="i6c9ced68f6b24d58a3dcf326e8c3c699_16" w:history="1">
        <w:r>
          <w:rPr>
            <w:rStyle w:val="a5"/>
            <w:rFonts w:ascii="Arial" w:eastAsia="宋体" w:hAnsi="Arial" w:cs="Arial"/>
            <w:sz w:val="18"/>
            <w:szCs w:val="18"/>
          </w:rPr>
          <w:t xml:space="preserve"> of </w:t>
        </w:r>
      </w:hyperlink>
      <w:hyperlink r:id="rId69" w:anchor="i6c9ced68f6b24d58a3dcf326e8c3c699_16" w:history="1">
        <w:r>
          <w:rPr>
            <w:rStyle w:val="a5"/>
            <w:rFonts w:ascii="Arial" w:eastAsia="宋体" w:hAnsi="Arial" w:cs="Arial"/>
            <w:sz w:val="18"/>
            <w:szCs w:val="18"/>
          </w:rPr>
          <w:t>Contents</w:t>
        </w:r>
      </w:hyperlink>
    </w:p>
    <w:p w14:paraId="67534163" w14:textId="77777777" w:rsidR="001B77DD" w:rsidRDefault="00BF0A28">
      <w:pPr>
        <w:spacing w:after="120"/>
      </w:pPr>
      <w:r>
        <w:rPr>
          <w:rFonts w:ascii="Arial" w:eastAsia="宋体" w:hAnsi="Arial" w:cs="Arial"/>
          <w:color w:val="0068B5"/>
        </w:rPr>
        <w:t>Supply Chain Responsibility</w:t>
      </w:r>
    </w:p>
    <w:p w14:paraId="67534164" w14:textId="77777777" w:rsidR="001B77DD" w:rsidRDefault="00BF0A28">
      <w:pPr>
        <w:spacing w:after="180"/>
      </w:pPr>
      <w:r>
        <w:rPr>
          <w:rFonts w:ascii="Arial" w:eastAsia="宋体" w:hAnsi="Arial" w:cs="Arial"/>
          <w:color w:val="262626"/>
          <w:sz w:val="18"/>
          <w:szCs w:val="18"/>
        </w:rPr>
        <w:t>We a</w:t>
      </w:r>
      <w:r>
        <w:rPr>
          <w:rFonts w:ascii="Arial" w:eastAsia="宋体" w:hAnsi="Arial" w:cs="Arial"/>
          <w:color w:val="262626"/>
          <w:sz w:val="18"/>
          <w:szCs w:val="18"/>
        </w:rPr>
        <w:t>ctively manage our supply chain to help reduce risk, improve product quality, achieve environmental and social goals, and improve overall performance and value creation for Intel, our customers, and our suppliers. To drive responsible and sustainable pract</w:t>
      </w:r>
      <w:r>
        <w:rPr>
          <w:rFonts w:ascii="Arial" w:eastAsia="宋体" w:hAnsi="Arial" w:cs="Arial"/>
          <w:color w:val="262626"/>
          <w:sz w:val="18"/>
          <w:szCs w:val="18"/>
        </w:rPr>
        <w:t>ices throughout our supply chain, we have robust programs to educate and engage suppliers that support our global manufacturing operations. We actively collaborate with other companies and lead industry initiatives on key issues such as improving transpare</w:t>
      </w:r>
      <w:r>
        <w:rPr>
          <w:rFonts w:ascii="Arial" w:eastAsia="宋体" w:hAnsi="Arial" w:cs="Arial"/>
          <w:color w:val="262626"/>
          <w:sz w:val="18"/>
          <w:szCs w:val="18"/>
        </w:rPr>
        <w:t xml:space="preserve">ncy around climate and water impacts in the global electronics supply chain and, as part of our RISE strategy, we are advancing collaboration across our industry on responsible minerals sourcing. Through these efforts we help set electronics industry-wide </w:t>
      </w:r>
      <w:r>
        <w:rPr>
          <w:rFonts w:ascii="Arial" w:eastAsia="宋体" w:hAnsi="Arial" w:cs="Arial"/>
          <w:color w:val="262626"/>
          <w:sz w:val="18"/>
          <w:szCs w:val="18"/>
        </w:rPr>
        <w:t>standards, develop audit processes, and conduct training.</w:t>
      </w:r>
    </w:p>
    <w:p w14:paraId="67534165" w14:textId="77777777" w:rsidR="001B77DD" w:rsidRDefault="00BF0A28">
      <w:pPr>
        <w:spacing w:after="180"/>
      </w:pPr>
      <w:r>
        <w:rPr>
          <w:rFonts w:ascii="Arial" w:eastAsia="宋体" w:hAnsi="Arial" w:cs="Arial"/>
          <w:color w:val="262626"/>
          <w:sz w:val="18"/>
          <w:szCs w:val="18"/>
        </w:rPr>
        <w:t>Over the past decade, we have directly engaged with our suppliers to verify compliance and build capacity to address risks of forced and bonded labor and other human rights issues. We perform suppli</w:t>
      </w:r>
      <w:r>
        <w:rPr>
          <w:rFonts w:ascii="Arial" w:eastAsia="宋体" w:hAnsi="Arial" w:cs="Arial"/>
          <w:color w:val="262626"/>
          <w:sz w:val="18"/>
          <w:szCs w:val="18"/>
        </w:rPr>
        <w:t>er audits and identify critical direct suppliers to engage through capability-building programs, which help suppliers build sustainability acumen and verify compliance with the Responsible Business Alliance and our Code of Conduct. We also engage with indi</w:t>
      </w:r>
      <w:r>
        <w:rPr>
          <w:rFonts w:ascii="Arial" w:eastAsia="宋体" w:hAnsi="Arial" w:cs="Arial"/>
          <w:color w:val="262626"/>
          <w:sz w:val="18"/>
          <w:szCs w:val="18"/>
        </w:rPr>
        <w:t>rect suppliers through our programs on forced and bonded labor, responsible minerals, and supplier diversity. To achieve our 2030 RISE goals, we will significantly expand the number of suppliers covered by our engagement activities.</w:t>
      </w:r>
    </w:p>
    <w:p w14:paraId="67534166" w14:textId="77777777" w:rsidR="001B77DD" w:rsidRDefault="00BF0A28">
      <w:pPr>
        <w:spacing w:after="180"/>
      </w:pPr>
      <w:r>
        <w:rPr>
          <w:rFonts w:ascii="Arial" w:eastAsia="宋体" w:hAnsi="Arial" w:cs="Arial"/>
          <w:color w:val="262626"/>
          <w:sz w:val="18"/>
          <w:szCs w:val="18"/>
        </w:rPr>
        <w:t>Our commitment to diver</w:t>
      </w:r>
      <w:r>
        <w:rPr>
          <w:rFonts w:ascii="Arial" w:eastAsia="宋体" w:hAnsi="Arial" w:cs="Arial"/>
          <w:color w:val="262626"/>
          <w:sz w:val="18"/>
          <w:szCs w:val="18"/>
        </w:rPr>
        <w:t xml:space="preserve">sity and inclusion also extends to our suppliers. We believe a diverse supply chain supports greater innovation and value for our business. We have set additional spending targets with women-owned suppliers outside the US and with minority-owned suppliers </w:t>
      </w:r>
      <w:r>
        <w:rPr>
          <w:rFonts w:ascii="Arial" w:eastAsia="宋体" w:hAnsi="Arial" w:cs="Arial"/>
          <w:color w:val="262626"/>
          <w:sz w:val="18"/>
          <w:szCs w:val="18"/>
        </w:rPr>
        <w:t>globally to accelerate progress toward our goal to increase global annual spending with diverse suppliers by 100% to reach $2 billion in annual spending by 2030. Continuing in 2022, we will only retain or use outside law firms in the US that are above aver</w:t>
      </w:r>
      <w:r>
        <w:rPr>
          <w:rFonts w:ascii="Arial" w:eastAsia="宋体" w:hAnsi="Arial" w:cs="Arial"/>
          <w:color w:val="262626"/>
          <w:sz w:val="18"/>
          <w:szCs w:val="18"/>
        </w:rPr>
        <w:t>age on diversity for their equity partners. We are applying a similar rule to firms used by our tax department, including non-legal firms.</w:t>
      </w:r>
    </w:p>
    <w:tbl>
      <w:tblPr>
        <w:tblW w:w="10755" w:type="dxa"/>
        <w:tblCellMar>
          <w:top w:w="15" w:type="dxa"/>
          <w:left w:w="15" w:type="dxa"/>
          <w:bottom w:w="15" w:type="dxa"/>
          <w:right w:w="15" w:type="dxa"/>
        </w:tblCellMar>
        <w:tblLook w:val="04A0" w:firstRow="1" w:lastRow="0" w:firstColumn="1" w:lastColumn="0" w:noHBand="0" w:noVBand="1"/>
      </w:tblPr>
      <w:tblGrid>
        <w:gridCol w:w="37"/>
        <w:gridCol w:w="661"/>
        <w:gridCol w:w="36"/>
        <w:gridCol w:w="36"/>
        <w:gridCol w:w="4699"/>
        <w:gridCol w:w="36"/>
        <w:gridCol w:w="36"/>
        <w:gridCol w:w="124"/>
        <w:gridCol w:w="36"/>
        <w:gridCol w:w="36"/>
        <w:gridCol w:w="4815"/>
        <w:gridCol w:w="36"/>
        <w:gridCol w:w="36"/>
        <w:gridCol w:w="95"/>
        <w:gridCol w:w="36"/>
      </w:tblGrid>
      <w:tr w:rsidR="001B77DD" w14:paraId="67534176" w14:textId="77777777">
        <w:tc>
          <w:tcPr>
            <w:tcW w:w="20" w:type="dxa"/>
            <w:shd w:val="clear" w:color="auto" w:fill="auto"/>
            <w:vAlign w:val="bottom"/>
          </w:tcPr>
          <w:p w14:paraId="67534167" w14:textId="77777777" w:rsidR="001B77DD" w:rsidRDefault="001B77DD">
            <w:pPr>
              <w:rPr>
                <w:rFonts w:ascii="宋体"/>
              </w:rPr>
            </w:pPr>
          </w:p>
        </w:tc>
        <w:tc>
          <w:tcPr>
            <w:tcW w:w="665" w:type="dxa"/>
            <w:shd w:val="clear" w:color="auto" w:fill="auto"/>
            <w:vAlign w:val="bottom"/>
          </w:tcPr>
          <w:p w14:paraId="67534168" w14:textId="77777777" w:rsidR="001B77DD" w:rsidRDefault="001B77DD">
            <w:pPr>
              <w:rPr>
                <w:rFonts w:ascii="宋体"/>
              </w:rPr>
            </w:pPr>
          </w:p>
        </w:tc>
        <w:tc>
          <w:tcPr>
            <w:tcW w:w="20" w:type="dxa"/>
            <w:shd w:val="clear" w:color="auto" w:fill="auto"/>
            <w:vAlign w:val="bottom"/>
          </w:tcPr>
          <w:p w14:paraId="67534169" w14:textId="77777777" w:rsidR="001B77DD" w:rsidRDefault="001B77DD">
            <w:pPr>
              <w:rPr>
                <w:rFonts w:ascii="宋体"/>
              </w:rPr>
            </w:pPr>
          </w:p>
        </w:tc>
        <w:tc>
          <w:tcPr>
            <w:tcW w:w="20" w:type="dxa"/>
            <w:shd w:val="clear" w:color="auto" w:fill="auto"/>
            <w:vAlign w:val="bottom"/>
          </w:tcPr>
          <w:p w14:paraId="6753416A" w14:textId="77777777" w:rsidR="001B77DD" w:rsidRDefault="001B77DD">
            <w:pPr>
              <w:rPr>
                <w:rFonts w:ascii="宋体"/>
              </w:rPr>
            </w:pPr>
          </w:p>
        </w:tc>
        <w:tc>
          <w:tcPr>
            <w:tcW w:w="4775" w:type="dxa"/>
            <w:shd w:val="clear" w:color="auto" w:fill="auto"/>
            <w:vAlign w:val="bottom"/>
          </w:tcPr>
          <w:p w14:paraId="6753416B" w14:textId="77777777" w:rsidR="001B77DD" w:rsidRDefault="001B77DD">
            <w:pPr>
              <w:rPr>
                <w:rFonts w:ascii="宋体"/>
              </w:rPr>
            </w:pPr>
          </w:p>
        </w:tc>
        <w:tc>
          <w:tcPr>
            <w:tcW w:w="20" w:type="dxa"/>
            <w:shd w:val="clear" w:color="auto" w:fill="auto"/>
            <w:vAlign w:val="bottom"/>
          </w:tcPr>
          <w:p w14:paraId="6753416C" w14:textId="77777777" w:rsidR="001B77DD" w:rsidRDefault="001B77DD">
            <w:pPr>
              <w:rPr>
                <w:rFonts w:ascii="宋体"/>
              </w:rPr>
            </w:pPr>
          </w:p>
        </w:tc>
        <w:tc>
          <w:tcPr>
            <w:tcW w:w="20" w:type="dxa"/>
            <w:shd w:val="clear" w:color="auto" w:fill="auto"/>
            <w:vAlign w:val="bottom"/>
          </w:tcPr>
          <w:p w14:paraId="6753416D" w14:textId="77777777" w:rsidR="001B77DD" w:rsidRDefault="001B77DD">
            <w:pPr>
              <w:rPr>
                <w:rFonts w:ascii="宋体"/>
              </w:rPr>
            </w:pPr>
          </w:p>
        </w:tc>
        <w:tc>
          <w:tcPr>
            <w:tcW w:w="125" w:type="dxa"/>
            <w:shd w:val="clear" w:color="auto" w:fill="auto"/>
            <w:vAlign w:val="bottom"/>
          </w:tcPr>
          <w:p w14:paraId="6753416E" w14:textId="77777777" w:rsidR="001B77DD" w:rsidRDefault="001B77DD">
            <w:pPr>
              <w:rPr>
                <w:rFonts w:ascii="宋体"/>
              </w:rPr>
            </w:pPr>
          </w:p>
        </w:tc>
        <w:tc>
          <w:tcPr>
            <w:tcW w:w="20" w:type="dxa"/>
            <w:shd w:val="clear" w:color="auto" w:fill="auto"/>
            <w:vAlign w:val="bottom"/>
          </w:tcPr>
          <w:p w14:paraId="6753416F" w14:textId="77777777" w:rsidR="001B77DD" w:rsidRDefault="001B77DD">
            <w:pPr>
              <w:rPr>
                <w:rFonts w:ascii="宋体"/>
              </w:rPr>
            </w:pPr>
          </w:p>
        </w:tc>
        <w:tc>
          <w:tcPr>
            <w:tcW w:w="20" w:type="dxa"/>
            <w:shd w:val="clear" w:color="auto" w:fill="auto"/>
            <w:vAlign w:val="bottom"/>
          </w:tcPr>
          <w:p w14:paraId="67534170" w14:textId="77777777" w:rsidR="001B77DD" w:rsidRDefault="001B77DD">
            <w:pPr>
              <w:rPr>
                <w:rFonts w:ascii="宋体"/>
              </w:rPr>
            </w:pPr>
          </w:p>
        </w:tc>
        <w:tc>
          <w:tcPr>
            <w:tcW w:w="4895" w:type="dxa"/>
            <w:shd w:val="clear" w:color="auto" w:fill="auto"/>
            <w:vAlign w:val="bottom"/>
          </w:tcPr>
          <w:p w14:paraId="67534171" w14:textId="77777777" w:rsidR="001B77DD" w:rsidRDefault="001B77DD">
            <w:pPr>
              <w:rPr>
                <w:rFonts w:ascii="宋体"/>
              </w:rPr>
            </w:pPr>
          </w:p>
        </w:tc>
        <w:tc>
          <w:tcPr>
            <w:tcW w:w="20" w:type="dxa"/>
            <w:shd w:val="clear" w:color="auto" w:fill="auto"/>
            <w:vAlign w:val="bottom"/>
          </w:tcPr>
          <w:p w14:paraId="67534172" w14:textId="77777777" w:rsidR="001B77DD" w:rsidRDefault="001B77DD">
            <w:pPr>
              <w:rPr>
                <w:rFonts w:ascii="宋体"/>
              </w:rPr>
            </w:pPr>
          </w:p>
        </w:tc>
        <w:tc>
          <w:tcPr>
            <w:tcW w:w="20" w:type="dxa"/>
            <w:shd w:val="clear" w:color="auto" w:fill="auto"/>
            <w:vAlign w:val="bottom"/>
          </w:tcPr>
          <w:p w14:paraId="67534173" w14:textId="77777777" w:rsidR="001B77DD" w:rsidRDefault="001B77DD">
            <w:pPr>
              <w:rPr>
                <w:rFonts w:ascii="宋体"/>
              </w:rPr>
            </w:pPr>
          </w:p>
        </w:tc>
        <w:tc>
          <w:tcPr>
            <w:tcW w:w="95" w:type="dxa"/>
            <w:shd w:val="clear" w:color="auto" w:fill="auto"/>
            <w:vAlign w:val="bottom"/>
          </w:tcPr>
          <w:p w14:paraId="67534174" w14:textId="77777777" w:rsidR="001B77DD" w:rsidRDefault="001B77DD">
            <w:pPr>
              <w:rPr>
                <w:rFonts w:ascii="宋体"/>
              </w:rPr>
            </w:pPr>
          </w:p>
        </w:tc>
        <w:tc>
          <w:tcPr>
            <w:tcW w:w="20" w:type="dxa"/>
            <w:shd w:val="clear" w:color="auto" w:fill="auto"/>
            <w:vAlign w:val="bottom"/>
          </w:tcPr>
          <w:p w14:paraId="67534175" w14:textId="77777777" w:rsidR="001B77DD" w:rsidRDefault="001B77DD">
            <w:pPr>
              <w:rPr>
                <w:rFonts w:ascii="宋体"/>
              </w:rPr>
            </w:pPr>
          </w:p>
        </w:tc>
      </w:tr>
      <w:tr w:rsidR="001B77DD" w14:paraId="67534179" w14:textId="77777777">
        <w:trPr>
          <w:trHeight w:val="600"/>
        </w:trPr>
        <w:tc>
          <w:tcPr>
            <w:tcW w:w="0" w:type="auto"/>
            <w:gridSpan w:val="3"/>
            <w:shd w:val="clear" w:color="auto" w:fill="auto"/>
            <w:tcMar>
              <w:top w:w="0" w:type="dxa"/>
              <w:left w:w="20" w:type="dxa"/>
              <w:bottom w:w="0" w:type="dxa"/>
              <w:right w:w="20" w:type="dxa"/>
            </w:tcMar>
            <w:vAlign w:val="bottom"/>
          </w:tcPr>
          <w:p w14:paraId="67534177"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EF" wp14:editId="67538DF0">
                  <wp:extent cx="304800" cy="304800"/>
                  <wp:effectExtent l="0" t="0" r="0" b="0"/>
                  <wp:docPr id="248" name="图片 95"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95" descr="IMG_30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12"/>
            <w:shd w:val="clear" w:color="auto" w:fill="auto"/>
            <w:tcMar>
              <w:top w:w="40" w:type="dxa"/>
              <w:left w:w="20" w:type="dxa"/>
              <w:bottom w:w="40" w:type="dxa"/>
              <w:right w:w="20" w:type="dxa"/>
            </w:tcMar>
            <w:vAlign w:val="center"/>
          </w:tcPr>
          <w:p w14:paraId="67534178" w14:textId="77777777" w:rsidR="001B77DD" w:rsidRDefault="00BF0A28">
            <w:pPr>
              <w:spacing w:after="120"/>
              <w:textAlignment w:val="center"/>
            </w:pPr>
            <w:r>
              <w:rPr>
                <w:rFonts w:ascii="Arial" w:eastAsia="宋体" w:hAnsi="Arial" w:cs="Arial"/>
                <w:color w:val="0068B5"/>
                <w:sz w:val="28"/>
                <w:szCs w:val="28"/>
              </w:rPr>
              <w:t>Natural Capital</w:t>
            </w:r>
          </w:p>
        </w:tc>
      </w:tr>
    </w:tbl>
    <w:p w14:paraId="6753417A" w14:textId="77777777" w:rsidR="001B77DD" w:rsidRDefault="00BF0A28">
      <w:pPr>
        <w:spacing w:after="180"/>
      </w:pPr>
      <w:r>
        <w:rPr>
          <w:rFonts w:ascii="Arial" w:eastAsia="宋体" w:hAnsi="Arial" w:cs="Arial"/>
          <w:color w:val="262626"/>
          <w:sz w:val="18"/>
          <w:szCs w:val="18"/>
        </w:rPr>
        <w:t xml:space="preserve">Driving to the lowest possible environmental footprint as we grow helps us create efficiencies, lower costs, and respond to the needs of our stakeholders. We invest in conservation projects and set company-wide environmental targets to drive reductions in </w:t>
      </w:r>
      <w:r>
        <w:rPr>
          <w:rFonts w:ascii="Arial" w:eastAsia="宋体" w:hAnsi="Arial" w:cs="Arial"/>
          <w:color w:val="262626"/>
          <w:sz w:val="18"/>
          <w:szCs w:val="18"/>
        </w:rPr>
        <w:t>greenhouse gas emissions, energy use, water use, and waste generation. We build energy efficiency into our products to help our customers lower their own emissions and energy costs, and we collaborate with policymakers and other stakeholders to use technol</w:t>
      </w:r>
      <w:r>
        <w:rPr>
          <w:rFonts w:ascii="Arial" w:eastAsia="宋体" w:hAnsi="Arial" w:cs="Arial"/>
          <w:color w:val="262626"/>
          <w:sz w:val="18"/>
          <w:szCs w:val="18"/>
        </w:rPr>
        <w:t>ogy to address environmental challenges. Through our 2030 goals we will continue to drive to higher levels of operational efficiency, including a goal of a further 10% reduction in our carbon emissions on an absolute basis even as we continue to grow. In 2</w:t>
      </w:r>
      <w:r>
        <w:rPr>
          <w:rFonts w:ascii="Arial" w:eastAsia="宋体" w:hAnsi="Arial" w:cs="Arial"/>
          <w:color w:val="262626"/>
          <w:sz w:val="18"/>
          <w:szCs w:val="18"/>
        </w:rPr>
        <w:t>021, we continued to take action on emissions reduction strategies focused on emissions abatement, additional investments in renewable electricity, process and equipment optimization, and energy conservation. Our 2030 strategy and goals also focus on impro</w:t>
      </w:r>
      <w:r>
        <w:rPr>
          <w:rFonts w:ascii="Arial" w:eastAsia="宋体" w:hAnsi="Arial" w:cs="Arial"/>
          <w:color w:val="262626"/>
          <w:sz w:val="18"/>
          <w:szCs w:val="18"/>
        </w:rPr>
        <w:t>ving product energy efficiency and increasing our "handprint"—the ways in which Intel technologies can help others reduce their footprints, including Internet of Things solutions that enable intelligence in machines, buildings, supply chains, and factories</w:t>
      </w:r>
      <w:r>
        <w:rPr>
          <w:rFonts w:ascii="Arial" w:eastAsia="宋体" w:hAnsi="Arial" w:cs="Arial"/>
          <w:color w:val="262626"/>
          <w:sz w:val="18"/>
          <w:szCs w:val="18"/>
        </w:rPr>
        <w:t xml:space="preserve">, and make electrical grids smarter, safer, and more efficient. </w:t>
      </w:r>
    </w:p>
    <w:p w14:paraId="6753417B" w14:textId="77777777" w:rsidR="001B77DD" w:rsidRDefault="00BF0A28">
      <w:pPr>
        <w:spacing w:after="120"/>
        <w:ind w:hanging="180"/>
      </w:pPr>
      <w:r>
        <w:rPr>
          <w:rFonts w:ascii="Arial" w:eastAsia="宋体" w:hAnsi="Arial" w:cs="Arial"/>
          <w:color w:val="0068B5"/>
        </w:rPr>
        <w:t>Climate and Energy</w:t>
      </w:r>
    </w:p>
    <w:p w14:paraId="6753417C" w14:textId="77777777" w:rsidR="001B77DD" w:rsidRDefault="00BF0A28">
      <w:pPr>
        <w:spacing w:after="180"/>
      </w:pPr>
      <w:r>
        <w:rPr>
          <w:rFonts w:ascii="Arial" w:eastAsia="宋体" w:hAnsi="Arial" w:cs="Arial"/>
          <w:color w:val="262626"/>
          <w:sz w:val="18"/>
          <w:szCs w:val="18"/>
        </w:rPr>
        <w:t>We focus on reducing our own climate impact, and over the past two decades have reduced our direct emissions and indirect emissions associated with energy consumption. Thro</w:t>
      </w:r>
      <w:r>
        <w:rPr>
          <w:rFonts w:ascii="Arial" w:eastAsia="宋体" w:hAnsi="Arial" w:cs="Arial"/>
          <w:color w:val="262626"/>
          <w:sz w:val="18"/>
          <w:szCs w:val="18"/>
        </w:rPr>
        <w:t>ugh our 2030 goals we have committed to conserve an additional 4 billion kWh of energy over 10 years. We have conserved more than 310</w:t>
      </w:r>
      <w:r>
        <w:rPr>
          <w:rFonts w:ascii="Arial" w:eastAsia="宋体" w:hAnsi="Arial" w:cs="Arial"/>
          <w:color w:val="262626"/>
          <w:sz w:val="18"/>
          <w:szCs w:val="18"/>
          <w:shd w:val="clear" w:color="auto" w:fill="FFFFFF"/>
        </w:rPr>
        <w:t xml:space="preserve"> million</w:t>
      </w:r>
      <w:r>
        <w:rPr>
          <w:rFonts w:ascii="Arial" w:eastAsia="宋体" w:hAnsi="Arial" w:cs="Arial"/>
          <w:color w:val="262626"/>
          <w:sz w:val="18"/>
          <w:szCs w:val="18"/>
        </w:rPr>
        <w:t xml:space="preserve"> kWh</w:t>
      </w:r>
      <w:r>
        <w:rPr>
          <w:rFonts w:ascii="Arial" w:eastAsia="宋体" w:hAnsi="Arial" w:cs="Arial"/>
          <w:color w:val="262626"/>
          <w:sz w:val="11"/>
          <w:szCs w:val="11"/>
        </w:rPr>
        <w:t>1</w:t>
      </w:r>
      <w:r>
        <w:rPr>
          <w:rFonts w:ascii="Arial" w:eastAsia="宋体" w:hAnsi="Arial" w:cs="Arial"/>
          <w:color w:val="262626"/>
          <w:sz w:val="18"/>
          <w:szCs w:val="18"/>
        </w:rPr>
        <w:t xml:space="preserve"> of energy since 2020. We also continue to link a portion of our executive and employee performance bonus to o</w:t>
      </w:r>
      <w:r>
        <w:rPr>
          <w:rFonts w:ascii="Arial" w:eastAsia="宋体" w:hAnsi="Arial" w:cs="Arial"/>
          <w:color w:val="262626"/>
          <w:sz w:val="18"/>
          <w:szCs w:val="18"/>
        </w:rPr>
        <w:t>ur corporate sustainability metrics. In 2021, this included our target to save 125 million kWh of energy during the year. We also invest in green power and on-site alternative energy projects in support of our 2030 goal to achieve 100% renewable energy use</w:t>
      </w:r>
      <w:r>
        <w:rPr>
          <w:rFonts w:ascii="Arial" w:eastAsia="宋体" w:hAnsi="Arial" w:cs="Arial"/>
          <w:color w:val="262626"/>
          <w:sz w:val="18"/>
          <w:szCs w:val="18"/>
        </w:rPr>
        <w:t xml:space="preserve"> across our global manufacturing operations. We have reached</w:t>
      </w:r>
      <w:r>
        <w:rPr>
          <w:rFonts w:ascii="Arial" w:eastAsia="宋体" w:hAnsi="Arial" w:cs="Arial"/>
          <w:color w:val="262626"/>
          <w:sz w:val="18"/>
          <w:szCs w:val="18"/>
          <w:shd w:val="clear" w:color="auto" w:fill="FFFFFF"/>
        </w:rPr>
        <w:t xml:space="preserve"> 81%</w:t>
      </w:r>
      <w:r>
        <w:rPr>
          <w:rFonts w:ascii="Arial" w:eastAsia="宋体" w:hAnsi="Arial" w:cs="Arial"/>
          <w:color w:val="262626"/>
          <w:sz w:val="11"/>
          <w:szCs w:val="11"/>
        </w:rPr>
        <w:t>1</w:t>
      </w:r>
      <w:r>
        <w:rPr>
          <w:rFonts w:ascii="Arial" w:eastAsia="宋体" w:hAnsi="Arial" w:cs="Arial"/>
          <w:color w:val="262626"/>
          <w:sz w:val="18"/>
          <w:szCs w:val="18"/>
        </w:rPr>
        <w:t xml:space="preserve"> renewable energy globally. We are committed to transparency around our carbon footprint and climate risk and use the framework developed by the TCFD to inform our disclosure on climate gover</w:t>
      </w:r>
      <w:r>
        <w:rPr>
          <w:rFonts w:ascii="Arial" w:eastAsia="宋体" w:hAnsi="Arial" w:cs="Arial"/>
          <w:color w:val="262626"/>
          <w:sz w:val="18"/>
          <w:szCs w:val="18"/>
        </w:rPr>
        <w:t>nance, strategy, risk management, and metrics and targets. For governance and strategy, we follow an integrated approach to address climate change, with multiple teams responsible for managing climate-related activities, initiatives, and policies. Strategi</w:t>
      </w:r>
      <w:r>
        <w:rPr>
          <w:rFonts w:ascii="Arial" w:eastAsia="宋体" w:hAnsi="Arial" w:cs="Arial"/>
          <w:color w:val="262626"/>
          <w:sz w:val="18"/>
          <w:szCs w:val="18"/>
        </w:rPr>
        <w:t>es and progress toward goals are reviewed with senior executives and the Intel Board of Directors' Corporate Governance and Nominating Committee. We describe our overall risk management processes in our Proxy Statement, and describe our climate-related ris</w:t>
      </w:r>
      <w:r>
        <w:rPr>
          <w:rFonts w:ascii="Arial" w:eastAsia="宋体" w:hAnsi="Arial" w:cs="Arial"/>
          <w:color w:val="262626"/>
          <w:sz w:val="18"/>
          <w:szCs w:val="18"/>
        </w:rPr>
        <w:t>ks and opportunities in our annual Corporate Responsibility Report, the Intel Climate Change Policy, and "Risk Factors" within this Form 10-K. In addition to what is included within this Form 10-K, information about and progress toward our 2030 goals is in</w:t>
      </w:r>
      <w:r>
        <w:rPr>
          <w:rFonts w:ascii="Arial" w:eastAsia="宋体" w:hAnsi="Arial" w:cs="Arial"/>
          <w:color w:val="262626"/>
          <w:sz w:val="18"/>
          <w:szCs w:val="18"/>
        </w:rPr>
        <w:t>cluded in our Corporate Responsibility Report. Our Corporate Responsibility Report also includes a mapping of our disclosure to the TCFD, the Sustainability Accounting Standards Board framework, and our CDP Climate Change Survey, all of which are available</w:t>
      </w:r>
      <w:r>
        <w:rPr>
          <w:rFonts w:ascii="Arial" w:eastAsia="宋体" w:hAnsi="Arial" w:cs="Arial"/>
          <w:color w:val="262626"/>
          <w:sz w:val="18"/>
          <w:szCs w:val="18"/>
        </w:rPr>
        <w:t xml:space="preserve"> on our website.</w:t>
      </w:r>
      <w:r>
        <w:rPr>
          <w:rFonts w:ascii="Arial" w:eastAsia="宋体" w:hAnsi="Arial" w:cs="Arial"/>
          <w:color w:val="262626"/>
          <w:sz w:val="11"/>
          <w:szCs w:val="11"/>
        </w:rPr>
        <w:t>2</w:t>
      </w:r>
      <w:r>
        <w:rPr>
          <w:rFonts w:ascii="Arial" w:eastAsia="宋体" w:hAnsi="Arial" w:cs="Arial"/>
          <w:color w:val="262626"/>
          <w:sz w:val="18"/>
          <w:szCs w:val="18"/>
        </w:rPr>
        <w:t xml:space="preserve"> </w:t>
      </w:r>
    </w:p>
    <w:p w14:paraId="6753417D" w14:textId="77777777" w:rsidR="001B77DD" w:rsidRDefault="001B77DD">
      <w:pPr>
        <w:ind w:hanging="180"/>
      </w:pPr>
    </w:p>
    <w:p w14:paraId="6753417E" w14:textId="77777777" w:rsidR="001B77DD" w:rsidRDefault="001B77DD">
      <w:pPr>
        <w:ind w:hanging="180"/>
      </w:pPr>
    </w:p>
    <w:p w14:paraId="6753417F" w14:textId="77777777" w:rsidR="001B77DD" w:rsidRDefault="001B77DD">
      <w:pPr>
        <w:ind w:hanging="180"/>
      </w:pPr>
    </w:p>
    <w:p w14:paraId="67534180" w14:textId="77777777" w:rsidR="001B77DD" w:rsidRDefault="001B77DD">
      <w:pPr>
        <w:ind w:hanging="180"/>
      </w:pPr>
    </w:p>
    <w:p w14:paraId="67534181" w14:textId="77777777" w:rsidR="001B77DD" w:rsidRDefault="001B77DD">
      <w:pPr>
        <w:ind w:hanging="180"/>
      </w:pPr>
    </w:p>
    <w:p w14:paraId="67534182" w14:textId="77777777" w:rsidR="001B77DD" w:rsidRDefault="001B77DD">
      <w:pPr>
        <w:ind w:hanging="180"/>
      </w:pPr>
    </w:p>
    <w:p w14:paraId="67534183" w14:textId="77777777" w:rsidR="001B77DD" w:rsidRDefault="001B77DD">
      <w:pPr>
        <w:ind w:hanging="180"/>
      </w:pPr>
    </w:p>
    <w:p w14:paraId="67534184" w14:textId="77777777" w:rsidR="001B77DD" w:rsidRDefault="001B77DD">
      <w:pPr>
        <w:ind w:hanging="180"/>
      </w:pPr>
    </w:p>
    <w:p w14:paraId="67534185" w14:textId="77777777" w:rsidR="001B77DD" w:rsidRDefault="001B77DD">
      <w:pPr>
        <w:ind w:hanging="180"/>
      </w:pPr>
    </w:p>
    <w:p w14:paraId="67534186" w14:textId="77777777" w:rsidR="001B77DD" w:rsidRDefault="00BF0A28">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This is a preliminary estimate. The final number will be reported in our 2021-22 Corporate Responsibility Report, to be issued later in 2022.</w:t>
      </w:r>
    </w:p>
    <w:p w14:paraId="67534187" w14:textId="77777777" w:rsidR="001B77DD" w:rsidRDefault="00BF0A28">
      <w:pPr>
        <w:spacing w:after="120"/>
        <w:ind w:hanging="180"/>
      </w:pPr>
      <w:r>
        <w:rPr>
          <w:rFonts w:ascii="Arial" w:eastAsia="宋体" w:hAnsi="Arial" w:cs="Arial"/>
          <w:i/>
          <w:iCs/>
          <w:color w:val="262626"/>
          <w:sz w:val="10"/>
          <w:szCs w:val="10"/>
        </w:rPr>
        <w:t xml:space="preserve">2 </w:t>
      </w:r>
      <w:r>
        <w:rPr>
          <w:rFonts w:ascii="Arial" w:eastAsia="宋体" w:hAnsi="Arial" w:cs="Arial"/>
          <w:i/>
          <w:iCs/>
          <w:color w:val="262626"/>
          <w:sz w:val="16"/>
          <w:szCs w:val="16"/>
        </w:rPr>
        <w:t>The contents of our website and our Corporate Responsibility Report, Climate Chang</w:t>
      </w:r>
      <w:r>
        <w:rPr>
          <w:rFonts w:ascii="Arial" w:eastAsia="宋体" w:hAnsi="Arial" w:cs="Arial"/>
          <w:i/>
          <w:iCs/>
          <w:color w:val="262626"/>
          <w:sz w:val="16"/>
          <w:szCs w:val="16"/>
        </w:rPr>
        <w:t>e Policy, and CDP Climate Change Survey are referenced for general information only and are not incorporated by reference in this Form 10-K.</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1B77DD" w14:paraId="67534194" w14:textId="77777777">
        <w:tc>
          <w:tcPr>
            <w:tcW w:w="50" w:type="pct"/>
            <w:shd w:val="clear" w:color="auto" w:fill="auto"/>
            <w:vAlign w:val="bottom"/>
          </w:tcPr>
          <w:p w14:paraId="67534188" w14:textId="77777777" w:rsidR="001B77DD" w:rsidRDefault="001B77DD">
            <w:pPr>
              <w:rPr>
                <w:rFonts w:ascii="宋体"/>
              </w:rPr>
            </w:pPr>
          </w:p>
        </w:tc>
        <w:tc>
          <w:tcPr>
            <w:tcW w:w="283" w:type="pct"/>
            <w:shd w:val="clear" w:color="auto" w:fill="auto"/>
            <w:vAlign w:val="bottom"/>
          </w:tcPr>
          <w:p w14:paraId="67534189" w14:textId="77777777" w:rsidR="001B77DD" w:rsidRDefault="001B77DD">
            <w:pPr>
              <w:rPr>
                <w:rFonts w:ascii="宋体"/>
              </w:rPr>
            </w:pPr>
          </w:p>
        </w:tc>
        <w:tc>
          <w:tcPr>
            <w:tcW w:w="5" w:type="pct"/>
            <w:shd w:val="clear" w:color="auto" w:fill="auto"/>
            <w:vAlign w:val="bottom"/>
          </w:tcPr>
          <w:p w14:paraId="6753418A" w14:textId="77777777" w:rsidR="001B77DD" w:rsidRDefault="001B77DD">
            <w:pPr>
              <w:rPr>
                <w:rFonts w:ascii="宋体"/>
              </w:rPr>
            </w:pPr>
          </w:p>
        </w:tc>
        <w:tc>
          <w:tcPr>
            <w:tcW w:w="50" w:type="pct"/>
            <w:shd w:val="clear" w:color="auto" w:fill="auto"/>
            <w:vAlign w:val="bottom"/>
          </w:tcPr>
          <w:p w14:paraId="6753418B" w14:textId="77777777" w:rsidR="001B77DD" w:rsidRDefault="001B77DD">
            <w:pPr>
              <w:rPr>
                <w:rFonts w:ascii="宋体"/>
              </w:rPr>
            </w:pPr>
          </w:p>
        </w:tc>
        <w:tc>
          <w:tcPr>
            <w:tcW w:w="1039" w:type="pct"/>
            <w:shd w:val="clear" w:color="auto" w:fill="auto"/>
            <w:vAlign w:val="bottom"/>
          </w:tcPr>
          <w:p w14:paraId="6753418C" w14:textId="77777777" w:rsidR="001B77DD" w:rsidRDefault="001B77DD">
            <w:pPr>
              <w:rPr>
                <w:rFonts w:ascii="宋体"/>
              </w:rPr>
            </w:pPr>
          </w:p>
        </w:tc>
        <w:tc>
          <w:tcPr>
            <w:tcW w:w="5" w:type="pct"/>
            <w:shd w:val="clear" w:color="auto" w:fill="auto"/>
            <w:vAlign w:val="bottom"/>
          </w:tcPr>
          <w:p w14:paraId="6753418D" w14:textId="77777777" w:rsidR="001B77DD" w:rsidRDefault="001B77DD">
            <w:pPr>
              <w:rPr>
                <w:rFonts w:ascii="宋体"/>
              </w:rPr>
            </w:pPr>
          </w:p>
        </w:tc>
        <w:tc>
          <w:tcPr>
            <w:tcW w:w="50" w:type="pct"/>
            <w:shd w:val="clear" w:color="auto" w:fill="auto"/>
            <w:vAlign w:val="bottom"/>
          </w:tcPr>
          <w:p w14:paraId="6753418E" w14:textId="77777777" w:rsidR="001B77DD" w:rsidRDefault="001B77DD">
            <w:pPr>
              <w:rPr>
                <w:rFonts w:ascii="宋体"/>
              </w:rPr>
            </w:pPr>
          </w:p>
        </w:tc>
        <w:tc>
          <w:tcPr>
            <w:tcW w:w="1562" w:type="pct"/>
            <w:shd w:val="clear" w:color="auto" w:fill="auto"/>
            <w:vAlign w:val="bottom"/>
          </w:tcPr>
          <w:p w14:paraId="6753418F" w14:textId="77777777" w:rsidR="001B77DD" w:rsidRDefault="001B77DD">
            <w:pPr>
              <w:rPr>
                <w:rFonts w:ascii="宋体"/>
              </w:rPr>
            </w:pPr>
          </w:p>
        </w:tc>
        <w:tc>
          <w:tcPr>
            <w:tcW w:w="5" w:type="pct"/>
            <w:shd w:val="clear" w:color="auto" w:fill="auto"/>
            <w:vAlign w:val="bottom"/>
          </w:tcPr>
          <w:p w14:paraId="67534190" w14:textId="77777777" w:rsidR="001B77DD" w:rsidRDefault="001B77DD">
            <w:pPr>
              <w:rPr>
                <w:rFonts w:ascii="宋体"/>
              </w:rPr>
            </w:pPr>
          </w:p>
        </w:tc>
        <w:tc>
          <w:tcPr>
            <w:tcW w:w="50" w:type="pct"/>
            <w:shd w:val="clear" w:color="auto" w:fill="auto"/>
            <w:vAlign w:val="bottom"/>
          </w:tcPr>
          <w:p w14:paraId="67534191" w14:textId="77777777" w:rsidR="001B77DD" w:rsidRDefault="001B77DD">
            <w:pPr>
              <w:rPr>
                <w:rFonts w:ascii="宋体"/>
              </w:rPr>
            </w:pPr>
          </w:p>
        </w:tc>
        <w:tc>
          <w:tcPr>
            <w:tcW w:w="1894" w:type="pct"/>
            <w:shd w:val="clear" w:color="auto" w:fill="auto"/>
            <w:vAlign w:val="bottom"/>
          </w:tcPr>
          <w:p w14:paraId="67534192" w14:textId="77777777" w:rsidR="001B77DD" w:rsidRDefault="001B77DD">
            <w:pPr>
              <w:rPr>
                <w:rFonts w:ascii="宋体"/>
              </w:rPr>
            </w:pPr>
          </w:p>
        </w:tc>
        <w:tc>
          <w:tcPr>
            <w:tcW w:w="5" w:type="pct"/>
            <w:shd w:val="clear" w:color="auto" w:fill="auto"/>
            <w:vAlign w:val="bottom"/>
          </w:tcPr>
          <w:p w14:paraId="67534193" w14:textId="77777777" w:rsidR="001B77DD" w:rsidRDefault="001B77DD">
            <w:pPr>
              <w:rPr>
                <w:rFonts w:ascii="宋体"/>
              </w:rPr>
            </w:pPr>
          </w:p>
        </w:tc>
      </w:tr>
      <w:tr w:rsidR="001B77DD" w14:paraId="67534199"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95"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F1" wp14:editId="67538DF2">
                  <wp:extent cx="304800" cy="304800"/>
                  <wp:effectExtent l="0" t="0" r="0" b="0"/>
                  <wp:docPr id="243" name="图片 9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9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96"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197"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98" w14:textId="77777777" w:rsidR="001B77DD" w:rsidRDefault="00BF0A28">
            <w:pPr>
              <w:jc w:val="right"/>
              <w:textAlignment w:val="center"/>
            </w:pPr>
            <w:r>
              <w:rPr>
                <w:rFonts w:ascii="Arial" w:eastAsia="宋体" w:hAnsi="Arial" w:cs="Arial"/>
                <w:color w:val="262626"/>
                <w:sz w:val="16"/>
                <w:szCs w:val="16"/>
              </w:rPr>
              <w:t>15</w:t>
            </w:r>
          </w:p>
        </w:tc>
      </w:tr>
    </w:tbl>
    <w:p w14:paraId="6753419A" w14:textId="77777777" w:rsidR="001B77DD" w:rsidRDefault="00BF0A28">
      <w:r>
        <w:pict w14:anchorId="67538DF3">
          <v:rect id="_x0000_i1041" style="width:415.3pt;height:1.5pt" o:hralign="center" o:hrstd="t" o:hr="t" fillcolor="#a0a0a0" stroked="f"/>
        </w:pict>
      </w:r>
    </w:p>
    <w:p w14:paraId="6753419B" w14:textId="77777777" w:rsidR="001B77DD" w:rsidRDefault="00BF0A28">
      <w:pPr>
        <w:spacing w:after="180"/>
        <w:jc w:val="right"/>
      </w:pPr>
      <w:hyperlink r:id="rId70" w:anchor="i6c9ced68f6b24d58a3dcf326e8c3c699_16" w:history="1">
        <w:r>
          <w:rPr>
            <w:rStyle w:val="a5"/>
            <w:rFonts w:ascii="Arial" w:eastAsia="宋体" w:hAnsi="Arial" w:cs="Arial"/>
            <w:sz w:val="18"/>
            <w:szCs w:val="18"/>
          </w:rPr>
          <w:t>Table</w:t>
        </w:r>
      </w:hyperlink>
      <w:hyperlink r:id="rId71" w:anchor="i6c9ced68f6b24d58a3dcf326e8c3c699_16" w:history="1">
        <w:r>
          <w:rPr>
            <w:rStyle w:val="a5"/>
            <w:rFonts w:ascii="Arial" w:eastAsia="宋体" w:hAnsi="Arial" w:cs="Arial"/>
            <w:sz w:val="18"/>
            <w:szCs w:val="18"/>
          </w:rPr>
          <w:t xml:space="preserve"> of </w:t>
        </w:r>
      </w:hyperlink>
      <w:hyperlink r:id="rId72" w:anchor="i6c9ced68f6b24d58a3dcf326e8c3c699_16" w:history="1">
        <w:r>
          <w:rPr>
            <w:rStyle w:val="a5"/>
            <w:rFonts w:ascii="Arial" w:eastAsia="宋体" w:hAnsi="Arial" w:cs="Arial"/>
            <w:sz w:val="18"/>
            <w:szCs w:val="18"/>
          </w:rPr>
          <w:t>Contents</w:t>
        </w:r>
      </w:hyperlink>
    </w:p>
    <w:p w14:paraId="6753419C" w14:textId="77777777" w:rsidR="001B77DD" w:rsidRDefault="00BF0A28">
      <w:pPr>
        <w:spacing w:after="180"/>
      </w:pPr>
      <w:r>
        <w:rPr>
          <w:rFonts w:ascii="Arial" w:eastAsia="宋体" w:hAnsi="Arial" w:cs="Arial"/>
          <w:color w:val="0068B5"/>
        </w:rPr>
        <w:t>Water Stewardship</w:t>
      </w:r>
    </w:p>
    <w:p w14:paraId="6753419D" w14:textId="77777777" w:rsidR="001B77DD" w:rsidRDefault="00BF0A28">
      <w:pPr>
        <w:spacing w:after="180"/>
      </w:pPr>
      <w:r>
        <w:rPr>
          <w:rFonts w:ascii="Arial" w:eastAsia="宋体" w:hAnsi="Arial" w:cs="Arial"/>
          <w:color w:val="262626"/>
          <w:sz w:val="18"/>
          <w:szCs w:val="18"/>
        </w:rPr>
        <w:t>Water is essen</w:t>
      </w:r>
      <w:r>
        <w:rPr>
          <w:rFonts w:ascii="Arial" w:eastAsia="宋体" w:hAnsi="Arial" w:cs="Arial"/>
          <w:color w:val="262626"/>
          <w:sz w:val="18"/>
          <w:szCs w:val="18"/>
        </w:rPr>
        <w:t>tial to the semiconductor manufacturing process. We use ultrapure water to remove impurities from our silicon wafers, and we use fresh and reclaimed water to run our manufacturing facility systems. Through our 2030 goals, we have committed to conserve an a</w:t>
      </w:r>
      <w:r>
        <w:rPr>
          <w:rFonts w:ascii="Arial" w:eastAsia="宋体" w:hAnsi="Arial" w:cs="Arial"/>
          <w:color w:val="262626"/>
          <w:sz w:val="18"/>
          <w:szCs w:val="18"/>
        </w:rPr>
        <w:t>dditional 60 billion gallons in this decade. As part of this commitment, we plan to achieve net positive water use globally. We have conserve</w:t>
      </w:r>
      <w:r>
        <w:rPr>
          <w:rFonts w:ascii="Arial" w:eastAsia="宋体" w:hAnsi="Arial" w:cs="Arial"/>
          <w:color w:val="262626"/>
          <w:sz w:val="18"/>
          <w:szCs w:val="18"/>
          <w:shd w:val="clear" w:color="auto" w:fill="FFFFFF"/>
        </w:rPr>
        <w:t>d 15.4 billion gallons</w:t>
      </w:r>
      <w:r>
        <w:rPr>
          <w:rFonts w:ascii="Arial" w:eastAsia="宋体" w:hAnsi="Arial" w:cs="Arial"/>
          <w:color w:val="262626"/>
          <w:sz w:val="11"/>
          <w:szCs w:val="11"/>
        </w:rPr>
        <w:t>1</w:t>
      </w:r>
      <w:r>
        <w:rPr>
          <w:rFonts w:ascii="Arial" w:eastAsia="宋体" w:hAnsi="Arial" w:cs="Arial"/>
          <w:color w:val="262626"/>
          <w:sz w:val="18"/>
          <w:szCs w:val="18"/>
          <w:shd w:val="clear" w:color="auto" w:fill="FFFFFF"/>
        </w:rPr>
        <w:t xml:space="preserve"> of water and enabled restoration of 3.5 </w:t>
      </w:r>
      <w:r>
        <w:rPr>
          <w:rFonts w:ascii="Arial" w:eastAsia="宋体" w:hAnsi="Arial" w:cs="Arial"/>
          <w:color w:val="262626"/>
          <w:sz w:val="18"/>
          <w:szCs w:val="18"/>
        </w:rPr>
        <w:t>billion gallons</w:t>
      </w:r>
      <w:r>
        <w:rPr>
          <w:rFonts w:ascii="Arial" w:eastAsia="宋体" w:hAnsi="Arial" w:cs="Arial"/>
          <w:color w:val="262626"/>
          <w:sz w:val="11"/>
          <w:szCs w:val="11"/>
        </w:rPr>
        <w:t>1</w:t>
      </w:r>
      <w:r>
        <w:rPr>
          <w:rFonts w:ascii="Arial" w:eastAsia="宋体" w:hAnsi="Arial" w:cs="Arial"/>
          <w:color w:val="262626"/>
          <w:sz w:val="18"/>
          <w:szCs w:val="18"/>
        </w:rPr>
        <w:t xml:space="preserve"> of water since 2020. In 2021, we linked a portion of our executive and employee performance bonus to our targets to conserve 7.5 billion gallons of water in our operations and complete projects to restore more than 1.5 billion gallons to local watersheds.</w:t>
      </w:r>
      <w:r>
        <w:rPr>
          <w:rFonts w:ascii="Arial" w:eastAsia="宋体" w:hAnsi="Arial" w:cs="Arial"/>
          <w:color w:val="262626"/>
          <w:sz w:val="18"/>
          <w:szCs w:val="18"/>
        </w:rPr>
        <w:t xml:space="preserve"> </w:t>
      </w:r>
    </w:p>
    <w:p w14:paraId="6753419E" w14:textId="77777777" w:rsidR="001B77DD" w:rsidRDefault="00BF0A2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F4" wp14:editId="67538DF5">
            <wp:extent cx="304800" cy="304800"/>
            <wp:effectExtent l="0" t="0" r="0" b="0"/>
            <wp:docPr id="37" name="图片 9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8"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419F" w14:textId="77777777" w:rsidR="001B77DD" w:rsidRDefault="00BF0A28">
      <w:pPr>
        <w:spacing w:after="120"/>
      </w:pPr>
      <w:r>
        <w:rPr>
          <w:rFonts w:ascii="Arial" w:eastAsia="宋体" w:hAnsi="Arial" w:cs="Arial"/>
          <w:color w:val="0068B5"/>
        </w:rPr>
        <w:t>Circular Economy and Waste Management</w:t>
      </w:r>
    </w:p>
    <w:p w14:paraId="675341A0" w14:textId="77777777" w:rsidR="001B77DD" w:rsidRDefault="00BF0A28">
      <w:pPr>
        <w:spacing w:after="120"/>
      </w:pPr>
      <w:r>
        <w:rPr>
          <w:rFonts w:ascii="Arial" w:eastAsia="宋体" w:hAnsi="Arial" w:cs="Arial"/>
          <w:color w:val="262626"/>
          <w:sz w:val="18"/>
          <w:szCs w:val="18"/>
        </w:rPr>
        <w:t>We have long been committed to waste management, recycling, and circu</w:t>
      </w:r>
      <w:r>
        <w:rPr>
          <w:rFonts w:ascii="Arial" w:eastAsia="宋体" w:hAnsi="Arial" w:cs="Arial"/>
          <w:color w:val="262626"/>
          <w:sz w:val="18"/>
          <w:szCs w:val="18"/>
        </w:rPr>
        <w:t>lar economy strategies</w:t>
      </w:r>
      <w:r>
        <w:rPr>
          <w:rFonts w:ascii="Times New Roman" w:eastAsia="宋体" w:hAnsi="Times New Roman"/>
          <w:color w:val="262626"/>
          <w:sz w:val="12"/>
          <w:szCs w:val="12"/>
        </w:rPr>
        <w:t xml:space="preserve"> </w:t>
      </w:r>
      <w:r>
        <w:rPr>
          <w:rFonts w:ascii="Arial" w:eastAsia="宋体" w:hAnsi="Arial" w:cs="Arial"/>
          <w:color w:val="262626"/>
          <w:sz w:val="18"/>
          <w:szCs w:val="18"/>
        </w:rPr>
        <w:t>that enable the recovery and productive re-use of waste streams.</w:t>
      </w:r>
      <w:r>
        <w:rPr>
          <w:rFonts w:ascii="Arial" w:eastAsia="宋体" w:hAnsi="Arial" w:cs="Arial"/>
          <w:color w:val="262626"/>
          <w:sz w:val="18"/>
          <w:szCs w:val="18"/>
          <w:shd w:val="clear" w:color="auto" w:fill="FFFFFF"/>
        </w:rPr>
        <w:t xml:space="preserve"> Our 2030 goals include a target of zero total waste</w:t>
      </w:r>
      <w:r>
        <w:rPr>
          <w:rFonts w:ascii="Arial" w:eastAsia="宋体" w:hAnsi="Arial" w:cs="Arial"/>
          <w:color w:val="262626"/>
          <w:sz w:val="11"/>
          <w:szCs w:val="11"/>
          <w:shd w:val="clear" w:color="auto" w:fill="FFFFFF"/>
        </w:rPr>
        <w:t xml:space="preserve">2 </w:t>
      </w:r>
      <w:r>
        <w:rPr>
          <w:rFonts w:ascii="Arial" w:eastAsia="宋体" w:hAnsi="Arial" w:cs="Arial"/>
          <w:color w:val="262626"/>
          <w:sz w:val="18"/>
          <w:szCs w:val="18"/>
          <w:shd w:val="clear" w:color="auto" w:fill="FFFFFF"/>
        </w:rPr>
        <w:t>to landfill, as well as implementation of circular economy strategies for 60% of our manufacturing waste streams in</w:t>
      </w:r>
      <w:r>
        <w:rPr>
          <w:rFonts w:ascii="Arial" w:eastAsia="宋体" w:hAnsi="Arial" w:cs="Arial"/>
          <w:color w:val="262626"/>
          <w:sz w:val="18"/>
          <w:szCs w:val="18"/>
          <w:shd w:val="clear" w:color="auto" w:fill="FFFFFF"/>
        </w:rPr>
        <w:t xml:space="preserve"> partnership with our suppliers. This can include reuse of waste streams directly in our own operations or enabling reuse of our waste streams by other industries. </w:t>
      </w:r>
      <w:r>
        <w:rPr>
          <w:rFonts w:ascii="Arial" w:eastAsia="宋体" w:hAnsi="Arial" w:cs="Arial"/>
          <w:color w:val="262626"/>
          <w:sz w:val="18"/>
          <w:szCs w:val="18"/>
        </w:rPr>
        <w:t>Our 2030 goal of 60% will be challenging, given our projected operational growth and new was</w:t>
      </w:r>
      <w:r>
        <w:rPr>
          <w:rFonts w:ascii="Arial" w:eastAsia="宋体" w:hAnsi="Arial" w:cs="Arial"/>
          <w:color w:val="262626"/>
          <w:sz w:val="18"/>
          <w:szCs w:val="18"/>
        </w:rPr>
        <w:t>te streams, suppliers, and locations that will require new circular economy strategies. We continue to focus on opportunities to upcycle waste by working further on waste segregation practices and collaborating with our suppliers to evaluate new technologi</w:t>
      </w:r>
      <w:r>
        <w:rPr>
          <w:rFonts w:ascii="Arial" w:eastAsia="宋体" w:hAnsi="Arial" w:cs="Arial"/>
          <w:color w:val="262626"/>
          <w:sz w:val="18"/>
          <w:szCs w:val="18"/>
        </w:rPr>
        <w:t>es for waste recovery.</w:t>
      </w:r>
    </w:p>
    <w:p w14:paraId="675341A1" w14:textId="77777777" w:rsidR="001B77DD" w:rsidRDefault="001B77DD">
      <w:pPr>
        <w:spacing w:after="60"/>
      </w:pPr>
    </w:p>
    <w:p w14:paraId="675341A2" w14:textId="77777777" w:rsidR="001B77DD" w:rsidRDefault="001B77DD">
      <w:pPr>
        <w:spacing w:after="60"/>
      </w:pPr>
    </w:p>
    <w:p w14:paraId="675341A3" w14:textId="77777777" w:rsidR="001B77DD" w:rsidRDefault="001B77DD">
      <w:pPr>
        <w:spacing w:after="60"/>
      </w:pPr>
    </w:p>
    <w:p w14:paraId="675341A4" w14:textId="77777777" w:rsidR="001B77DD" w:rsidRDefault="001B77DD">
      <w:pPr>
        <w:spacing w:after="60"/>
      </w:pPr>
    </w:p>
    <w:p w14:paraId="675341A5" w14:textId="77777777" w:rsidR="001B77DD" w:rsidRDefault="001B77DD">
      <w:pPr>
        <w:spacing w:after="60"/>
      </w:pPr>
    </w:p>
    <w:p w14:paraId="675341A6" w14:textId="77777777" w:rsidR="001B77DD" w:rsidRDefault="001B77DD">
      <w:pPr>
        <w:spacing w:after="60"/>
      </w:pPr>
    </w:p>
    <w:p w14:paraId="675341A7" w14:textId="77777777" w:rsidR="001B77DD" w:rsidRDefault="001B77DD">
      <w:pPr>
        <w:spacing w:after="60"/>
      </w:pPr>
    </w:p>
    <w:p w14:paraId="675341A8" w14:textId="77777777" w:rsidR="001B77DD" w:rsidRDefault="001B77DD">
      <w:pPr>
        <w:spacing w:after="60"/>
      </w:pPr>
    </w:p>
    <w:p w14:paraId="675341A9" w14:textId="77777777" w:rsidR="001B77DD" w:rsidRDefault="001B77DD">
      <w:pPr>
        <w:spacing w:after="60"/>
      </w:pPr>
    </w:p>
    <w:p w14:paraId="675341AA" w14:textId="77777777" w:rsidR="001B77DD" w:rsidRDefault="001B77DD">
      <w:pPr>
        <w:spacing w:after="60"/>
      </w:pPr>
    </w:p>
    <w:p w14:paraId="675341AB" w14:textId="77777777" w:rsidR="001B77DD" w:rsidRDefault="001B77DD">
      <w:pPr>
        <w:spacing w:after="60"/>
      </w:pPr>
    </w:p>
    <w:p w14:paraId="675341AC" w14:textId="77777777" w:rsidR="001B77DD" w:rsidRDefault="001B77DD">
      <w:pPr>
        <w:spacing w:after="60"/>
      </w:pPr>
    </w:p>
    <w:p w14:paraId="675341AD" w14:textId="77777777" w:rsidR="001B77DD" w:rsidRDefault="001B77DD">
      <w:pPr>
        <w:spacing w:after="60"/>
      </w:pPr>
    </w:p>
    <w:p w14:paraId="675341AE" w14:textId="77777777" w:rsidR="001B77DD" w:rsidRDefault="001B77DD">
      <w:pPr>
        <w:spacing w:after="60"/>
      </w:pPr>
    </w:p>
    <w:p w14:paraId="675341AF" w14:textId="77777777" w:rsidR="001B77DD" w:rsidRDefault="001B77DD">
      <w:pPr>
        <w:spacing w:after="60"/>
      </w:pPr>
    </w:p>
    <w:p w14:paraId="675341B0" w14:textId="77777777" w:rsidR="001B77DD" w:rsidRDefault="001B77DD">
      <w:pPr>
        <w:spacing w:after="60"/>
      </w:pPr>
    </w:p>
    <w:p w14:paraId="675341B1" w14:textId="77777777" w:rsidR="001B77DD" w:rsidRDefault="001B77DD">
      <w:pPr>
        <w:spacing w:after="60"/>
      </w:pPr>
    </w:p>
    <w:p w14:paraId="675341B2" w14:textId="77777777" w:rsidR="001B77DD" w:rsidRDefault="001B77DD">
      <w:pPr>
        <w:spacing w:after="60"/>
      </w:pPr>
    </w:p>
    <w:p w14:paraId="675341B3" w14:textId="77777777" w:rsidR="001B77DD" w:rsidRDefault="001B77DD">
      <w:pPr>
        <w:spacing w:after="60"/>
      </w:pPr>
    </w:p>
    <w:p w14:paraId="675341B4" w14:textId="77777777" w:rsidR="001B77DD" w:rsidRDefault="001B77DD">
      <w:pPr>
        <w:spacing w:after="60"/>
      </w:pPr>
    </w:p>
    <w:p w14:paraId="675341B5" w14:textId="77777777" w:rsidR="001B77DD" w:rsidRDefault="001B77DD">
      <w:pPr>
        <w:spacing w:after="60"/>
      </w:pPr>
    </w:p>
    <w:p w14:paraId="675341B6" w14:textId="77777777" w:rsidR="001B77DD" w:rsidRDefault="001B77DD">
      <w:pPr>
        <w:spacing w:after="60"/>
      </w:pPr>
    </w:p>
    <w:p w14:paraId="675341B7" w14:textId="77777777" w:rsidR="001B77DD" w:rsidRDefault="001B77DD">
      <w:pPr>
        <w:spacing w:after="60"/>
      </w:pPr>
    </w:p>
    <w:p w14:paraId="675341B8" w14:textId="77777777" w:rsidR="001B77DD" w:rsidRDefault="001B77DD">
      <w:pPr>
        <w:spacing w:after="60"/>
      </w:pPr>
    </w:p>
    <w:p w14:paraId="675341B9" w14:textId="77777777" w:rsidR="001B77DD" w:rsidRDefault="001B77DD">
      <w:pPr>
        <w:spacing w:after="60"/>
      </w:pPr>
    </w:p>
    <w:p w14:paraId="675341BA" w14:textId="77777777" w:rsidR="001B77DD" w:rsidRDefault="001B77DD">
      <w:pPr>
        <w:spacing w:after="60"/>
      </w:pPr>
    </w:p>
    <w:p w14:paraId="675341BB" w14:textId="77777777" w:rsidR="001B77DD" w:rsidRDefault="001B77DD">
      <w:pPr>
        <w:spacing w:after="60"/>
      </w:pPr>
    </w:p>
    <w:p w14:paraId="675341BC" w14:textId="77777777" w:rsidR="001B77DD" w:rsidRDefault="001B77DD">
      <w:pPr>
        <w:spacing w:after="60"/>
      </w:pPr>
    </w:p>
    <w:p w14:paraId="675341BD" w14:textId="77777777" w:rsidR="001B77DD" w:rsidRDefault="001B77DD">
      <w:pPr>
        <w:spacing w:after="60"/>
      </w:pPr>
    </w:p>
    <w:p w14:paraId="675341BE" w14:textId="77777777" w:rsidR="001B77DD" w:rsidRDefault="001B77DD">
      <w:pPr>
        <w:spacing w:after="60"/>
      </w:pPr>
    </w:p>
    <w:p w14:paraId="675341BF" w14:textId="77777777" w:rsidR="001B77DD" w:rsidRDefault="001B77DD">
      <w:pPr>
        <w:spacing w:after="60"/>
      </w:pPr>
    </w:p>
    <w:p w14:paraId="675341C0" w14:textId="77777777" w:rsidR="001B77DD" w:rsidRDefault="00BF0A28">
      <w:pPr>
        <w:spacing w:after="60"/>
      </w:pPr>
      <w:r>
        <w:rPr>
          <w:rFonts w:ascii="Arial" w:eastAsia="宋体" w:hAnsi="Arial" w:cs="Arial"/>
          <w:i/>
          <w:iCs/>
          <w:color w:val="262626"/>
          <w:sz w:val="10"/>
          <w:szCs w:val="10"/>
        </w:rPr>
        <w:t>'</w:t>
      </w:r>
    </w:p>
    <w:p w14:paraId="675341C1" w14:textId="77777777" w:rsidR="001B77DD" w:rsidRDefault="001B77DD">
      <w:pPr>
        <w:spacing w:after="60"/>
      </w:pPr>
    </w:p>
    <w:p w14:paraId="675341C2" w14:textId="77777777" w:rsidR="001B77DD" w:rsidRDefault="00BF0A28">
      <w:r>
        <w:rPr>
          <w:rFonts w:ascii="Arial" w:eastAsia="宋体" w:hAnsi="Arial" w:cs="Arial"/>
          <w:i/>
          <w:iCs/>
          <w:color w:val="262626"/>
          <w:sz w:val="10"/>
          <w:szCs w:val="10"/>
        </w:rPr>
        <w:t xml:space="preserve">1 </w:t>
      </w:r>
      <w:r>
        <w:rPr>
          <w:rFonts w:ascii="Arial" w:eastAsia="宋体" w:hAnsi="Arial" w:cs="Arial"/>
          <w:i/>
          <w:iCs/>
          <w:color w:val="262626"/>
          <w:sz w:val="16"/>
          <w:szCs w:val="16"/>
        </w:rPr>
        <w:t>This is a preliminary estimate. The final number will be reported in our 2021-22 Corporate Responsibility Report, to be issued later in 2022.</w:t>
      </w:r>
    </w:p>
    <w:p w14:paraId="675341C3" w14:textId="77777777" w:rsidR="001B77DD" w:rsidRDefault="00BF0A28">
      <w:pPr>
        <w:spacing w:after="60"/>
      </w:pPr>
      <w:r>
        <w:rPr>
          <w:rFonts w:ascii="Arial" w:eastAsia="宋体" w:hAnsi="Arial" w:cs="Arial"/>
          <w:i/>
          <w:iCs/>
          <w:color w:val="000000"/>
          <w:sz w:val="10"/>
          <w:szCs w:val="10"/>
        </w:rPr>
        <w:t>2</w:t>
      </w:r>
      <w:r>
        <w:rPr>
          <w:rFonts w:ascii="Arial" w:eastAsia="宋体" w:hAnsi="Arial" w:cs="Arial"/>
          <w:i/>
          <w:iCs/>
          <w:color w:val="000000"/>
          <w:sz w:val="16"/>
          <w:szCs w:val="16"/>
        </w:rPr>
        <w:t xml:space="preserve"> Intel defines zero waste as less than 1%.</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1B77DD" w14:paraId="675341D0" w14:textId="77777777">
        <w:tc>
          <w:tcPr>
            <w:tcW w:w="50" w:type="pct"/>
            <w:shd w:val="clear" w:color="auto" w:fill="auto"/>
            <w:vAlign w:val="bottom"/>
          </w:tcPr>
          <w:p w14:paraId="675341C4" w14:textId="77777777" w:rsidR="001B77DD" w:rsidRDefault="001B77DD">
            <w:pPr>
              <w:rPr>
                <w:rFonts w:ascii="宋体"/>
              </w:rPr>
            </w:pPr>
          </w:p>
        </w:tc>
        <w:tc>
          <w:tcPr>
            <w:tcW w:w="283" w:type="pct"/>
            <w:shd w:val="clear" w:color="auto" w:fill="auto"/>
            <w:vAlign w:val="bottom"/>
          </w:tcPr>
          <w:p w14:paraId="675341C5" w14:textId="77777777" w:rsidR="001B77DD" w:rsidRDefault="001B77DD">
            <w:pPr>
              <w:rPr>
                <w:rFonts w:ascii="宋体"/>
              </w:rPr>
            </w:pPr>
          </w:p>
        </w:tc>
        <w:tc>
          <w:tcPr>
            <w:tcW w:w="5" w:type="pct"/>
            <w:shd w:val="clear" w:color="auto" w:fill="auto"/>
            <w:vAlign w:val="bottom"/>
          </w:tcPr>
          <w:p w14:paraId="675341C6" w14:textId="77777777" w:rsidR="001B77DD" w:rsidRDefault="001B77DD">
            <w:pPr>
              <w:rPr>
                <w:rFonts w:ascii="宋体"/>
              </w:rPr>
            </w:pPr>
          </w:p>
        </w:tc>
        <w:tc>
          <w:tcPr>
            <w:tcW w:w="50" w:type="pct"/>
            <w:shd w:val="clear" w:color="auto" w:fill="auto"/>
            <w:vAlign w:val="bottom"/>
          </w:tcPr>
          <w:p w14:paraId="675341C7" w14:textId="77777777" w:rsidR="001B77DD" w:rsidRDefault="001B77DD">
            <w:pPr>
              <w:rPr>
                <w:rFonts w:ascii="宋体"/>
              </w:rPr>
            </w:pPr>
          </w:p>
        </w:tc>
        <w:tc>
          <w:tcPr>
            <w:tcW w:w="1039" w:type="pct"/>
            <w:shd w:val="clear" w:color="auto" w:fill="auto"/>
            <w:vAlign w:val="bottom"/>
          </w:tcPr>
          <w:p w14:paraId="675341C8" w14:textId="77777777" w:rsidR="001B77DD" w:rsidRDefault="001B77DD">
            <w:pPr>
              <w:rPr>
                <w:rFonts w:ascii="宋体"/>
              </w:rPr>
            </w:pPr>
          </w:p>
        </w:tc>
        <w:tc>
          <w:tcPr>
            <w:tcW w:w="5" w:type="pct"/>
            <w:shd w:val="clear" w:color="auto" w:fill="auto"/>
            <w:vAlign w:val="bottom"/>
          </w:tcPr>
          <w:p w14:paraId="675341C9" w14:textId="77777777" w:rsidR="001B77DD" w:rsidRDefault="001B77DD">
            <w:pPr>
              <w:rPr>
                <w:rFonts w:ascii="宋体"/>
              </w:rPr>
            </w:pPr>
          </w:p>
        </w:tc>
        <w:tc>
          <w:tcPr>
            <w:tcW w:w="50" w:type="pct"/>
            <w:shd w:val="clear" w:color="auto" w:fill="auto"/>
            <w:vAlign w:val="bottom"/>
          </w:tcPr>
          <w:p w14:paraId="675341CA" w14:textId="77777777" w:rsidR="001B77DD" w:rsidRDefault="001B77DD">
            <w:pPr>
              <w:rPr>
                <w:rFonts w:ascii="宋体"/>
              </w:rPr>
            </w:pPr>
          </w:p>
        </w:tc>
        <w:tc>
          <w:tcPr>
            <w:tcW w:w="1562" w:type="pct"/>
            <w:shd w:val="clear" w:color="auto" w:fill="auto"/>
            <w:vAlign w:val="bottom"/>
          </w:tcPr>
          <w:p w14:paraId="675341CB" w14:textId="77777777" w:rsidR="001B77DD" w:rsidRDefault="001B77DD">
            <w:pPr>
              <w:rPr>
                <w:rFonts w:ascii="宋体"/>
              </w:rPr>
            </w:pPr>
          </w:p>
        </w:tc>
        <w:tc>
          <w:tcPr>
            <w:tcW w:w="5" w:type="pct"/>
            <w:shd w:val="clear" w:color="auto" w:fill="auto"/>
            <w:vAlign w:val="bottom"/>
          </w:tcPr>
          <w:p w14:paraId="675341CC" w14:textId="77777777" w:rsidR="001B77DD" w:rsidRDefault="001B77DD">
            <w:pPr>
              <w:rPr>
                <w:rFonts w:ascii="宋体"/>
              </w:rPr>
            </w:pPr>
          </w:p>
        </w:tc>
        <w:tc>
          <w:tcPr>
            <w:tcW w:w="50" w:type="pct"/>
            <w:shd w:val="clear" w:color="auto" w:fill="auto"/>
            <w:vAlign w:val="bottom"/>
          </w:tcPr>
          <w:p w14:paraId="675341CD" w14:textId="77777777" w:rsidR="001B77DD" w:rsidRDefault="001B77DD">
            <w:pPr>
              <w:rPr>
                <w:rFonts w:ascii="宋体"/>
              </w:rPr>
            </w:pPr>
          </w:p>
        </w:tc>
        <w:tc>
          <w:tcPr>
            <w:tcW w:w="1894" w:type="pct"/>
            <w:shd w:val="clear" w:color="auto" w:fill="auto"/>
            <w:vAlign w:val="bottom"/>
          </w:tcPr>
          <w:p w14:paraId="675341CE" w14:textId="77777777" w:rsidR="001B77DD" w:rsidRDefault="001B77DD">
            <w:pPr>
              <w:rPr>
                <w:rFonts w:ascii="宋体"/>
              </w:rPr>
            </w:pPr>
          </w:p>
        </w:tc>
        <w:tc>
          <w:tcPr>
            <w:tcW w:w="5" w:type="pct"/>
            <w:shd w:val="clear" w:color="auto" w:fill="auto"/>
            <w:vAlign w:val="bottom"/>
          </w:tcPr>
          <w:p w14:paraId="675341CF" w14:textId="77777777" w:rsidR="001B77DD" w:rsidRDefault="001B77DD">
            <w:pPr>
              <w:rPr>
                <w:rFonts w:ascii="宋体"/>
              </w:rPr>
            </w:pPr>
          </w:p>
        </w:tc>
      </w:tr>
      <w:tr w:rsidR="001B77DD" w14:paraId="675341D5"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D1"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F6" wp14:editId="67538DF7">
                  <wp:extent cx="304800" cy="304800"/>
                  <wp:effectExtent l="0" t="0" r="0" b="0"/>
                  <wp:docPr id="11" name="图片 9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D2"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1D3"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D4" w14:textId="77777777" w:rsidR="001B77DD" w:rsidRDefault="00BF0A28">
            <w:pPr>
              <w:jc w:val="right"/>
              <w:textAlignment w:val="center"/>
            </w:pPr>
            <w:r>
              <w:rPr>
                <w:rFonts w:ascii="Arial" w:eastAsia="宋体" w:hAnsi="Arial" w:cs="Arial"/>
                <w:color w:val="262626"/>
                <w:sz w:val="16"/>
                <w:szCs w:val="16"/>
              </w:rPr>
              <w:t>16</w:t>
            </w:r>
          </w:p>
        </w:tc>
      </w:tr>
    </w:tbl>
    <w:p w14:paraId="675341D6" w14:textId="77777777" w:rsidR="001B77DD" w:rsidRDefault="00BF0A28">
      <w:r>
        <w:pict w14:anchorId="67538DF8">
          <v:rect id="_x0000_i1042" style="width:415.3pt;height:1.5pt" o:hralign="center" o:hrstd="t" o:hr="t" fillcolor="#a0a0a0" stroked="f"/>
        </w:pict>
      </w:r>
    </w:p>
    <w:p w14:paraId="675341D7" w14:textId="77777777" w:rsidR="001B77DD" w:rsidRDefault="00BF0A28">
      <w:pPr>
        <w:spacing w:after="180"/>
        <w:jc w:val="right"/>
      </w:pPr>
      <w:hyperlink r:id="rId73" w:anchor="i6c9ced68f6b24d58a3dcf326e8c3c699_16" w:history="1">
        <w:r>
          <w:rPr>
            <w:rStyle w:val="a5"/>
            <w:rFonts w:ascii="Arial" w:eastAsia="宋体" w:hAnsi="Arial" w:cs="Arial"/>
            <w:sz w:val="18"/>
            <w:szCs w:val="18"/>
          </w:rPr>
          <w:t>Table</w:t>
        </w:r>
      </w:hyperlink>
      <w:hyperlink r:id="rId74" w:anchor="i6c9ced68f6b24d58a3dcf326e8c3c699_16" w:history="1">
        <w:r>
          <w:rPr>
            <w:rStyle w:val="a5"/>
            <w:rFonts w:ascii="Arial" w:eastAsia="宋体" w:hAnsi="Arial" w:cs="Arial"/>
            <w:sz w:val="18"/>
            <w:szCs w:val="18"/>
          </w:rPr>
          <w:t xml:space="preserve"> of </w:t>
        </w:r>
      </w:hyperlink>
      <w:hyperlink r:id="rId75" w:anchor="i6c9ced68f6b24d58a3dcf326e8c3c699_16" w:history="1">
        <w:r>
          <w:rPr>
            <w:rStyle w:val="a5"/>
            <w:rFonts w:ascii="Arial" w:eastAsia="宋体" w:hAnsi="Arial" w:cs="Arial"/>
            <w:sz w:val="18"/>
            <w:szCs w:val="18"/>
          </w:rPr>
          <w:t>Contents</w:t>
        </w:r>
      </w:hyperlink>
    </w:p>
    <w:p w14:paraId="675341D8" w14:textId="77777777" w:rsidR="001B77DD" w:rsidRDefault="00BF0A28">
      <w:pPr>
        <w:spacing w:before="180" w:after="120"/>
      </w:pPr>
      <w:r>
        <w:rPr>
          <w:rFonts w:ascii="Arial" w:eastAsia="宋体" w:hAnsi="Arial" w:cs="Arial"/>
          <w:color w:val="0068B5"/>
          <w:sz w:val="28"/>
          <w:szCs w:val="28"/>
        </w:rPr>
        <w:t>Value We Create</w:t>
      </w:r>
    </w:p>
    <w:p w14:paraId="675341D9" w14:textId="77777777" w:rsidR="001B77DD" w:rsidRDefault="00BF0A28">
      <w:pPr>
        <w:spacing w:after="120"/>
      </w:pPr>
      <w:r>
        <w:rPr>
          <w:rFonts w:ascii="Arial" w:eastAsia="宋体" w:hAnsi="Arial" w:cs="Arial"/>
          <w:color w:val="262626"/>
          <w:sz w:val="18"/>
          <w:szCs w:val="18"/>
        </w:rPr>
        <w:t>Each of our six forms of capital plays a critical role in our long-term value creation. We consider numerous indicators in determining the success of our capital deployment in</w:t>
      </w:r>
      <w:r>
        <w:rPr>
          <w:rFonts w:ascii="Arial" w:eastAsia="宋体" w:hAnsi="Arial" w:cs="Arial"/>
          <w:color w:val="262626"/>
          <w:sz w:val="18"/>
          <w:szCs w:val="18"/>
        </w:rPr>
        <w:t xml:space="preserve"> creating value. Highlights of value created are as follows:</w:t>
      </w:r>
    </w:p>
    <w:p w14:paraId="675341DA" w14:textId="77777777" w:rsidR="001B77DD" w:rsidRDefault="00BF0A28">
      <w:pPr>
        <w:spacing w:after="6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F9" wp14:editId="67538DFA">
            <wp:extent cx="304800" cy="304800"/>
            <wp:effectExtent l="0" t="0" r="0" b="0"/>
            <wp:docPr id="242" name="图片 101"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01" descr="IMG_30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41DB" w14:textId="77777777" w:rsidR="001B77DD" w:rsidRDefault="001B77DD"/>
    <w:p w14:paraId="675341DC" w14:textId="77777777" w:rsidR="001B77DD" w:rsidRDefault="001B77DD"/>
    <w:p w14:paraId="675341DD" w14:textId="77777777" w:rsidR="001B77DD" w:rsidRDefault="001B77DD"/>
    <w:p w14:paraId="675341DE" w14:textId="77777777" w:rsidR="001B77DD" w:rsidRDefault="001B77DD"/>
    <w:p w14:paraId="675341DF" w14:textId="77777777" w:rsidR="001B77DD" w:rsidRDefault="00BF0A28">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This is a preliminary estimate. The final </w:t>
      </w:r>
      <w:r>
        <w:rPr>
          <w:rFonts w:ascii="Arial" w:eastAsia="宋体" w:hAnsi="Arial" w:cs="Arial"/>
          <w:i/>
          <w:iCs/>
          <w:color w:val="262626"/>
          <w:sz w:val="16"/>
          <w:szCs w:val="16"/>
        </w:rPr>
        <w:t xml:space="preserve">number will be reported in our 2021-22 Corporate Responsibility Report, to be issued later in 2022. </w:t>
      </w:r>
    </w:p>
    <w:p w14:paraId="675341E0" w14:textId="77777777" w:rsidR="001B77DD" w:rsidRDefault="00BF0A28">
      <w:pPr>
        <w:ind w:hanging="180"/>
      </w:pPr>
      <w:r>
        <w:rPr>
          <w:rFonts w:ascii="Arial" w:eastAsia="宋体" w:hAnsi="Arial" w:cs="Arial"/>
          <w:i/>
          <w:iCs/>
          <w:color w:val="262626"/>
          <w:sz w:val="10"/>
          <w:szCs w:val="10"/>
        </w:rPr>
        <w:t xml:space="preserve">2 </w:t>
      </w:r>
      <w:r>
        <w:rPr>
          <w:rFonts w:ascii="Arial" w:eastAsia="宋体" w:hAnsi="Arial" w:cs="Arial"/>
          <w:i/>
          <w:iCs/>
          <w:color w:val="262626"/>
          <w:sz w:val="16"/>
          <w:szCs w:val="16"/>
        </w:rPr>
        <w:t>See "Non-GAAP Financial Measures" within MD&amp;A.</w:t>
      </w:r>
    </w:p>
    <w:p w14:paraId="675341E1" w14:textId="77777777" w:rsidR="001B77DD" w:rsidRDefault="00BF0A28">
      <w:pPr>
        <w:ind w:hanging="180"/>
      </w:pPr>
      <w:r>
        <w:rPr>
          <w:rFonts w:ascii="Arial" w:eastAsia="宋体" w:hAnsi="Arial" w:cs="Arial"/>
          <w:i/>
          <w:iCs/>
          <w:color w:val="262626"/>
          <w:sz w:val="16"/>
          <w:szCs w:val="16"/>
        </w:rPr>
        <w:t xml:space="preserve">Note: The Dalian factory was sold subsequent to year-end as part of the first closing of the </w:t>
      </w:r>
      <w:r>
        <w:rPr>
          <w:rFonts w:ascii="Arial" w:eastAsia="宋体" w:hAnsi="Arial" w:cs="Arial"/>
          <w:i/>
          <w:iCs/>
          <w:color w:val="262626"/>
          <w:sz w:val="16"/>
          <w:szCs w:val="16"/>
        </w:rPr>
        <w:t>divestiture of our NAND Memory business. See Note 10 : Acquisitions and Divestitures.</w:t>
      </w:r>
    </w:p>
    <w:tbl>
      <w:tblPr>
        <w:tblW w:w="4836" w:type="pct"/>
        <w:tblCellMar>
          <w:top w:w="15" w:type="dxa"/>
          <w:left w:w="15" w:type="dxa"/>
          <w:bottom w:w="15" w:type="dxa"/>
          <w:right w:w="15" w:type="dxa"/>
        </w:tblCellMar>
        <w:tblLook w:val="04A0" w:firstRow="1" w:lastRow="0" w:firstColumn="1" w:lastColumn="0" w:noHBand="0" w:noVBand="1"/>
      </w:tblPr>
      <w:tblGrid>
        <w:gridCol w:w="85"/>
        <w:gridCol w:w="478"/>
        <w:gridCol w:w="36"/>
        <w:gridCol w:w="58"/>
        <w:gridCol w:w="1652"/>
        <w:gridCol w:w="36"/>
        <w:gridCol w:w="58"/>
        <w:gridCol w:w="2497"/>
        <w:gridCol w:w="36"/>
        <w:gridCol w:w="58"/>
        <w:gridCol w:w="3033"/>
        <w:gridCol w:w="36"/>
      </w:tblGrid>
      <w:tr w:rsidR="001B77DD" w14:paraId="675341EE" w14:textId="77777777">
        <w:tc>
          <w:tcPr>
            <w:tcW w:w="50" w:type="pct"/>
            <w:shd w:val="clear" w:color="auto" w:fill="auto"/>
            <w:vAlign w:val="bottom"/>
          </w:tcPr>
          <w:p w14:paraId="675341E2" w14:textId="77777777" w:rsidR="001B77DD" w:rsidRDefault="001B77DD">
            <w:pPr>
              <w:rPr>
                <w:rFonts w:ascii="宋体"/>
              </w:rPr>
            </w:pPr>
          </w:p>
        </w:tc>
        <w:tc>
          <w:tcPr>
            <w:tcW w:w="283" w:type="pct"/>
            <w:shd w:val="clear" w:color="auto" w:fill="auto"/>
            <w:vAlign w:val="bottom"/>
          </w:tcPr>
          <w:p w14:paraId="675341E3" w14:textId="77777777" w:rsidR="001B77DD" w:rsidRDefault="001B77DD">
            <w:pPr>
              <w:rPr>
                <w:rFonts w:ascii="宋体"/>
              </w:rPr>
            </w:pPr>
          </w:p>
        </w:tc>
        <w:tc>
          <w:tcPr>
            <w:tcW w:w="5" w:type="pct"/>
            <w:shd w:val="clear" w:color="auto" w:fill="auto"/>
            <w:vAlign w:val="bottom"/>
          </w:tcPr>
          <w:p w14:paraId="675341E4" w14:textId="77777777" w:rsidR="001B77DD" w:rsidRDefault="001B77DD">
            <w:pPr>
              <w:rPr>
                <w:rFonts w:ascii="宋体"/>
              </w:rPr>
            </w:pPr>
          </w:p>
        </w:tc>
        <w:tc>
          <w:tcPr>
            <w:tcW w:w="50" w:type="pct"/>
            <w:shd w:val="clear" w:color="auto" w:fill="auto"/>
            <w:vAlign w:val="bottom"/>
          </w:tcPr>
          <w:p w14:paraId="675341E5" w14:textId="77777777" w:rsidR="001B77DD" w:rsidRDefault="001B77DD">
            <w:pPr>
              <w:rPr>
                <w:rFonts w:ascii="宋体"/>
              </w:rPr>
            </w:pPr>
          </w:p>
        </w:tc>
        <w:tc>
          <w:tcPr>
            <w:tcW w:w="1039" w:type="pct"/>
            <w:shd w:val="clear" w:color="auto" w:fill="auto"/>
            <w:vAlign w:val="bottom"/>
          </w:tcPr>
          <w:p w14:paraId="675341E6" w14:textId="77777777" w:rsidR="001B77DD" w:rsidRDefault="001B77DD">
            <w:pPr>
              <w:rPr>
                <w:rFonts w:ascii="宋体"/>
              </w:rPr>
            </w:pPr>
          </w:p>
        </w:tc>
        <w:tc>
          <w:tcPr>
            <w:tcW w:w="5" w:type="pct"/>
            <w:shd w:val="clear" w:color="auto" w:fill="auto"/>
            <w:vAlign w:val="bottom"/>
          </w:tcPr>
          <w:p w14:paraId="675341E7" w14:textId="77777777" w:rsidR="001B77DD" w:rsidRDefault="001B77DD">
            <w:pPr>
              <w:rPr>
                <w:rFonts w:ascii="宋体"/>
              </w:rPr>
            </w:pPr>
          </w:p>
        </w:tc>
        <w:tc>
          <w:tcPr>
            <w:tcW w:w="50" w:type="pct"/>
            <w:shd w:val="clear" w:color="auto" w:fill="auto"/>
            <w:vAlign w:val="bottom"/>
          </w:tcPr>
          <w:p w14:paraId="675341E8" w14:textId="77777777" w:rsidR="001B77DD" w:rsidRDefault="001B77DD">
            <w:pPr>
              <w:rPr>
                <w:rFonts w:ascii="宋体"/>
              </w:rPr>
            </w:pPr>
          </w:p>
        </w:tc>
        <w:tc>
          <w:tcPr>
            <w:tcW w:w="1562" w:type="pct"/>
            <w:shd w:val="clear" w:color="auto" w:fill="auto"/>
            <w:vAlign w:val="bottom"/>
          </w:tcPr>
          <w:p w14:paraId="675341E9" w14:textId="77777777" w:rsidR="001B77DD" w:rsidRDefault="001B77DD">
            <w:pPr>
              <w:rPr>
                <w:rFonts w:ascii="宋体"/>
              </w:rPr>
            </w:pPr>
          </w:p>
        </w:tc>
        <w:tc>
          <w:tcPr>
            <w:tcW w:w="5" w:type="pct"/>
            <w:shd w:val="clear" w:color="auto" w:fill="auto"/>
            <w:vAlign w:val="bottom"/>
          </w:tcPr>
          <w:p w14:paraId="675341EA" w14:textId="77777777" w:rsidR="001B77DD" w:rsidRDefault="001B77DD">
            <w:pPr>
              <w:rPr>
                <w:rFonts w:ascii="宋体"/>
              </w:rPr>
            </w:pPr>
          </w:p>
        </w:tc>
        <w:tc>
          <w:tcPr>
            <w:tcW w:w="50" w:type="pct"/>
            <w:shd w:val="clear" w:color="auto" w:fill="auto"/>
            <w:vAlign w:val="bottom"/>
          </w:tcPr>
          <w:p w14:paraId="675341EB" w14:textId="77777777" w:rsidR="001B77DD" w:rsidRDefault="001B77DD">
            <w:pPr>
              <w:rPr>
                <w:rFonts w:ascii="宋体"/>
              </w:rPr>
            </w:pPr>
          </w:p>
        </w:tc>
        <w:tc>
          <w:tcPr>
            <w:tcW w:w="1894" w:type="pct"/>
            <w:shd w:val="clear" w:color="auto" w:fill="auto"/>
            <w:vAlign w:val="bottom"/>
          </w:tcPr>
          <w:p w14:paraId="675341EC" w14:textId="77777777" w:rsidR="001B77DD" w:rsidRDefault="001B77DD">
            <w:pPr>
              <w:rPr>
                <w:rFonts w:ascii="宋体"/>
              </w:rPr>
            </w:pPr>
          </w:p>
        </w:tc>
        <w:tc>
          <w:tcPr>
            <w:tcW w:w="5" w:type="pct"/>
            <w:shd w:val="clear" w:color="auto" w:fill="auto"/>
            <w:vAlign w:val="bottom"/>
          </w:tcPr>
          <w:p w14:paraId="675341ED" w14:textId="77777777" w:rsidR="001B77DD" w:rsidRDefault="001B77DD">
            <w:pPr>
              <w:rPr>
                <w:rFonts w:ascii="宋体"/>
              </w:rPr>
            </w:pPr>
          </w:p>
        </w:tc>
      </w:tr>
      <w:tr w:rsidR="001B77DD" w14:paraId="675341F3"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EF"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FB" wp14:editId="67538DFC">
                  <wp:extent cx="304800" cy="304800"/>
                  <wp:effectExtent l="0" t="0" r="0" b="0"/>
                  <wp:docPr id="244" name="图片 10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0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F0" w14:textId="77777777" w:rsidR="001B77DD" w:rsidRDefault="00BF0A28">
            <w:pPr>
              <w:textAlignment w:val="center"/>
            </w:pPr>
            <w:r>
              <w:rPr>
                <w:rFonts w:ascii="Arial" w:eastAsia="宋体" w:hAnsi="Arial" w:cs="Arial"/>
                <w:color w:val="262626"/>
                <w:sz w:val="16"/>
                <w:szCs w:val="16"/>
              </w:rPr>
              <w:t>Fundamentals of Our Business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41F1" w14:textId="77777777" w:rsidR="001B77DD" w:rsidRDefault="00BF0A28">
            <w:pPr>
              <w:textAlignment w:val="center"/>
            </w:pPr>
            <w:r>
              <w:rPr>
                <w:rFonts w:ascii="Arial" w:eastAsia="宋体" w:hAnsi="Arial" w:cs="Arial"/>
                <w:color w:val="262626"/>
                <w:sz w:val="16"/>
                <w:szCs w:val="16"/>
              </w:rPr>
              <w:t>Our Capital</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1F2" w14:textId="77777777" w:rsidR="001B77DD" w:rsidRDefault="00BF0A28">
            <w:pPr>
              <w:jc w:val="right"/>
              <w:textAlignment w:val="center"/>
            </w:pPr>
            <w:r>
              <w:rPr>
                <w:rFonts w:ascii="Arial" w:eastAsia="宋体" w:hAnsi="Arial" w:cs="Arial"/>
                <w:color w:val="262626"/>
                <w:sz w:val="16"/>
                <w:szCs w:val="16"/>
              </w:rPr>
              <w:t>17</w:t>
            </w:r>
          </w:p>
        </w:tc>
      </w:tr>
    </w:tbl>
    <w:p w14:paraId="675341F4" w14:textId="77777777" w:rsidR="001B77DD" w:rsidRDefault="00BF0A28">
      <w:r>
        <w:pict w14:anchorId="67538DFD">
          <v:rect id="_x0000_i1043" style="width:415.3pt;height:1.5pt" o:hralign="center" o:hrstd="t" o:hr="t" fillcolor="#a0a0a0" stroked="f"/>
        </w:pict>
      </w:r>
    </w:p>
    <w:p w14:paraId="675341F5" w14:textId="77777777" w:rsidR="001B77DD" w:rsidRDefault="00BF0A28">
      <w:pPr>
        <w:spacing w:after="180"/>
        <w:jc w:val="right"/>
      </w:pPr>
      <w:hyperlink r:id="rId76" w:anchor="i6c9ced68f6b24d58a3dcf326e8c3c699_16" w:history="1">
        <w:r>
          <w:rPr>
            <w:rStyle w:val="a5"/>
            <w:rFonts w:ascii="Arial" w:eastAsia="宋体" w:hAnsi="Arial" w:cs="Arial"/>
            <w:sz w:val="18"/>
            <w:szCs w:val="18"/>
          </w:rPr>
          <w:t>Table</w:t>
        </w:r>
      </w:hyperlink>
      <w:hyperlink r:id="rId77" w:anchor="i6c9ced68f6b24d58a3dcf326e8c3c699_16" w:history="1">
        <w:r>
          <w:rPr>
            <w:rStyle w:val="a5"/>
            <w:rFonts w:ascii="Arial" w:eastAsia="宋体" w:hAnsi="Arial" w:cs="Arial"/>
            <w:sz w:val="18"/>
            <w:szCs w:val="18"/>
          </w:rPr>
          <w:t xml:space="preserve"> of </w:t>
        </w:r>
      </w:hyperlink>
      <w:hyperlink r:id="rId78" w:anchor="i6c9ced68f6b24d58a3dcf326e8c3c699_16" w:history="1">
        <w:r>
          <w:rPr>
            <w:rStyle w:val="a5"/>
            <w:rFonts w:ascii="Arial" w:eastAsia="宋体" w:hAnsi="Arial" w:cs="Arial"/>
            <w:sz w:val="18"/>
            <w:szCs w:val="18"/>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41FC" w14:textId="77777777">
        <w:tc>
          <w:tcPr>
            <w:tcW w:w="50" w:type="pct"/>
            <w:shd w:val="clear" w:color="auto" w:fill="auto"/>
            <w:vAlign w:val="bottom"/>
          </w:tcPr>
          <w:p w14:paraId="675341F6" w14:textId="77777777" w:rsidR="001B77DD" w:rsidRDefault="001B77DD">
            <w:pPr>
              <w:rPr>
                <w:rFonts w:ascii="宋体"/>
              </w:rPr>
            </w:pPr>
          </w:p>
        </w:tc>
        <w:tc>
          <w:tcPr>
            <w:tcW w:w="4870" w:type="pct"/>
            <w:shd w:val="clear" w:color="auto" w:fill="auto"/>
            <w:vAlign w:val="bottom"/>
          </w:tcPr>
          <w:p w14:paraId="675341F7" w14:textId="77777777" w:rsidR="001B77DD" w:rsidRDefault="001B77DD">
            <w:pPr>
              <w:rPr>
                <w:rFonts w:ascii="宋体"/>
              </w:rPr>
            </w:pPr>
          </w:p>
        </w:tc>
        <w:tc>
          <w:tcPr>
            <w:tcW w:w="5" w:type="pct"/>
            <w:shd w:val="clear" w:color="auto" w:fill="auto"/>
            <w:vAlign w:val="bottom"/>
          </w:tcPr>
          <w:p w14:paraId="675341F8" w14:textId="77777777" w:rsidR="001B77DD" w:rsidRDefault="001B77DD">
            <w:pPr>
              <w:rPr>
                <w:rFonts w:ascii="宋体"/>
              </w:rPr>
            </w:pPr>
          </w:p>
        </w:tc>
        <w:tc>
          <w:tcPr>
            <w:tcW w:w="5" w:type="pct"/>
            <w:shd w:val="clear" w:color="auto" w:fill="auto"/>
            <w:vAlign w:val="bottom"/>
          </w:tcPr>
          <w:p w14:paraId="675341F9" w14:textId="77777777" w:rsidR="001B77DD" w:rsidRDefault="001B77DD">
            <w:pPr>
              <w:rPr>
                <w:rFonts w:ascii="宋体"/>
              </w:rPr>
            </w:pPr>
          </w:p>
        </w:tc>
        <w:tc>
          <w:tcPr>
            <w:tcW w:w="64" w:type="pct"/>
            <w:shd w:val="clear" w:color="auto" w:fill="auto"/>
            <w:vAlign w:val="bottom"/>
          </w:tcPr>
          <w:p w14:paraId="675341FA" w14:textId="77777777" w:rsidR="001B77DD" w:rsidRDefault="001B77DD">
            <w:pPr>
              <w:rPr>
                <w:rFonts w:ascii="宋体"/>
              </w:rPr>
            </w:pPr>
          </w:p>
        </w:tc>
        <w:tc>
          <w:tcPr>
            <w:tcW w:w="5" w:type="pct"/>
            <w:shd w:val="clear" w:color="auto" w:fill="auto"/>
            <w:vAlign w:val="bottom"/>
          </w:tcPr>
          <w:p w14:paraId="675341FB" w14:textId="77777777" w:rsidR="001B77DD" w:rsidRDefault="001B77DD">
            <w:pPr>
              <w:rPr>
                <w:rFonts w:ascii="宋体"/>
              </w:rPr>
            </w:pPr>
          </w:p>
        </w:tc>
      </w:tr>
      <w:tr w:rsidR="001B77DD" w14:paraId="675341FF" w14:textId="77777777">
        <w:tc>
          <w:tcPr>
            <w:tcW w:w="0" w:type="auto"/>
            <w:gridSpan w:val="3"/>
            <w:shd w:val="clear" w:color="auto" w:fill="004A86"/>
            <w:tcMar>
              <w:top w:w="40" w:type="dxa"/>
              <w:left w:w="20" w:type="dxa"/>
              <w:bottom w:w="40" w:type="dxa"/>
              <w:right w:w="20" w:type="dxa"/>
            </w:tcMar>
            <w:vAlign w:val="center"/>
          </w:tcPr>
          <w:p w14:paraId="675341FD" w14:textId="77777777" w:rsidR="001B77DD" w:rsidRDefault="00BF0A28">
            <w:pPr>
              <w:textAlignment w:val="center"/>
            </w:pPr>
            <w:r>
              <w:rPr>
                <w:rFonts w:ascii="Arial" w:eastAsia="宋体" w:hAnsi="Arial" w:cs="Arial"/>
                <w:color w:val="FFFFFF"/>
                <w:sz w:val="36"/>
                <w:szCs w:val="36"/>
              </w:rPr>
              <w:t xml:space="preserve">Management's </w:t>
            </w:r>
            <w:r>
              <w:rPr>
                <w:rFonts w:ascii="Arial" w:eastAsia="宋体" w:hAnsi="Arial" w:cs="Arial"/>
                <w:color w:val="FFFFFF"/>
                <w:sz w:val="36"/>
                <w:szCs w:val="36"/>
              </w:rPr>
              <w:t>Discussion and Analysis</w:t>
            </w:r>
          </w:p>
        </w:tc>
        <w:tc>
          <w:tcPr>
            <w:tcW w:w="0" w:type="auto"/>
            <w:gridSpan w:val="3"/>
            <w:shd w:val="clear" w:color="auto" w:fill="auto"/>
            <w:tcMar>
              <w:top w:w="0" w:type="dxa"/>
              <w:left w:w="20" w:type="dxa"/>
              <w:bottom w:w="0" w:type="dxa"/>
              <w:right w:w="20" w:type="dxa"/>
            </w:tcMar>
            <w:vAlign w:val="bottom"/>
          </w:tcPr>
          <w:p w14:paraId="675341FE" w14:textId="77777777" w:rsidR="001B77DD" w:rsidRDefault="001B77DD">
            <w:pPr>
              <w:rPr>
                <w:rFonts w:ascii="宋体"/>
              </w:rPr>
            </w:pPr>
          </w:p>
        </w:tc>
      </w:tr>
      <w:tr w:rsidR="001B77DD" w14:paraId="67534202" w14:textId="77777777">
        <w:trPr>
          <w:trHeight w:val="160"/>
        </w:trPr>
        <w:tc>
          <w:tcPr>
            <w:tcW w:w="0" w:type="auto"/>
            <w:gridSpan w:val="3"/>
            <w:shd w:val="clear" w:color="auto" w:fill="auto"/>
            <w:tcMar>
              <w:top w:w="0" w:type="dxa"/>
              <w:left w:w="20" w:type="dxa"/>
              <w:bottom w:w="0" w:type="dxa"/>
              <w:right w:w="20" w:type="dxa"/>
            </w:tcMar>
            <w:vAlign w:val="bottom"/>
          </w:tcPr>
          <w:p w14:paraId="67534200"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4201" w14:textId="77777777" w:rsidR="001B77DD" w:rsidRDefault="001B77DD">
            <w:pPr>
              <w:rPr>
                <w:rFonts w:ascii="宋体"/>
              </w:rPr>
            </w:pPr>
          </w:p>
        </w:tc>
      </w:tr>
    </w:tbl>
    <w:p w14:paraId="67534203" w14:textId="77777777" w:rsidR="001B77DD" w:rsidRDefault="00BF0A28">
      <w:pPr>
        <w:spacing w:after="180"/>
      </w:pPr>
      <w:r>
        <w:rPr>
          <w:rFonts w:ascii="Arial" w:eastAsia="宋体" w:hAnsi="Arial" w:cs="Arial"/>
          <w:color w:val="0068B5"/>
          <w:sz w:val="28"/>
          <w:szCs w:val="28"/>
        </w:rPr>
        <w:t>Our Products</w:t>
      </w:r>
    </w:p>
    <w:p w14:paraId="67534204" w14:textId="77777777" w:rsidR="001B77DD" w:rsidRDefault="00BF0A28">
      <w:pPr>
        <w:spacing w:after="120"/>
      </w:pPr>
      <w:r>
        <w:rPr>
          <w:rFonts w:ascii="Arial" w:eastAsia="宋体" w:hAnsi="Arial" w:cs="Arial"/>
          <w:color w:val="262626"/>
          <w:sz w:val="18"/>
          <w:szCs w:val="18"/>
        </w:rPr>
        <w:t xml:space="preserve">Our product offerings provide end-to-end solutions, scaling from edge computing to 5G networks, the cloud, and the emerging fields of AI and autonomous driving. Products, such as our gaming CPUs, may be sold </w:t>
      </w:r>
      <w:r>
        <w:rPr>
          <w:rFonts w:ascii="Arial" w:eastAsia="宋体" w:hAnsi="Arial" w:cs="Arial"/>
          <w:color w:val="262626"/>
          <w:sz w:val="18"/>
          <w:szCs w:val="18"/>
        </w:rPr>
        <w:t>directly to end consumers, or they may be further integrated by our customers into end products such as notebooks and storage servers. Combining some of these products—for example, integrating FPGAs and memory with Intel Xeon processors in a data center so</w:t>
      </w:r>
      <w:r>
        <w:rPr>
          <w:rFonts w:ascii="Arial" w:eastAsia="宋体" w:hAnsi="Arial" w:cs="Arial"/>
          <w:color w:val="262626"/>
          <w:sz w:val="18"/>
          <w:szCs w:val="18"/>
        </w:rPr>
        <w:t>lution—enables incremental synergistic value and performance. We launched new products in 2021, such as the 12th Gen Intel Core</w:t>
      </w:r>
      <w:r>
        <w:rPr>
          <w:rFonts w:ascii="Arial" w:eastAsia="宋体" w:hAnsi="Arial" w:cs="Arial"/>
          <w:color w:val="262626"/>
          <w:sz w:val="11"/>
          <w:szCs w:val="11"/>
        </w:rPr>
        <w:t xml:space="preserve"> </w:t>
      </w:r>
      <w:r>
        <w:rPr>
          <w:rFonts w:ascii="Arial" w:eastAsia="宋体" w:hAnsi="Arial" w:cs="Arial"/>
          <w:color w:val="262626"/>
          <w:sz w:val="18"/>
          <w:szCs w:val="18"/>
        </w:rPr>
        <w:t>processors (Alder Lake), the first on the Intel 7 process, and 3rd Gen Intel Xeon Scalable processors (Ice Lake).</w:t>
      </w:r>
    </w:p>
    <w:p w14:paraId="67534205" w14:textId="77777777" w:rsidR="001B77DD" w:rsidRDefault="00BF0A28">
      <w:pPr>
        <w:spacing w:after="180"/>
        <w:jc w:val="center"/>
      </w:pPr>
      <w:r>
        <w:rPr>
          <w:rFonts w:ascii="宋体" w:eastAsia="宋体" w:hAnsi="宋体" w:cs="宋体"/>
        </w:rPr>
        <w:fldChar w:fldCharType="begin"/>
      </w:r>
      <w:r>
        <w:rPr>
          <w:rFonts w:ascii="宋体" w:eastAsia="宋体" w:hAnsi="宋体" w:cs="宋体"/>
        </w:rPr>
        <w:instrText>INCLUDEPICTURE</w:instrText>
      </w:r>
      <w:r>
        <w:rPr>
          <w:rFonts w:ascii="宋体" w:eastAsia="宋体" w:hAnsi="宋体" w:cs="宋体"/>
        </w:rPr>
        <w:instrText xml:space="preserv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DFE" wp14:editId="67538DFF">
            <wp:extent cx="304800" cy="304800"/>
            <wp:effectExtent l="0" t="0" r="0" b="0"/>
            <wp:docPr id="247" name="图片 104"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04" descr="IMG_30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4206" w14:textId="77777777" w:rsidR="001B77DD" w:rsidRDefault="00BF0A28">
      <w:pPr>
        <w:spacing w:after="180"/>
      </w:pPr>
      <w:r>
        <w:rPr>
          <w:rFonts w:ascii="Arial" w:eastAsia="宋体" w:hAnsi="Arial" w:cs="Arial"/>
          <w:color w:val="0068B5"/>
          <w:sz w:val="18"/>
          <w:szCs w:val="18"/>
        </w:rPr>
        <w:t xml:space="preserve">Platform Products: </w:t>
      </w:r>
      <w:r>
        <w:rPr>
          <w:rFonts w:ascii="Arial" w:eastAsia="宋体" w:hAnsi="Arial" w:cs="Arial"/>
          <w:color w:val="262626"/>
          <w:sz w:val="18"/>
          <w:szCs w:val="18"/>
        </w:rPr>
        <w:t>Our platform products can be a CPU and chipset, an SoC, or a multichip package based on Intel</w:t>
      </w:r>
      <w:r>
        <w:rPr>
          <w:rFonts w:ascii="Arial" w:eastAsia="宋体" w:hAnsi="Arial" w:cs="Arial"/>
          <w:color w:val="262626"/>
          <w:sz w:val="11"/>
          <w:szCs w:val="11"/>
        </w:rPr>
        <w:t>®</w:t>
      </w:r>
      <w:r>
        <w:rPr>
          <w:rFonts w:ascii="Arial" w:eastAsia="宋体" w:hAnsi="Arial" w:cs="Arial"/>
          <w:color w:val="262626"/>
          <w:sz w:val="18"/>
          <w:szCs w:val="18"/>
        </w:rPr>
        <w:t xml:space="preserve"> architect</w:t>
      </w:r>
      <w:r>
        <w:rPr>
          <w:rFonts w:ascii="Arial" w:eastAsia="宋体" w:hAnsi="Arial" w:cs="Arial"/>
          <w:color w:val="262626"/>
          <w:sz w:val="18"/>
          <w:szCs w:val="18"/>
        </w:rPr>
        <w:t>ure that processes data and controls other devices in a system. The primary CPU products in CCG are our Intel Core and Intel Atom</w:t>
      </w:r>
      <w:r>
        <w:rPr>
          <w:rFonts w:ascii="Arial" w:eastAsia="宋体" w:hAnsi="Arial" w:cs="Arial"/>
          <w:color w:val="262626"/>
          <w:sz w:val="11"/>
          <w:szCs w:val="11"/>
        </w:rPr>
        <w:t>®</w:t>
      </w:r>
      <w:r>
        <w:rPr>
          <w:rFonts w:ascii="Arial" w:eastAsia="宋体" w:hAnsi="Arial" w:cs="Arial"/>
          <w:color w:val="262626"/>
          <w:sz w:val="18"/>
          <w:szCs w:val="18"/>
        </w:rPr>
        <w:t xml:space="preserve"> processors, which include Intel Core processors designed specifically for notebook and desktop applications. We introduced our 12th Gen Intel Core desktop processors and additional 11th Gen Intel Core processors (Tiger Lake) this year. The primary CPU pro</w:t>
      </w:r>
      <w:r>
        <w:rPr>
          <w:rFonts w:ascii="Arial" w:eastAsia="宋体" w:hAnsi="Arial" w:cs="Arial"/>
          <w:color w:val="262626"/>
          <w:sz w:val="18"/>
          <w:szCs w:val="18"/>
        </w:rPr>
        <w:t>duct in DCG is our Intel Xeon processor, which includes solutions for data center compute, networking, and the intelligent edge. Our latest Xeon processor, the 3rd Gen Xeon, launched this year. We sell Xeon, Intel Core, and Intel Atom processor products as</w:t>
      </w:r>
      <w:r>
        <w:rPr>
          <w:rFonts w:ascii="Arial" w:eastAsia="宋体" w:hAnsi="Arial" w:cs="Arial"/>
          <w:color w:val="262626"/>
          <w:sz w:val="18"/>
          <w:szCs w:val="18"/>
        </w:rPr>
        <w:t xml:space="preserve"> part of our IOTG offerings.</w:t>
      </w:r>
    </w:p>
    <w:p w14:paraId="67534207" w14:textId="77777777" w:rsidR="001B77DD" w:rsidRDefault="00BF0A28">
      <w:pPr>
        <w:spacing w:after="120"/>
      </w:pPr>
      <w:r>
        <w:rPr>
          <w:rFonts w:ascii="Arial" w:eastAsia="宋体" w:hAnsi="Arial" w:cs="Arial"/>
          <w:color w:val="0068B5"/>
          <w:sz w:val="18"/>
          <w:szCs w:val="18"/>
        </w:rPr>
        <w:t>Adjacent Products:</w:t>
      </w:r>
      <w:r>
        <w:rPr>
          <w:rFonts w:ascii="Arial" w:eastAsia="宋体" w:hAnsi="Arial" w:cs="Arial"/>
          <w:color w:val="0071C5"/>
          <w:sz w:val="18"/>
          <w:szCs w:val="18"/>
        </w:rPr>
        <w:t xml:space="preserve"> </w:t>
      </w:r>
      <w:r>
        <w:rPr>
          <w:rFonts w:ascii="Arial" w:eastAsia="宋体" w:hAnsi="Arial" w:cs="Arial"/>
          <w:color w:val="262626"/>
          <w:sz w:val="18"/>
          <w:szCs w:val="18"/>
        </w:rPr>
        <w:t>Our non-platform, or adjacent, products can be combined with platform products to form comprehensive platform solutions to meet customer needs. These products are used in solutions sold through each of our bu</w:t>
      </w:r>
      <w:r>
        <w:rPr>
          <w:rFonts w:ascii="Arial" w:eastAsia="宋体" w:hAnsi="Arial" w:cs="Arial"/>
          <w:color w:val="262626"/>
          <w:sz w:val="18"/>
          <w:szCs w:val="18"/>
        </w:rPr>
        <w:t>sinesses and include the following:</w:t>
      </w:r>
    </w:p>
    <w:p w14:paraId="67534208"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Accelerators</w:t>
      </w:r>
      <w:r>
        <w:rPr>
          <w:rFonts w:ascii="Arial" w:eastAsia="宋体" w:hAnsi="Arial" w:cs="Arial"/>
          <w:b/>
          <w:bCs/>
          <w:color w:val="262626"/>
          <w:sz w:val="18"/>
          <w:szCs w:val="18"/>
        </w:rPr>
        <w:t>—</w:t>
      </w:r>
      <w:r>
        <w:rPr>
          <w:rFonts w:ascii="Arial" w:eastAsia="宋体" w:hAnsi="Arial" w:cs="Arial"/>
          <w:color w:val="262626"/>
          <w:sz w:val="18"/>
          <w:szCs w:val="18"/>
        </w:rPr>
        <w:t>Silicon products that can operate alone or accompany our processors in a system, such as Habana Gaudi for DCG, FPGAs for PSG, VPUs for IOTG, and Mobileye EyeQ SoCs</w:t>
      </w:r>
    </w:p>
    <w:p w14:paraId="67534209"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Boards and Systems</w:t>
      </w:r>
      <w:r>
        <w:rPr>
          <w:rFonts w:ascii="Arial" w:eastAsia="宋体" w:hAnsi="Arial" w:cs="Arial"/>
          <w:b/>
          <w:bCs/>
          <w:color w:val="262626"/>
          <w:sz w:val="18"/>
          <w:szCs w:val="18"/>
        </w:rPr>
        <w:t>—</w:t>
      </w:r>
      <w:r>
        <w:rPr>
          <w:rFonts w:ascii="Arial" w:eastAsia="宋体" w:hAnsi="Arial" w:cs="Arial"/>
          <w:color w:val="262626"/>
          <w:sz w:val="18"/>
          <w:szCs w:val="18"/>
        </w:rPr>
        <w:t>Server boards and smal</w:t>
      </w:r>
      <w:r>
        <w:rPr>
          <w:rFonts w:ascii="Arial" w:eastAsia="宋体" w:hAnsi="Arial" w:cs="Arial"/>
          <w:color w:val="262626"/>
          <w:sz w:val="18"/>
          <w:szCs w:val="18"/>
        </w:rPr>
        <w:t>l form factor systems such as Intel</w:t>
      </w:r>
      <w:r>
        <w:rPr>
          <w:rFonts w:ascii="Arial" w:eastAsia="宋体" w:hAnsi="Arial" w:cs="Arial"/>
          <w:color w:val="262626"/>
          <w:sz w:val="11"/>
          <w:szCs w:val="11"/>
        </w:rPr>
        <w:t>®</w:t>
      </w:r>
      <w:r>
        <w:rPr>
          <w:rFonts w:ascii="Arial" w:eastAsia="宋体" w:hAnsi="Arial" w:cs="Arial"/>
          <w:color w:val="262626"/>
          <w:sz w:val="18"/>
          <w:szCs w:val="18"/>
        </w:rPr>
        <w:t xml:space="preserve"> NUCs for CCG</w:t>
      </w:r>
    </w:p>
    <w:p w14:paraId="6753420A"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Connectivity Products</w:t>
      </w:r>
      <w:r>
        <w:rPr>
          <w:rFonts w:ascii="Arial" w:eastAsia="宋体" w:hAnsi="Arial" w:cs="Arial"/>
          <w:b/>
          <w:bCs/>
          <w:color w:val="262626"/>
          <w:sz w:val="18"/>
          <w:szCs w:val="18"/>
        </w:rPr>
        <w:t>—</w:t>
      </w:r>
      <w:r>
        <w:rPr>
          <w:rFonts w:ascii="Arial" w:eastAsia="宋体" w:hAnsi="Arial" w:cs="Arial"/>
          <w:color w:val="262626"/>
          <w:sz w:val="18"/>
          <w:szCs w:val="18"/>
        </w:rPr>
        <w:t>Ethernet controllers and silicon photonics for DCG; and cellular modems, Wi-Fi, and Bluetooth</w:t>
      </w:r>
      <w:r>
        <w:rPr>
          <w:rFonts w:ascii="Arial" w:eastAsia="宋体" w:hAnsi="Arial" w:cs="Arial"/>
          <w:color w:val="262626"/>
          <w:sz w:val="11"/>
          <w:szCs w:val="11"/>
        </w:rPr>
        <w:t xml:space="preserve">® </w:t>
      </w:r>
      <w:r>
        <w:rPr>
          <w:rFonts w:ascii="Arial" w:eastAsia="宋体" w:hAnsi="Arial" w:cs="Arial"/>
          <w:color w:val="262626"/>
          <w:sz w:val="18"/>
          <w:szCs w:val="18"/>
        </w:rPr>
        <w:t>for CCG</w:t>
      </w:r>
    </w:p>
    <w:p w14:paraId="6753420B"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Graphics</w:t>
      </w:r>
      <w:r>
        <w:rPr>
          <w:rFonts w:ascii="Arial" w:eastAsia="宋体" w:hAnsi="Arial" w:cs="Arial"/>
          <w:b/>
          <w:bCs/>
          <w:color w:val="262626"/>
          <w:sz w:val="18"/>
          <w:szCs w:val="18"/>
        </w:rPr>
        <w:t>—</w:t>
      </w:r>
      <w:r>
        <w:rPr>
          <w:rFonts w:ascii="Arial" w:eastAsia="宋体" w:hAnsi="Arial" w:cs="Arial"/>
          <w:color w:val="262626"/>
          <w:sz w:val="18"/>
          <w:szCs w:val="18"/>
        </w:rPr>
        <w:t xml:space="preserve"> Discrete graphics products for CCG and DCG</w:t>
      </w:r>
    </w:p>
    <w:p w14:paraId="6753420C"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0068B5"/>
          <w:sz w:val="18"/>
          <w:szCs w:val="18"/>
        </w:rPr>
        <w:t>Memory and Storage Produc</w:t>
      </w:r>
      <w:r>
        <w:rPr>
          <w:rFonts w:ascii="Arial" w:eastAsia="宋体" w:hAnsi="Arial" w:cs="Arial"/>
          <w:color w:val="0068B5"/>
          <w:sz w:val="18"/>
          <w:szCs w:val="18"/>
        </w:rPr>
        <w:t>ts</w:t>
      </w:r>
      <w:r>
        <w:rPr>
          <w:rFonts w:ascii="Arial" w:eastAsia="宋体" w:hAnsi="Arial" w:cs="Arial"/>
          <w:b/>
          <w:bCs/>
          <w:color w:val="262626"/>
          <w:sz w:val="18"/>
          <w:szCs w:val="18"/>
        </w:rPr>
        <w:t>—</w:t>
      </w:r>
      <w:r>
        <w:rPr>
          <w:rFonts w:ascii="Arial" w:eastAsia="宋体" w:hAnsi="Arial" w:cs="Arial"/>
          <w:color w:val="262626"/>
          <w:sz w:val="18"/>
          <w:szCs w:val="18"/>
        </w:rPr>
        <w:t>NAND SSD products for NSG and Intel® Optane</w:t>
      </w:r>
      <w:r>
        <w:rPr>
          <w:rFonts w:ascii="Arial" w:eastAsia="宋体" w:hAnsi="Arial" w:cs="Arial"/>
          <w:color w:val="262626"/>
          <w:sz w:val="11"/>
          <w:szCs w:val="11"/>
        </w:rPr>
        <w:t>TM</w:t>
      </w:r>
      <w:r>
        <w:rPr>
          <w:rFonts w:ascii="Arial" w:eastAsia="宋体" w:hAnsi="Arial" w:cs="Arial"/>
          <w:color w:val="262626"/>
          <w:sz w:val="18"/>
          <w:szCs w:val="18"/>
        </w:rPr>
        <w:t xml:space="preserve"> memory products sold through DCG</w:t>
      </w:r>
    </w:p>
    <w:tbl>
      <w:tblPr>
        <w:tblW w:w="5000"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67"/>
        <w:gridCol w:w="1518"/>
        <w:gridCol w:w="36"/>
        <w:gridCol w:w="68"/>
        <w:gridCol w:w="1843"/>
        <w:gridCol w:w="37"/>
        <w:gridCol w:w="68"/>
        <w:gridCol w:w="4519"/>
        <w:gridCol w:w="36"/>
      </w:tblGrid>
      <w:tr w:rsidR="001B77DD" w14:paraId="67534218" w14:textId="77777777">
        <w:trPr>
          <w:hidden/>
        </w:trPr>
        <w:tc>
          <w:tcPr>
            <w:tcW w:w="0" w:type="auto"/>
            <w:shd w:val="clear" w:color="auto" w:fill="auto"/>
            <w:vAlign w:val="bottom"/>
          </w:tcPr>
          <w:p w14:paraId="6753420D" w14:textId="77777777" w:rsidR="001B77DD" w:rsidRDefault="001B77DD">
            <w:pPr>
              <w:rPr>
                <w:rFonts w:ascii="宋体"/>
                <w:vanish/>
              </w:rPr>
            </w:pPr>
          </w:p>
        </w:tc>
        <w:tc>
          <w:tcPr>
            <w:tcW w:w="0" w:type="auto"/>
            <w:gridSpan w:val="3"/>
            <w:shd w:val="clear" w:color="auto" w:fill="auto"/>
            <w:vAlign w:val="bottom"/>
          </w:tcPr>
          <w:p w14:paraId="6753420E" w14:textId="77777777" w:rsidR="001B77DD" w:rsidRDefault="001B77DD">
            <w:pPr>
              <w:rPr>
                <w:rFonts w:ascii="宋体"/>
                <w:vanish/>
              </w:rPr>
            </w:pPr>
          </w:p>
        </w:tc>
        <w:tc>
          <w:tcPr>
            <w:tcW w:w="50" w:type="pct"/>
            <w:shd w:val="clear" w:color="auto" w:fill="auto"/>
            <w:vAlign w:val="bottom"/>
          </w:tcPr>
          <w:p w14:paraId="6753420F" w14:textId="77777777" w:rsidR="001B77DD" w:rsidRDefault="001B77DD">
            <w:pPr>
              <w:rPr>
                <w:rFonts w:ascii="宋体"/>
              </w:rPr>
            </w:pPr>
          </w:p>
        </w:tc>
        <w:tc>
          <w:tcPr>
            <w:tcW w:w="935" w:type="pct"/>
            <w:shd w:val="clear" w:color="auto" w:fill="auto"/>
            <w:vAlign w:val="bottom"/>
          </w:tcPr>
          <w:p w14:paraId="67534210" w14:textId="77777777" w:rsidR="001B77DD" w:rsidRDefault="001B77DD">
            <w:pPr>
              <w:rPr>
                <w:rFonts w:ascii="宋体"/>
              </w:rPr>
            </w:pPr>
          </w:p>
        </w:tc>
        <w:tc>
          <w:tcPr>
            <w:tcW w:w="5" w:type="pct"/>
            <w:shd w:val="clear" w:color="auto" w:fill="auto"/>
            <w:vAlign w:val="bottom"/>
          </w:tcPr>
          <w:p w14:paraId="67534211" w14:textId="77777777" w:rsidR="001B77DD" w:rsidRDefault="001B77DD">
            <w:pPr>
              <w:rPr>
                <w:rFonts w:ascii="宋体"/>
              </w:rPr>
            </w:pPr>
          </w:p>
        </w:tc>
        <w:tc>
          <w:tcPr>
            <w:tcW w:w="50" w:type="pct"/>
            <w:shd w:val="clear" w:color="auto" w:fill="auto"/>
            <w:vAlign w:val="bottom"/>
          </w:tcPr>
          <w:p w14:paraId="67534212" w14:textId="77777777" w:rsidR="001B77DD" w:rsidRDefault="001B77DD">
            <w:pPr>
              <w:rPr>
                <w:rFonts w:ascii="宋体"/>
              </w:rPr>
            </w:pPr>
          </w:p>
        </w:tc>
        <w:tc>
          <w:tcPr>
            <w:tcW w:w="1133" w:type="pct"/>
            <w:shd w:val="clear" w:color="auto" w:fill="auto"/>
            <w:vAlign w:val="bottom"/>
          </w:tcPr>
          <w:p w14:paraId="67534213" w14:textId="77777777" w:rsidR="001B77DD" w:rsidRDefault="001B77DD">
            <w:pPr>
              <w:rPr>
                <w:rFonts w:ascii="宋体"/>
              </w:rPr>
            </w:pPr>
          </w:p>
        </w:tc>
        <w:tc>
          <w:tcPr>
            <w:tcW w:w="5" w:type="pct"/>
            <w:shd w:val="clear" w:color="auto" w:fill="auto"/>
            <w:vAlign w:val="bottom"/>
          </w:tcPr>
          <w:p w14:paraId="67534214" w14:textId="77777777" w:rsidR="001B77DD" w:rsidRDefault="001B77DD">
            <w:pPr>
              <w:rPr>
                <w:rFonts w:ascii="宋体"/>
              </w:rPr>
            </w:pPr>
          </w:p>
        </w:tc>
        <w:tc>
          <w:tcPr>
            <w:tcW w:w="50" w:type="pct"/>
            <w:shd w:val="clear" w:color="auto" w:fill="auto"/>
            <w:vAlign w:val="bottom"/>
          </w:tcPr>
          <w:p w14:paraId="67534215" w14:textId="77777777" w:rsidR="001B77DD" w:rsidRDefault="001B77DD">
            <w:pPr>
              <w:rPr>
                <w:rFonts w:ascii="宋体"/>
              </w:rPr>
            </w:pPr>
          </w:p>
        </w:tc>
        <w:tc>
          <w:tcPr>
            <w:tcW w:w="2766" w:type="pct"/>
            <w:shd w:val="clear" w:color="auto" w:fill="auto"/>
            <w:vAlign w:val="bottom"/>
          </w:tcPr>
          <w:p w14:paraId="67534216" w14:textId="77777777" w:rsidR="001B77DD" w:rsidRDefault="001B77DD">
            <w:pPr>
              <w:rPr>
                <w:rFonts w:ascii="宋体"/>
              </w:rPr>
            </w:pPr>
          </w:p>
        </w:tc>
        <w:tc>
          <w:tcPr>
            <w:tcW w:w="5" w:type="pct"/>
            <w:shd w:val="clear" w:color="auto" w:fill="auto"/>
            <w:vAlign w:val="bottom"/>
          </w:tcPr>
          <w:p w14:paraId="67534217" w14:textId="77777777" w:rsidR="001B77DD" w:rsidRDefault="001B77DD">
            <w:pPr>
              <w:rPr>
                <w:rFonts w:ascii="宋体"/>
              </w:rPr>
            </w:pPr>
          </w:p>
        </w:tc>
      </w:tr>
      <w:tr w:rsidR="001B77DD" w14:paraId="67534222" w14:textId="77777777">
        <w:trPr>
          <w:hidden/>
        </w:trPr>
        <w:tc>
          <w:tcPr>
            <w:tcW w:w="0" w:type="auto"/>
            <w:shd w:val="clear" w:color="auto" w:fill="auto"/>
            <w:vAlign w:val="bottom"/>
          </w:tcPr>
          <w:p w14:paraId="67534219" w14:textId="77777777" w:rsidR="001B77DD" w:rsidRDefault="001B77DD">
            <w:pPr>
              <w:rPr>
                <w:rFonts w:ascii="宋体"/>
                <w:vanish/>
              </w:rPr>
            </w:pPr>
          </w:p>
        </w:tc>
        <w:tc>
          <w:tcPr>
            <w:tcW w:w="0" w:type="auto"/>
            <w:gridSpan w:val="3"/>
            <w:shd w:val="clear" w:color="auto" w:fill="auto"/>
            <w:vAlign w:val="bottom"/>
          </w:tcPr>
          <w:p w14:paraId="6753421A" w14:textId="77777777" w:rsidR="001B77DD" w:rsidRDefault="001B77DD">
            <w:pPr>
              <w:rPr>
                <w:rFonts w:ascii="宋体"/>
                <w:vanish/>
              </w:rPr>
            </w:pPr>
          </w:p>
        </w:tc>
        <w:tc>
          <w:tcPr>
            <w:tcW w:w="0" w:type="auto"/>
            <w:gridSpan w:val="3"/>
            <w:shd w:val="clear" w:color="auto" w:fill="auto"/>
            <w:vAlign w:val="bottom"/>
          </w:tcPr>
          <w:p w14:paraId="6753421B" w14:textId="77777777" w:rsidR="001B77DD" w:rsidRDefault="001B77DD">
            <w:pPr>
              <w:rPr>
                <w:rFonts w:ascii="宋体"/>
                <w:vanish/>
              </w:rPr>
            </w:pPr>
          </w:p>
        </w:tc>
        <w:tc>
          <w:tcPr>
            <w:tcW w:w="0" w:type="auto"/>
            <w:shd w:val="clear" w:color="auto" w:fill="auto"/>
            <w:vAlign w:val="bottom"/>
          </w:tcPr>
          <w:p w14:paraId="6753421C" w14:textId="77777777" w:rsidR="001B77DD" w:rsidRDefault="001B77DD">
            <w:pPr>
              <w:rPr>
                <w:rFonts w:ascii="宋体"/>
              </w:rPr>
            </w:pPr>
          </w:p>
        </w:tc>
        <w:tc>
          <w:tcPr>
            <w:tcW w:w="0" w:type="auto"/>
            <w:shd w:val="clear" w:color="auto" w:fill="auto"/>
            <w:vAlign w:val="bottom"/>
          </w:tcPr>
          <w:p w14:paraId="6753421D" w14:textId="77777777" w:rsidR="001B77DD" w:rsidRDefault="001B77DD">
            <w:pPr>
              <w:rPr>
                <w:rFonts w:ascii="宋体"/>
              </w:rPr>
            </w:pPr>
          </w:p>
        </w:tc>
        <w:tc>
          <w:tcPr>
            <w:tcW w:w="0" w:type="auto"/>
            <w:shd w:val="clear" w:color="auto" w:fill="auto"/>
            <w:vAlign w:val="bottom"/>
          </w:tcPr>
          <w:p w14:paraId="6753421E" w14:textId="77777777" w:rsidR="001B77DD" w:rsidRDefault="001B77DD">
            <w:pPr>
              <w:rPr>
                <w:rFonts w:ascii="宋体"/>
              </w:rPr>
            </w:pPr>
          </w:p>
        </w:tc>
        <w:tc>
          <w:tcPr>
            <w:tcW w:w="0" w:type="auto"/>
            <w:shd w:val="clear" w:color="auto" w:fill="auto"/>
            <w:vAlign w:val="bottom"/>
          </w:tcPr>
          <w:p w14:paraId="6753421F" w14:textId="77777777" w:rsidR="001B77DD" w:rsidRDefault="001B77DD">
            <w:pPr>
              <w:rPr>
                <w:rFonts w:ascii="宋体"/>
              </w:rPr>
            </w:pPr>
          </w:p>
        </w:tc>
        <w:tc>
          <w:tcPr>
            <w:tcW w:w="0" w:type="auto"/>
            <w:shd w:val="clear" w:color="auto" w:fill="auto"/>
            <w:vAlign w:val="bottom"/>
          </w:tcPr>
          <w:p w14:paraId="67534220" w14:textId="77777777" w:rsidR="001B77DD" w:rsidRDefault="001B77DD">
            <w:pPr>
              <w:rPr>
                <w:rFonts w:ascii="宋体"/>
              </w:rPr>
            </w:pPr>
          </w:p>
        </w:tc>
        <w:tc>
          <w:tcPr>
            <w:tcW w:w="0" w:type="auto"/>
            <w:shd w:val="clear" w:color="auto" w:fill="auto"/>
            <w:vAlign w:val="bottom"/>
          </w:tcPr>
          <w:p w14:paraId="67534221" w14:textId="77777777" w:rsidR="001B77DD" w:rsidRDefault="001B77DD">
            <w:pPr>
              <w:rPr>
                <w:rFonts w:ascii="宋体"/>
              </w:rPr>
            </w:pPr>
          </w:p>
        </w:tc>
      </w:tr>
      <w:tr w:rsidR="001B77DD" w14:paraId="67534229" w14:textId="77777777">
        <w:trPr>
          <w:trHeight w:val="780"/>
          <w:hidden/>
        </w:trPr>
        <w:tc>
          <w:tcPr>
            <w:tcW w:w="0" w:type="auto"/>
            <w:shd w:val="clear" w:color="auto" w:fill="auto"/>
            <w:vAlign w:val="bottom"/>
          </w:tcPr>
          <w:p w14:paraId="67534223" w14:textId="77777777" w:rsidR="001B77DD" w:rsidRDefault="001B77DD">
            <w:pPr>
              <w:rPr>
                <w:rFonts w:ascii="宋体"/>
                <w:vanish/>
              </w:rPr>
            </w:pPr>
          </w:p>
        </w:tc>
        <w:tc>
          <w:tcPr>
            <w:tcW w:w="0" w:type="auto"/>
            <w:gridSpan w:val="3"/>
            <w:shd w:val="clear" w:color="auto" w:fill="auto"/>
            <w:vAlign w:val="bottom"/>
          </w:tcPr>
          <w:p w14:paraId="67534224" w14:textId="77777777" w:rsidR="001B77DD" w:rsidRDefault="001B77DD">
            <w:pPr>
              <w:rPr>
                <w:rFonts w:ascii="宋体"/>
                <w:vanish/>
              </w:rPr>
            </w:pPr>
          </w:p>
        </w:tc>
        <w:tc>
          <w:tcPr>
            <w:tcW w:w="0" w:type="auto"/>
            <w:gridSpan w:val="3"/>
            <w:vMerge w:val="restart"/>
            <w:shd w:val="clear" w:color="auto" w:fill="auto"/>
            <w:tcMar>
              <w:top w:w="0" w:type="dxa"/>
              <w:left w:w="20" w:type="dxa"/>
              <w:bottom w:w="0" w:type="dxa"/>
              <w:right w:w="20" w:type="dxa"/>
            </w:tcMar>
            <w:vAlign w:val="bottom"/>
          </w:tcPr>
          <w:p w14:paraId="67534225" w14:textId="77777777" w:rsidR="001B77DD" w:rsidRDefault="00BF0A2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Viewer4_files/intc-20211225_g39.jpg"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00" wp14:editId="67538E01">
                  <wp:extent cx="304800" cy="304800"/>
                  <wp:effectExtent l="0" t="0" r="0" b="0"/>
                  <wp:docPr id="43" name="图片 105"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5" descr="IMG_30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vMerge w:val="restart"/>
            <w:shd w:val="clear" w:color="auto" w:fill="auto"/>
            <w:tcMar>
              <w:top w:w="40" w:type="dxa"/>
              <w:left w:w="20" w:type="dxa"/>
              <w:bottom w:w="40" w:type="dxa"/>
              <w:right w:w="20" w:type="dxa"/>
            </w:tcMar>
            <w:vAlign w:val="center"/>
          </w:tcPr>
          <w:p w14:paraId="67534226" w14:textId="77777777" w:rsidR="001B77DD" w:rsidRDefault="00BF0A28">
            <w:pPr>
              <w:textAlignment w:val="center"/>
            </w:pPr>
            <w:r>
              <w:rPr>
                <w:rFonts w:ascii="Arial" w:eastAsia="宋体" w:hAnsi="Arial" w:cs="Arial"/>
                <w:b/>
                <w:bCs/>
                <w:i/>
                <w:iCs/>
                <w:color w:val="262626"/>
                <w:sz w:val="18"/>
                <w:szCs w:val="18"/>
              </w:rPr>
              <w:t>“At Intel our customer first mindset means that we put customer needs at the center of our business. We are c</w:t>
            </w:r>
            <w:r>
              <w:rPr>
                <w:rFonts w:ascii="Arial" w:eastAsia="宋体" w:hAnsi="Arial" w:cs="Arial"/>
                <w:b/>
                <w:bCs/>
                <w:i/>
                <w:iCs/>
                <w:color w:val="262626"/>
                <w:sz w:val="18"/>
                <w:szCs w:val="18"/>
              </w:rPr>
              <w:t xml:space="preserve">ommitted to our customers' success by delivering a portfolio of high quality products, performance, and experiences to solve the world’s most challenging problems." </w:t>
            </w:r>
          </w:p>
          <w:p w14:paraId="67534227" w14:textId="77777777" w:rsidR="001B77DD" w:rsidRDefault="001B77DD">
            <w:pPr>
              <w:textAlignment w:val="center"/>
            </w:pPr>
          </w:p>
          <w:p w14:paraId="67534228" w14:textId="77777777" w:rsidR="001B77DD" w:rsidRDefault="00BF0A28">
            <w:pPr>
              <w:spacing w:after="180"/>
              <w:textAlignment w:val="center"/>
            </w:pPr>
            <w:r>
              <w:rPr>
                <w:rFonts w:ascii="Arial" w:eastAsia="宋体" w:hAnsi="Arial" w:cs="Arial"/>
                <w:b/>
                <w:bCs/>
                <w:color w:val="262626"/>
                <w:sz w:val="18"/>
                <w:szCs w:val="18"/>
              </w:rPr>
              <w:t>—Michelle Johnston Holthaus,</w:t>
            </w:r>
            <w:r>
              <w:rPr>
                <w:rFonts w:ascii="Arial" w:eastAsia="宋体" w:hAnsi="Arial" w:cs="Arial"/>
                <w:color w:val="262626"/>
                <w:sz w:val="18"/>
                <w:szCs w:val="18"/>
              </w:rPr>
              <w:t xml:space="preserve"> Executive Vice President and General Manager of the Sales, Marketing, and Communications Group</w:t>
            </w:r>
          </w:p>
        </w:tc>
      </w:tr>
      <w:tr w:rsidR="001B77DD" w14:paraId="67534230" w14:textId="77777777">
        <w:trPr>
          <w:trHeight w:val="700"/>
          <w:hidden/>
        </w:trPr>
        <w:tc>
          <w:tcPr>
            <w:tcW w:w="0" w:type="auto"/>
            <w:shd w:val="clear" w:color="auto" w:fill="auto"/>
            <w:vAlign w:val="bottom"/>
          </w:tcPr>
          <w:p w14:paraId="6753422A" w14:textId="77777777" w:rsidR="001B77DD" w:rsidRDefault="001B77DD">
            <w:pPr>
              <w:rPr>
                <w:rFonts w:ascii="宋体"/>
                <w:vanish/>
              </w:rPr>
            </w:pPr>
          </w:p>
        </w:tc>
        <w:tc>
          <w:tcPr>
            <w:tcW w:w="0" w:type="auto"/>
            <w:shd w:val="clear" w:color="auto" w:fill="auto"/>
            <w:vAlign w:val="bottom"/>
          </w:tcPr>
          <w:p w14:paraId="6753422B" w14:textId="77777777" w:rsidR="001B77DD" w:rsidRDefault="001B77DD">
            <w:pPr>
              <w:rPr>
                <w:rFonts w:ascii="宋体"/>
              </w:rPr>
            </w:pPr>
          </w:p>
        </w:tc>
        <w:tc>
          <w:tcPr>
            <w:tcW w:w="0" w:type="auto"/>
            <w:shd w:val="clear" w:color="auto" w:fill="auto"/>
            <w:vAlign w:val="bottom"/>
          </w:tcPr>
          <w:p w14:paraId="6753422C" w14:textId="77777777" w:rsidR="001B77DD" w:rsidRDefault="001B77DD">
            <w:pPr>
              <w:rPr>
                <w:rFonts w:ascii="宋体"/>
              </w:rPr>
            </w:pPr>
          </w:p>
        </w:tc>
        <w:tc>
          <w:tcPr>
            <w:tcW w:w="0" w:type="auto"/>
            <w:shd w:val="clear" w:color="auto" w:fill="auto"/>
            <w:vAlign w:val="bottom"/>
          </w:tcPr>
          <w:p w14:paraId="6753422D"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22E" w14:textId="77777777" w:rsidR="001B77DD" w:rsidRDefault="001B77DD">
            <w:pPr>
              <w:rPr>
                <w:rFonts w:ascii="宋体"/>
              </w:rPr>
            </w:pPr>
          </w:p>
        </w:tc>
        <w:tc>
          <w:tcPr>
            <w:tcW w:w="0" w:type="auto"/>
            <w:gridSpan w:val="6"/>
            <w:vMerge/>
            <w:shd w:val="clear" w:color="auto" w:fill="auto"/>
            <w:tcMar>
              <w:top w:w="40" w:type="dxa"/>
              <w:left w:w="20" w:type="dxa"/>
              <w:bottom w:w="40" w:type="dxa"/>
              <w:right w:w="20" w:type="dxa"/>
            </w:tcMar>
            <w:vAlign w:val="center"/>
          </w:tcPr>
          <w:p w14:paraId="6753422F" w14:textId="77777777" w:rsidR="001B77DD" w:rsidRDefault="001B77DD">
            <w:pPr>
              <w:rPr>
                <w:rFonts w:ascii="宋体"/>
              </w:rPr>
            </w:pPr>
          </w:p>
        </w:tc>
      </w:tr>
    </w:tbl>
    <w:p w14:paraId="67534231" w14:textId="77777777" w:rsidR="001B77DD" w:rsidRDefault="001B77DD">
      <w:pPr>
        <w:spacing w:after="60"/>
      </w:pPr>
    </w:p>
    <w:p w14:paraId="67534232" w14:textId="77777777" w:rsidR="001B77DD" w:rsidRDefault="001B77DD">
      <w:pPr>
        <w:spacing w:after="60"/>
      </w:pPr>
    </w:p>
    <w:p w14:paraId="67534233" w14:textId="77777777" w:rsidR="001B77DD" w:rsidRDefault="001B77DD">
      <w:pPr>
        <w:spacing w:after="60"/>
      </w:pP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423D" w14:textId="77777777">
        <w:tc>
          <w:tcPr>
            <w:tcW w:w="50" w:type="pct"/>
            <w:shd w:val="clear" w:color="auto" w:fill="auto"/>
            <w:vAlign w:val="bottom"/>
          </w:tcPr>
          <w:p w14:paraId="67534234" w14:textId="77777777" w:rsidR="001B77DD" w:rsidRDefault="001B77DD">
            <w:pPr>
              <w:rPr>
                <w:rFonts w:ascii="宋体"/>
              </w:rPr>
            </w:pPr>
          </w:p>
        </w:tc>
        <w:tc>
          <w:tcPr>
            <w:tcW w:w="283" w:type="pct"/>
            <w:shd w:val="clear" w:color="auto" w:fill="auto"/>
            <w:vAlign w:val="bottom"/>
          </w:tcPr>
          <w:p w14:paraId="67534235" w14:textId="77777777" w:rsidR="001B77DD" w:rsidRDefault="001B77DD">
            <w:pPr>
              <w:rPr>
                <w:rFonts w:ascii="宋体"/>
              </w:rPr>
            </w:pPr>
          </w:p>
        </w:tc>
        <w:tc>
          <w:tcPr>
            <w:tcW w:w="5" w:type="pct"/>
            <w:shd w:val="clear" w:color="auto" w:fill="auto"/>
            <w:vAlign w:val="bottom"/>
          </w:tcPr>
          <w:p w14:paraId="67534236" w14:textId="77777777" w:rsidR="001B77DD" w:rsidRDefault="001B77DD">
            <w:pPr>
              <w:rPr>
                <w:rFonts w:ascii="宋体"/>
              </w:rPr>
            </w:pPr>
          </w:p>
        </w:tc>
        <w:tc>
          <w:tcPr>
            <w:tcW w:w="50" w:type="pct"/>
            <w:shd w:val="clear" w:color="auto" w:fill="auto"/>
            <w:vAlign w:val="bottom"/>
          </w:tcPr>
          <w:p w14:paraId="67534237" w14:textId="77777777" w:rsidR="001B77DD" w:rsidRDefault="001B77DD">
            <w:pPr>
              <w:rPr>
                <w:rFonts w:ascii="宋体"/>
              </w:rPr>
            </w:pPr>
          </w:p>
        </w:tc>
        <w:tc>
          <w:tcPr>
            <w:tcW w:w="2656" w:type="pct"/>
            <w:shd w:val="clear" w:color="auto" w:fill="auto"/>
            <w:vAlign w:val="bottom"/>
          </w:tcPr>
          <w:p w14:paraId="67534238" w14:textId="77777777" w:rsidR="001B77DD" w:rsidRDefault="001B77DD">
            <w:pPr>
              <w:rPr>
                <w:rFonts w:ascii="宋体"/>
              </w:rPr>
            </w:pPr>
          </w:p>
        </w:tc>
        <w:tc>
          <w:tcPr>
            <w:tcW w:w="5" w:type="pct"/>
            <w:shd w:val="clear" w:color="auto" w:fill="auto"/>
            <w:vAlign w:val="bottom"/>
          </w:tcPr>
          <w:p w14:paraId="67534239" w14:textId="77777777" w:rsidR="001B77DD" w:rsidRDefault="001B77DD">
            <w:pPr>
              <w:rPr>
                <w:rFonts w:ascii="宋体"/>
              </w:rPr>
            </w:pPr>
          </w:p>
        </w:tc>
        <w:tc>
          <w:tcPr>
            <w:tcW w:w="50" w:type="pct"/>
            <w:shd w:val="clear" w:color="auto" w:fill="auto"/>
            <w:vAlign w:val="bottom"/>
          </w:tcPr>
          <w:p w14:paraId="6753423A" w14:textId="77777777" w:rsidR="001B77DD" w:rsidRDefault="001B77DD">
            <w:pPr>
              <w:rPr>
                <w:rFonts w:ascii="宋体"/>
              </w:rPr>
            </w:pPr>
          </w:p>
        </w:tc>
        <w:tc>
          <w:tcPr>
            <w:tcW w:w="1894" w:type="pct"/>
            <w:shd w:val="clear" w:color="auto" w:fill="auto"/>
            <w:vAlign w:val="bottom"/>
          </w:tcPr>
          <w:p w14:paraId="6753423B" w14:textId="77777777" w:rsidR="001B77DD" w:rsidRDefault="001B77DD">
            <w:pPr>
              <w:rPr>
                <w:rFonts w:ascii="宋体"/>
              </w:rPr>
            </w:pPr>
          </w:p>
        </w:tc>
        <w:tc>
          <w:tcPr>
            <w:tcW w:w="5" w:type="pct"/>
            <w:shd w:val="clear" w:color="auto" w:fill="auto"/>
            <w:vAlign w:val="bottom"/>
          </w:tcPr>
          <w:p w14:paraId="6753423C" w14:textId="77777777" w:rsidR="001B77DD" w:rsidRDefault="001B77DD">
            <w:pPr>
              <w:rPr>
                <w:rFonts w:ascii="宋体"/>
              </w:rPr>
            </w:pPr>
          </w:p>
        </w:tc>
      </w:tr>
      <w:tr w:rsidR="001B77DD" w14:paraId="6753424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23E"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02" wp14:editId="67538E03">
                  <wp:extent cx="304800" cy="304800"/>
                  <wp:effectExtent l="0" t="0" r="0" b="0"/>
                  <wp:docPr id="42" name="图片 10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23F"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240" w14:textId="77777777" w:rsidR="001B77DD" w:rsidRDefault="00BF0A28">
            <w:pPr>
              <w:jc w:val="right"/>
              <w:textAlignment w:val="center"/>
            </w:pPr>
            <w:r>
              <w:rPr>
                <w:rFonts w:ascii="Arial" w:eastAsia="宋体" w:hAnsi="Arial" w:cs="Arial"/>
                <w:color w:val="262626"/>
                <w:sz w:val="16"/>
                <w:szCs w:val="16"/>
              </w:rPr>
              <w:t>18</w:t>
            </w:r>
          </w:p>
        </w:tc>
      </w:tr>
    </w:tbl>
    <w:p w14:paraId="67534242" w14:textId="77777777" w:rsidR="001B77DD" w:rsidRDefault="00BF0A28">
      <w:r>
        <w:pict w14:anchorId="67538E04">
          <v:rect id="_x0000_i1044" style="width:415.3pt;height:1.5pt" o:hralign="center" o:hrstd="t" o:hr="t" fillcolor="#a0a0a0" stroked="f"/>
        </w:pict>
      </w:r>
    </w:p>
    <w:p w14:paraId="67534243" w14:textId="77777777" w:rsidR="001B77DD" w:rsidRDefault="00BF0A28">
      <w:pPr>
        <w:spacing w:after="180"/>
        <w:jc w:val="right"/>
      </w:pPr>
      <w:hyperlink r:id="rId79" w:anchor="i6c9ced68f6b24d58a3dcf326e8c3c699_16" w:history="1">
        <w:r>
          <w:rPr>
            <w:rStyle w:val="a5"/>
            <w:rFonts w:ascii="Arial" w:eastAsia="宋体" w:hAnsi="Arial" w:cs="Arial"/>
            <w:sz w:val="18"/>
            <w:szCs w:val="18"/>
          </w:rPr>
          <w:t>Table</w:t>
        </w:r>
      </w:hyperlink>
      <w:hyperlink r:id="rId80" w:anchor="i6c9ced68f6b24d58a3dcf326e8c3c699_16" w:history="1">
        <w:r>
          <w:rPr>
            <w:rStyle w:val="a5"/>
            <w:rFonts w:ascii="Arial" w:eastAsia="宋体" w:hAnsi="Arial" w:cs="Arial"/>
            <w:sz w:val="18"/>
            <w:szCs w:val="18"/>
          </w:rPr>
          <w:t xml:space="preserve"> of </w:t>
        </w:r>
      </w:hyperlink>
      <w:hyperlink r:id="rId81" w:anchor="i6c9ced68f6b24d58a3dcf326e8c3c699_16" w:history="1">
        <w:r>
          <w:rPr>
            <w:rStyle w:val="a5"/>
            <w:rFonts w:ascii="Arial" w:eastAsia="宋体" w:hAnsi="Arial" w:cs="Arial"/>
            <w:sz w:val="18"/>
            <w:szCs w:val="18"/>
          </w:rPr>
          <w:t>Contents</w:t>
        </w:r>
      </w:hyperlink>
    </w:p>
    <w:p w14:paraId="67534244" w14:textId="77777777" w:rsidR="001B77DD" w:rsidRDefault="00BF0A28">
      <w:pPr>
        <w:spacing w:after="180"/>
      </w:pPr>
      <w:r>
        <w:rPr>
          <w:rFonts w:ascii="Arial" w:eastAsia="宋体" w:hAnsi="Arial" w:cs="Arial"/>
          <w:color w:val="0068B5"/>
          <w:sz w:val="28"/>
          <w:szCs w:val="28"/>
        </w:rPr>
        <w:t>How We Organize Our Business</w:t>
      </w:r>
    </w:p>
    <w:tbl>
      <w:tblPr>
        <w:tblW w:w="10950" w:type="dxa"/>
        <w:tblCellMar>
          <w:top w:w="15" w:type="dxa"/>
          <w:left w:w="15" w:type="dxa"/>
          <w:bottom w:w="15" w:type="dxa"/>
          <w:right w:w="15" w:type="dxa"/>
        </w:tblCellMar>
        <w:tblLook w:val="04A0" w:firstRow="1" w:lastRow="0" w:firstColumn="1" w:lastColumn="0" w:noHBand="0" w:noVBand="1"/>
      </w:tblPr>
      <w:tblGrid>
        <w:gridCol w:w="36"/>
        <w:gridCol w:w="524"/>
        <w:gridCol w:w="36"/>
        <w:gridCol w:w="36"/>
        <w:gridCol w:w="410"/>
        <w:gridCol w:w="36"/>
        <w:gridCol w:w="36"/>
        <w:gridCol w:w="36"/>
        <w:gridCol w:w="36"/>
        <w:gridCol w:w="36"/>
        <w:gridCol w:w="119"/>
        <w:gridCol w:w="7089"/>
        <w:gridCol w:w="114"/>
        <w:gridCol w:w="36"/>
        <w:gridCol w:w="36"/>
        <w:gridCol w:w="36"/>
        <w:gridCol w:w="36"/>
        <w:gridCol w:w="886"/>
        <w:gridCol w:w="36"/>
        <w:gridCol w:w="36"/>
        <w:gridCol w:w="567"/>
        <w:gridCol w:w="36"/>
        <w:gridCol w:w="36"/>
        <w:gridCol w:w="521"/>
        <w:gridCol w:w="36"/>
        <w:gridCol w:w="36"/>
        <w:gridCol w:w="36"/>
        <w:gridCol w:w="36"/>
      </w:tblGrid>
      <w:tr w:rsidR="001B77DD" w14:paraId="6753425F" w14:textId="77777777">
        <w:tc>
          <w:tcPr>
            <w:tcW w:w="20" w:type="dxa"/>
            <w:shd w:val="clear" w:color="auto" w:fill="auto"/>
            <w:vAlign w:val="bottom"/>
          </w:tcPr>
          <w:p w14:paraId="67534245" w14:textId="77777777" w:rsidR="001B77DD" w:rsidRDefault="001B77DD">
            <w:pPr>
              <w:rPr>
                <w:rFonts w:ascii="宋体"/>
              </w:rPr>
            </w:pPr>
          </w:p>
        </w:tc>
        <w:tc>
          <w:tcPr>
            <w:tcW w:w="785" w:type="dxa"/>
            <w:shd w:val="clear" w:color="auto" w:fill="auto"/>
            <w:vAlign w:val="bottom"/>
          </w:tcPr>
          <w:p w14:paraId="67534246" w14:textId="77777777" w:rsidR="001B77DD" w:rsidRDefault="001B77DD">
            <w:pPr>
              <w:rPr>
                <w:rFonts w:ascii="宋体"/>
              </w:rPr>
            </w:pPr>
          </w:p>
        </w:tc>
        <w:tc>
          <w:tcPr>
            <w:tcW w:w="20" w:type="dxa"/>
            <w:shd w:val="clear" w:color="auto" w:fill="auto"/>
            <w:vAlign w:val="bottom"/>
          </w:tcPr>
          <w:p w14:paraId="67534247" w14:textId="77777777" w:rsidR="001B77DD" w:rsidRDefault="001B77DD">
            <w:pPr>
              <w:rPr>
                <w:rFonts w:ascii="宋体"/>
              </w:rPr>
            </w:pPr>
          </w:p>
        </w:tc>
        <w:tc>
          <w:tcPr>
            <w:tcW w:w="20" w:type="dxa"/>
            <w:shd w:val="clear" w:color="auto" w:fill="auto"/>
            <w:vAlign w:val="bottom"/>
          </w:tcPr>
          <w:p w14:paraId="67534248" w14:textId="77777777" w:rsidR="001B77DD" w:rsidRDefault="001B77DD">
            <w:pPr>
              <w:rPr>
                <w:rFonts w:ascii="宋体"/>
              </w:rPr>
            </w:pPr>
          </w:p>
        </w:tc>
        <w:tc>
          <w:tcPr>
            <w:tcW w:w="785" w:type="dxa"/>
            <w:shd w:val="clear" w:color="auto" w:fill="auto"/>
            <w:vAlign w:val="bottom"/>
          </w:tcPr>
          <w:p w14:paraId="67534249" w14:textId="77777777" w:rsidR="001B77DD" w:rsidRDefault="001B77DD">
            <w:pPr>
              <w:rPr>
                <w:rFonts w:ascii="宋体"/>
              </w:rPr>
            </w:pPr>
          </w:p>
        </w:tc>
        <w:tc>
          <w:tcPr>
            <w:tcW w:w="20" w:type="dxa"/>
            <w:shd w:val="clear" w:color="auto" w:fill="auto"/>
            <w:vAlign w:val="bottom"/>
          </w:tcPr>
          <w:p w14:paraId="6753424A" w14:textId="77777777" w:rsidR="001B77DD" w:rsidRDefault="001B77DD">
            <w:pPr>
              <w:rPr>
                <w:rFonts w:ascii="宋体"/>
              </w:rPr>
            </w:pPr>
          </w:p>
        </w:tc>
        <w:tc>
          <w:tcPr>
            <w:tcW w:w="0" w:type="auto"/>
            <w:shd w:val="clear" w:color="auto" w:fill="auto"/>
            <w:vAlign w:val="bottom"/>
          </w:tcPr>
          <w:p w14:paraId="6753424B" w14:textId="77777777" w:rsidR="001B77DD" w:rsidRDefault="001B77DD">
            <w:pPr>
              <w:rPr>
                <w:rFonts w:ascii="宋体"/>
                <w:vanish/>
              </w:rPr>
            </w:pPr>
          </w:p>
        </w:tc>
        <w:tc>
          <w:tcPr>
            <w:tcW w:w="20" w:type="dxa"/>
            <w:shd w:val="clear" w:color="auto" w:fill="auto"/>
            <w:vAlign w:val="bottom"/>
          </w:tcPr>
          <w:p w14:paraId="6753424C" w14:textId="77777777" w:rsidR="001B77DD" w:rsidRDefault="001B77DD">
            <w:pPr>
              <w:rPr>
                <w:rFonts w:ascii="宋体"/>
              </w:rPr>
            </w:pPr>
          </w:p>
        </w:tc>
        <w:tc>
          <w:tcPr>
            <w:tcW w:w="20" w:type="dxa"/>
            <w:shd w:val="clear" w:color="auto" w:fill="auto"/>
            <w:vAlign w:val="bottom"/>
          </w:tcPr>
          <w:p w14:paraId="6753424D" w14:textId="77777777" w:rsidR="001B77DD" w:rsidRDefault="001B77DD">
            <w:pPr>
              <w:rPr>
                <w:rFonts w:ascii="宋体"/>
              </w:rPr>
            </w:pPr>
          </w:p>
        </w:tc>
        <w:tc>
          <w:tcPr>
            <w:tcW w:w="20" w:type="dxa"/>
            <w:shd w:val="clear" w:color="auto" w:fill="auto"/>
            <w:vAlign w:val="bottom"/>
          </w:tcPr>
          <w:p w14:paraId="6753424E" w14:textId="77777777" w:rsidR="001B77DD" w:rsidRDefault="001B77DD">
            <w:pPr>
              <w:rPr>
                <w:rFonts w:ascii="宋体"/>
              </w:rPr>
            </w:pPr>
          </w:p>
        </w:tc>
        <w:tc>
          <w:tcPr>
            <w:tcW w:w="20" w:type="dxa"/>
            <w:shd w:val="clear" w:color="auto" w:fill="auto"/>
            <w:vAlign w:val="bottom"/>
          </w:tcPr>
          <w:p w14:paraId="6753424F" w14:textId="77777777" w:rsidR="001B77DD" w:rsidRDefault="001B77DD">
            <w:pPr>
              <w:rPr>
                <w:rFonts w:ascii="宋体"/>
              </w:rPr>
            </w:pPr>
          </w:p>
        </w:tc>
        <w:tc>
          <w:tcPr>
            <w:tcW w:w="2555" w:type="dxa"/>
            <w:shd w:val="clear" w:color="auto" w:fill="auto"/>
            <w:vAlign w:val="bottom"/>
          </w:tcPr>
          <w:p w14:paraId="67534250" w14:textId="77777777" w:rsidR="001B77DD" w:rsidRDefault="001B77DD">
            <w:pPr>
              <w:rPr>
                <w:rFonts w:ascii="宋体"/>
              </w:rPr>
            </w:pPr>
          </w:p>
        </w:tc>
        <w:tc>
          <w:tcPr>
            <w:tcW w:w="20" w:type="dxa"/>
            <w:shd w:val="clear" w:color="auto" w:fill="auto"/>
            <w:vAlign w:val="bottom"/>
          </w:tcPr>
          <w:p w14:paraId="67534251" w14:textId="77777777" w:rsidR="001B77DD" w:rsidRDefault="001B77DD">
            <w:pPr>
              <w:rPr>
                <w:rFonts w:ascii="宋体"/>
              </w:rPr>
            </w:pPr>
          </w:p>
        </w:tc>
        <w:tc>
          <w:tcPr>
            <w:tcW w:w="20" w:type="dxa"/>
            <w:shd w:val="clear" w:color="auto" w:fill="auto"/>
            <w:vAlign w:val="bottom"/>
          </w:tcPr>
          <w:p w14:paraId="67534252" w14:textId="77777777" w:rsidR="001B77DD" w:rsidRDefault="001B77DD">
            <w:pPr>
              <w:rPr>
                <w:rFonts w:ascii="宋体"/>
              </w:rPr>
            </w:pPr>
          </w:p>
        </w:tc>
        <w:tc>
          <w:tcPr>
            <w:tcW w:w="20" w:type="dxa"/>
            <w:shd w:val="clear" w:color="auto" w:fill="auto"/>
            <w:vAlign w:val="bottom"/>
          </w:tcPr>
          <w:p w14:paraId="67534253" w14:textId="77777777" w:rsidR="001B77DD" w:rsidRDefault="001B77DD">
            <w:pPr>
              <w:rPr>
                <w:rFonts w:ascii="宋体"/>
              </w:rPr>
            </w:pPr>
          </w:p>
        </w:tc>
        <w:tc>
          <w:tcPr>
            <w:tcW w:w="20" w:type="dxa"/>
            <w:shd w:val="clear" w:color="auto" w:fill="auto"/>
            <w:vAlign w:val="bottom"/>
          </w:tcPr>
          <w:p w14:paraId="67534254" w14:textId="77777777" w:rsidR="001B77DD" w:rsidRDefault="001B77DD">
            <w:pPr>
              <w:rPr>
                <w:rFonts w:ascii="宋体"/>
              </w:rPr>
            </w:pPr>
          </w:p>
        </w:tc>
        <w:tc>
          <w:tcPr>
            <w:tcW w:w="20" w:type="dxa"/>
            <w:shd w:val="clear" w:color="auto" w:fill="auto"/>
            <w:vAlign w:val="bottom"/>
          </w:tcPr>
          <w:p w14:paraId="67534255" w14:textId="77777777" w:rsidR="001B77DD" w:rsidRDefault="001B77DD">
            <w:pPr>
              <w:rPr>
                <w:rFonts w:ascii="宋体"/>
              </w:rPr>
            </w:pPr>
          </w:p>
        </w:tc>
        <w:tc>
          <w:tcPr>
            <w:tcW w:w="2915" w:type="dxa"/>
            <w:shd w:val="clear" w:color="auto" w:fill="auto"/>
            <w:vAlign w:val="bottom"/>
          </w:tcPr>
          <w:p w14:paraId="67534256" w14:textId="77777777" w:rsidR="001B77DD" w:rsidRDefault="001B77DD">
            <w:pPr>
              <w:rPr>
                <w:rFonts w:ascii="宋体"/>
              </w:rPr>
            </w:pPr>
          </w:p>
        </w:tc>
        <w:tc>
          <w:tcPr>
            <w:tcW w:w="20" w:type="dxa"/>
            <w:shd w:val="clear" w:color="auto" w:fill="auto"/>
            <w:vAlign w:val="bottom"/>
          </w:tcPr>
          <w:p w14:paraId="67534257" w14:textId="77777777" w:rsidR="001B77DD" w:rsidRDefault="001B77DD">
            <w:pPr>
              <w:rPr>
                <w:rFonts w:ascii="宋体"/>
              </w:rPr>
            </w:pPr>
          </w:p>
        </w:tc>
        <w:tc>
          <w:tcPr>
            <w:tcW w:w="20" w:type="dxa"/>
            <w:shd w:val="clear" w:color="auto" w:fill="auto"/>
            <w:vAlign w:val="bottom"/>
          </w:tcPr>
          <w:p w14:paraId="67534258" w14:textId="77777777" w:rsidR="001B77DD" w:rsidRDefault="001B77DD">
            <w:pPr>
              <w:rPr>
                <w:rFonts w:ascii="宋体"/>
              </w:rPr>
            </w:pPr>
          </w:p>
        </w:tc>
        <w:tc>
          <w:tcPr>
            <w:tcW w:w="1850" w:type="dxa"/>
            <w:shd w:val="clear" w:color="auto" w:fill="auto"/>
            <w:vAlign w:val="bottom"/>
          </w:tcPr>
          <w:p w14:paraId="67534259" w14:textId="77777777" w:rsidR="001B77DD" w:rsidRDefault="001B77DD">
            <w:pPr>
              <w:rPr>
                <w:rFonts w:ascii="宋体"/>
              </w:rPr>
            </w:pPr>
          </w:p>
        </w:tc>
        <w:tc>
          <w:tcPr>
            <w:tcW w:w="20" w:type="dxa"/>
            <w:shd w:val="clear" w:color="auto" w:fill="auto"/>
            <w:vAlign w:val="bottom"/>
          </w:tcPr>
          <w:p w14:paraId="6753425A" w14:textId="77777777" w:rsidR="001B77DD" w:rsidRDefault="001B77DD">
            <w:pPr>
              <w:rPr>
                <w:rFonts w:ascii="宋体"/>
              </w:rPr>
            </w:pPr>
          </w:p>
        </w:tc>
        <w:tc>
          <w:tcPr>
            <w:tcW w:w="20" w:type="dxa"/>
            <w:shd w:val="clear" w:color="auto" w:fill="auto"/>
            <w:vAlign w:val="bottom"/>
          </w:tcPr>
          <w:p w14:paraId="6753425B" w14:textId="77777777" w:rsidR="001B77DD" w:rsidRDefault="001B77DD">
            <w:pPr>
              <w:rPr>
                <w:rFonts w:ascii="宋体"/>
              </w:rPr>
            </w:pPr>
          </w:p>
        </w:tc>
        <w:tc>
          <w:tcPr>
            <w:tcW w:w="1700" w:type="dxa"/>
            <w:shd w:val="clear" w:color="auto" w:fill="auto"/>
            <w:vAlign w:val="bottom"/>
          </w:tcPr>
          <w:p w14:paraId="6753425C" w14:textId="77777777" w:rsidR="001B77DD" w:rsidRDefault="001B77DD">
            <w:pPr>
              <w:rPr>
                <w:rFonts w:ascii="宋体"/>
              </w:rPr>
            </w:pPr>
          </w:p>
        </w:tc>
        <w:tc>
          <w:tcPr>
            <w:tcW w:w="20" w:type="dxa"/>
            <w:shd w:val="clear" w:color="auto" w:fill="auto"/>
            <w:vAlign w:val="bottom"/>
          </w:tcPr>
          <w:p w14:paraId="6753425D" w14:textId="77777777" w:rsidR="001B77DD" w:rsidRDefault="001B77DD">
            <w:pPr>
              <w:rPr>
                <w:rFonts w:ascii="宋体"/>
              </w:rPr>
            </w:pPr>
          </w:p>
        </w:tc>
        <w:tc>
          <w:tcPr>
            <w:tcW w:w="0" w:type="auto"/>
            <w:gridSpan w:val="3"/>
            <w:shd w:val="clear" w:color="auto" w:fill="auto"/>
            <w:vAlign w:val="bottom"/>
          </w:tcPr>
          <w:p w14:paraId="6753425E" w14:textId="77777777" w:rsidR="001B77DD" w:rsidRDefault="001B77DD">
            <w:pPr>
              <w:rPr>
                <w:rFonts w:ascii="宋体"/>
                <w:vanish/>
              </w:rPr>
            </w:pPr>
          </w:p>
        </w:tc>
      </w:tr>
      <w:tr w:rsidR="001B77DD" w14:paraId="67534272" w14:textId="77777777">
        <w:trPr>
          <w:hidden/>
        </w:trPr>
        <w:tc>
          <w:tcPr>
            <w:tcW w:w="0" w:type="auto"/>
            <w:gridSpan w:val="3"/>
            <w:shd w:val="clear" w:color="auto" w:fill="auto"/>
            <w:vAlign w:val="bottom"/>
          </w:tcPr>
          <w:p w14:paraId="67534260" w14:textId="77777777" w:rsidR="001B77DD" w:rsidRDefault="001B77DD">
            <w:pPr>
              <w:rPr>
                <w:rFonts w:ascii="宋体"/>
                <w:vanish/>
              </w:rPr>
            </w:pPr>
          </w:p>
        </w:tc>
        <w:tc>
          <w:tcPr>
            <w:tcW w:w="0" w:type="auto"/>
            <w:gridSpan w:val="3"/>
            <w:shd w:val="clear" w:color="auto" w:fill="auto"/>
            <w:vAlign w:val="bottom"/>
          </w:tcPr>
          <w:p w14:paraId="67534261" w14:textId="77777777" w:rsidR="001B77DD" w:rsidRDefault="001B77DD">
            <w:pPr>
              <w:rPr>
                <w:rFonts w:ascii="宋体"/>
                <w:vanish/>
              </w:rPr>
            </w:pPr>
          </w:p>
        </w:tc>
        <w:tc>
          <w:tcPr>
            <w:tcW w:w="0" w:type="auto"/>
            <w:shd w:val="clear" w:color="auto" w:fill="auto"/>
            <w:vAlign w:val="bottom"/>
          </w:tcPr>
          <w:p w14:paraId="67534262" w14:textId="77777777" w:rsidR="001B77DD" w:rsidRDefault="001B77DD">
            <w:pPr>
              <w:rPr>
                <w:rFonts w:ascii="宋体"/>
                <w:vanish/>
              </w:rPr>
            </w:pPr>
          </w:p>
        </w:tc>
        <w:tc>
          <w:tcPr>
            <w:tcW w:w="0" w:type="auto"/>
            <w:gridSpan w:val="3"/>
            <w:shd w:val="clear" w:color="auto" w:fill="auto"/>
            <w:vAlign w:val="bottom"/>
          </w:tcPr>
          <w:p w14:paraId="67534263" w14:textId="77777777" w:rsidR="001B77DD" w:rsidRDefault="001B77DD">
            <w:pPr>
              <w:rPr>
                <w:rFonts w:ascii="宋体"/>
                <w:vanish/>
              </w:rPr>
            </w:pPr>
          </w:p>
        </w:tc>
        <w:tc>
          <w:tcPr>
            <w:tcW w:w="0" w:type="auto"/>
            <w:gridSpan w:val="3"/>
            <w:shd w:val="clear" w:color="auto" w:fill="auto"/>
            <w:vAlign w:val="bottom"/>
          </w:tcPr>
          <w:p w14:paraId="67534264" w14:textId="77777777" w:rsidR="001B77DD" w:rsidRDefault="001B77DD">
            <w:pPr>
              <w:rPr>
                <w:rFonts w:ascii="宋体"/>
                <w:vanish/>
              </w:rPr>
            </w:pPr>
          </w:p>
        </w:tc>
        <w:tc>
          <w:tcPr>
            <w:tcW w:w="0" w:type="auto"/>
            <w:gridSpan w:val="3"/>
            <w:shd w:val="clear" w:color="auto" w:fill="auto"/>
            <w:vAlign w:val="bottom"/>
          </w:tcPr>
          <w:p w14:paraId="67534265" w14:textId="77777777" w:rsidR="001B77DD" w:rsidRDefault="001B77DD">
            <w:pPr>
              <w:rPr>
                <w:rFonts w:ascii="宋体"/>
                <w:vanish/>
              </w:rPr>
            </w:pPr>
          </w:p>
        </w:tc>
        <w:tc>
          <w:tcPr>
            <w:tcW w:w="0" w:type="auto"/>
            <w:shd w:val="clear" w:color="auto" w:fill="auto"/>
            <w:vAlign w:val="bottom"/>
          </w:tcPr>
          <w:p w14:paraId="67534266" w14:textId="77777777" w:rsidR="001B77DD" w:rsidRDefault="001B77DD">
            <w:pPr>
              <w:rPr>
                <w:rFonts w:ascii="宋体"/>
              </w:rPr>
            </w:pPr>
          </w:p>
        </w:tc>
        <w:tc>
          <w:tcPr>
            <w:tcW w:w="0" w:type="auto"/>
            <w:shd w:val="clear" w:color="auto" w:fill="auto"/>
            <w:vAlign w:val="bottom"/>
          </w:tcPr>
          <w:p w14:paraId="67534267" w14:textId="77777777" w:rsidR="001B77DD" w:rsidRDefault="001B77DD">
            <w:pPr>
              <w:rPr>
                <w:rFonts w:ascii="宋体"/>
              </w:rPr>
            </w:pPr>
          </w:p>
        </w:tc>
        <w:tc>
          <w:tcPr>
            <w:tcW w:w="0" w:type="auto"/>
            <w:shd w:val="clear" w:color="auto" w:fill="auto"/>
            <w:vAlign w:val="bottom"/>
          </w:tcPr>
          <w:p w14:paraId="67534268" w14:textId="77777777" w:rsidR="001B77DD" w:rsidRDefault="001B77DD">
            <w:pPr>
              <w:rPr>
                <w:rFonts w:ascii="宋体"/>
              </w:rPr>
            </w:pPr>
          </w:p>
        </w:tc>
        <w:tc>
          <w:tcPr>
            <w:tcW w:w="0" w:type="auto"/>
            <w:shd w:val="clear" w:color="auto" w:fill="auto"/>
            <w:vAlign w:val="bottom"/>
          </w:tcPr>
          <w:p w14:paraId="67534269" w14:textId="77777777" w:rsidR="001B77DD" w:rsidRDefault="001B77DD">
            <w:pPr>
              <w:rPr>
                <w:rFonts w:ascii="宋体"/>
              </w:rPr>
            </w:pPr>
          </w:p>
        </w:tc>
        <w:tc>
          <w:tcPr>
            <w:tcW w:w="0" w:type="auto"/>
            <w:shd w:val="clear" w:color="auto" w:fill="auto"/>
            <w:vAlign w:val="bottom"/>
          </w:tcPr>
          <w:p w14:paraId="6753426A" w14:textId="77777777" w:rsidR="001B77DD" w:rsidRDefault="001B77DD">
            <w:pPr>
              <w:rPr>
                <w:rFonts w:ascii="宋体"/>
              </w:rPr>
            </w:pPr>
          </w:p>
        </w:tc>
        <w:tc>
          <w:tcPr>
            <w:tcW w:w="0" w:type="auto"/>
            <w:shd w:val="clear" w:color="auto" w:fill="auto"/>
            <w:vAlign w:val="bottom"/>
          </w:tcPr>
          <w:p w14:paraId="6753426B" w14:textId="77777777" w:rsidR="001B77DD" w:rsidRDefault="001B77DD">
            <w:pPr>
              <w:rPr>
                <w:rFonts w:ascii="宋体"/>
              </w:rPr>
            </w:pPr>
          </w:p>
        </w:tc>
        <w:tc>
          <w:tcPr>
            <w:tcW w:w="0" w:type="auto"/>
            <w:shd w:val="clear" w:color="auto" w:fill="auto"/>
            <w:vAlign w:val="bottom"/>
          </w:tcPr>
          <w:p w14:paraId="6753426C" w14:textId="77777777" w:rsidR="001B77DD" w:rsidRDefault="001B77DD">
            <w:pPr>
              <w:rPr>
                <w:rFonts w:ascii="宋体"/>
              </w:rPr>
            </w:pPr>
          </w:p>
        </w:tc>
        <w:tc>
          <w:tcPr>
            <w:tcW w:w="0" w:type="auto"/>
            <w:shd w:val="clear" w:color="auto" w:fill="auto"/>
            <w:vAlign w:val="bottom"/>
          </w:tcPr>
          <w:p w14:paraId="6753426D" w14:textId="77777777" w:rsidR="001B77DD" w:rsidRDefault="001B77DD">
            <w:pPr>
              <w:rPr>
                <w:rFonts w:ascii="宋体"/>
              </w:rPr>
            </w:pPr>
          </w:p>
        </w:tc>
        <w:tc>
          <w:tcPr>
            <w:tcW w:w="0" w:type="auto"/>
            <w:shd w:val="clear" w:color="auto" w:fill="auto"/>
            <w:vAlign w:val="bottom"/>
          </w:tcPr>
          <w:p w14:paraId="6753426E" w14:textId="77777777" w:rsidR="001B77DD" w:rsidRDefault="001B77DD">
            <w:pPr>
              <w:rPr>
                <w:rFonts w:ascii="宋体"/>
              </w:rPr>
            </w:pPr>
          </w:p>
        </w:tc>
        <w:tc>
          <w:tcPr>
            <w:tcW w:w="0" w:type="auto"/>
            <w:shd w:val="clear" w:color="auto" w:fill="auto"/>
            <w:vAlign w:val="bottom"/>
          </w:tcPr>
          <w:p w14:paraId="6753426F" w14:textId="77777777" w:rsidR="001B77DD" w:rsidRDefault="001B77DD">
            <w:pPr>
              <w:rPr>
                <w:rFonts w:ascii="宋体"/>
              </w:rPr>
            </w:pPr>
          </w:p>
        </w:tc>
        <w:tc>
          <w:tcPr>
            <w:tcW w:w="0" w:type="auto"/>
            <w:shd w:val="clear" w:color="auto" w:fill="auto"/>
            <w:vAlign w:val="bottom"/>
          </w:tcPr>
          <w:p w14:paraId="67534270" w14:textId="77777777" w:rsidR="001B77DD" w:rsidRDefault="001B77DD">
            <w:pPr>
              <w:rPr>
                <w:rFonts w:ascii="宋体"/>
              </w:rPr>
            </w:pPr>
          </w:p>
        </w:tc>
        <w:tc>
          <w:tcPr>
            <w:tcW w:w="0" w:type="auto"/>
            <w:shd w:val="clear" w:color="auto" w:fill="auto"/>
            <w:vAlign w:val="bottom"/>
          </w:tcPr>
          <w:p w14:paraId="67534271" w14:textId="77777777" w:rsidR="001B77DD" w:rsidRDefault="001B77DD">
            <w:pPr>
              <w:rPr>
                <w:rFonts w:ascii="宋体"/>
              </w:rPr>
            </w:pPr>
          </w:p>
        </w:tc>
      </w:tr>
      <w:tr w:rsidR="001B77DD" w14:paraId="67534285" w14:textId="77777777">
        <w:trPr>
          <w:hidden/>
        </w:trPr>
        <w:tc>
          <w:tcPr>
            <w:tcW w:w="0" w:type="auto"/>
            <w:gridSpan w:val="3"/>
            <w:shd w:val="clear" w:color="auto" w:fill="auto"/>
            <w:vAlign w:val="bottom"/>
          </w:tcPr>
          <w:p w14:paraId="67534273" w14:textId="77777777" w:rsidR="001B77DD" w:rsidRDefault="001B77DD">
            <w:pPr>
              <w:rPr>
                <w:rFonts w:ascii="宋体"/>
                <w:vanish/>
              </w:rPr>
            </w:pPr>
          </w:p>
        </w:tc>
        <w:tc>
          <w:tcPr>
            <w:tcW w:w="0" w:type="auto"/>
            <w:gridSpan w:val="3"/>
            <w:shd w:val="clear" w:color="auto" w:fill="auto"/>
            <w:vAlign w:val="bottom"/>
          </w:tcPr>
          <w:p w14:paraId="67534274" w14:textId="77777777" w:rsidR="001B77DD" w:rsidRDefault="001B77DD">
            <w:pPr>
              <w:rPr>
                <w:rFonts w:ascii="宋体"/>
                <w:vanish/>
              </w:rPr>
            </w:pPr>
          </w:p>
        </w:tc>
        <w:tc>
          <w:tcPr>
            <w:tcW w:w="0" w:type="auto"/>
            <w:shd w:val="clear" w:color="auto" w:fill="auto"/>
            <w:vAlign w:val="bottom"/>
          </w:tcPr>
          <w:p w14:paraId="67534275" w14:textId="77777777" w:rsidR="001B77DD" w:rsidRDefault="001B77DD">
            <w:pPr>
              <w:rPr>
                <w:rFonts w:ascii="宋体"/>
                <w:vanish/>
              </w:rPr>
            </w:pPr>
          </w:p>
        </w:tc>
        <w:tc>
          <w:tcPr>
            <w:tcW w:w="0" w:type="auto"/>
            <w:gridSpan w:val="3"/>
            <w:shd w:val="clear" w:color="auto" w:fill="auto"/>
            <w:vAlign w:val="bottom"/>
          </w:tcPr>
          <w:p w14:paraId="67534276" w14:textId="77777777" w:rsidR="001B77DD" w:rsidRDefault="001B77DD">
            <w:pPr>
              <w:rPr>
                <w:rFonts w:ascii="宋体"/>
                <w:vanish/>
              </w:rPr>
            </w:pPr>
          </w:p>
        </w:tc>
        <w:tc>
          <w:tcPr>
            <w:tcW w:w="0" w:type="auto"/>
            <w:gridSpan w:val="3"/>
            <w:shd w:val="clear" w:color="auto" w:fill="auto"/>
            <w:vAlign w:val="bottom"/>
          </w:tcPr>
          <w:p w14:paraId="67534277" w14:textId="77777777" w:rsidR="001B77DD" w:rsidRDefault="001B77DD">
            <w:pPr>
              <w:rPr>
                <w:rFonts w:ascii="宋体"/>
                <w:vanish/>
              </w:rPr>
            </w:pPr>
          </w:p>
        </w:tc>
        <w:tc>
          <w:tcPr>
            <w:tcW w:w="0" w:type="auto"/>
            <w:gridSpan w:val="3"/>
            <w:shd w:val="clear" w:color="auto" w:fill="auto"/>
            <w:vAlign w:val="bottom"/>
          </w:tcPr>
          <w:p w14:paraId="67534278" w14:textId="77777777" w:rsidR="001B77DD" w:rsidRDefault="001B77DD">
            <w:pPr>
              <w:rPr>
                <w:rFonts w:ascii="宋体"/>
                <w:vanish/>
              </w:rPr>
            </w:pPr>
          </w:p>
        </w:tc>
        <w:tc>
          <w:tcPr>
            <w:tcW w:w="0" w:type="auto"/>
            <w:shd w:val="clear" w:color="auto" w:fill="auto"/>
            <w:vAlign w:val="bottom"/>
          </w:tcPr>
          <w:p w14:paraId="67534279" w14:textId="77777777" w:rsidR="001B77DD" w:rsidRDefault="001B77DD">
            <w:pPr>
              <w:rPr>
                <w:rFonts w:ascii="宋体"/>
              </w:rPr>
            </w:pPr>
          </w:p>
        </w:tc>
        <w:tc>
          <w:tcPr>
            <w:tcW w:w="0" w:type="auto"/>
            <w:shd w:val="clear" w:color="auto" w:fill="auto"/>
            <w:vAlign w:val="bottom"/>
          </w:tcPr>
          <w:p w14:paraId="6753427A" w14:textId="77777777" w:rsidR="001B77DD" w:rsidRDefault="001B77DD">
            <w:pPr>
              <w:rPr>
                <w:rFonts w:ascii="宋体"/>
              </w:rPr>
            </w:pPr>
          </w:p>
        </w:tc>
        <w:tc>
          <w:tcPr>
            <w:tcW w:w="0" w:type="auto"/>
            <w:shd w:val="clear" w:color="auto" w:fill="auto"/>
            <w:vAlign w:val="bottom"/>
          </w:tcPr>
          <w:p w14:paraId="6753427B" w14:textId="77777777" w:rsidR="001B77DD" w:rsidRDefault="001B77DD">
            <w:pPr>
              <w:rPr>
                <w:rFonts w:ascii="宋体"/>
              </w:rPr>
            </w:pPr>
          </w:p>
        </w:tc>
        <w:tc>
          <w:tcPr>
            <w:tcW w:w="0" w:type="auto"/>
            <w:shd w:val="clear" w:color="auto" w:fill="auto"/>
            <w:vAlign w:val="bottom"/>
          </w:tcPr>
          <w:p w14:paraId="6753427C" w14:textId="77777777" w:rsidR="001B77DD" w:rsidRDefault="001B77DD">
            <w:pPr>
              <w:rPr>
                <w:rFonts w:ascii="宋体"/>
              </w:rPr>
            </w:pPr>
          </w:p>
        </w:tc>
        <w:tc>
          <w:tcPr>
            <w:tcW w:w="0" w:type="auto"/>
            <w:shd w:val="clear" w:color="auto" w:fill="auto"/>
            <w:vAlign w:val="bottom"/>
          </w:tcPr>
          <w:p w14:paraId="6753427D" w14:textId="77777777" w:rsidR="001B77DD" w:rsidRDefault="001B77DD">
            <w:pPr>
              <w:rPr>
                <w:rFonts w:ascii="宋体"/>
              </w:rPr>
            </w:pPr>
          </w:p>
        </w:tc>
        <w:tc>
          <w:tcPr>
            <w:tcW w:w="0" w:type="auto"/>
            <w:shd w:val="clear" w:color="auto" w:fill="auto"/>
            <w:vAlign w:val="bottom"/>
          </w:tcPr>
          <w:p w14:paraId="6753427E" w14:textId="77777777" w:rsidR="001B77DD" w:rsidRDefault="001B77DD">
            <w:pPr>
              <w:rPr>
                <w:rFonts w:ascii="宋体"/>
              </w:rPr>
            </w:pPr>
          </w:p>
        </w:tc>
        <w:tc>
          <w:tcPr>
            <w:tcW w:w="0" w:type="auto"/>
            <w:shd w:val="clear" w:color="auto" w:fill="auto"/>
            <w:vAlign w:val="bottom"/>
          </w:tcPr>
          <w:p w14:paraId="6753427F" w14:textId="77777777" w:rsidR="001B77DD" w:rsidRDefault="001B77DD">
            <w:pPr>
              <w:rPr>
                <w:rFonts w:ascii="宋体"/>
              </w:rPr>
            </w:pPr>
          </w:p>
        </w:tc>
        <w:tc>
          <w:tcPr>
            <w:tcW w:w="0" w:type="auto"/>
            <w:shd w:val="clear" w:color="auto" w:fill="auto"/>
            <w:vAlign w:val="bottom"/>
          </w:tcPr>
          <w:p w14:paraId="67534280" w14:textId="77777777" w:rsidR="001B77DD" w:rsidRDefault="001B77DD">
            <w:pPr>
              <w:rPr>
                <w:rFonts w:ascii="宋体"/>
              </w:rPr>
            </w:pPr>
          </w:p>
        </w:tc>
        <w:tc>
          <w:tcPr>
            <w:tcW w:w="0" w:type="auto"/>
            <w:shd w:val="clear" w:color="auto" w:fill="auto"/>
            <w:vAlign w:val="bottom"/>
          </w:tcPr>
          <w:p w14:paraId="67534281" w14:textId="77777777" w:rsidR="001B77DD" w:rsidRDefault="001B77DD">
            <w:pPr>
              <w:rPr>
                <w:rFonts w:ascii="宋体"/>
              </w:rPr>
            </w:pPr>
          </w:p>
        </w:tc>
        <w:tc>
          <w:tcPr>
            <w:tcW w:w="0" w:type="auto"/>
            <w:shd w:val="clear" w:color="auto" w:fill="auto"/>
            <w:vAlign w:val="bottom"/>
          </w:tcPr>
          <w:p w14:paraId="67534282" w14:textId="77777777" w:rsidR="001B77DD" w:rsidRDefault="001B77DD">
            <w:pPr>
              <w:rPr>
                <w:rFonts w:ascii="宋体"/>
              </w:rPr>
            </w:pPr>
          </w:p>
        </w:tc>
        <w:tc>
          <w:tcPr>
            <w:tcW w:w="0" w:type="auto"/>
            <w:shd w:val="clear" w:color="auto" w:fill="auto"/>
            <w:vAlign w:val="bottom"/>
          </w:tcPr>
          <w:p w14:paraId="67534283" w14:textId="77777777" w:rsidR="001B77DD" w:rsidRDefault="001B77DD">
            <w:pPr>
              <w:rPr>
                <w:rFonts w:ascii="宋体"/>
              </w:rPr>
            </w:pPr>
          </w:p>
        </w:tc>
        <w:tc>
          <w:tcPr>
            <w:tcW w:w="0" w:type="auto"/>
            <w:shd w:val="clear" w:color="auto" w:fill="auto"/>
            <w:vAlign w:val="bottom"/>
          </w:tcPr>
          <w:p w14:paraId="67534284" w14:textId="77777777" w:rsidR="001B77DD" w:rsidRDefault="001B77DD">
            <w:pPr>
              <w:rPr>
                <w:rFonts w:ascii="宋体"/>
              </w:rPr>
            </w:pPr>
          </w:p>
        </w:tc>
      </w:tr>
      <w:tr w:rsidR="001B77DD" w14:paraId="6753428B" w14:textId="77777777">
        <w:trPr>
          <w:trHeight w:val="240"/>
        </w:trPr>
        <w:tc>
          <w:tcPr>
            <w:tcW w:w="0" w:type="auto"/>
            <w:gridSpan w:val="6"/>
            <w:tcBorders>
              <w:bottom w:val="single" w:sz="4" w:space="0" w:color="262626"/>
            </w:tcBorders>
            <w:shd w:val="clear" w:color="auto" w:fill="auto"/>
            <w:tcMar>
              <w:top w:w="40" w:type="dxa"/>
              <w:left w:w="20" w:type="dxa"/>
              <w:bottom w:w="40" w:type="dxa"/>
              <w:right w:w="20" w:type="dxa"/>
            </w:tcMar>
            <w:vAlign w:val="center"/>
          </w:tcPr>
          <w:p w14:paraId="67534286" w14:textId="77777777" w:rsidR="001B77DD" w:rsidRDefault="00BF0A28">
            <w:pPr>
              <w:textAlignment w:val="center"/>
            </w:pPr>
            <w:r>
              <w:rPr>
                <w:rFonts w:ascii="Arial" w:eastAsia="宋体" w:hAnsi="Arial" w:cs="Arial"/>
                <w:color w:val="0068B5"/>
                <w:sz w:val="20"/>
                <w:szCs w:val="20"/>
              </w:rPr>
              <w:t>% Intel Revenue</w:t>
            </w:r>
          </w:p>
        </w:tc>
        <w:tc>
          <w:tcPr>
            <w:tcW w:w="0" w:type="auto"/>
            <w:shd w:val="clear" w:color="auto" w:fill="auto"/>
            <w:vAlign w:val="bottom"/>
          </w:tcPr>
          <w:p w14:paraId="67534287"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88" w14:textId="77777777" w:rsidR="001B77DD" w:rsidRDefault="001B77DD">
            <w:pPr>
              <w:rPr>
                <w:rFonts w:ascii="宋体"/>
              </w:rPr>
            </w:pPr>
          </w:p>
        </w:tc>
        <w:tc>
          <w:tcPr>
            <w:tcW w:w="0" w:type="auto"/>
            <w:gridSpan w:val="15"/>
            <w:tcBorders>
              <w:bottom w:val="single" w:sz="4" w:space="0" w:color="262626"/>
            </w:tcBorders>
            <w:shd w:val="clear" w:color="auto" w:fill="auto"/>
            <w:tcMar>
              <w:top w:w="40" w:type="dxa"/>
              <w:left w:w="20" w:type="dxa"/>
              <w:bottom w:w="40" w:type="dxa"/>
              <w:right w:w="20" w:type="dxa"/>
            </w:tcMar>
            <w:vAlign w:val="center"/>
          </w:tcPr>
          <w:p w14:paraId="67534289" w14:textId="77777777" w:rsidR="001B77DD" w:rsidRDefault="00BF0A28">
            <w:pPr>
              <w:textAlignment w:val="center"/>
            </w:pPr>
            <w:r>
              <w:rPr>
                <w:rFonts w:ascii="Arial" w:eastAsia="宋体" w:hAnsi="Arial" w:cs="Arial"/>
                <w:color w:val="0068B5"/>
                <w:sz w:val="20"/>
                <w:szCs w:val="20"/>
              </w:rPr>
              <w:t>Key Markets and Products</w:t>
            </w:r>
          </w:p>
        </w:tc>
        <w:tc>
          <w:tcPr>
            <w:tcW w:w="0" w:type="auto"/>
            <w:gridSpan w:val="3"/>
            <w:shd w:val="clear" w:color="auto" w:fill="auto"/>
            <w:vAlign w:val="bottom"/>
          </w:tcPr>
          <w:p w14:paraId="6753428A" w14:textId="77777777" w:rsidR="001B77DD" w:rsidRDefault="001B77DD">
            <w:pPr>
              <w:rPr>
                <w:rFonts w:ascii="宋体"/>
                <w:vanish/>
              </w:rPr>
            </w:pPr>
          </w:p>
        </w:tc>
      </w:tr>
      <w:tr w:rsidR="001B77DD" w14:paraId="67534295" w14:textId="77777777">
        <w:trPr>
          <w:trHeight w:val="1540"/>
        </w:trPr>
        <w:tc>
          <w:tcPr>
            <w:tcW w:w="0" w:type="auto"/>
            <w:gridSpan w:val="6"/>
            <w:tcBorders>
              <w:top w:val="single" w:sz="4" w:space="0" w:color="262626"/>
            </w:tcBorders>
            <w:shd w:val="clear" w:color="auto" w:fill="auto"/>
            <w:tcMar>
              <w:top w:w="0" w:type="dxa"/>
              <w:left w:w="20" w:type="dxa"/>
              <w:bottom w:w="0" w:type="dxa"/>
              <w:right w:w="20" w:type="dxa"/>
            </w:tcMar>
            <w:vAlign w:val="bottom"/>
          </w:tcPr>
          <w:p w14:paraId="6753428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05" wp14:editId="67538E06">
                  <wp:extent cx="304800" cy="304800"/>
                  <wp:effectExtent l="0" t="0" r="0" b="0"/>
                  <wp:docPr id="51" name="图片 108"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428D"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8E"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753428F" w14:textId="77777777" w:rsidR="001B77DD" w:rsidRDefault="00BF0A28">
            <w:pPr>
              <w:textAlignment w:val="top"/>
            </w:pPr>
            <w:r>
              <w:rPr>
                <w:rFonts w:ascii="Arial" w:eastAsia="宋体" w:hAnsi="Arial" w:cs="Arial"/>
                <w:color w:val="262626"/>
                <w:sz w:val="18"/>
                <w:szCs w:val="18"/>
              </w:rPr>
              <w:t xml:space="preserve">Includes platforms designed for end-user form factors, focusing on higher growth segments of 2-in-1, </w:t>
            </w:r>
            <w:r>
              <w:rPr>
                <w:rFonts w:ascii="Arial" w:eastAsia="宋体" w:hAnsi="Arial" w:cs="Arial"/>
                <w:color w:val="262626"/>
                <w:sz w:val="18"/>
                <w:szCs w:val="18"/>
              </w:rPr>
              <w:t>thin-and-light, commercial and gaming, and growing adjacencies such as connectivity and graphics.</w:t>
            </w: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290" w14:textId="77777777" w:rsidR="001B77DD" w:rsidRDefault="001B77DD">
            <w:pPr>
              <w:rPr>
                <w:rFonts w:ascii="宋体"/>
              </w:rPr>
            </w:pPr>
          </w:p>
        </w:tc>
        <w:tc>
          <w:tcPr>
            <w:tcW w:w="0" w:type="auto"/>
            <w:gridSpan w:val="9"/>
            <w:tcBorders>
              <w:top w:val="single" w:sz="4" w:space="0" w:color="262626"/>
            </w:tcBorders>
            <w:shd w:val="clear" w:color="auto" w:fill="auto"/>
            <w:tcMar>
              <w:top w:w="0" w:type="dxa"/>
              <w:left w:w="20" w:type="dxa"/>
              <w:bottom w:w="0" w:type="dxa"/>
              <w:right w:w="20" w:type="dxa"/>
            </w:tcMar>
            <w:vAlign w:val="bottom"/>
          </w:tcPr>
          <w:p w14:paraId="67534291"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07" wp14:editId="67538E08">
                  <wp:extent cx="304800" cy="304800"/>
                  <wp:effectExtent l="0" t="0" r="0" b="0"/>
                  <wp:docPr id="47" name="图片 109"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9" descr="IMG_31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4292" w14:textId="77777777" w:rsidR="001B77DD" w:rsidRDefault="001B77DD">
            <w:pPr>
              <w:rPr>
                <w:rFonts w:ascii="宋体"/>
              </w:rPr>
            </w:pPr>
          </w:p>
        </w:tc>
        <w:tc>
          <w:tcPr>
            <w:tcW w:w="0" w:type="auto"/>
            <w:shd w:val="clear" w:color="auto" w:fill="auto"/>
            <w:vAlign w:val="bottom"/>
          </w:tcPr>
          <w:p w14:paraId="67534293" w14:textId="77777777" w:rsidR="001B77DD" w:rsidRDefault="001B77DD">
            <w:pPr>
              <w:rPr>
                <w:rFonts w:ascii="宋体"/>
              </w:rPr>
            </w:pPr>
          </w:p>
        </w:tc>
        <w:tc>
          <w:tcPr>
            <w:tcW w:w="0" w:type="auto"/>
            <w:shd w:val="clear" w:color="auto" w:fill="auto"/>
            <w:vAlign w:val="bottom"/>
          </w:tcPr>
          <w:p w14:paraId="67534294" w14:textId="77777777" w:rsidR="001B77DD" w:rsidRDefault="001B77DD">
            <w:pPr>
              <w:rPr>
                <w:rFonts w:ascii="宋体"/>
              </w:rPr>
            </w:pPr>
          </w:p>
        </w:tc>
      </w:tr>
      <w:tr w:rsidR="001B77DD" w14:paraId="675342A0" w14:textId="77777777">
        <w:trPr>
          <w:trHeight w:val="60"/>
        </w:trPr>
        <w:tc>
          <w:tcPr>
            <w:tcW w:w="0" w:type="auto"/>
            <w:gridSpan w:val="3"/>
            <w:shd w:val="clear" w:color="auto" w:fill="auto"/>
            <w:tcMar>
              <w:top w:w="0" w:type="dxa"/>
              <w:left w:w="20" w:type="dxa"/>
              <w:bottom w:w="0" w:type="dxa"/>
              <w:right w:w="20" w:type="dxa"/>
            </w:tcMar>
            <w:vAlign w:val="bottom"/>
          </w:tcPr>
          <w:p w14:paraId="6753429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97" w14:textId="77777777" w:rsidR="001B77DD" w:rsidRDefault="001B77DD">
            <w:pPr>
              <w:rPr>
                <w:rFonts w:ascii="宋体"/>
              </w:rPr>
            </w:pPr>
          </w:p>
        </w:tc>
        <w:tc>
          <w:tcPr>
            <w:tcW w:w="0" w:type="auto"/>
            <w:shd w:val="clear" w:color="auto" w:fill="auto"/>
            <w:vAlign w:val="bottom"/>
          </w:tcPr>
          <w:p w14:paraId="67534298"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9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9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9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9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9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9E" w14:textId="77777777" w:rsidR="001B77DD" w:rsidRDefault="001B77DD">
            <w:pPr>
              <w:rPr>
                <w:rFonts w:ascii="宋体"/>
              </w:rPr>
            </w:pPr>
          </w:p>
        </w:tc>
        <w:tc>
          <w:tcPr>
            <w:tcW w:w="0" w:type="auto"/>
            <w:gridSpan w:val="3"/>
            <w:shd w:val="clear" w:color="auto" w:fill="auto"/>
            <w:vAlign w:val="bottom"/>
          </w:tcPr>
          <w:p w14:paraId="6753429F" w14:textId="77777777" w:rsidR="001B77DD" w:rsidRDefault="001B77DD">
            <w:pPr>
              <w:rPr>
                <w:rFonts w:ascii="宋体"/>
                <w:vanish/>
              </w:rPr>
            </w:pPr>
          </w:p>
        </w:tc>
      </w:tr>
      <w:tr w:rsidR="001B77DD" w14:paraId="675342A8" w14:textId="77777777">
        <w:trPr>
          <w:trHeight w:val="1540"/>
        </w:trPr>
        <w:tc>
          <w:tcPr>
            <w:tcW w:w="0" w:type="auto"/>
            <w:gridSpan w:val="6"/>
            <w:shd w:val="clear" w:color="auto" w:fill="auto"/>
            <w:tcMar>
              <w:top w:w="0" w:type="dxa"/>
              <w:left w:w="20" w:type="dxa"/>
              <w:bottom w:w="0" w:type="dxa"/>
              <w:right w:w="20" w:type="dxa"/>
            </w:tcMar>
            <w:vAlign w:val="bottom"/>
          </w:tcPr>
          <w:p w14:paraId="675342A1"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09" wp14:editId="67538E0A">
                  <wp:extent cx="304800" cy="304800"/>
                  <wp:effectExtent l="0" t="0" r="0" b="0"/>
                  <wp:docPr id="52" name="图片 110"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0" descr="IMG_31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42A2"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A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2A4" w14:textId="77777777" w:rsidR="001B77DD" w:rsidRDefault="00BF0A28">
            <w:pPr>
              <w:textAlignment w:val="top"/>
            </w:pPr>
            <w:r>
              <w:rPr>
                <w:rFonts w:ascii="Arial" w:eastAsia="宋体" w:hAnsi="Arial" w:cs="Arial"/>
                <w:color w:val="262626"/>
                <w:sz w:val="18"/>
                <w:szCs w:val="18"/>
              </w:rPr>
              <w:t>Includes workload-optimized platforms and related products designed for cloud service providers, enterprise</w:t>
            </w:r>
            <w:r>
              <w:rPr>
                <w:rFonts w:ascii="Arial" w:eastAsia="宋体" w:hAnsi="Arial" w:cs="Arial"/>
                <w:color w:val="262626"/>
                <w:sz w:val="18"/>
                <w:szCs w:val="18"/>
              </w:rPr>
              <w:t xml:space="preserve"> and government, and communications service providers market segments. </w:t>
            </w:r>
          </w:p>
        </w:tc>
        <w:tc>
          <w:tcPr>
            <w:tcW w:w="0" w:type="auto"/>
            <w:gridSpan w:val="3"/>
            <w:shd w:val="clear" w:color="auto" w:fill="auto"/>
            <w:tcMar>
              <w:top w:w="0" w:type="dxa"/>
              <w:left w:w="20" w:type="dxa"/>
              <w:bottom w:w="0" w:type="dxa"/>
              <w:right w:w="20" w:type="dxa"/>
            </w:tcMar>
            <w:vAlign w:val="bottom"/>
          </w:tcPr>
          <w:p w14:paraId="675342A5" w14:textId="77777777" w:rsidR="001B77DD" w:rsidRDefault="001B77DD">
            <w:pPr>
              <w:rPr>
                <w:rFonts w:ascii="宋体"/>
              </w:rPr>
            </w:pPr>
          </w:p>
        </w:tc>
        <w:tc>
          <w:tcPr>
            <w:tcW w:w="0" w:type="auto"/>
            <w:gridSpan w:val="9"/>
            <w:shd w:val="clear" w:color="auto" w:fill="auto"/>
            <w:tcMar>
              <w:top w:w="0" w:type="dxa"/>
              <w:left w:w="20" w:type="dxa"/>
              <w:bottom w:w="0" w:type="dxa"/>
              <w:right w:w="20" w:type="dxa"/>
            </w:tcMar>
            <w:vAlign w:val="bottom"/>
          </w:tcPr>
          <w:p w14:paraId="675342A6"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0B" wp14:editId="67538E0C">
                  <wp:extent cx="304800" cy="304800"/>
                  <wp:effectExtent l="0" t="0" r="0" b="0"/>
                  <wp:docPr id="36" name="图片 111"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1" descr="IMG_31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vAlign w:val="bottom"/>
          </w:tcPr>
          <w:p w14:paraId="675342A7" w14:textId="77777777" w:rsidR="001B77DD" w:rsidRDefault="001B77DD">
            <w:pPr>
              <w:rPr>
                <w:rFonts w:ascii="宋体"/>
                <w:vanish/>
              </w:rPr>
            </w:pPr>
          </w:p>
        </w:tc>
      </w:tr>
      <w:tr w:rsidR="001B77DD" w14:paraId="675342B1" w14:textId="77777777">
        <w:trPr>
          <w:trHeight w:val="60"/>
        </w:trPr>
        <w:tc>
          <w:tcPr>
            <w:tcW w:w="0" w:type="auto"/>
            <w:gridSpan w:val="3"/>
            <w:shd w:val="clear" w:color="auto" w:fill="auto"/>
            <w:tcMar>
              <w:top w:w="0" w:type="dxa"/>
              <w:left w:w="20" w:type="dxa"/>
              <w:bottom w:w="0" w:type="dxa"/>
              <w:right w:w="20" w:type="dxa"/>
            </w:tcMar>
            <w:vAlign w:val="bottom"/>
          </w:tcPr>
          <w:p w14:paraId="675342A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AA" w14:textId="77777777" w:rsidR="001B77DD" w:rsidRDefault="001B77DD">
            <w:pPr>
              <w:rPr>
                <w:rFonts w:ascii="宋体"/>
              </w:rPr>
            </w:pPr>
          </w:p>
        </w:tc>
        <w:tc>
          <w:tcPr>
            <w:tcW w:w="0" w:type="auto"/>
            <w:shd w:val="clear" w:color="auto" w:fill="auto"/>
            <w:vAlign w:val="bottom"/>
          </w:tcPr>
          <w:p w14:paraId="675342AB"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AC" w14:textId="77777777" w:rsidR="001B77DD" w:rsidRDefault="001B77DD">
            <w:pPr>
              <w:rPr>
                <w:rFonts w:ascii="宋体"/>
              </w:rPr>
            </w:pPr>
          </w:p>
        </w:tc>
        <w:tc>
          <w:tcPr>
            <w:tcW w:w="0" w:type="auto"/>
            <w:gridSpan w:val="9"/>
            <w:shd w:val="clear" w:color="auto" w:fill="auto"/>
            <w:tcMar>
              <w:top w:w="0" w:type="dxa"/>
              <w:left w:w="20" w:type="dxa"/>
              <w:bottom w:w="0" w:type="dxa"/>
              <w:right w:w="20" w:type="dxa"/>
            </w:tcMar>
            <w:vAlign w:val="bottom"/>
          </w:tcPr>
          <w:p w14:paraId="675342A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A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AF" w14:textId="77777777" w:rsidR="001B77DD" w:rsidRDefault="001B77DD">
            <w:pPr>
              <w:rPr>
                <w:rFonts w:ascii="宋体"/>
              </w:rPr>
            </w:pPr>
          </w:p>
        </w:tc>
        <w:tc>
          <w:tcPr>
            <w:tcW w:w="0" w:type="auto"/>
            <w:gridSpan w:val="3"/>
            <w:shd w:val="clear" w:color="auto" w:fill="auto"/>
            <w:vAlign w:val="bottom"/>
          </w:tcPr>
          <w:p w14:paraId="675342B0" w14:textId="77777777" w:rsidR="001B77DD" w:rsidRDefault="001B77DD">
            <w:pPr>
              <w:rPr>
                <w:rFonts w:ascii="宋体"/>
                <w:vanish/>
              </w:rPr>
            </w:pPr>
          </w:p>
        </w:tc>
      </w:tr>
      <w:tr w:rsidR="001B77DD" w14:paraId="675342B9" w14:textId="77777777">
        <w:trPr>
          <w:trHeight w:val="1540"/>
        </w:trPr>
        <w:tc>
          <w:tcPr>
            <w:tcW w:w="0" w:type="auto"/>
            <w:gridSpan w:val="6"/>
            <w:shd w:val="clear" w:color="auto" w:fill="auto"/>
            <w:tcMar>
              <w:top w:w="0" w:type="dxa"/>
              <w:left w:w="20" w:type="dxa"/>
              <w:bottom w:w="0" w:type="dxa"/>
              <w:right w:w="20" w:type="dxa"/>
            </w:tcMar>
            <w:vAlign w:val="bottom"/>
          </w:tcPr>
          <w:p w14:paraId="675342B2"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0D" wp14:editId="67538E0E">
                  <wp:extent cx="304800" cy="304800"/>
                  <wp:effectExtent l="0" t="0" r="0" b="0"/>
                  <wp:docPr id="53" name="图片 112"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IMG_31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42B3"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B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2B5" w14:textId="77777777" w:rsidR="001B77DD" w:rsidRDefault="00BF0A28">
            <w:pPr>
              <w:spacing w:after="180"/>
              <w:textAlignment w:val="top"/>
            </w:pPr>
            <w:r>
              <w:rPr>
                <w:rFonts w:ascii="Arial" w:eastAsia="宋体" w:hAnsi="Arial" w:cs="Arial"/>
                <w:color w:val="262626"/>
                <w:sz w:val="18"/>
                <w:szCs w:val="18"/>
              </w:rPr>
              <w:t>Includes high-performance compute solutions for targeted verticals and embedded applications in market segm</w:t>
            </w:r>
            <w:r>
              <w:rPr>
                <w:rFonts w:ascii="Arial" w:eastAsia="宋体" w:hAnsi="Arial" w:cs="Arial"/>
                <w:color w:val="262626"/>
                <w:sz w:val="18"/>
                <w:szCs w:val="18"/>
              </w:rPr>
              <w:t>ents such as retail, industrial, and healthcare.</w:t>
            </w:r>
          </w:p>
        </w:tc>
        <w:tc>
          <w:tcPr>
            <w:tcW w:w="0" w:type="auto"/>
            <w:gridSpan w:val="3"/>
            <w:shd w:val="clear" w:color="auto" w:fill="auto"/>
            <w:tcMar>
              <w:top w:w="0" w:type="dxa"/>
              <w:left w:w="20" w:type="dxa"/>
              <w:bottom w:w="0" w:type="dxa"/>
              <w:right w:w="20" w:type="dxa"/>
            </w:tcMar>
            <w:vAlign w:val="bottom"/>
          </w:tcPr>
          <w:p w14:paraId="675342B6" w14:textId="77777777" w:rsidR="001B77DD" w:rsidRDefault="001B77DD">
            <w:pPr>
              <w:rPr>
                <w:rFonts w:ascii="宋体"/>
              </w:rPr>
            </w:pPr>
          </w:p>
        </w:tc>
        <w:tc>
          <w:tcPr>
            <w:tcW w:w="0" w:type="auto"/>
            <w:gridSpan w:val="9"/>
            <w:shd w:val="clear" w:color="auto" w:fill="auto"/>
            <w:tcMar>
              <w:top w:w="0" w:type="dxa"/>
              <w:left w:w="20" w:type="dxa"/>
              <w:bottom w:w="0" w:type="dxa"/>
              <w:right w:w="20" w:type="dxa"/>
            </w:tcMar>
            <w:vAlign w:val="bottom"/>
          </w:tcPr>
          <w:p w14:paraId="675342B7"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0F" wp14:editId="67538E10">
                  <wp:extent cx="304800" cy="304800"/>
                  <wp:effectExtent l="0" t="0" r="0" b="0"/>
                  <wp:docPr id="54" name="图片 113"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IMG_31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vAlign w:val="bottom"/>
          </w:tcPr>
          <w:p w14:paraId="675342B8" w14:textId="77777777" w:rsidR="001B77DD" w:rsidRDefault="001B77DD">
            <w:pPr>
              <w:rPr>
                <w:rFonts w:ascii="宋体"/>
                <w:vanish/>
              </w:rPr>
            </w:pPr>
          </w:p>
        </w:tc>
      </w:tr>
      <w:tr w:rsidR="001B77DD" w14:paraId="675342C4" w14:textId="77777777">
        <w:trPr>
          <w:trHeight w:val="60"/>
        </w:trPr>
        <w:tc>
          <w:tcPr>
            <w:tcW w:w="0" w:type="auto"/>
            <w:gridSpan w:val="3"/>
            <w:shd w:val="clear" w:color="auto" w:fill="auto"/>
            <w:tcMar>
              <w:top w:w="0" w:type="dxa"/>
              <w:left w:w="20" w:type="dxa"/>
              <w:bottom w:w="0" w:type="dxa"/>
              <w:right w:w="20" w:type="dxa"/>
            </w:tcMar>
            <w:vAlign w:val="bottom"/>
          </w:tcPr>
          <w:p w14:paraId="675342B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BB" w14:textId="77777777" w:rsidR="001B77DD" w:rsidRDefault="001B77DD">
            <w:pPr>
              <w:rPr>
                <w:rFonts w:ascii="宋体"/>
              </w:rPr>
            </w:pPr>
          </w:p>
        </w:tc>
        <w:tc>
          <w:tcPr>
            <w:tcW w:w="0" w:type="auto"/>
            <w:shd w:val="clear" w:color="auto" w:fill="auto"/>
            <w:vAlign w:val="bottom"/>
          </w:tcPr>
          <w:p w14:paraId="675342BC"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B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B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B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C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C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C2" w14:textId="77777777" w:rsidR="001B77DD" w:rsidRDefault="001B77DD">
            <w:pPr>
              <w:rPr>
                <w:rFonts w:ascii="宋体"/>
              </w:rPr>
            </w:pPr>
          </w:p>
        </w:tc>
        <w:tc>
          <w:tcPr>
            <w:tcW w:w="0" w:type="auto"/>
            <w:gridSpan w:val="3"/>
            <w:shd w:val="clear" w:color="auto" w:fill="auto"/>
            <w:vAlign w:val="bottom"/>
          </w:tcPr>
          <w:p w14:paraId="675342C3" w14:textId="77777777" w:rsidR="001B77DD" w:rsidRDefault="001B77DD">
            <w:pPr>
              <w:rPr>
                <w:rFonts w:ascii="宋体"/>
                <w:vanish/>
              </w:rPr>
            </w:pPr>
          </w:p>
        </w:tc>
      </w:tr>
      <w:tr w:rsidR="001B77DD" w14:paraId="675342CC" w14:textId="77777777">
        <w:trPr>
          <w:trHeight w:val="2220"/>
        </w:trPr>
        <w:tc>
          <w:tcPr>
            <w:tcW w:w="0" w:type="auto"/>
            <w:gridSpan w:val="6"/>
            <w:shd w:val="clear" w:color="auto" w:fill="auto"/>
            <w:tcMar>
              <w:top w:w="0" w:type="dxa"/>
              <w:left w:w="20" w:type="dxa"/>
              <w:bottom w:w="0" w:type="dxa"/>
              <w:right w:w="20" w:type="dxa"/>
            </w:tcMar>
            <w:vAlign w:val="bottom"/>
          </w:tcPr>
          <w:p w14:paraId="675342C5"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11" wp14:editId="67538E12">
                  <wp:extent cx="304800" cy="304800"/>
                  <wp:effectExtent l="0" t="0" r="0" b="0"/>
                  <wp:docPr id="39" name="图片 114"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4" descr="IMG_31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42C6"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C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2C8" w14:textId="77777777" w:rsidR="001B77DD" w:rsidRDefault="00BF0A28">
            <w:pPr>
              <w:textAlignment w:val="top"/>
            </w:pPr>
            <w:r>
              <w:rPr>
                <w:rFonts w:ascii="Arial" w:eastAsia="宋体" w:hAnsi="Arial" w:cs="Arial"/>
                <w:color w:val="262626"/>
                <w:sz w:val="18"/>
                <w:szCs w:val="18"/>
              </w:rPr>
              <w:t>Includes comprehensive solutions required for autonomous driving, including compute platforms, computer vis</w:t>
            </w:r>
            <w:r>
              <w:rPr>
                <w:rFonts w:ascii="Arial" w:eastAsia="宋体" w:hAnsi="Arial" w:cs="Arial"/>
                <w:color w:val="262626"/>
                <w:sz w:val="18"/>
                <w:szCs w:val="18"/>
              </w:rPr>
              <w:t>ion, and machine learning-based sensing, mapping and localization, driving policy, and active sensors in development, utilized for both Robotaxi and consumer level autonomy.</w:t>
            </w:r>
          </w:p>
        </w:tc>
        <w:tc>
          <w:tcPr>
            <w:tcW w:w="0" w:type="auto"/>
            <w:gridSpan w:val="3"/>
            <w:shd w:val="clear" w:color="auto" w:fill="auto"/>
            <w:tcMar>
              <w:top w:w="0" w:type="dxa"/>
              <w:left w:w="20" w:type="dxa"/>
              <w:bottom w:w="0" w:type="dxa"/>
              <w:right w:w="20" w:type="dxa"/>
            </w:tcMar>
            <w:vAlign w:val="bottom"/>
          </w:tcPr>
          <w:p w14:paraId="675342C9" w14:textId="77777777" w:rsidR="001B77DD" w:rsidRDefault="001B77DD">
            <w:pPr>
              <w:rPr>
                <w:rFonts w:ascii="宋体"/>
              </w:rPr>
            </w:pPr>
          </w:p>
        </w:tc>
        <w:tc>
          <w:tcPr>
            <w:tcW w:w="0" w:type="auto"/>
            <w:gridSpan w:val="9"/>
            <w:shd w:val="clear" w:color="auto" w:fill="auto"/>
            <w:tcMar>
              <w:top w:w="0" w:type="dxa"/>
              <w:left w:w="20" w:type="dxa"/>
              <w:bottom w:w="0" w:type="dxa"/>
              <w:right w:w="20" w:type="dxa"/>
            </w:tcMar>
            <w:vAlign w:val="bottom"/>
          </w:tcPr>
          <w:p w14:paraId="675342C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w:instrText>
            </w:r>
            <w:r>
              <w:rPr>
                <w:rFonts w:ascii="宋体" w:eastAsia="宋体" w:hAnsi="宋体" w:cs="宋体"/>
              </w:rPr>
              <w:instrText xml:space="preserve">XBRL Viewer4_files/intc-20211225_g47.jpg"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13" wp14:editId="67538E14">
                  <wp:extent cx="304800" cy="304800"/>
                  <wp:effectExtent l="0" t="0" r="0" b="0"/>
                  <wp:docPr id="44" name="图片 115"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5"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vAlign w:val="bottom"/>
          </w:tcPr>
          <w:p w14:paraId="675342CB" w14:textId="77777777" w:rsidR="001B77DD" w:rsidRDefault="001B77DD">
            <w:pPr>
              <w:rPr>
                <w:rFonts w:ascii="宋体"/>
                <w:vanish/>
              </w:rPr>
            </w:pPr>
          </w:p>
        </w:tc>
      </w:tr>
      <w:tr w:rsidR="001B77DD" w14:paraId="675342D7" w14:textId="77777777">
        <w:trPr>
          <w:trHeight w:val="60"/>
        </w:trPr>
        <w:tc>
          <w:tcPr>
            <w:tcW w:w="0" w:type="auto"/>
            <w:gridSpan w:val="3"/>
            <w:shd w:val="clear" w:color="auto" w:fill="auto"/>
            <w:tcMar>
              <w:top w:w="0" w:type="dxa"/>
              <w:left w:w="20" w:type="dxa"/>
              <w:bottom w:w="0" w:type="dxa"/>
              <w:right w:w="20" w:type="dxa"/>
            </w:tcMar>
            <w:vAlign w:val="bottom"/>
          </w:tcPr>
          <w:p w14:paraId="675342C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CE" w14:textId="77777777" w:rsidR="001B77DD" w:rsidRDefault="001B77DD">
            <w:pPr>
              <w:rPr>
                <w:rFonts w:ascii="宋体"/>
              </w:rPr>
            </w:pPr>
          </w:p>
        </w:tc>
        <w:tc>
          <w:tcPr>
            <w:tcW w:w="0" w:type="auto"/>
            <w:shd w:val="clear" w:color="auto" w:fill="auto"/>
            <w:vAlign w:val="bottom"/>
          </w:tcPr>
          <w:p w14:paraId="675342CF"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D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D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D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D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D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D5" w14:textId="77777777" w:rsidR="001B77DD" w:rsidRDefault="001B77DD">
            <w:pPr>
              <w:rPr>
                <w:rFonts w:ascii="宋体"/>
              </w:rPr>
            </w:pPr>
          </w:p>
        </w:tc>
        <w:tc>
          <w:tcPr>
            <w:tcW w:w="0" w:type="auto"/>
            <w:gridSpan w:val="3"/>
            <w:shd w:val="clear" w:color="auto" w:fill="auto"/>
            <w:vAlign w:val="bottom"/>
          </w:tcPr>
          <w:p w14:paraId="675342D6" w14:textId="77777777" w:rsidR="001B77DD" w:rsidRDefault="001B77DD">
            <w:pPr>
              <w:rPr>
                <w:rFonts w:ascii="宋体"/>
                <w:vanish/>
              </w:rPr>
            </w:pPr>
          </w:p>
        </w:tc>
      </w:tr>
      <w:tr w:rsidR="001B77DD" w14:paraId="675342DF" w14:textId="77777777">
        <w:trPr>
          <w:trHeight w:val="1540"/>
        </w:trPr>
        <w:tc>
          <w:tcPr>
            <w:tcW w:w="0" w:type="auto"/>
            <w:gridSpan w:val="6"/>
            <w:shd w:val="clear" w:color="auto" w:fill="auto"/>
            <w:tcMar>
              <w:top w:w="0" w:type="dxa"/>
              <w:left w:w="20" w:type="dxa"/>
              <w:bottom w:w="0" w:type="dxa"/>
              <w:right w:w="20" w:type="dxa"/>
            </w:tcMar>
            <w:vAlign w:val="bottom"/>
          </w:tcPr>
          <w:p w14:paraId="675342D8"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15" wp14:editId="67538E16">
                  <wp:extent cx="304800" cy="304800"/>
                  <wp:effectExtent l="0" t="0" r="0" b="0"/>
                  <wp:docPr id="76" name="图片 116"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descr="IMG_31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42D9"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D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2DB" w14:textId="77777777" w:rsidR="001B77DD" w:rsidRDefault="00BF0A28">
            <w:pPr>
              <w:textAlignment w:val="top"/>
            </w:pPr>
            <w:r>
              <w:rPr>
                <w:rFonts w:ascii="Arial" w:eastAsia="宋体" w:hAnsi="Arial" w:cs="Arial"/>
                <w:color w:val="262626"/>
                <w:sz w:val="18"/>
                <w:szCs w:val="18"/>
              </w:rPr>
              <w:t>Includes memory and storage products like Intel 3D NAND technology, primarily used in SSDs.</w:t>
            </w:r>
          </w:p>
        </w:tc>
        <w:tc>
          <w:tcPr>
            <w:tcW w:w="0" w:type="auto"/>
            <w:gridSpan w:val="3"/>
            <w:shd w:val="clear" w:color="auto" w:fill="auto"/>
            <w:tcMar>
              <w:top w:w="0" w:type="dxa"/>
              <w:left w:w="20" w:type="dxa"/>
              <w:bottom w:w="0" w:type="dxa"/>
              <w:right w:w="20" w:type="dxa"/>
            </w:tcMar>
            <w:vAlign w:val="bottom"/>
          </w:tcPr>
          <w:p w14:paraId="675342DC" w14:textId="77777777" w:rsidR="001B77DD" w:rsidRDefault="001B77DD">
            <w:pPr>
              <w:rPr>
                <w:rFonts w:ascii="宋体"/>
              </w:rPr>
            </w:pPr>
          </w:p>
        </w:tc>
        <w:tc>
          <w:tcPr>
            <w:tcW w:w="0" w:type="auto"/>
            <w:gridSpan w:val="9"/>
            <w:shd w:val="clear" w:color="auto" w:fill="auto"/>
            <w:tcMar>
              <w:top w:w="0" w:type="dxa"/>
              <w:left w:w="20" w:type="dxa"/>
              <w:bottom w:w="0" w:type="dxa"/>
              <w:right w:w="20" w:type="dxa"/>
            </w:tcMar>
            <w:vAlign w:val="bottom"/>
          </w:tcPr>
          <w:p w14:paraId="675342DD" w14:textId="77777777" w:rsidR="001B77DD" w:rsidRDefault="00BF0A28">
            <w:pPr>
              <w:spacing w:after="180"/>
              <w:jc w:val="center"/>
            </w:pPr>
            <w:r>
              <w:rPr>
                <w:rFonts w:ascii="宋体" w:eastAsia="宋体" w:hAnsi="宋体" w:cs="宋体"/>
              </w:rPr>
              <w:fldChar w:fldCharType="begin"/>
            </w:r>
            <w:r>
              <w:rPr>
                <w:rFonts w:ascii="宋体" w:eastAsia="宋体" w:hAnsi="宋体" w:cs="宋体"/>
              </w:rPr>
              <w:instrText>INCLUDEPICTURE</w:instrText>
            </w:r>
            <w:r>
              <w:rPr>
                <w:rFonts w:ascii="宋体" w:eastAsia="宋体" w:hAnsi="宋体" w:cs="宋体"/>
              </w:rPr>
              <w:instrText xml:space="preserv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Viewer4_files/intc-20211225_g49.jpg"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17" wp14:editId="67538E18">
                  <wp:extent cx="304800" cy="304800"/>
                  <wp:effectExtent l="0" t="0" r="0" b="0"/>
                  <wp:docPr id="77" name="图片 117"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7" descr="IMG_31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vAlign w:val="bottom"/>
          </w:tcPr>
          <w:p w14:paraId="675342DE" w14:textId="77777777" w:rsidR="001B77DD" w:rsidRDefault="001B77DD">
            <w:pPr>
              <w:rPr>
                <w:rFonts w:ascii="宋体"/>
                <w:vanish/>
              </w:rPr>
            </w:pPr>
          </w:p>
        </w:tc>
      </w:tr>
      <w:tr w:rsidR="001B77DD" w14:paraId="675342EA" w14:textId="77777777">
        <w:trPr>
          <w:trHeight w:val="60"/>
        </w:trPr>
        <w:tc>
          <w:tcPr>
            <w:tcW w:w="0" w:type="auto"/>
            <w:gridSpan w:val="3"/>
            <w:shd w:val="clear" w:color="auto" w:fill="auto"/>
            <w:tcMar>
              <w:top w:w="0" w:type="dxa"/>
              <w:left w:w="20" w:type="dxa"/>
              <w:bottom w:w="0" w:type="dxa"/>
              <w:right w:w="20" w:type="dxa"/>
            </w:tcMar>
            <w:vAlign w:val="bottom"/>
          </w:tcPr>
          <w:p w14:paraId="675342E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E1" w14:textId="77777777" w:rsidR="001B77DD" w:rsidRDefault="001B77DD">
            <w:pPr>
              <w:rPr>
                <w:rFonts w:ascii="宋体"/>
              </w:rPr>
            </w:pPr>
          </w:p>
        </w:tc>
        <w:tc>
          <w:tcPr>
            <w:tcW w:w="0" w:type="auto"/>
            <w:shd w:val="clear" w:color="auto" w:fill="auto"/>
            <w:vAlign w:val="bottom"/>
          </w:tcPr>
          <w:p w14:paraId="675342E2"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E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E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E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E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E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2E8" w14:textId="77777777" w:rsidR="001B77DD" w:rsidRDefault="001B77DD">
            <w:pPr>
              <w:rPr>
                <w:rFonts w:ascii="宋体"/>
              </w:rPr>
            </w:pPr>
          </w:p>
        </w:tc>
        <w:tc>
          <w:tcPr>
            <w:tcW w:w="0" w:type="auto"/>
            <w:gridSpan w:val="3"/>
            <w:shd w:val="clear" w:color="auto" w:fill="auto"/>
            <w:vAlign w:val="bottom"/>
          </w:tcPr>
          <w:p w14:paraId="675342E9" w14:textId="77777777" w:rsidR="001B77DD" w:rsidRDefault="001B77DD">
            <w:pPr>
              <w:rPr>
                <w:rFonts w:ascii="宋体"/>
                <w:vanish/>
              </w:rPr>
            </w:pPr>
          </w:p>
        </w:tc>
      </w:tr>
      <w:tr w:rsidR="001B77DD" w14:paraId="675342F2" w14:textId="77777777">
        <w:trPr>
          <w:trHeight w:val="1540"/>
        </w:trPr>
        <w:tc>
          <w:tcPr>
            <w:tcW w:w="0" w:type="auto"/>
            <w:gridSpan w:val="6"/>
            <w:shd w:val="clear" w:color="auto" w:fill="auto"/>
            <w:tcMar>
              <w:top w:w="0" w:type="dxa"/>
              <w:left w:w="20" w:type="dxa"/>
              <w:bottom w:w="0" w:type="dxa"/>
              <w:right w:w="20" w:type="dxa"/>
            </w:tcMar>
            <w:vAlign w:val="bottom"/>
          </w:tcPr>
          <w:p w14:paraId="675342EB"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19" wp14:editId="67538E1A">
                  <wp:extent cx="304800" cy="304800"/>
                  <wp:effectExtent l="0" t="0" r="0" b="0"/>
                  <wp:docPr id="61" name="图片 118"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8" descr="IMG_32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shd w:val="clear" w:color="auto" w:fill="auto"/>
            <w:vAlign w:val="bottom"/>
          </w:tcPr>
          <w:p w14:paraId="675342EC"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2E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2EE" w14:textId="77777777" w:rsidR="001B77DD" w:rsidRDefault="00BF0A28">
            <w:pPr>
              <w:textAlignment w:val="top"/>
            </w:pPr>
            <w:r>
              <w:rPr>
                <w:rFonts w:ascii="Arial" w:eastAsia="宋体" w:hAnsi="Arial" w:cs="Arial"/>
                <w:color w:val="262626"/>
                <w:sz w:val="18"/>
                <w:szCs w:val="18"/>
              </w:rPr>
              <w:t>Includes programmable semiconductors, primarily FPGAs and structured ASICs, and related products for commun</w:t>
            </w:r>
            <w:r>
              <w:rPr>
                <w:rFonts w:ascii="Arial" w:eastAsia="宋体" w:hAnsi="Arial" w:cs="Arial"/>
                <w:color w:val="262626"/>
                <w:sz w:val="18"/>
                <w:szCs w:val="18"/>
              </w:rPr>
              <w:t>ications, cloud and enterprise, and embedded market segments.</w:t>
            </w:r>
          </w:p>
        </w:tc>
        <w:tc>
          <w:tcPr>
            <w:tcW w:w="0" w:type="auto"/>
            <w:gridSpan w:val="3"/>
            <w:shd w:val="clear" w:color="auto" w:fill="auto"/>
            <w:tcMar>
              <w:top w:w="0" w:type="dxa"/>
              <w:left w:w="20" w:type="dxa"/>
              <w:bottom w:w="0" w:type="dxa"/>
              <w:right w:w="20" w:type="dxa"/>
            </w:tcMar>
            <w:vAlign w:val="bottom"/>
          </w:tcPr>
          <w:p w14:paraId="675342EF" w14:textId="77777777" w:rsidR="001B77DD" w:rsidRDefault="001B77DD">
            <w:pPr>
              <w:rPr>
                <w:rFonts w:ascii="宋体"/>
              </w:rPr>
            </w:pPr>
          </w:p>
        </w:tc>
        <w:tc>
          <w:tcPr>
            <w:tcW w:w="0" w:type="auto"/>
            <w:gridSpan w:val="9"/>
            <w:shd w:val="clear" w:color="auto" w:fill="auto"/>
            <w:tcMar>
              <w:top w:w="0" w:type="dxa"/>
              <w:left w:w="20" w:type="dxa"/>
              <w:bottom w:w="0" w:type="dxa"/>
              <w:right w:w="20" w:type="dxa"/>
            </w:tcMar>
            <w:vAlign w:val="bottom"/>
          </w:tcPr>
          <w:p w14:paraId="675342F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1B" wp14:editId="67538E1C">
                  <wp:extent cx="304800" cy="304800"/>
                  <wp:effectExtent l="0" t="0" r="0" b="0"/>
                  <wp:docPr id="68" name="图片 119"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9" descr="IMG_32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shd w:val="clear" w:color="auto" w:fill="auto"/>
            <w:vAlign w:val="bottom"/>
          </w:tcPr>
          <w:p w14:paraId="675342F1" w14:textId="77777777" w:rsidR="001B77DD" w:rsidRDefault="001B77DD">
            <w:pPr>
              <w:rPr>
                <w:rFonts w:ascii="宋体"/>
                <w:vanish/>
              </w:rPr>
            </w:pPr>
          </w:p>
        </w:tc>
      </w:tr>
    </w:tbl>
    <w:p w14:paraId="675342F3" w14:textId="77777777" w:rsidR="001B77DD" w:rsidRDefault="001B77DD">
      <w:pPr>
        <w:spacing w:after="20"/>
      </w:pPr>
    </w:p>
    <w:p w14:paraId="675342F4" w14:textId="77777777" w:rsidR="001B77DD" w:rsidRDefault="001B77DD">
      <w:pPr>
        <w:spacing w:after="20"/>
      </w:pPr>
    </w:p>
    <w:p w14:paraId="675342F5" w14:textId="77777777" w:rsidR="001B77DD" w:rsidRDefault="001B77DD">
      <w:pPr>
        <w:spacing w:after="20"/>
      </w:pPr>
    </w:p>
    <w:p w14:paraId="675342F6" w14:textId="77777777" w:rsidR="001B77DD" w:rsidRDefault="001B77DD">
      <w:pPr>
        <w:spacing w:after="20"/>
      </w:pPr>
    </w:p>
    <w:p w14:paraId="675342F7" w14:textId="77777777" w:rsidR="001B77DD" w:rsidRDefault="001B77DD">
      <w:pPr>
        <w:spacing w:after="20"/>
      </w:pPr>
    </w:p>
    <w:p w14:paraId="675342F8" w14:textId="77777777" w:rsidR="001B77DD" w:rsidRDefault="001B77DD">
      <w:pPr>
        <w:spacing w:after="20"/>
      </w:pPr>
    </w:p>
    <w:p w14:paraId="675342F9" w14:textId="77777777" w:rsidR="001B77DD" w:rsidRDefault="001B77DD">
      <w:pPr>
        <w:spacing w:after="20"/>
      </w:pPr>
    </w:p>
    <w:p w14:paraId="675342FA" w14:textId="77777777" w:rsidR="001B77DD" w:rsidRDefault="001B77DD">
      <w:pPr>
        <w:spacing w:after="20"/>
      </w:pPr>
    </w:p>
    <w:p w14:paraId="675342FB" w14:textId="77777777" w:rsidR="001B77DD" w:rsidRDefault="001B77DD">
      <w:pPr>
        <w:spacing w:after="20"/>
      </w:pPr>
    </w:p>
    <w:p w14:paraId="675342FC" w14:textId="77777777" w:rsidR="001B77DD" w:rsidRDefault="001B77DD">
      <w:pPr>
        <w:spacing w:after="20"/>
      </w:pPr>
    </w:p>
    <w:p w14:paraId="675342FD" w14:textId="77777777" w:rsidR="001B77DD" w:rsidRDefault="001B77DD">
      <w:pPr>
        <w:spacing w:after="20"/>
      </w:pPr>
    </w:p>
    <w:p w14:paraId="675342FE" w14:textId="77777777" w:rsidR="001B77DD" w:rsidRDefault="001B77DD"/>
    <w:p w14:paraId="675342FF" w14:textId="77777777" w:rsidR="001B77DD" w:rsidRDefault="001B77DD">
      <w:pPr>
        <w:spacing w:before="60" w:after="180"/>
      </w:pP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4309" w14:textId="77777777">
        <w:tc>
          <w:tcPr>
            <w:tcW w:w="50" w:type="pct"/>
            <w:shd w:val="clear" w:color="auto" w:fill="auto"/>
            <w:vAlign w:val="bottom"/>
          </w:tcPr>
          <w:p w14:paraId="67534300" w14:textId="77777777" w:rsidR="001B77DD" w:rsidRDefault="001B77DD">
            <w:pPr>
              <w:rPr>
                <w:rFonts w:ascii="宋体"/>
              </w:rPr>
            </w:pPr>
          </w:p>
        </w:tc>
        <w:tc>
          <w:tcPr>
            <w:tcW w:w="283" w:type="pct"/>
            <w:shd w:val="clear" w:color="auto" w:fill="auto"/>
            <w:vAlign w:val="bottom"/>
          </w:tcPr>
          <w:p w14:paraId="67534301" w14:textId="77777777" w:rsidR="001B77DD" w:rsidRDefault="001B77DD">
            <w:pPr>
              <w:rPr>
                <w:rFonts w:ascii="宋体"/>
              </w:rPr>
            </w:pPr>
          </w:p>
        </w:tc>
        <w:tc>
          <w:tcPr>
            <w:tcW w:w="5" w:type="pct"/>
            <w:shd w:val="clear" w:color="auto" w:fill="auto"/>
            <w:vAlign w:val="bottom"/>
          </w:tcPr>
          <w:p w14:paraId="67534302" w14:textId="77777777" w:rsidR="001B77DD" w:rsidRDefault="001B77DD">
            <w:pPr>
              <w:rPr>
                <w:rFonts w:ascii="宋体"/>
              </w:rPr>
            </w:pPr>
          </w:p>
        </w:tc>
        <w:tc>
          <w:tcPr>
            <w:tcW w:w="50" w:type="pct"/>
            <w:shd w:val="clear" w:color="auto" w:fill="auto"/>
            <w:vAlign w:val="bottom"/>
          </w:tcPr>
          <w:p w14:paraId="67534303" w14:textId="77777777" w:rsidR="001B77DD" w:rsidRDefault="001B77DD">
            <w:pPr>
              <w:rPr>
                <w:rFonts w:ascii="宋体"/>
              </w:rPr>
            </w:pPr>
          </w:p>
        </w:tc>
        <w:tc>
          <w:tcPr>
            <w:tcW w:w="2656" w:type="pct"/>
            <w:shd w:val="clear" w:color="auto" w:fill="auto"/>
            <w:vAlign w:val="bottom"/>
          </w:tcPr>
          <w:p w14:paraId="67534304" w14:textId="77777777" w:rsidR="001B77DD" w:rsidRDefault="001B77DD">
            <w:pPr>
              <w:rPr>
                <w:rFonts w:ascii="宋体"/>
              </w:rPr>
            </w:pPr>
          </w:p>
        </w:tc>
        <w:tc>
          <w:tcPr>
            <w:tcW w:w="5" w:type="pct"/>
            <w:shd w:val="clear" w:color="auto" w:fill="auto"/>
            <w:vAlign w:val="bottom"/>
          </w:tcPr>
          <w:p w14:paraId="67534305" w14:textId="77777777" w:rsidR="001B77DD" w:rsidRDefault="001B77DD">
            <w:pPr>
              <w:rPr>
                <w:rFonts w:ascii="宋体"/>
              </w:rPr>
            </w:pPr>
          </w:p>
        </w:tc>
        <w:tc>
          <w:tcPr>
            <w:tcW w:w="50" w:type="pct"/>
            <w:shd w:val="clear" w:color="auto" w:fill="auto"/>
            <w:vAlign w:val="bottom"/>
          </w:tcPr>
          <w:p w14:paraId="67534306" w14:textId="77777777" w:rsidR="001B77DD" w:rsidRDefault="001B77DD">
            <w:pPr>
              <w:rPr>
                <w:rFonts w:ascii="宋体"/>
              </w:rPr>
            </w:pPr>
          </w:p>
        </w:tc>
        <w:tc>
          <w:tcPr>
            <w:tcW w:w="1894" w:type="pct"/>
            <w:shd w:val="clear" w:color="auto" w:fill="auto"/>
            <w:vAlign w:val="bottom"/>
          </w:tcPr>
          <w:p w14:paraId="67534307" w14:textId="77777777" w:rsidR="001B77DD" w:rsidRDefault="001B77DD">
            <w:pPr>
              <w:rPr>
                <w:rFonts w:ascii="宋体"/>
              </w:rPr>
            </w:pPr>
          </w:p>
        </w:tc>
        <w:tc>
          <w:tcPr>
            <w:tcW w:w="5" w:type="pct"/>
            <w:shd w:val="clear" w:color="auto" w:fill="auto"/>
            <w:vAlign w:val="bottom"/>
          </w:tcPr>
          <w:p w14:paraId="67534308" w14:textId="77777777" w:rsidR="001B77DD" w:rsidRDefault="001B77DD">
            <w:pPr>
              <w:rPr>
                <w:rFonts w:ascii="宋体"/>
              </w:rPr>
            </w:pPr>
          </w:p>
        </w:tc>
      </w:tr>
      <w:tr w:rsidR="001B77DD" w14:paraId="6753430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30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1D" wp14:editId="67538E1E">
                  <wp:extent cx="304800" cy="304800"/>
                  <wp:effectExtent l="0" t="0" r="0" b="0"/>
                  <wp:docPr id="230" name="图片 12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2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30B"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30C" w14:textId="77777777" w:rsidR="001B77DD" w:rsidRDefault="00BF0A28">
            <w:pPr>
              <w:jc w:val="right"/>
              <w:textAlignment w:val="center"/>
            </w:pPr>
            <w:r>
              <w:rPr>
                <w:rFonts w:ascii="Arial" w:eastAsia="宋体" w:hAnsi="Arial" w:cs="Arial"/>
                <w:color w:val="262626"/>
                <w:sz w:val="16"/>
                <w:szCs w:val="16"/>
              </w:rPr>
              <w:t>19</w:t>
            </w:r>
          </w:p>
        </w:tc>
      </w:tr>
    </w:tbl>
    <w:p w14:paraId="6753430E" w14:textId="77777777" w:rsidR="001B77DD" w:rsidRDefault="00BF0A28">
      <w:r>
        <w:pict w14:anchorId="67538E1F">
          <v:rect id="_x0000_i1045" style="width:415.3pt;height:1.5pt" o:hralign="center" o:hrstd="t" o:hr="t" fillcolor="#a0a0a0" stroked="f"/>
        </w:pict>
      </w:r>
    </w:p>
    <w:p w14:paraId="6753430F" w14:textId="77777777" w:rsidR="001B77DD" w:rsidRDefault="001B77DD"/>
    <w:p w14:paraId="67534310" w14:textId="77777777" w:rsidR="001B77DD" w:rsidRDefault="00BF0A28">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20" wp14:editId="67538E21">
            <wp:extent cx="304800" cy="304800"/>
            <wp:effectExtent l="0" t="0" r="0" b="0"/>
            <wp:docPr id="45" name="图片 122"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2"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CellMar>
          <w:top w:w="15" w:type="dxa"/>
          <w:left w:w="15" w:type="dxa"/>
          <w:bottom w:w="15" w:type="dxa"/>
          <w:right w:w="15" w:type="dxa"/>
        </w:tblCellMar>
        <w:tblLook w:val="04A0" w:firstRow="1" w:lastRow="0" w:firstColumn="1" w:lastColumn="0" w:noHBand="0" w:noVBand="1"/>
      </w:tblPr>
      <w:tblGrid>
        <w:gridCol w:w="51"/>
        <w:gridCol w:w="432"/>
        <w:gridCol w:w="52"/>
        <w:gridCol w:w="56"/>
        <w:gridCol w:w="5884"/>
        <w:gridCol w:w="55"/>
        <w:gridCol w:w="76"/>
        <w:gridCol w:w="4313"/>
        <w:gridCol w:w="76"/>
      </w:tblGrid>
      <w:tr w:rsidR="001B77DD" w14:paraId="6753431A" w14:textId="77777777">
        <w:tc>
          <w:tcPr>
            <w:tcW w:w="20" w:type="dxa"/>
            <w:shd w:val="clear" w:color="auto" w:fill="auto"/>
            <w:vAlign w:val="bottom"/>
          </w:tcPr>
          <w:p w14:paraId="67534311" w14:textId="77777777" w:rsidR="001B77DD" w:rsidRDefault="001B77DD">
            <w:pPr>
              <w:rPr>
                <w:rFonts w:ascii="宋体"/>
              </w:rPr>
            </w:pPr>
          </w:p>
        </w:tc>
        <w:tc>
          <w:tcPr>
            <w:tcW w:w="545" w:type="dxa"/>
            <w:shd w:val="clear" w:color="auto" w:fill="auto"/>
            <w:vAlign w:val="bottom"/>
          </w:tcPr>
          <w:p w14:paraId="67534312" w14:textId="77777777" w:rsidR="001B77DD" w:rsidRDefault="001B77DD">
            <w:pPr>
              <w:rPr>
                <w:rFonts w:ascii="宋体"/>
              </w:rPr>
            </w:pPr>
          </w:p>
        </w:tc>
        <w:tc>
          <w:tcPr>
            <w:tcW w:w="20" w:type="dxa"/>
            <w:shd w:val="clear" w:color="auto" w:fill="auto"/>
            <w:vAlign w:val="bottom"/>
          </w:tcPr>
          <w:p w14:paraId="67534313" w14:textId="77777777" w:rsidR="001B77DD" w:rsidRDefault="001B77DD">
            <w:pPr>
              <w:rPr>
                <w:rFonts w:ascii="宋体"/>
              </w:rPr>
            </w:pPr>
          </w:p>
        </w:tc>
        <w:tc>
          <w:tcPr>
            <w:tcW w:w="20" w:type="dxa"/>
            <w:shd w:val="clear" w:color="auto" w:fill="auto"/>
            <w:vAlign w:val="bottom"/>
          </w:tcPr>
          <w:p w14:paraId="67534314" w14:textId="77777777" w:rsidR="001B77DD" w:rsidRDefault="001B77DD">
            <w:pPr>
              <w:rPr>
                <w:rFonts w:ascii="宋体"/>
              </w:rPr>
            </w:pPr>
          </w:p>
        </w:tc>
        <w:tc>
          <w:tcPr>
            <w:tcW w:w="7805" w:type="dxa"/>
            <w:shd w:val="clear" w:color="auto" w:fill="auto"/>
            <w:vAlign w:val="bottom"/>
          </w:tcPr>
          <w:p w14:paraId="67534315" w14:textId="77777777" w:rsidR="001B77DD" w:rsidRDefault="001B77DD">
            <w:pPr>
              <w:rPr>
                <w:rFonts w:ascii="宋体"/>
              </w:rPr>
            </w:pPr>
          </w:p>
        </w:tc>
        <w:tc>
          <w:tcPr>
            <w:tcW w:w="20" w:type="dxa"/>
            <w:shd w:val="clear" w:color="auto" w:fill="auto"/>
            <w:vAlign w:val="bottom"/>
          </w:tcPr>
          <w:p w14:paraId="67534316" w14:textId="77777777" w:rsidR="001B77DD" w:rsidRDefault="001B77DD">
            <w:pPr>
              <w:rPr>
                <w:rFonts w:ascii="宋体"/>
              </w:rPr>
            </w:pPr>
          </w:p>
        </w:tc>
        <w:tc>
          <w:tcPr>
            <w:tcW w:w="20" w:type="dxa"/>
            <w:shd w:val="clear" w:color="auto" w:fill="auto"/>
            <w:vAlign w:val="bottom"/>
          </w:tcPr>
          <w:p w14:paraId="67534317" w14:textId="77777777" w:rsidR="001B77DD" w:rsidRDefault="001B77DD">
            <w:pPr>
              <w:rPr>
                <w:rFonts w:ascii="宋体"/>
              </w:rPr>
            </w:pPr>
          </w:p>
        </w:tc>
        <w:tc>
          <w:tcPr>
            <w:tcW w:w="2525" w:type="dxa"/>
            <w:shd w:val="clear" w:color="auto" w:fill="auto"/>
            <w:vAlign w:val="bottom"/>
          </w:tcPr>
          <w:p w14:paraId="67534318" w14:textId="77777777" w:rsidR="001B77DD" w:rsidRDefault="001B77DD">
            <w:pPr>
              <w:rPr>
                <w:rFonts w:ascii="宋体"/>
              </w:rPr>
            </w:pPr>
          </w:p>
        </w:tc>
        <w:tc>
          <w:tcPr>
            <w:tcW w:w="20" w:type="dxa"/>
            <w:shd w:val="clear" w:color="auto" w:fill="auto"/>
            <w:vAlign w:val="bottom"/>
          </w:tcPr>
          <w:p w14:paraId="67534319" w14:textId="77777777" w:rsidR="001B77DD" w:rsidRDefault="001B77DD">
            <w:pPr>
              <w:rPr>
                <w:rFonts w:ascii="宋体"/>
              </w:rPr>
            </w:pPr>
          </w:p>
        </w:tc>
      </w:tr>
      <w:tr w:rsidR="001B77DD" w14:paraId="6753431D" w14:textId="77777777">
        <w:trPr>
          <w:trHeight w:val="30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6753431B" w14:textId="77777777" w:rsidR="001B77DD" w:rsidRDefault="00BF0A28">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vAlign w:val="bottom"/>
          </w:tcPr>
          <w:p w14:paraId="6753431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22" wp14:editId="67538E23">
                  <wp:extent cx="304800" cy="304800"/>
                  <wp:effectExtent l="0" t="0" r="0" b="0"/>
                  <wp:docPr id="15" name="图片 123"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3" descr="IMG_32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4320" w14:textId="77777777">
        <w:trPr>
          <w:trHeight w:val="1560"/>
        </w:trPr>
        <w:tc>
          <w:tcPr>
            <w:tcW w:w="0" w:type="auto"/>
            <w:gridSpan w:val="6"/>
            <w:tcBorders>
              <w:top w:val="single" w:sz="4" w:space="0" w:color="262626"/>
            </w:tcBorders>
            <w:shd w:val="clear" w:color="auto" w:fill="auto"/>
            <w:tcMar>
              <w:top w:w="40" w:type="dxa"/>
              <w:left w:w="20" w:type="dxa"/>
              <w:bottom w:w="40" w:type="dxa"/>
              <w:right w:w="20" w:type="dxa"/>
            </w:tcMar>
          </w:tcPr>
          <w:p w14:paraId="6753431E" w14:textId="77777777" w:rsidR="001B77DD" w:rsidRDefault="00BF0A28">
            <w:pPr>
              <w:textAlignment w:val="top"/>
            </w:pPr>
            <w:r>
              <w:rPr>
                <w:rFonts w:ascii="Arial" w:eastAsia="宋体" w:hAnsi="Arial" w:cs="Arial"/>
                <w:color w:val="262626"/>
                <w:sz w:val="18"/>
                <w:szCs w:val="18"/>
              </w:rPr>
              <w:t xml:space="preserve">We are committed to advancing PC experiences by delivering an annual cadence of leadership products and deepening our relationships with industry partners to co-engineer and deliver leading platform innovation. </w:t>
            </w:r>
            <w:r>
              <w:rPr>
                <w:rFonts w:ascii="Arial" w:eastAsia="宋体" w:hAnsi="Arial" w:cs="Arial"/>
                <w:color w:val="000000"/>
                <w:sz w:val="18"/>
                <w:szCs w:val="18"/>
              </w:rPr>
              <w:t>We engage in an intentional effort focused on</w:t>
            </w:r>
            <w:r>
              <w:rPr>
                <w:rFonts w:ascii="Arial" w:eastAsia="宋体" w:hAnsi="Arial" w:cs="Arial"/>
                <w:color w:val="000000"/>
                <w:sz w:val="18"/>
                <w:szCs w:val="18"/>
              </w:rPr>
              <w:t xml:space="preserve"> long-term operating system, </w:t>
            </w:r>
            <w:r>
              <w:rPr>
                <w:rFonts w:ascii="Arial" w:eastAsia="宋体" w:hAnsi="Arial" w:cs="Arial"/>
                <w:color w:val="262626"/>
                <w:sz w:val="18"/>
                <w:szCs w:val="18"/>
              </w:rPr>
              <w:t xml:space="preserve">system architecture, hardware, and application integration that enables industry-leading PC experiences. </w:t>
            </w:r>
            <w:r>
              <w:rPr>
                <w:rFonts w:ascii="Arial" w:eastAsia="宋体" w:hAnsi="Arial" w:cs="Arial"/>
                <w:color w:val="000000"/>
                <w:sz w:val="18"/>
                <w:szCs w:val="18"/>
              </w:rPr>
              <w:t xml:space="preserve">We will embrace these opportunities by investing more heavily in the PC, ramping its capabilities even more aggressively, </w:t>
            </w:r>
            <w:r>
              <w:rPr>
                <w:rFonts w:ascii="Arial" w:eastAsia="宋体" w:hAnsi="Arial" w:cs="Arial"/>
                <w:color w:val="000000"/>
                <w:sz w:val="18"/>
                <w:szCs w:val="18"/>
              </w:rPr>
              <w:t>and designing the PC experience even more deliberately. By doing this, we will continue to fuel innovation across Intel, providing a growing source of IP, scale, and cash flow.</w:t>
            </w:r>
          </w:p>
        </w:tc>
        <w:tc>
          <w:tcPr>
            <w:tcW w:w="0" w:type="auto"/>
            <w:gridSpan w:val="3"/>
            <w:vMerge/>
            <w:shd w:val="clear" w:color="auto" w:fill="auto"/>
            <w:tcMar>
              <w:top w:w="0" w:type="dxa"/>
              <w:left w:w="20" w:type="dxa"/>
              <w:bottom w:w="0" w:type="dxa"/>
              <w:right w:w="20" w:type="dxa"/>
            </w:tcMar>
            <w:vAlign w:val="bottom"/>
          </w:tcPr>
          <w:p w14:paraId="6753431F" w14:textId="77777777" w:rsidR="001B77DD" w:rsidRDefault="001B77DD">
            <w:pPr>
              <w:rPr>
                <w:rFonts w:ascii="宋体"/>
              </w:rPr>
            </w:pPr>
          </w:p>
        </w:tc>
      </w:tr>
      <w:tr w:rsidR="001B77DD" w14:paraId="67534324" w14:textId="77777777">
        <w:trPr>
          <w:hidden/>
        </w:trPr>
        <w:tc>
          <w:tcPr>
            <w:tcW w:w="0" w:type="auto"/>
            <w:gridSpan w:val="3"/>
            <w:shd w:val="clear" w:color="auto" w:fill="auto"/>
            <w:vAlign w:val="bottom"/>
          </w:tcPr>
          <w:p w14:paraId="67534321" w14:textId="77777777" w:rsidR="001B77DD" w:rsidRDefault="001B77DD">
            <w:pPr>
              <w:rPr>
                <w:rFonts w:ascii="宋体"/>
                <w:vanish/>
              </w:rPr>
            </w:pPr>
          </w:p>
        </w:tc>
        <w:tc>
          <w:tcPr>
            <w:tcW w:w="0" w:type="auto"/>
            <w:gridSpan w:val="3"/>
            <w:shd w:val="clear" w:color="auto" w:fill="auto"/>
            <w:vAlign w:val="bottom"/>
          </w:tcPr>
          <w:p w14:paraId="67534322"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323" w14:textId="77777777" w:rsidR="001B77DD" w:rsidRDefault="001B77DD">
            <w:pPr>
              <w:rPr>
                <w:rFonts w:ascii="宋体"/>
              </w:rPr>
            </w:pPr>
          </w:p>
        </w:tc>
      </w:tr>
      <w:tr w:rsidR="001B77DD" w14:paraId="67534327" w14:textId="77777777">
        <w:trPr>
          <w:trHeight w:val="240"/>
        </w:trPr>
        <w:tc>
          <w:tcPr>
            <w:tcW w:w="0" w:type="auto"/>
            <w:gridSpan w:val="6"/>
            <w:shd w:val="clear" w:color="auto" w:fill="auto"/>
            <w:tcMar>
              <w:top w:w="40" w:type="dxa"/>
              <w:left w:w="20" w:type="dxa"/>
              <w:bottom w:w="40" w:type="dxa"/>
              <w:right w:w="20" w:type="dxa"/>
            </w:tcMar>
            <w:vAlign w:val="bottom"/>
          </w:tcPr>
          <w:p w14:paraId="67534325" w14:textId="77777777" w:rsidR="001B77DD" w:rsidRDefault="00BF0A28">
            <w:pPr>
              <w:textAlignment w:val="bottom"/>
            </w:pPr>
            <w:r>
              <w:rPr>
                <w:rFonts w:ascii="Arial" w:eastAsia="宋体" w:hAnsi="Arial" w:cs="Arial"/>
                <w:color w:val="0068B5"/>
                <w:sz w:val="20"/>
                <w:szCs w:val="20"/>
              </w:rPr>
              <w:t>Key Developments</w:t>
            </w:r>
          </w:p>
        </w:tc>
        <w:tc>
          <w:tcPr>
            <w:tcW w:w="0" w:type="auto"/>
            <w:gridSpan w:val="3"/>
            <w:vMerge/>
            <w:shd w:val="clear" w:color="auto" w:fill="auto"/>
            <w:tcMar>
              <w:top w:w="0" w:type="dxa"/>
              <w:left w:w="20" w:type="dxa"/>
              <w:bottom w:w="0" w:type="dxa"/>
              <w:right w:w="20" w:type="dxa"/>
            </w:tcMar>
            <w:vAlign w:val="bottom"/>
          </w:tcPr>
          <w:p w14:paraId="67534326" w14:textId="77777777" w:rsidR="001B77DD" w:rsidRDefault="001B77DD">
            <w:pPr>
              <w:rPr>
                <w:rFonts w:ascii="宋体"/>
              </w:rPr>
            </w:pPr>
          </w:p>
        </w:tc>
      </w:tr>
      <w:tr w:rsidR="001B77DD" w14:paraId="6753432B" w14:textId="77777777">
        <w:trPr>
          <w:hidden/>
        </w:trPr>
        <w:tc>
          <w:tcPr>
            <w:tcW w:w="0" w:type="auto"/>
            <w:gridSpan w:val="3"/>
            <w:shd w:val="clear" w:color="auto" w:fill="auto"/>
            <w:vAlign w:val="bottom"/>
          </w:tcPr>
          <w:p w14:paraId="67534328" w14:textId="77777777" w:rsidR="001B77DD" w:rsidRDefault="001B77DD">
            <w:pPr>
              <w:rPr>
                <w:rFonts w:ascii="宋体"/>
                <w:vanish/>
              </w:rPr>
            </w:pPr>
          </w:p>
        </w:tc>
        <w:tc>
          <w:tcPr>
            <w:tcW w:w="0" w:type="auto"/>
            <w:gridSpan w:val="3"/>
            <w:shd w:val="clear" w:color="auto" w:fill="auto"/>
            <w:vAlign w:val="bottom"/>
          </w:tcPr>
          <w:p w14:paraId="67534329"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32A" w14:textId="77777777" w:rsidR="001B77DD" w:rsidRDefault="001B77DD">
            <w:pPr>
              <w:rPr>
                <w:rFonts w:ascii="宋体"/>
              </w:rPr>
            </w:pPr>
          </w:p>
        </w:tc>
      </w:tr>
      <w:tr w:rsidR="001B77DD" w14:paraId="67534330" w14:textId="77777777">
        <w:trPr>
          <w:trHeight w:val="480"/>
        </w:trPr>
        <w:tc>
          <w:tcPr>
            <w:tcW w:w="0" w:type="auto"/>
            <w:gridSpan w:val="3"/>
            <w:tcBorders>
              <w:top w:val="single" w:sz="4" w:space="0" w:color="262626"/>
            </w:tcBorders>
            <w:shd w:val="clear" w:color="auto" w:fill="auto"/>
            <w:tcMar>
              <w:top w:w="40" w:type="dxa"/>
              <w:left w:w="20" w:type="dxa"/>
              <w:bottom w:w="40" w:type="dxa"/>
              <w:right w:w="20" w:type="dxa"/>
            </w:tcMar>
          </w:tcPr>
          <w:p w14:paraId="6753432C" w14:textId="77777777" w:rsidR="001B77DD" w:rsidRDefault="00BF0A28">
            <w:pPr>
              <w:jc w:val="center"/>
              <w:textAlignment w:val="top"/>
            </w:pPr>
            <w:r>
              <w:rPr>
                <w:rFonts w:ascii="Arial" w:eastAsia="宋体" w:hAnsi="Arial" w:cs="Arial"/>
                <w:color w:val="0068B5"/>
                <w:sz w:val="12"/>
                <w:szCs w:val="12"/>
              </w:rPr>
              <w:t>■</w:t>
            </w:r>
          </w:p>
        </w:tc>
        <w:tc>
          <w:tcPr>
            <w:tcW w:w="0" w:type="auto"/>
            <w:gridSpan w:val="3"/>
            <w:tcBorders>
              <w:top w:val="single" w:sz="4" w:space="0" w:color="262626"/>
            </w:tcBorders>
            <w:shd w:val="clear" w:color="auto" w:fill="auto"/>
            <w:tcMar>
              <w:top w:w="40" w:type="dxa"/>
              <w:left w:w="20" w:type="dxa"/>
              <w:bottom w:w="40" w:type="dxa"/>
              <w:right w:w="20" w:type="dxa"/>
            </w:tcMar>
          </w:tcPr>
          <w:p w14:paraId="6753432D" w14:textId="77777777" w:rsidR="001B77DD" w:rsidRDefault="00BF0A28">
            <w:pPr>
              <w:spacing w:after="180"/>
              <w:textAlignment w:val="top"/>
            </w:pPr>
            <w:r>
              <w:rPr>
                <w:rFonts w:ascii="Arial" w:eastAsia="宋体" w:hAnsi="Arial" w:cs="Arial"/>
                <w:color w:val="262626"/>
                <w:sz w:val="18"/>
                <w:szCs w:val="18"/>
              </w:rPr>
              <w:t xml:space="preserve">We delivered our sixth consecutive year of </w:t>
            </w:r>
            <w:r>
              <w:rPr>
                <w:rFonts w:ascii="Arial" w:eastAsia="宋体" w:hAnsi="Arial" w:cs="Arial"/>
                <w:color w:val="262626"/>
                <w:sz w:val="18"/>
                <w:szCs w:val="18"/>
              </w:rPr>
              <w:t>revenue growth, to $40.5 billion, as the PC continues to be more essential than ever.</w:t>
            </w:r>
          </w:p>
        </w:tc>
        <w:tc>
          <w:tcPr>
            <w:tcW w:w="0" w:type="auto"/>
            <w:gridSpan w:val="3"/>
            <w:vMerge w:val="restart"/>
            <w:shd w:val="clear" w:color="auto" w:fill="auto"/>
            <w:tcMar>
              <w:top w:w="40" w:type="dxa"/>
              <w:left w:w="20" w:type="dxa"/>
              <w:bottom w:w="40" w:type="dxa"/>
              <w:right w:w="20" w:type="dxa"/>
            </w:tcMar>
          </w:tcPr>
          <w:p w14:paraId="6753432E" w14:textId="77777777" w:rsidR="001B77DD" w:rsidRDefault="00BF0A28">
            <w:pPr>
              <w:spacing w:after="180"/>
              <w:textAlignment w:val="top"/>
            </w:pPr>
            <w:r>
              <w:rPr>
                <w:rFonts w:ascii="Arial" w:eastAsia="宋体" w:hAnsi="Arial" w:cs="Arial"/>
                <w:b/>
                <w:bCs/>
                <w:i/>
                <w:iCs/>
                <w:color w:val="262626"/>
                <w:sz w:val="18"/>
                <w:szCs w:val="18"/>
              </w:rPr>
              <w:t>"The PC is one of the most essential tools of modern times. This makes Intel's role more critical than ever. You can count on us to boldly innovate and deliver industry-l</w:t>
            </w:r>
            <w:r>
              <w:rPr>
                <w:rFonts w:ascii="Arial" w:eastAsia="宋体" w:hAnsi="Arial" w:cs="Arial"/>
                <w:b/>
                <w:bCs/>
                <w:i/>
                <w:iCs/>
                <w:color w:val="262626"/>
                <w:sz w:val="18"/>
                <w:szCs w:val="18"/>
              </w:rPr>
              <w:t xml:space="preserve">eading PC experiences that connect people globally to what matters most to them." </w:t>
            </w:r>
          </w:p>
          <w:p w14:paraId="6753432F" w14:textId="77777777" w:rsidR="001B77DD" w:rsidRDefault="00BF0A28">
            <w:pPr>
              <w:spacing w:after="180"/>
              <w:textAlignment w:val="top"/>
            </w:pPr>
            <w:r>
              <w:rPr>
                <w:rFonts w:ascii="Arial" w:eastAsia="宋体" w:hAnsi="Arial" w:cs="Arial"/>
                <w:b/>
                <w:bCs/>
                <w:color w:val="262626"/>
                <w:sz w:val="18"/>
                <w:szCs w:val="18"/>
              </w:rPr>
              <w:t>—Jim Johnson,</w:t>
            </w:r>
            <w:r>
              <w:rPr>
                <w:rFonts w:ascii="Arial" w:eastAsia="宋体" w:hAnsi="Arial" w:cs="Arial"/>
                <w:color w:val="262626"/>
                <w:sz w:val="18"/>
                <w:szCs w:val="18"/>
              </w:rPr>
              <w:t xml:space="preserve"> Interim General Manager, CCG</w:t>
            </w:r>
          </w:p>
        </w:tc>
      </w:tr>
      <w:tr w:rsidR="001B77DD" w14:paraId="67534334" w14:textId="77777777">
        <w:trPr>
          <w:trHeight w:val="700"/>
        </w:trPr>
        <w:tc>
          <w:tcPr>
            <w:tcW w:w="0" w:type="auto"/>
            <w:gridSpan w:val="3"/>
            <w:shd w:val="clear" w:color="auto" w:fill="auto"/>
            <w:tcMar>
              <w:top w:w="40" w:type="dxa"/>
              <w:left w:w="20" w:type="dxa"/>
              <w:bottom w:w="40" w:type="dxa"/>
              <w:right w:w="20" w:type="dxa"/>
            </w:tcMar>
          </w:tcPr>
          <w:p w14:paraId="67534331"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332" w14:textId="77777777" w:rsidR="001B77DD" w:rsidRDefault="00BF0A28">
            <w:pPr>
              <w:textAlignment w:val="top"/>
            </w:pPr>
            <w:r>
              <w:rPr>
                <w:rFonts w:ascii="Arial" w:eastAsia="宋体" w:hAnsi="Arial" w:cs="Arial"/>
                <w:color w:val="262626"/>
                <w:sz w:val="18"/>
                <w:szCs w:val="18"/>
              </w:rPr>
              <w:t xml:space="preserve">We launched our 11th Gen Intel Core H-series processors and introduced our 12th Gen Intel Core processor family, our </w:t>
            </w:r>
            <w:r>
              <w:rPr>
                <w:rFonts w:ascii="Arial" w:eastAsia="宋体" w:hAnsi="Arial" w:cs="Arial"/>
                <w:color w:val="262626"/>
                <w:sz w:val="18"/>
                <w:szCs w:val="18"/>
              </w:rPr>
              <w:t>all-new performance hybrid architecture built on Intel 7 process technology.</w:t>
            </w:r>
          </w:p>
        </w:tc>
        <w:tc>
          <w:tcPr>
            <w:tcW w:w="0" w:type="auto"/>
            <w:gridSpan w:val="3"/>
            <w:vMerge/>
            <w:shd w:val="clear" w:color="auto" w:fill="auto"/>
            <w:tcMar>
              <w:top w:w="40" w:type="dxa"/>
              <w:left w:w="20" w:type="dxa"/>
              <w:bottom w:w="40" w:type="dxa"/>
              <w:right w:w="20" w:type="dxa"/>
            </w:tcMar>
          </w:tcPr>
          <w:p w14:paraId="67534333" w14:textId="77777777" w:rsidR="001B77DD" w:rsidRDefault="001B77DD">
            <w:pPr>
              <w:rPr>
                <w:rFonts w:ascii="宋体"/>
              </w:rPr>
            </w:pPr>
          </w:p>
        </w:tc>
      </w:tr>
      <w:tr w:rsidR="001B77DD" w14:paraId="67534338" w14:textId="77777777">
        <w:trPr>
          <w:trHeight w:val="1320"/>
        </w:trPr>
        <w:tc>
          <w:tcPr>
            <w:tcW w:w="0" w:type="auto"/>
            <w:gridSpan w:val="3"/>
            <w:shd w:val="clear" w:color="auto" w:fill="auto"/>
            <w:tcMar>
              <w:top w:w="40" w:type="dxa"/>
              <w:left w:w="20" w:type="dxa"/>
              <w:bottom w:w="40" w:type="dxa"/>
              <w:right w:w="20" w:type="dxa"/>
            </w:tcMar>
          </w:tcPr>
          <w:p w14:paraId="67534335"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336" w14:textId="77777777" w:rsidR="001B77DD" w:rsidRDefault="00BF0A28">
            <w:pPr>
              <w:textAlignment w:val="top"/>
            </w:pPr>
            <w:r>
              <w:rPr>
                <w:rFonts w:ascii="Arial" w:eastAsia="宋体" w:hAnsi="Arial" w:cs="Arial"/>
                <w:color w:val="262626"/>
                <w:sz w:val="18"/>
                <w:szCs w:val="18"/>
              </w:rPr>
              <w:t xml:space="preserve">We launched the world's first Wi-Fi 6E certified product for PCs, enabling Intel Wi-Fi based PCs to access as much as 1200 MHz of new Wi-Fi spectrum – the first new </w:t>
            </w:r>
            <w:r>
              <w:rPr>
                <w:rFonts w:ascii="Arial" w:eastAsia="宋体" w:hAnsi="Arial" w:cs="Arial"/>
                <w:color w:val="262626"/>
                <w:sz w:val="18"/>
                <w:szCs w:val="18"/>
              </w:rPr>
              <w:t>spectrum for Wi-Fi in over a decade. In May, we launched the Intel 5G Solution 5000 modem for PCs, delivering speeds that significantly exceed those of our Intel Gigabit LTE. We also introduced our new high-performance discrete graphics products: Intel</w:t>
            </w:r>
            <w:r>
              <w:rPr>
                <w:rFonts w:ascii="Arial" w:eastAsia="宋体" w:hAnsi="Arial" w:cs="Arial"/>
                <w:color w:val="262626"/>
                <w:sz w:val="11"/>
                <w:szCs w:val="11"/>
              </w:rPr>
              <w:t>®</w:t>
            </w:r>
            <w:r>
              <w:rPr>
                <w:rFonts w:ascii="Arial" w:eastAsia="宋体" w:hAnsi="Arial" w:cs="Arial"/>
                <w:color w:val="262626"/>
                <w:sz w:val="18"/>
                <w:szCs w:val="18"/>
              </w:rPr>
              <w:t xml:space="preserve"> Ar</w:t>
            </w:r>
            <w:r>
              <w:rPr>
                <w:rFonts w:ascii="Arial" w:eastAsia="宋体" w:hAnsi="Arial" w:cs="Arial"/>
                <w:color w:val="262626"/>
                <w:sz w:val="18"/>
                <w:szCs w:val="18"/>
              </w:rPr>
              <w:t>c™, with our first generation (Alchemist) GPU shipping to OEMs in Q1 2022.</w:t>
            </w:r>
          </w:p>
        </w:tc>
        <w:tc>
          <w:tcPr>
            <w:tcW w:w="0" w:type="auto"/>
            <w:gridSpan w:val="3"/>
            <w:vMerge/>
            <w:shd w:val="clear" w:color="auto" w:fill="auto"/>
            <w:tcMar>
              <w:top w:w="40" w:type="dxa"/>
              <w:left w:w="20" w:type="dxa"/>
              <w:bottom w:w="40" w:type="dxa"/>
              <w:right w:w="20" w:type="dxa"/>
            </w:tcMar>
          </w:tcPr>
          <w:p w14:paraId="67534337" w14:textId="77777777" w:rsidR="001B77DD" w:rsidRDefault="001B77DD">
            <w:pPr>
              <w:rPr>
                <w:rFonts w:ascii="宋体"/>
              </w:rPr>
            </w:pPr>
          </w:p>
        </w:tc>
      </w:tr>
      <w:tr w:rsidR="001B77DD" w14:paraId="6753433C" w14:textId="77777777">
        <w:trPr>
          <w:trHeight w:val="660"/>
        </w:trPr>
        <w:tc>
          <w:tcPr>
            <w:tcW w:w="0" w:type="auto"/>
            <w:gridSpan w:val="3"/>
            <w:shd w:val="clear" w:color="auto" w:fill="auto"/>
            <w:tcMar>
              <w:top w:w="40" w:type="dxa"/>
              <w:left w:w="20" w:type="dxa"/>
              <w:bottom w:w="40" w:type="dxa"/>
              <w:right w:w="20" w:type="dxa"/>
            </w:tcMar>
          </w:tcPr>
          <w:p w14:paraId="67534339"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33A" w14:textId="77777777" w:rsidR="001B77DD" w:rsidRDefault="00BF0A28">
            <w:pPr>
              <w:textAlignment w:val="top"/>
            </w:pPr>
            <w:r>
              <w:rPr>
                <w:rFonts w:ascii="Arial" w:eastAsia="宋体" w:hAnsi="Arial" w:cs="Arial"/>
                <w:color w:val="262626"/>
                <w:sz w:val="18"/>
                <w:szCs w:val="18"/>
              </w:rPr>
              <w:t>We worked with industry partners to co-engineer and deliver more than 100 verified Intel</w:t>
            </w:r>
            <w:r>
              <w:rPr>
                <w:rFonts w:ascii="Arial" w:eastAsia="宋体" w:hAnsi="Arial" w:cs="Arial"/>
                <w:color w:val="262626"/>
                <w:sz w:val="12"/>
                <w:szCs w:val="12"/>
              </w:rPr>
              <w:t>®</w:t>
            </w:r>
            <w:r>
              <w:rPr>
                <w:rFonts w:ascii="Arial" w:eastAsia="宋体" w:hAnsi="Arial" w:cs="Arial"/>
                <w:color w:val="262626"/>
                <w:sz w:val="18"/>
                <w:szCs w:val="18"/>
              </w:rPr>
              <w:t xml:space="preserve"> Evo™ designs and grew the commercial market segment with the launch of our 11th Gen Int</w:t>
            </w:r>
            <w:r>
              <w:rPr>
                <w:rFonts w:ascii="Arial" w:eastAsia="宋体" w:hAnsi="Arial" w:cs="Arial"/>
                <w:color w:val="262626"/>
                <w:sz w:val="18"/>
                <w:szCs w:val="18"/>
              </w:rPr>
              <w:t xml:space="preserve">el Core vPro platform. </w:t>
            </w:r>
          </w:p>
        </w:tc>
        <w:tc>
          <w:tcPr>
            <w:tcW w:w="0" w:type="auto"/>
            <w:gridSpan w:val="3"/>
            <w:vMerge/>
            <w:shd w:val="clear" w:color="auto" w:fill="auto"/>
            <w:tcMar>
              <w:top w:w="40" w:type="dxa"/>
              <w:left w:w="20" w:type="dxa"/>
              <w:bottom w:w="40" w:type="dxa"/>
              <w:right w:w="20" w:type="dxa"/>
            </w:tcMar>
          </w:tcPr>
          <w:p w14:paraId="6753433B" w14:textId="77777777" w:rsidR="001B77DD" w:rsidRDefault="001B77DD">
            <w:pPr>
              <w:rPr>
                <w:rFonts w:ascii="宋体"/>
              </w:rPr>
            </w:pPr>
          </w:p>
        </w:tc>
      </w:tr>
    </w:tbl>
    <w:p w14:paraId="6753433D" w14:textId="77777777" w:rsidR="001B77DD" w:rsidRDefault="001B77DD">
      <w:pPr>
        <w:rPr>
          <w:vanish/>
        </w:rPr>
      </w:pPr>
    </w:p>
    <w:tbl>
      <w:tblPr>
        <w:tblW w:w="10980" w:type="dxa"/>
        <w:tblInd w:w="-705"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341" w14:textId="77777777">
        <w:tc>
          <w:tcPr>
            <w:tcW w:w="20" w:type="dxa"/>
            <w:shd w:val="clear" w:color="auto" w:fill="auto"/>
            <w:vAlign w:val="bottom"/>
          </w:tcPr>
          <w:p w14:paraId="6753433E" w14:textId="77777777" w:rsidR="001B77DD" w:rsidRDefault="001B77DD">
            <w:pPr>
              <w:rPr>
                <w:rFonts w:ascii="宋体"/>
              </w:rPr>
            </w:pPr>
          </w:p>
        </w:tc>
        <w:tc>
          <w:tcPr>
            <w:tcW w:w="10940" w:type="dxa"/>
            <w:shd w:val="clear" w:color="auto" w:fill="auto"/>
            <w:vAlign w:val="bottom"/>
          </w:tcPr>
          <w:p w14:paraId="6753433F" w14:textId="77777777" w:rsidR="001B77DD" w:rsidRDefault="001B77DD">
            <w:pPr>
              <w:rPr>
                <w:rFonts w:ascii="宋体"/>
              </w:rPr>
            </w:pPr>
          </w:p>
        </w:tc>
        <w:tc>
          <w:tcPr>
            <w:tcW w:w="20" w:type="dxa"/>
            <w:shd w:val="clear" w:color="auto" w:fill="auto"/>
            <w:vAlign w:val="bottom"/>
          </w:tcPr>
          <w:p w14:paraId="67534340" w14:textId="77777777" w:rsidR="001B77DD" w:rsidRDefault="001B77DD">
            <w:pPr>
              <w:rPr>
                <w:rFonts w:ascii="宋体"/>
              </w:rPr>
            </w:pPr>
          </w:p>
        </w:tc>
      </w:tr>
      <w:tr w:rsidR="001B77DD" w14:paraId="67534343"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342" w14:textId="77777777" w:rsidR="001B77DD" w:rsidRDefault="00BF0A28">
            <w:pPr>
              <w:textAlignment w:val="bottom"/>
            </w:pPr>
            <w:r>
              <w:rPr>
                <w:rFonts w:ascii="Arial" w:eastAsia="宋体" w:hAnsi="Arial" w:cs="Arial"/>
                <w:color w:val="0068B5"/>
                <w:sz w:val="20"/>
                <w:szCs w:val="20"/>
              </w:rPr>
              <w:t>5-Year Trends</w:t>
            </w:r>
          </w:p>
        </w:tc>
      </w:tr>
    </w:tbl>
    <w:p w14:paraId="67534344"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24" wp14:editId="67538E25">
            <wp:extent cx="304800" cy="304800"/>
            <wp:effectExtent l="0" t="0" r="0" b="0"/>
            <wp:docPr id="232" name="图片 124"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24" descr="IMG_32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26" wp14:editId="67538E27">
            <wp:extent cx="304800" cy="304800"/>
            <wp:effectExtent l="0" t="0" r="0" b="0"/>
            <wp:docPr id="1" name="图片 125"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5" descr="IMG_32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755" w:type="dxa"/>
        <w:tblInd w:w="-705" w:type="dxa"/>
        <w:tblCellMar>
          <w:top w:w="15" w:type="dxa"/>
          <w:left w:w="15" w:type="dxa"/>
          <w:bottom w:w="15" w:type="dxa"/>
          <w:right w:w="15" w:type="dxa"/>
        </w:tblCellMar>
        <w:tblLook w:val="04A0" w:firstRow="1" w:lastRow="0" w:firstColumn="1" w:lastColumn="0" w:noHBand="0" w:noVBand="1"/>
      </w:tblPr>
      <w:tblGrid>
        <w:gridCol w:w="37"/>
        <w:gridCol w:w="592"/>
        <w:gridCol w:w="36"/>
        <w:gridCol w:w="36"/>
        <w:gridCol w:w="1299"/>
        <w:gridCol w:w="36"/>
        <w:gridCol w:w="36"/>
        <w:gridCol w:w="2413"/>
        <w:gridCol w:w="36"/>
        <w:gridCol w:w="36"/>
        <w:gridCol w:w="1265"/>
        <w:gridCol w:w="36"/>
        <w:gridCol w:w="36"/>
        <w:gridCol w:w="1488"/>
        <w:gridCol w:w="36"/>
        <w:gridCol w:w="36"/>
        <w:gridCol w:w="2997"/>
        <w:gridCol w:w="36"/>
        <w:gridCol w:w="36"/>
        <w:gridCol w:w="196"/>
        <w:gridCol w:w="36"/>
      </w:tblGrid>
      <w:tr w:rsidR="001B77DD" w14:paraId="6753435A" w14:textId="77777777">
        <w:tc>
          <w:tcPr>
            <w:tcW w:w="20" w:type="dxa"/>
            <w:shd w:val="clear" w:color="auto" w:fill="auto"/>
            <w:vAlign w:val="bottom"/>
          </w:tcPr>
          <w:p w14:paraId="67534345" w14:textId="77777777" w:rsidR="001B77DD" w:rsidRDefault="001B77DD">
            <w:pPr>
              <w:rPr>
                <w:rFonts w:ascii="宋体"/>
              </w:rPr>
            </w:pPr>
          </w:p>
        </w:tc>
        <w:tc>
          <w:tcPr>
            <w:tcW w:w="605" w:type="dxa"/>
            <w:shd w:val="clear" w:color="auto" w:fill="auto"/>
            <w:vAlign w:val="bottom"/>
          </w:tcPr>
          <w:p w14:paraId="67534346" w14:textId="77777777" w:rsidR="001B77DD" w:rsidRDefault="001B77DD">
            <w:pPr>
              <w:rPr>
                <w:rFonts w:ascii="宋体"/>
              </w:rPr>
            </w:pPr>
          </w:p>
        </w:tc>
        <w:tc>
          <w:tcPr>
            <w:tcW w:w="20" w:type="dxa"/>
            <w:shd w:val="clear" w:color="auto" w:fill="auto"/>
            <w:vAlign w:val="bottom"/>
          </w:tcPr>
          <w:p w14:paraId="67534347" w14:textId="77777777" w:rsidR="001B77DD" w:rsidRDefault="001B77DD">
            <w:pPr>
              <w:rPr>
                <w:rFonts w:ascii="宋体"/>
              </w:rPr>
            </w:pPr>
          </w:p>
        </w:tc>
        <w:tc>
          <w:tcPr>
            <w:tcW w:w="20" w:type="dxa"/>
            <w:shd w:val="clear" w:color="auto" w:fill="auto"/>
            <w:vAlign w:val="bottom"/>
          </w:tcPr>
          <w:p w14:paraId="67534348" w14:textId="77777777" w:rsidR="001B77DD" w:rsidRDefault="001B77DD">
            <w:pPr>
              <w:rPr>
                <w:rFonts w:ascii="宋体"/>
              </w:rPr>
            </w:pPr>
          </w:p>
        </w:tc>
        <w:tc>
          <w:tcPr>
            <w:tcW w:w="1325" w:type="dxa"/>
            <w:shd w:val="clear" w:color="auto" w:fill="auto"/>
            <w:vAlign w:val="bottom"/>
          </w:tcPr>
          <w:p w14:paraId="67534349" w14:textId="77777777" w:rsidR="001B77DD" w:rsidRDefault="001B77DD">
            <w:pPr>
              <w:rPr>
                <w:rFonts w:ascii="宋体"/>
              </w:rPr>
            </w:pPr>
          </w:p>
        </w:tc>
        <w:tc>
          <w:tcPr>
            <w:tcW w:w="20" w:type="dxa"/>
            <w:shd w:val="clear" w:color="auto" w:fill="auto"/>
            <w:vAlign w:val="bottom"/>
          </w:tcPr>
          <w:p w14:paraId="6753434A" w14:textId="77777777" w:rsidR="001B77DD" w:rsidRDefault="001B77DD">
            <w:pPr>
              <w:rPr>
                <w:rFonts w:ascii="宋体"/>
              </w:rPr>
            </w:pPr>
          </w:p>
        </w:tc>
        <w:tc>
          <w:tcPr>
            <w:tcW w:w="20" w:type="dxa"/>
            <w:shd w:val="clear" w:color="auto" w:fill="auto"/>
            <w:vAlign w:val="bottom"/>
          </w:tcPr>
          <w:p w14:paraId="6753434B" w14:textId="77777777" w:rsidR="001B77DD" w:rsidRDefault="001B77DD">
            <w:pPr>
              <w:rPr>
                <w:rFonts w:ascii="宋体"/>
              </w:rPr>
            </w:pPr>
          </w:p>
        </w:tc>
        <w:tc>
          <w:tcPr>
            <w:tcW w:w="2465" w:type="dxa"/>
            <w:shd w:val="clear" w:color="auto" w:fill="auto"/>
            <w:vAlign w:val="bottom"/>
          </w:tcPr>
          <w:p w14:paraId="6753434C" w14:textId="77777777" w:rsidR="001B77DD" w:rsidRDefault="001B77DD">
            <w:pPr>
              <w:rPr>
                <w:rFonts w:ascii="宋体"/>
              </w:rPr>
            </w:pPr>
          </w:p>
        </w:tc>
        <w:tc>
          <w:tcPr>
            <w:tcW w:w="20" w:type="dxa"/>
            <w:shd w:val="clear" w:color="auto" w:fill="auto"/>
            <w:vAlign w:val="bottom"/>
          </w:tcPr>
          <w:p w14:paraId="6753434D" w14:textId="77777777" w:rsidR="001B77DD" w:rsidRDefault="001B77DD">
            <w:pPr>
              <w:rPr>
                <w:rFonts w:ascii="宋体"/>
              </w:rPr>
            </w:pPr>
          </w:p>
        </w:tc>
        <w:tc>
          <w:tcPr>
            <w:tcW w:w="20" w:type="dxa"/>
            <w:shd w:val="clear" w:color="auto" w:fill="auto"/>
            <w:vAlign w:val="bottom"/>
          </w:tcPr>
          <w:p w14:paraId="6753434E" w14:textId="77777777" w:rsidR="001B77DD" w:rsidRDefault="001B77DD">
            <w:pPr>
              <w:rPr>
                <w:rFonts w:ascii="宋体"/>
              </w:rPr>
            </w:pPr>
          </w:p>
        </w:tc>
        <w:tc>
          <w:tcPr>
            <w:tcW w:w="1295" w:type="dxa"/>
            <w:shd w:val="clear" w:color="auto" w:fill="auto"/>
            <w:vAlign w:val="bottom"/>
          </w:tcPr>
          <w:p w14:paraId="6753434F" w14:textId="77777777" w:rsidR="001B77DD" w:rsidRDefault="001B77DD">
            <w:pPr>
              <w:rPr>
                <w:rFonts w:ascii="宋体"/>
              </w:rPr>
            </w:pPr>
          </w:p>
        </w:tc>
        <w:tc>
          <w:tcPr>
            <w:tcW w:w="20" w:type="dxa"/>
            <w:shd w:val="clear" w:color="auto" w:fill="auto"/>
            <w:vAlign w:val="bottom"/>
          </w:tcPr>
          <w:p w14:paraId="67534350" w14:textId="77777777" w:rsidR="001B77DD" w:rsidRDefault="001B77DD">
            <w:pPr>
              <w:rPr>
                <w:rFonts w:ascii="宋体"/>
              </w:rPr>
            </w:pPr>
          </w:p>
        </w:tc>
        <w:tc>
          <w:tcPr>
            <w:tcW w:w="20" w:type="dxa"/>
            <w:shd w:val="clear" w:color="auto" w:fill="auto"/>
            <w:vAlign w:val="bottom"/>
          </w:tcPr>
          <w:p w14:paraId="67534351" w14:textId="77777777" w:rsidR="001B77DD" w:rsidRDefault="001B77DD">
            <w:pPr>
              <w:rPr>
                <w:rFonts w:ascii="宋体"/>
              </w:rPr>
            </w:pPr>
          </w:p>
        </w:tc>
        <w:tc>
          <w:tcPr>
            <w:tcW w:w="1520" w:type="dxa"/>
            <w:shd w:val="clear" w:color="auto" w:fill="auto"/>
            <w:vAlign w:val="bottom"/>
          </w:tcPr>
          <w:p w14:paraId="67534352" w14:textId="77777777" w:rsidR="001B77DD" w:rsidRDefault="001B77DD">
            <w:pPr>
              <w:rPr>
                <w:rFonts w:ascii="宋体"/>
              </w:rPr>
            </w:pPr>
          </w:p>
        </w:tc>
        <w:tc>
          <w:tcPr>
            <w:tcW w:w="20" w:type="dxa"/>
            <w:shd w:val="clear" w:color="auto" w:fill="auto"/>
            <w:vAlign w:val="bottom"/>
          </w:tcPr>
          <w:p w14:paraId="67534353" w14:textId="77777777" w:rsidR="001B77DD" w:rsidRDefault="001B77DD">
            <w:pPr>
              <w:rPr>
                <w:rFonts w:ascii="宋体"/>
              </w:rPr>
            </w:pPr>
          </w:p>
        </w:tc>
        <w:tc>
          <w:tcPr>
            <w:tcW w:w="20" w:type="dxa"/>
            <w:shd w:val="clear" w:color="auto" w:fill="auto"/>
            <w:vAlign w:val="bottom"/>
          </w:tcPr>
          <w:p w14:paraId="67534354" w14:textId="77777777" w:rsidR="001B77DD" w:rsidRDefault="001B77DD">
            <w:pPr>
              <w:rPr>
                <w:rFonts w:ascii="宋体"/>
              </w:rPr>
            </w:pPr>
          </w:p>
        </w:tc>
        <w:tc>
          <w:tcPr>
            <w:tcW w:w="3065" w:type="dxa"/>
            <w:shd w:val="clear" w:color="auto" w:fill="auto"/>
            <w:vAlign w:val="bottom"/>
          </w:tcPr>
          <w:p w14:paraId="67534355" w14:textId="77777777" w:rsidR="001B77DD" w:rsidRDefault="001B77DD">
            <w:pPr>
              <w:rPr>
                <w:rFonts w:ascii="宋体"/>
              </w:rPr>
            </w:pPr>
          </w:p>
        </w:tc>
        <w:tc>
          <w:tcPr>
            <w:tcW w:w="20" w:type="dxa"/>
            <w:shd w:val="clear" w:color="auto" w:fill="auto"/>
            <w:vAlign w:val="bottom"/>
          </w:tcPr>
          <w:p w14:paraId="67534356" w14:textId="77777777" w:rsidR="001B77DD" w:rsidRDefault="001B77DD">
            <w:pPr>
              <w:rPr>
                <w:rFonts w:ascii="宋体"/>
              </w:rPr>
            </w:pPr>
          </w:p>
        </w:tc>
        <w:tc>
          <w:tcPr>
            <w:tcW w:w="20" w:type="dxa"/>
            <w:shd w:val="clear" w:color="auto" w:fill="auto"/>
            <w:vAlign w:val="bottom"/>
          </w:tcPr>
          <w:p w14:paraId="67534357" w14:textId="77777777" w:rsidR="001B77DD" w:rsidRDefault="001B77DD">
            <w:pPr>
              <w:rPr>
                <w:rFonts w:ascii="宋体"/>
              </w:rPr>
            </w:pPr>
          </w:p>
        </w:tc>
        <w:tc>
          <w:tcPr>
            <w:tcW w:w="200" w:type="dxa"/>
            <w:shd w:val="clear" w:color="auto" w:fill="auto"/>
            <w:vAlign w:val="bottom"/>
          </w:tcPr>
          <w:p w14:paraId="67534358" w14:textId="77777777" w:rsidR="001B77DD" w:rsidRDefault="001B77DD">
            <w:pPr>
              <w:rPr>
                <w:rFonts w:ascii="宋体"/>
              </w:rPr>
            </w:pPr>
          </w:p>
        </w:tc>
        <w:tc>
          <w:tcPr>
            <w:tcW w:w="20" w:type="dxa"/>
            <w:shd w:val="clear" w:color="auto" w:fill="auto"/>
            <w:vAlign w:val="bottom"/>
          </w:tcPr>
          <w:p w14:paraId="67534359" w14:textId="77777777" w:rsidR="001B77DD" w:rsidRDefault="001B77DD">
            <w:pPr>
              <w:rPr>
                <w:rFonts w:ascii="宋体"/>
              </w:rPr>
            </w:pPr>
          </w:p>
        </w:tc>
      </w:tr>
      <w:tr w:rsidR="001B77DD" w14:paraId="67534360" w14:textId="77777777">
        <w:trPr>
          <w:trHeight w:val="240"/>
        </w:trPr>
        <w:tc>
          <w:tcPr>
            <w:tcW w:w="0" w:type="auto"/>
            <w:gridSpan w:val="3"/>
            <w:shd w:val="clear" w:color="auto" w:fill="auto"/>
            <w:tcMar>
              <w:top w:w="0" w:type="dxa"/>
              <w:left w:w="20" w:type="dxa"/>
              <w:bottom w:w="0" w:type="dxa"/>
              <w:right w:w="20" w:type="dxa"/>
            </w:tcMar>
            <w:vAlign w:val="bottom"/>
          </w:tcPr>
          <w:p w14:paraId="6753435B"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tcPr>
          <w:p w14:paraId="6753435C" w14:textId="77777777" w:rsidR="001B77DD" w:rsidRDefault="00BF0A28">
            <w:pPr>
              <w:jc w:val="cente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Revenue</w:t>
            </w:r>
            <w:r>
              <w:rPr>
                <w:rFonts w:ascii="Arial" w:eastAsia="宋体" w:hAnsi="Arial" w:cs="Arial"/>
                <w:color w:val="262626"/>
                <w:sz w:val="16"/>
                <w:szCs w:val="16"/>
              </w:rPr>
              <w:t xml:space="preserve"> $B</w:t>
            </w:r>
          </w:p>
        </w:tc>
        <w:tc>
          <w:tcPr>
            <w:tcW w:w="0" w:type="auto"/>
            <w:gridSpan w:val="3"/>
            <w:shd w:val="clear" w:color="auto" w:fill="auto"/>
            <w:tcMar>
              <w:top w:w="0" w:type="dxa"/>
              <w:left w:w="20" w:type="dxa"/>
              <w:bottom w:w="0" w:type="dxa"/>
              <w:right w:w="20" w:type="dxa"/>
            </w:tcMar>
            <w:vAlign w:val="bottom"/>
          </w:tcPr>
          <w:p w14:paraId="6753435D"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tcPr>
          <w:p w14:paraId="6753435E" w14:textId="77777777" w:rsidR="001B77DD" w:rsidRDefault="00BF0A28">
            <w:pPr>
              <w:jc w:val="cente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vAlign w:val="bottom"/>
          </w:tcPr>
          <w:p w14:paraId="6753435F" w14:textId="77777777" w:rsidR="001B77DD" w:rsidRDefault="001B77DD">
            <w:pPr>
              <w:rPr>
                <w:rFonts w:ascii="宋体"/>
              </w:rPr>
            </w:pPr>
          </w:p>
        </w:tc>
      </w:tr>
    </w:tbl>
    <w:p w14:paraId="67534361"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36B" w14:textId="77777777">
        <w:tc>
          <w:tcPr>
            <w:tcW w:w="50" w:type="pct"/>
            <w:shd w:val="clear" w:color="auto" w:fill="auto"/>
            <w:vAlign w:val="bottom"/>
          </w:tcPr>
          <w:p w14:paraId="67534362" w14:textId="77777777" w:rsidR="001B77DD" w:rsidRDefault="001B77DD">
            <w:pPr>
              <w:rPr>
                <w:rFonts w:ascii="宋体"/>
              </w:rPr>
            </w:pPr>
          </w:p>
        </w:tc>
        <w:tc>
          <w:tcPr>
            <w:tcW w:w="283" w:type="pct"/>
            <w:shd w:val="clear" w:color="auto" w:fill="auto"/>
            <w:vAlign w:val="bottom"/>
          </w:tcPr>
          <w:p w14:paraId="67534363" w14:textId="77777777" w:rsidR="001B77DD" w:rsidRDefault="001B77DD">
            <w:pPr>
              <w:rPr>
                <w:rFonts w:ascii="宋体"/>
              </w:rPr>
            </w:pPr>
          </w:p>
        </w:tc>
        <w:tc>
          <w:tcPr>
            <w:tcW w:w="5" w:type="pct"/>
            <w:shd w:val="clear" w:color="auto" w:fill="auto"/>
            <w:vAlign w:val="bottom"/>
          </w:tcPr>
          <w:p w14:paraId="67534364" w14:textId="77777777" w:rsidR="001B77DD" w:rsidRDefault="001B77DD">
            <w:pPr>
              <w:rPr>
                <w:rFonts w:ascii="宋体"/>
              </w:rPr>
            </w:pPr>
          </w:p>
        </w:tc>
        <w:tc>
          <w:tcPr>
            <w:tcW w:w="50" w:type="pct"/>
            <w:shd w:val="clear" w:color="auto" w:fill="auto"/>
            <w:vAlign w:val="bottom"/>
          </w:tcPr>
          <w:p w14:paraId="67534365" w14:textId="77777777" w:rsidR="001B77DD" w:rsidRDefault="001B77DD">
            <w:pPr>
              <w:rPr>
                <w:rFonts w:ascii="宋体"/>
              </w:rPr>
            </w:pPr>
          </w:p>
        </w:tc>
        <w:tc>
          <w:tcPr>
            <w:tcW w:w="2656" w:type="pct"/>
            <w:shd w:val="clear" w:color="auto" w:fill="auto"/>
            <w:vAlign w:val="bottom"/>
          </w:tcPr>
          <w:p w14:paraId="67534366" w14:textId="77777777" w:rsidR="001B77DD" w:rsidRDefault="001B77DD">
            <w:pPr>
              <w:rPr>
                <w:rFonts w:ascii="宋体"/>
              </w:rPr>
            </w:pPr>
          </w:p>
        </w:tc>
        <w:tc>
          <w:tcPr>
            <w:tcW w:w="5" w:type="pct"/>
            <w:shd w:val="clear" w:color="auto" w:fill="auto"/>
            <w:vAlign w:val="bottom"/>
          </w:tcPr>
          <w:p w14:paraId="67534367" w14:textId="77777777" w:rsidR="001B77DD" w:rsidRDefault="001B77DD">
            <w:pPr>
              <w:rPr>
                <w:rFonts w:ascii="宋体"/>
              </w:rPr>
            </w:pPr>
          </w:p>
        </w:tc>
        <w:tc>
          <w:tcPr>
            <w:tcW w:w="50" w:type="pct"/>
            <w:shd w:val="clear" w:color="auto" w:fill="auto"/>
            <w:vAlign w:val="bottom"/>
          </w:tcPr>
          <w:p w14:paraId="67534368" w14:textId="77777777" w:rsidR="001B77DD" w:rsidRDefault="001B77DD">
            <w:pPr>
              <w:rPr>
                <w:rFonts w:ascii="宋体"/>
              </w:rPr>
            </w:pPr>
          </w:p>
        </w:tc>
        <w:tc>
          <w:tcPr>
            <w:tcW w:w="1894" w:type="pct"/>
            <w:shd w:val="clear" w:color="auto" w:fill="auto"/>
            <w:vAlign w:val="bottom"/>
          </w:tcPr>
          <w:p w14:paraId="67534369" w14:textId="77777777" w:rsidR="001B77DD" w:rsidRDefault="001B77DD">
            <w:pPr>
              <w:rPr>
                <w:rFonts w:ascii="宋体"/>
              </w:rPr>
            </w:pPr>
          </w:p>
        </w:tc>
        <w:tc>
          <w:tcPr>
            <w:tcW w:w="5" w:type="pct"/>
            <w:shd w:val="clear" w:color="auto" w:fill="auto"/>
            <w:vAlign w:val="bottom"/>
          </w:tcPr>
          <w:p w14:paraId="6753436A" w14:textId="77777777" w:rsidR="001B77DD" w:rsidRDefault="001B77DD">
            <w:pPr>
              <w:rPr>
                <w:rFonts w:ascii="宋体"/>
              </w:rPr>
            </w:pPr>
          </w:p>
        </w:tc>
      </w:tr>
      <w:tr w:rsidR="001B77DD" w14:paraId="6753436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36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28" wp14:editId="67538E29">
                  <wp:extent cx="304800" cy="304800"/>
                  <wp:effectExtent l="0" t="0" r="0" b="0"/>
                  <wp:docPr id="6" name="图片 12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36D"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36E" w14:textId="77777777" w:rsidR="001B77DD" w:rsidRDefault="00BF0A28">
            <w:pPr>
              <w:jc w:val="right"/>
              <w:textAlignment w:val="center"/>
            </w:pPr>
            <w:r>
              <w:rPr>
                <w:rFonts w:ascii="Arial" w:eastAsia="宋体" w:hAnsi="Arial" w:cs="Arial"/>
                <w:color w:val="262626"/>
                <w:sz w:val="16"/>
                <w:szCs w:val="16"/>
              </w:rPr>
              <w:t>20</w:t>
            </w:r>
          </w:p>
        </w:tc>
      </w:tr>
    </w:tbl>
    <w:p w14:paraId="67534370" w14:textId="77777777" w:rsidR="001B77DD" w:rsidRDefault="00BF0A28">
      <w:r>
        <w:pict w14:anchorId="67538E2A">
          <v:rect id="_x0000_i1046" style="width:415.3pt;height:1.5pt" o:hralign="center" o:hrstd="t" o:hr="t" fillcolor="#a0a0a0" stroked="f"/>
        </w:pict>
      </w:r>
    </w:p>
    <w:p w14:paraId="67534371" w14:textId="77777777" w:rsidR="001B77DD" w:rsidRDefault="00BF0A28">
      <w:pPr>
        <w:jc w:val="right"/>
      </w:pPr>
      <w:hyperlink r:id="rId82" w:anchor="i6c9ced68f6b24d58a3dcf326e8c3c699_16" w:history="1">
        <w:r>
          <w:rPr>
            <w:rStyle w:val="a5"/>
            <w:rFonts w:ascii="Arial" w:eastAsia="宋体" w:hAnsi="Arial" w:cs="Arial"/>
            <w:b/>
            <w:bCs/>
            <w:sz w:val="16"/>
            <w:szCs w:val="16"/>
          </w:rPr>
          <w:t>Table of Contents</w:t>
        </w:r>
      </w:hyperlink>
    </w:p>
    <w:p w14:paraId="67534372" w14:textId="77777777" w:rsidR="001B77DD" w:rsidRDefault="001B77DD">
      <w:pPr>
        <w:jc w:val="right"/>
      </w:pPr>
    </w:p>
    <w:p w14:paraId="67534373" w14:textId="77777777" w:rsidR="001B77DD" w:rsidRDefault="00BF0A28">
      <w:pPr>
        <w:spacing w:after="120"/>
      </w:pPr>
      <w:r>
        <w:rPr>
          <w:rFonts w:ascii="Arial" w:eastAsia="宋体" w:hAnsi="Arial" w:cs="Arial"/>
          <w:color w:val="0068B5"/>
        </w:rPr>
        <w:t>Market and Business Overview</w:t>
      </w:r>
    </w:p>
    <w:p w14:paraId="67534374" w14:textId="77777777" w:rsidR="001B77DD" w:rsidRDefault="00BF0A28">
      <w:pPr>
        <w:spacing w:after="120"/>
      </w:pPr>
      <w:r>
        <w:rPr>
          <w:rFonts w:ascii="Arial" w:eastAsia="宋体" w:hAnsi="Arial" w:cs="Arial"/>
          <w:color w:val="0068B5"/>
          <w:sz w:val="20"/>
          <w:szCs w:val="20"/>
        </w:rPr>
        <w:t>Market Trends and Strategy</w:t>
      </w:r>
    </w:p>
    <w:p w14:paraId="67534375" w14:textId="77777777" w:rsidR="001B77DD" w:rsidRDefault="00BF0A28">
      <w:pPr>
        <w:spacing w:after="180"/>
      </w:pPr>
      <w:r>
        <w:rPr>
          <w:rFonts w:ascii="Arial" w:eastAsia="宋体" w:hAnsi="Arial" w:cs="Arial"/>
          <w:color w:val="262626"/>
          <w:sz w:val="18"/>
          <w:szCs w:val="18"/>
        </w:rPr>
        <w:t xml:space="preserve">Since the onset of the COVID-19 pandemic, time spent on PCs has increased dramatically across all major usage </w:t>
      </w:r>
      <w:r>
        <w:rPr>
          <w:rFonts w:ascii="Arial" w:eastAsia="宋体" w:hAnsi="Arial" w:cs="Arial"/>
          <w:color w:val="262626"/>
          <w:sz w:val="18"/>
          <w:szCs w:val="18"/>
        </w:rPr>
        <w:t>categories—as did PCs per household—reinforcing the importance of bringing innovative platforms and form factors to market that unlock real-world experiences. This trend is expected to remain in a post-pandemic wo</w:t>
      </w:r>
      <w:r>
        <w:rPr>
          <w:rFonts w:ascii="Arial" w:eastAsia="宋体" w:hAnsi="Arial" w:cs="Arial"/>
          <w:color w:val="262626"/>
          <w:sz w:val="18"/>
          <w:szCs w:val="18"/>
          <w:shd w:val="clear" w:color="auto" w:fill="FFFFFF"/>
        </w:rPr>
        <w:t>rld, driving a year over year growth in rev</w:t>
      </w:r>
      <w:r>
        <w:rPr>
          <w:rFonts w:ascii="Arial" w:eastAsia="宋体" w:hAnsi="Arial" w:cs="Arial"/>
          <w:color w:val="262626"/>
          <w:sz w:val="18"/>
          <w:szCs w:val="18"/>
          <w:shd w:val="clear" w:color="auto" w:fill="FFFFFF"/>
        </w:rPr>
        <w:t>enue TAM</w:t>
      </w:r>
      <w:r>
        <w:rPr>
          <w:rFonts w:ascii="Arial" w:eastAsia="宋体" w:hAnsi="Arial" w:cs="Arial"/>
          <w:color w:val="262626"/>
          <w:sz w:val="11"/>
          <w:szCs w:val="11"/>
          <w:shd w:val="clear" w:color="auto" w:fill="FFFFFF"/>
        </w:rPr>
        <w:t>1</w:t>
      </w:r>
      <w:r>
        <w:rPr>
          <w:rFonts w:ascii="Arial" w:eastAsia="宋体" w:hAnsi="Arial" w:cs="Arial"/>
          <w:color w:val="262626"/>
          <w:sz w:val="18"/>
          <w:szCs w:val="18"/>
          <w:shd w:val="clear" w:color="auto" w:fill="FFFFFF"/>
        </w:rPr>
        <w:t xml:space="preserve">. </w:t>
      </w:r>
      <w:r>
        <w:rPr>
          <w:rFonts w:ascii="Arial" w:eastAsia="宋体" w:hAnsi="Arial" w:cs="Arial"/>
          <w:color w:val="262626"/>
          <w:sz w:val="18"/>
          <w:szCs w:val="18"/>
        </w:rPr>
        <w:t>The ecosystem is shipping over one million PC units a day and we believe there is sustained strength in PC demand. In addition, the COVID-19 pandemic has driven significant behavior changes that have positioned the PC as an essential tool in peo</w:t>
      </w:r>
      <w:r>
        <w:rPr>
          <w:rFonts w:ascii="Arial" w:eastAsia="宋体" w:hAnsi="Arial" w:cs="Arial"/>
          <w:color w:val="262626"/>
          <w:sz w:val="18"/>
          <w:szCs w:val="18"/>
        </w:rPr>
        <w:t xml:space="preserve">ple's lives. </w:t>
      </w:r>
    </w:p>
    <w:p w14:paraId="67534376" w14:textId="77777777" w:rsidR="001B77DD" w:rsidRDefault="00BF0A28">
      <w:pPr>
        <w:spacing w:after="180"/>
      </w:pPr>
      <w:r>
        <w:rPr>
          <w:rFonts w:ascii="Arial" w:eastAsia="宋体" w:hAnsi="Arial" w:cs="Arial"/>
          <w:color w:val="262626"/>
          <w:sz w:val="18"/>
          <w:szCs w:val="18"/>
        </w:rPr>
        <w:t>PC density, or PCs per household, is increasing as COVID-19 has irreversibly changed the way we focus, create, connect, and care for each other. In addition, we continue to see an increase in PCs per student. There is a significant opportunit</w:t>
      </w:r>
      <w:r>
        <w:rPr>
          <w:rFonts w:ascii="Arial" w:eastAsia="宋体" w:hAnsi="Arial" w:cs="Arial"/>
          <w:color w:val="262626"/>
          <w:sz w:val="18"/>
          <w:szCs w:val="18"/>
        </w:rPr>
        <w:t>y in the commercial segment, driven by refresh of older Windows devices. Currently, there are approximately 140 million devices that are more than four years old</w:t>
      </w:r>
      <w:r>
        <w:rPr>
          <w:rFonts w:ascii="Arial" w:eastAsia="宋体" w:hAnsi="Arial" w:cs="Arial"/>
          <w:color w:val="262626"/>
          <w:sz w:val="11"/>
          <w:szCs w:val="11"/>
        </w:rPr>
        <w:t>2</w:t>
      </w:r>
      <w:r>
        <w:rPr>
          <w:rFonts w:ascii="Arial" w:eastAsia="宋体" w:hAnsi="Arial" w:cs="Arial"/>
          <w:color w:val="262626"/>
          <w:sz w:val="18"/>
          <w:szCs w:val="18"/>
        </w:rPr>
        <w:t>. The experience and capabilities delivered on new PCs are dramatically better today, reinforc</w:t>
      </w:r>
      <w:r>
        <w:rPr>
          <w:rFonts w:ascii="Arial" w:eastAsia="宋体" w:hAnsi="Arial" w:cs="Arial"/>
          <w:color w:val="262626"/>
          <w:sz w:val="18"/>
          <w:szCs w:val="18"/>
        </w:rPr>
        <w:t xml:space="preserve">ing the opportunity to drive a refresh cycle among enterprise customers. </w:t>
      </w:r>
    </w:p>
    <w:tbl>
      <w:tblPr>
        <w:tblW w:w="10980" w:type="dxa"/>
        <w:tblCellMar>
          <w:top w:w="15" w:type="dxa"/>
          <w:left w:w="15" w:type="dxa"/>
          <w:bottom w:w="15" w:type="dxa"/>
          <w:right w:w="15" w:type="dxa"/>
        </w:tblCellMar>
        <w:tblLook w:val="04A0" w:firstRow="1" w:lastRow="0" w:firstColumn="1" w:lastColumn="0" w:noHBand="0" w:noVBand="1"/>
      </w:tblPr>
      <w:tblGrid>
        <w:gridCol w:w="36"/>
        <w:gridCol w:w="3588"/>
        <w:gridCol w:w="36"/>
        <w:gridCol w:w="36"/>
        <w:gridCol w:w="3588"/>
        <w:gridCol w:w="36"/>
        <w:gridCol w:w="36"/>
        <w:gridCol w:w="3588"/>
        <w:gridCol w:w="36"/>
      </w:tblGrid>
      <w:tr w:rsidR="001B77DD" w14:paraId="67534380" w14:textId="77777777">
        <w:tc>
          <w:tcPr>
            <w:tcW w:w="20" w:type="dxa"/>
            <w:shd w:val="clear" w:color="auto" w:fill="auto"/>
            <w:vAlign w:val="bottom"/>
          </w:tcPr>
          <w:p w14:paraId="67534377" w14:textId="77777777" w:rsidR="001B77DD" w:rsidRDefault="001B77DD">
            <w:pPr>
              <w:rPr>
                <w:rFonts w:ascii="宋体"/>
              </w:rPr>
            </w:pPr>
          </w:p>
        </w:tc>
        <w:tc>
          <w:tcPr>
            <w:tcW w:w="3620" w:type="dxa"/>
            <w:shd w:val="clear" w:color="auto" w:fill="auto"/>
            <w:vAlign w:val="bottom"/>
          </w:tcPr>
          <w:p w14:paraId="67534378" w14:textId="77777777" w:rsidR="001B77DD" w:rsidRDefault="001B77DD">
            <w:pPr>
              <w:rPr>
                <w:rFonts w:ascii="宋体"/>
              </w:rPr>
            </w:pPr>
          </w:p>
        </w:tc>
        <w:tc>
          <w:tcPr>
            <w:tcW w:w="20" w:type="dxa"/>
            <w:shd w:val="clear" w:color="auto" w:fill="auto"/>
            <w:vAlign w:val="bottom"/>
          </w:tcPr>
          <w:p w14:paraId="67534379" w14:textId="77777777" w:rsidR="001B77DD" w:rsidRDefault="001B77DD">
            <w:pPr>
              <w:rPr>
                <w:rFonts w:ascii="宋体"/>
              </w:rPr>
            </w:pPr>
          </w:p>
        </w:tc>
        <w:tc>
          <w:tcPr>
            <w:tcW w:w="20" w:type="dxa"/>
            <w:shd w:val="clear" w:color="auto" w:fill="auto"/>
            <w:vAlign w:val="bottom"/>
          </w:tcPr>
          <w:p w14:paraId="6753437A" w14:textId="77777777" w:rsidR="001B77DD" w:rsidRDefault="001B77DD">
            <w:pPr>
              <w:rPr>
                <w:rFonts w:ascii="宋体"/>
              </w:rPr>
            </w:pPr>
          </w:p>
        </w:tc>
        <w:tc>
          <w:tcPr>
            <w:tcW w:w="3620" w:type="dxa"/>
            <w:shd w:val="clear" w:color="auto" w:fill="auto"/>
            <w:vAlign w:val="bottom"/>
          </w:tcPr>
          <w:p w14:paraId="6753437B" w14:textId="77777777" w:rsidR="001B77DD" w:rsidRDefault="001B77DD">
            <w:pPr>
              <w:rPr>
                <w:rFonts w:ascii="宋体"/>
              </w:rPr>
            </w:pPr>
          </w:p>
        </w:tc>
        <w:tc>
          <w:tcPr>
            <w:tcW w:w="20" w:type="dxa"/>
            <w:shd w:val="clear" w:color="auto" w:fill="auto"/>
            <w:vAlign w:val="bottom"/>
          </w:tcPr>
          <w:p w14:paraId="6753437C" w14:textId="77777777" w:rsidR="001B77DD" w:rsidRDefault="001B77DD">
            <w:pPr>
              <w:rPr>
                <w:rFonts w:ascii="宋体"/>
              </w:rPr>
            </w:pPr>
          </w:p>
        </w:tc>
        <w:tc>
          <w:tcPr>
            <w:tcW w:w="20" w:type="dxa"/>
            <w:shd w:val="clear" w:color="auto" w:fill="auto"/>
            <w:vAlign w:val="bottom"/>
          </w:tcPr>
          <w:p w14:paraId="6753437D" w14:textId="77777777" w:rsidR="001B77DD" w:rsidRDefault="001B77DD">
            <w:pPr>
              <w:rPr>
                <w:rFonts w:ascii="宋体"/>
              </w:rPr>
            </w:pPr>
          </w:p>
        </w:tc>
        <w:tc>
          <w:tcPr>
            <w:tcW w:w="3620" w:type="dxa"/>
            <w:shd w:val="clear" w:color="auto" w:fill="auto"/>
            <w:vAlign w:val="bottom"/>
          </w:tcPr>
          <w:p w14:paraId="6753437E" w14:textId="77777777" w:rsidR="001B77DD" w:rsidRDefault="001B77DD">
            <w:pPr>
              <w:rPr>
                <w:rFonts w:ascii="宋体"/>
              </w:rPr>
            </w:pPr>
          </w:p>
        </w:tc>
        <w:tc>
          <w:tcPr>
            <w:tcW w:w="20" w:type="dxa"/>
            <w:shd w:val="clear" w:color="auto" w:fill="auto"/>
            <w:vAlign w:val="bottom"/>
          </w:tcPr>
          <w:p w14:paraId="6753437F" w14:textId="77777777" w:rsidR="001B77DD" w:rsidRDefault="001B77DD">
            <w:pPr>
              <w:rPr>
                <w:rFonts w:ascii="宋体"/>
              </w:rPr>
            </w:pPr>
          </w:p>
        </w:tc>
      </w:tr>
      <w:tr w:rsidR="001B77DD" w14:paraId="67534382" w14:textId="77777777">
        <w:trPr>
          <w:trHeight w:val="2700"/>
        </w:trPr>
        <w:tc>
          <w:tcPr>
            <w:tcW w:w="0" w:type="auto"/>
            <w:gridSpan w:val="9"/>
            <w:shd w:val="clear" w:color="auto" w:fill="auto"/>
            <w:tcMar>
              <w:top w:w="0" w:type="dxa"/>
              <w:left w:w="20" w:type="dxa"/>
              <w:bottom w:w="0" w:type="dxa"/>
              <w:right w:w="20" w:type="dxa"/>
            </w:tcMar>
            <w:vAlign w:val="bottom"/>
          </w:tcPr>
          <w:p w14:paraId="67534381"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2B" wp14:editId="67538E2C">
                  <wp:extent cx="304800" cy="304800"/>
                  <wp:effectExtent l="0" t="0" r="0" b="0"/>
                  <wp:docPr id="32" name="图片 128"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8" descr="IMG_32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bl>
    <w:p w14:paraId="67534383" w14:textId="77777777" w:rsidR="001B77DD" w:rsidRDefault="00BF0A28">
      <w:pPr>
        <w:spacing w:after="120"/>
      </w:pPr>
      <w:r>
        <w:rPr>
          <w:rFonts w:ascii="Arial" w:eastAsia="宋体" w:hAnsi="Arial" w:cs="Arial"/>
          <w:color w:val="0068B5"/>
          <w:sz w:val="20"/>
          <w:szCs w:val="20"/>
        </w:rPr>
        <w:t>Products and Competition</w:t>
      </w:r>
    </w:p>
    <w:p w14:paraId="67534384" w14:textId="77777777" w:rsidR="001B77DD" w:rsidRDefault="00BF0A28">
      <w:pPr>
        <w:spacing w:after="180"/>
      </w:pPr>
      <w:r>
        <w:rPr>
          <w:rFonts w:ascii="Arial" w:eastAsia="宋体" w:hAnsi="Arial" w:cs="Arial"/>
          <w:color w:val="262626"/>
          <w:sz w:val="18"/>
          <w:szCs w:val="18"/>
        </w:rPr>
        <w:t xml:space="preserve">We operate in a particularly competitive market. In processors, we compete with </w:t>
      </w:r>
      <w:r>
        <w:rPr>
          <w:rFonts w:ascii="Arial" w:eastAsia="宋体" w:hAnsi="Arial" w:cs="Arial"/>
          <w:color w:val="262626"/>
          <w:sz w:val="18"/>
          <w:szCs w:val="18"/>
        </w:rPr>
        <w:t>AMD and vendors who design applications processors based on ARM* architecture, such as Qualcomm Inc. (Qualcomm), and, increasingly, Apple Inc., (Apple) with its most recent launch of M1 Max and M1 Pro. We expect this competitive environment to intensify in</w:t>
      </w:r>
      <w:r>
        <w:rPr>
          <w:rFonts w:ascii="Arial" w:eastAsia="宋体" w:hAnsi="Arial" w:cs="Arial"/>
          <w:color w:val="262626"/>
          <w:sz w:val="18"/>
          <w:szCs w:val="18"/>
        </w:rPr>
        <w:t xml:space="preserve"> 2022.</w:t>
      </w:r>
    </w:p>
    <w:p w14:paraId="67534385" w14:textId="77777777" w:rsidR="001B77DD" w:rsidRDefault="00BF0A28">
      <w:pPr>
        <w:spacing w:after="180"/>
      </w:pPr>
      <w:r>
        <w:rPr>
          <w:rFonts w:ascii="Arial" w:eastAsia="宋体" w:hAnsi="Arial" w:cs="Arial"/>
          <w:color w:val="262626"/>
          <w:sz w:val="18"/>
          <w:szCs w:val="18"/>
        </w:rPr>
        <w:t>Our role as a technology leader is more important than ever, and our commitment to creating an open ecosystem is critical to delivering on our ambition. That is why we embrace and collaborate with a vibrant ecosystem of OEM partners to identify inno</w:t>
      </w:r>
      <w:r>
        <w:rPr>
          <w:rFonts w:ascii="Arial" w:eastAsia="宋体" w:hAnsi="Arial" w:cs="Arial"/>
          <w:color w:val="262626"/>
          <w:sz w:val="18"/>
          <w:szCs w:val="18"/>
        </w:rPr>
        <w:t>vation vectors. The breadth of a robust ecosystem like Windows/x86 is an incredibly powerful combination, bringing together hundreds of companies and creative and innovative advancements that are not possible for one company alone to deliver.</w:t>
      </w:r>
    </w:p>
    <w:p w14:paraId="67534386" w14:textId="77777777" w:rsidR="001B77DD" w:rsidRDefault="00BF0A28">
      <w:pPr>
        <w:spacing w:after="180"/>
      </w:pPr>
      <w:r>
        <w:rPr>
          <w:rFonts w:ascii="Arial" w:eastAsia="宋体" w:hAnsi="Arial" w:cs="Arial"/>
          <w:color w:val="262626"/>
          <w:sz w:val="18"/>
          <w:szCs w:val="18"/>
        </w:rPr>
        <w:t>We launched o</w:t>
      </w:r>
      <w:r>
        <w:rPr>
          <w:rFonts w:ascii="Arial" w:eastAsia="宋体" w:hAnsi="Arial" w:cs="Arial"/>
          <w:color w:val="262626"/>
          <w:sz w:val="18"/>
          <w:szCs w:val="18"/>
        </w:rPr>
        <w:t>ur 12th Gen Intel Core desktop processors based on our first performance hybrid architecture, which combines two all-new core microarchitectures instead of one and can scale across PC segments and out to the edge. The 12th Gen processor family is set to de</w:t>
      </w:r>
      <w:r>
        <w:rPr>
          <w:rFonts w:ascii="Arial" w:eastAsia="宋体" w:hAnsi="Arial" w:cs="Arial"/>
          <w:color w:val="262626"/>
          <w:sz w:val="18"/>
          <w:szCs w:val="18"/>
        </w:rPr>
        <w:t>liver superior computing performance for every PC segment and out to the edge. In total, we expect to deliver more than 60 processors and 500 desktop and mobile designs from partners across major multinational corporations and leading manufacturers.</w:t>
      </w:r>
    </w:p>
    <w:p w14:paraId="67534387" w14:textId="77777777" w:rsidR="001B77DD" w:rsidRDefault="00BF0A28">
      <w:pPr>
        <w:spacing w:after="180"/>
      </w:pPr>
      <w:r>
        <w:rPr>
          <w:rFonts w:ascii="Arial" w:eastAsia="宋体" w:hAnsi="Arial" w:cs="Arial"/>
          <w:color w:val="262626"/>
          <w:sz w:val="18"/>
          <w:szCs w:val="18"/>
        </w:rPr>
        <w:t>Unique</w:t>
      </w:r>
      <w:r>
        <w:rPr>
          <w:rFonts w:ascii="Arial" w:eastAsia="宋体" w:hAnsi="Arial" w:cs="Arial"/>
          <w:color w:val="262626"/>
          <w:sz w:val="18"/>
          <w:szCs w:val="18"/>
        </w:rPr>
        <w:t xml:space="preserve"> to Intel, we innovate beyond the CPU to deliver premium PC experiences with Intel Evo and Intel vPro platforms. More than 100 advanced laptop designs have been built on the Intel Evo platform, which signals they are tested and verified in Intel labs. This</w:t>
      </w:r>
      <w:r>
        <w:rPr>
          <w:rFonts w:ascii="Arial" w:eastAsia="宋体" w:hAnsi="Arial" w:cs="Arial"/>
          <w:color w:val="262626"/>
          <w:sz w:val="18"/>
          <w:szCs w:val="18"/>
        </w:rPr>
        <w:t xml:space="preserve"> ensures they deliver key experience indicators defined by real-world usage models and innovation across areas like responsiveness, battery life, instant wake, and connectivity. Intel vPro is designed for enterprise needs and delivers increased productivit</w:t>
      </w:r>
      <w:r>
        <w:rPr>
          <w:rFonts w:ascii="Arial" w:eastAsia="宋体" w:hAnsi="Arial" w:cs="Arial"/>
          <w:color w:val="262626"/>
          <w:sz w:val="18"/>
          <w:szCs w:val="18"/>
        </w:rPr>
        <w:t>y improvements, connectivity, security features, and remote manageability.</w:t>
      </w:r>
    </w:p>
    <w:p w14:paraId="67534388" w14:textId="77777777" w:rsidR="001B77DD" w:rsidRDefault="00BF0A28">
      <w:pPr>
        <w:spacing w:after="180"/>
      </w:pPr>
      <w:r>
        <w:rPr>
          <w:rFonts w:ascii="Arial" w:eastAsia="宋体" w:hAnsi="Arial" w:cs="Arial"/>
          <w:color w:val="262626"/>
          <w:sz w:val="18"/>
          <w:szCs w:val="18"/>
        </w:rPr>
        <w:t>We are leading Intel as we embark on our new IDM 2.0 strategy to develop more competitive products and more capabilities for customers. As a result, we are designing our product roa</w:t>
      </w:r>
      <w:r>
        <w:rPr>
          <w:rFonts w:ascii="Arial" w:eastAsia="宋体" w:hAnsi="Arial" w:cs="Arial"/>
          <w:color w:val="262626"/>
          <w:sz w:val="18"/>
          <w:szCs w:val="18"/>
        </w:rPr>
        <w:t>dmap to drive product leadership grounded in a philosophy of openness and choice. We deliver value to our customers by leveraging our engineering capabilities and working with our partners across an open, innovative ecosystem to deliver technology that dri</w:t>
      </w:r>
      <w:r>
        <w:rPr>
          <w:rFonts w:ascii="Arial" w:eastAsia="宋体" w:hAnsi="Arial" w:cs="Arial"/>
          <w:color w:val="262626"/>
          <w:sz w:val="18"/>
          <w:szCs w:val="18"/>
        </w:rPr>
        <w:t xml:space="preserve">ves every major vector of the computing experience, including performance, battery life, connectivity, graphics, and form factors to create the most advanced PC platforms. </w:t>
      </w:r>
    </w:p>
    <w:p w14:paraId="67534389" w14:textId="77777777" w:rsidR="001B77DD" w:rsidRDefault="00BF0A28">
      <w:pPr>
        <w:spacing w:after="180"/>
      </w:pPr>
      <w:r>
        <w:rPr>
          <w:rFonts w:ascii="Arial" w:eastAsia="宋体" w:hAnsi="Arial" w:cs="Arial"/>
          <w:color w:val="262626"/>
          <w:sz w:val="18"/>
          <w:szCs w:val="18"/>
        </w:rPr>
        <w:t>We continue to face industry-wide supply constraints, which are expected to persist</w:t>
      </w:r>
      <w:r>
        <w:rPr>
          <w:rFonts w:ascii="Arial" w:eastAsia="宋体" w:hAnsi="Arial" w:cs="Arial"/>
          <w:color w:val="262626"/>
          <w:sz w:val="18"/>
          <w:szCs w:val="18"/>
        </w:rPr>
        <w:t xml:space="preserve"> into 2022. Given our unique position in the industry, we have taken major actions along the supply chain to eliminate bottlenecks—increasing substrate capacity, removing third-party component bottlenecks, increasing our own internal capacity, and obtainin</w:t>
      </w:r>
      <w:r>
        <w:rPr>
          <w:rFonts w:ascii="Arial" w:eastAsia="宋体" w:hAnsi="Arial" w:cs="Arial"/>
          <w:color w:val="262626"/>
          <w:sz w:val="18"/>
          <w:szCs w:val="18"/>
        </w:rPr>
        <w:t>g more external capacity. We are also working with the industry to provide TAM forecasts that help our suppliers better deliver on industry needs.</w:t>
      </w:r>
    </w:p>
    <w:p w14:paraId="6753438A" w14:textId="77777777" w:rsidR="001B77DD" w:rsidRDefault="001B77DD"/>
    <w:p w14:paraId="6753438B" w14:textId="77777777" w:rsidR="001B77DD" w:rsidRDefault="001B77DD"/>
    <w:p w14:paraId="6753438C" w14:textId="77777777" w:rsidR="001B77DD" w:rsidRDefault="001B77DD"/>
    <w:p w14:paraId="6753438D" w14:textId="77777777" w:rsidR="001B77DD" w:rsidRDefault="001B77DD"/>
    <w:p w14:paraId="6753438E" w14:textId="77777777" w:rsidR="001B77DD" w:rsidRDefault="00BF0A28">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Source: Intel calculated 2022 TAM derived from industry analyst reports.</w:t>
      </w:r>
    </w:p>
    <w:p w14:paraId="6753438F" w14:textId="77777777" w:rsidR="001B77DD" w:rsidRDefault="00BF0A28">
      <w:r>
        <w:rPr>
          <w:rFonts w:ascii="Arial" w:eastAsia="宋体" w:hAnsi="Arial" w:cs="Arial"/>
          <w:i/>
          <w:iCs/>
          <w:color w:val="262626"/>
          <w:sz w:val="10"/>
          <w:szCs w:val="10"/>
        </w:rPr>
        <w:t>2</w:t>
      </w:r>
      <w:r>
        <w:rPr>
          <w:rFonts w:ascii="Arial" w:eastAsia="宋体" w:hAnsi="Arial" w:cs="Arial"/>
          <w:i/>
          <w:iCs/>
          <w:color w:val="262626"/>
          <w:sz w:val="11"/>
          <w:szCs w:val="11"/>
        </w:rPr>
        <w:t xml:space="preserve"> </w:t>
      </w:r>
      <w:r>
        <w:rPr>
          <w:rFonts w:ascii="Arial" w:eastAsia="宋体" w:hAnsi="Arial" w:cs="Arial"/>
          <w:i/>
          <w:iCs/>
          <w:color w:val="262626"/>
          <w:sz w:val="16"/>
          <w:szCs w:val="16"/>
        </w:rPr>
        <w:t>Source: Intel calculated the</w:t>
      </w:r>
      <w:r>
        <w:rPr>
          <w:rFonts w:ascii="Arial" w:eastAsia="宋体" w:hAnsi="Arial" w:cs="Arial"/>
          <w:i/>
          <w:iCs/>
          <w:color w:val="262626"/>
          <w:sz w:val="16"/>
          <w:szCs w:val="16"/>
        </w:rPr>
        <w:t xml:space="preserve"> volume of devices over four years old from industry analyst reports and internal data.</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399" w14:textId="77777777">
        <w:tc>
          <w:tcPr>
            <w:tcW w:w="50" w:type="pct"/>
            <w:shd w:val="clear" w:color="auto" w:fill="auto"/>
            <w:vAlign w:val="bottom"/>
          </w:tcPr>
          <w:p w14:paraId="67534390" w14:textId="77777777" w:rsidR="001B77DD" w:rsidRDefault="001B77DD">
            <w:pPr>
              <w:rPr>
                <w:rFonts w:ascii="宋体"/>
              </w:rPr>
            </w:pPr>
          </w:p>
        </w:tc>
        <w:tc>
          <w:tcPr>
            <w:tcW w:w="283" w:type="pct"/>
            <w:shd w:val="clear" w:color="auto" w:fill="auto"/>
            <w:vAlign w:val="bottom"/>
          </w:tcPr>
          <w:p w14:paraId="67534391" w14:textId="77777777" w:rsidR="001B77DD" w:rsidRDefault="001B77DD">
            <w:pPr>
              <w:rPr>
                <w:rFonts w:ascii="宋体"/>
              </w:rPr>
            </w:pPr>
          </w:p>
        </w:tc>
        <w:tc>
          <w:tcPr>
            <w:tcW w:w="5" w:type="pct"/>
            <w:shd w:val="clear" w:color="auto" w:fill="auto"/>
            <w:vAlign w:val="bottom"/>
          </w:tcPr>
          <w:p w14:paraId="67534392" w14:textId="77777777" w:rsidR="001B77DD" w:rsidRDefault="001B77DD">
            <w:pPr>
              <w:rPr>
                <w:rFonts w:ascii="宋体"/>
              </w:rPr>
            </w:pPr>
          </w:p>
        </w:tc>
        <w:tc>
          <w:tcPr>
            <w:tcW w:w="50" w:type="pct"/>
            <w:shd w:val="clear" w:color="auto" w:fill="auto"/>
            <w:vAlign w:val="bottom"/>
          </w:tcPr>
          <w:p w14:paraId="67534393" w14:textId="77777777" w:rsidR="001B77DD" w:rsidRDefault="001B77DD">
            <w:pPr>
              <w:rPr>
                <w:rFonts w:ascii="宋体"/>
              </w:rPr>
            </w:pPr>
          </w:p>
        </w:tc>
        <w:tc>
          <w:tcPr>
            <w:tcW w:w="2656" w:type="pct"/>
            <w:shd w:val="clear" w:color="auto" w:fill="auto"/>
            <w:vAlign w:val="bottom"/>
          </w:tcPr>
          <w:p w14:paraId="67534394" w14:textId="77777777" w:rsidR="001B77DD" w:rsidRDefault="001B77DD">
            <w:pPr>
              <w:rPr>
                <w:rFonts w:ascii="宋体"/>
              </w:rPr>
            </w:pPr>
          </w:p>
        </w:tc>
        <w:tc>
          <w:tcPr>
            <w:tcW w:w="5" w:type="pct"/>
            <w:shd w:val="clear" w:color="auto" w:fill="auto"/>
            <w:vAlign w:val="bottom"/>
          </w:tcPr>
          <w:p w14:paraId="67534395" w14:textId="77777777" w:rsidR="001B77DD" w:rsidRDefault="001B77DD">
            <w:pPr>
              <w:rPr>
                <w:rFonts w:ascii="宋体"/>
              </w:rPr>
            </w:pPr>
          </w:p>
        </w:tc>
        <w:tc>
          <w:tcPr>
            <w:tcW w:w="50" w:type="pct"/>
            <w:shd w:val="clear" w:color="auto" w:fill="auto"/>
            <w:vAlign w:val="bottom"/>
          </w:tcPr>
          <w:p w14:paraId="67534396" w14:textId="77777777" w:rsidR="001B77DD" w:rsidRDefault="001B77DD">
            <w:pPr>
              <w:rPr>
                <w:rFonts w:ascii="宋体"/>
              </w:rPr>
            </w:pPr>
          </w:p>
        </w:tc>
        <w:tc>
          <w:tcPr>
            <w:tcW w:w="1894" w:type="pct"/>
            <w:shd w:val="clear" w:color="auto" w:fill="auto"/>
            <w:vAlign w:val="bottom"/>
          </w:tcPr>
          <w:p w14:paraId="67534397" w14:textId="77777777" w:rsidR="001B77DD" w:rsidRDefault="001B77DD">
            <w:pPr>
              <w:rPr>
                <w:rFonts w:ascii="宋体"/>
              </w:rPr>
            </w:pPr>
          </w:p>
        </w:tc>
        <w:tc>
          <w:tcPr>
            <w:tcW w:w="5" w:type="pct"/>
            <w:shd w:val="clear" w:color="auto" w:fill="auto"/>
            <w:vAlign w:val="bottom"/>
          </w:tcPr>
          <w:p w14:paraId="67534398" w14:textId="77777777" w:rsidR="001B77DD" w:rsidRDefault="001B77DD">
            <w:pPr>
              <w:rPr>
                <w:rFonts w:ascii="宋体"/>
              </w:rPr>
            </w:pPr>
          </w:p>
        </w:tc>
      </w:tr>
      <w:tr w:rsidR="001B77DD" w14:paraId="6753439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39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2D" wp14:editId="67538E2E">
                  <wp:extent cx="304800" cy="304800"/>
                  <wp:effectExtent l="0" t="0" r="0" b="0"/>
                  <wp:docPr id="7" name="图片 12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39B"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39C" w14:textId="77777777" w:rsidR="001B77DD" w:rsidRDefault="00BF0A28">
            <w:pPr>
              <w:jc w:val="right"/>
              <w:textAlignment w:val="center"/>
            </w:pPr>
            <w:r>
              <w:rPr>
                <w:rFonts w:ascii="Arial" w:eastAsia="宋体" w:hAnsi="Arial" w:cs="Arial"/>
                <w:color w:val="262626"/>
                <w:sz w:val="16"/>
                <w:szCs w:val="16"/>
              </w:rPr>
              <w:t>21</w:t>
            </w:r>
          </w:p>
        </w:tc>
      </w:tr>
    </w:tbl>
    <w:p w14:paraId="6753439E" w14:textId="77777777" w:rsidR="001B77DD" w:rsidRDefault="00BF0A28">
      <w:r>
        <w:pict w14:anchorId="67538E2F">
          <v:rect id="_x0000_i1047" style="width:415.3pt;height:1.5pt" o:hralign="center" o:hrstd="t" o:hr="t" fillcolor="#a0a0a0" stroked="f"/>
        </w:pict>
      </w:r>
    </w:p>
    <w:p w14:paraId="6753439F" w14:textId="77777777" w:rsidR="001B77DD" w:rsidRDefault="00BF0A28">
      <w:pPr>
        <w:jc w:val="right"/>
      </w:pPr>
      <w:hyperlink r:id="rId83" w:anchor="i6c9ced68f6b24d58a3dcf326e8c3c699_16" w:history="1">
        <w:r>
          <w:rPr>
            <w:rStyle w:val="a5"/>
            <w:rFonts w:ascii="Arial" w:eastAsia="宋体" w:hAnsi="Arial" w:cs="Arial"/>
            <w:b/>
            <w:bCs/>
            <w:sz w:val="16"/>
            <w:szCs w:val="16"/>
          </w:rPr>
          <w:t>Table of Contents</w:t>
        </w:r>
      </w:hyperlink>
    </w:p>
    <w:p w14:paraId="675343A0" w14:textId="77777777" w:rsidR="001B77DD" w:rsidRDefault="001B77DD">
      <w:pPr>
        <w:jc w:val="right"/>
      </w:pPr>
    </w:p>
    <w:p w14:paraId="675343A1" w14:textId="77777777" w:rsidR="001B77DD" w:rsidRDefault="00BF0A28">
      <w:pPr>
        <w:spacing w:after="120"/>
      </w:pPr>
      <w:r>
        <w:rPr>
          <w:rFonts w:ascii="Arial" w:eastAsia="宋体" w:hAnsi="Arial" w:cs="Arial"/>
          <w:color w:val="0068B5"/>
        </w:rPr>
        <w:t>Financial Performance</w:t>
      </w:r>
    </w:p>
    <w:tbl>
      <w:tblPr>
        <w:tblW w:w="10800" w:type="dxa"/>
        <w:tblCellMar>
          <w:top w:w="15" w:type="dxa"/>
          <w:left w:w="15" w:type="dxa"/>
          <w:bottom w:w="15" w:type="dxa"/>
          <w:right w:w="15" w:type="dxa"/>
        </w:tblCellMar>
        <w:tblLook w:val="04A0" w:firstRow="1" w:lastRow="0" w:firstColumn="1" w:lastColumn="0" w:noHBand="0" w:noVBand="1"/>
      </w:tblPr>
      <w:tblGrid>
        <w:gridCol w:w="36"/>
        <w:gridCol w:w="123"/>
        <w:gridCol w:w="36"/>
        <w:gridCol w:w="36"/>
        <w:gridCol w:w="4747"/>
        <w:gridCol w:w="36"/>
        <w:gridCol w:w="36"/>
        <w:gridCol w:w="683"/>
        <w:gridCol w:w="36"/>
        <w:gridCol w:w="36"/>
        <w:gridCol w:w="4498"/>
        <w:gridCol w:w="36"/>
        <w:gridCol w:w="36"/>
        <w:gridCol w:w="389"/>
        <w:gridCol w:w="36"/>
      </w:tblGrid>
      <w:tr w:rsidR="001B77DD" w14:paraId="675343B1" w14:textId="77777777">
        <w:tc>
          <w:tcPr>
            <w:tcW w:w="20" w:type="dxa"/>
            <w:shd w:val="clear" w:color="auto" w:fill="auto"/>
            <w:vAlign w:val="bottom"/>
          </w:tcPr>
          <w:p w14:paraId="675343A2" w14:textId="77777777" w:rsidR="001B77DD" w:rsidRDefault="001B77DD">
            <w:pPr>
              <w:rPr>
                <w:rFonts w:ascii="宋体"/>
              </w:rPr>
            </w:pPr>
          </w:p>
        </w:tc>
        <w:tc>
          <w:tcPr>
            <w:tcW w:w="125" w:type="dxa"/>
            <w:shd w:val="clear" w:color="auto" w:fill="auto"/>
            <w:vAlign w:val="bottom"/>
          </w:tcPr>
          <w:p w14:paraId="675343A3" w14:textId="77777777" w:rsidR="001B77DD" w:rsidRDefault="001B77DD">
            <w:pPr>
              <w:rPr>
                <w:rFonts w:ascii="宋体"/>
              </w:rPr>
            </w:pPr>
          </w:p>
        </w:tc>
        <w:tc>
          <w:tcPr>
            <w:tcW w:w="20" w:type="dxa"/>
            <w:shd w:val="clear" w:color="auto" w:fill="auto"/>
            <w:vAlign w:val="bottom"/>
          </w:tcPr>
          <w:p w14:paraId="675343A4" w14:textId="77777777" w:rsidR="001B77DD" w:rsidRDefault="001B77DD">
            <w:pPr>
              <w:rPr>
                <w:rFonts w:ascii="宋体"/>
              </w:rPr>
            </w:pPr>
          </w:p>
        </w:tc>
        <w:tc>
          <w:tcPr>
            <w:tcW w:w="20" w:type="dxa"/>
            <w:shd w:val="clear" w:color="auto" w:fill="auto"/>
            <w:vAlign w:val="bottom"/>
          </w:tcPr>
          <w:p w14:paraId="675343A5" w14:textId="77777777" w:rsidR="001B77DD" w:rsidRDefault="001B77DD">
            <w:pPr>
              <w:rPr>
                <w:rFonts w:ascii="宋体"/>
              </w:rPr>
            </w:pPr>
          </w:p>
        </w:tc>
        <w:tc>
          <w:tcPr>
            <w:tcW w:w="4820" w:type="dxa"/>
            <w:shd w:val="clear" w:color="auto" w:fill="auto"/>
            <w:vAlign w:val="bottom"/>
          </w:tcPr>
          <w:p w14:paraId="675343A6" w14:textId="77777777" w:rsidR="001B77DD" w:rsidRDefault="001B77DD">
            <w:pPr>
              <w:rPr>
                <w:rFonts w:ascii="宋体"/>
              </w:rPr>
            </w:pPr>
          </w:p>
        </w:tc>
        <w:tc>
          <w:tcPr>
            <w:tcW w:w="20" w:type="dxa"/>
            <w:shd w:val="clear" w:color="auto" w:fill="auto"/>
            <w:vAlign w:val="bottom"/>
          </w:tcPr>
          <w:p w14:paraId="675343A7" w14:textId="77777777" w:rsidR="001B77DD" w:rsidRDefault="001B77DD">
            <w:pPr>
              <w:rPr>
                <w:rFonts w:ascii="宋体"/>
              </w:rPr>
            </w:pPr>
          </w:p>
        </w:tc>
        <w:tc>
          <w:tcPr>
            <w:tcW w:w="20" w:type="dxa"/>
            <w:shd w:val="clear" w:color="auto" w:fill="auto"/>
            <w:vAlign w:val="bottom"/>
          </w:tcPr>
          <w:p w14:paraId="675343A8" w14:textId="77777777" w:rsidR="001B77DD" w:rsidRDefault="001B77DD">
            <w:pPr>
              <w:rPr>
                <w:rFonts w:ascii="宋体"/>
              </w:rPr>
            </w:pPr>
          </w:p>
        </w:tc>
        <w:tc>
          <w:tcPr>
            <w:tcW w:w="695" w:type="dxa"/>
            <w:shd w:val="clear" w:color="auto" w:fill="auto"/>
            <w:vAlign w:val="bottom"/>
          </w:tcPr>
          <w:p w14:paraId="675343A9" w14:textId="77777777" w:rsidR="001B77DD" w:rsidRDefault="001B77DD">
            <w:pPr>
              <w:rPr>
                <w:rFonts w:ascii="宋体"/>
              </w:rPr>
            </w:pPr>
          </w:p>
        </w:tc>
        <w:tc>
          <w:tcPr>
            <w:tcW w:w="20" w:type="dxa"/>
            <w:shd w:val="clear" w:color="auto" w:fill="auto"/>
            <w:vAlign w:val="bottom"/>
          </w:tcPr>
          <w:p w14:paraId="675343AA" w14:textId="77777777" w:rsidR="001B77DD" w:rsidRDefault="001B77DD">
            <w:pPr>
              <w:rPr>
                <w:rFonts w:ascii="宋体"/>
              </w:rPr>
            </w:pPr>
          </w:p>
        </w:tc>
        <w:tc>
          <w:tcPr>
            <w:tcW w:w="20" w:type="dxa"/>
            <w:shd w:val="clear" w:color="auto" w:fill="auto"/>
            <w:vAlign w:val="bottom"/>
          </w:tcPr>
          <w:p w14:paraId="675343AB" w14:textId="77777777" w:rsidR="001B77DD" w:rsidRDefault="001B77DD">
            <w:pPr>
              <w:rPr>
                <w:rFonts w:ascii="宋体"/>
              </w:rPr>
            </w:pPr>
          </w:p>
        </w:tc>
        <w:tc>
          <w:tcPr>
            <w:tcW w:w="4565" w:type="dxa"/>
            <w:shd w:val="clear" w:color="auto" w:fill="auto"/>
            <w:vAlign w:val="bottom"/>
          </w:tcPr>
          <w:p w14:paraId="675343AC" w14:textId="77777777" w:rsidR="001B77DD" w:rsidRDefault="001B77DD">
            <w:pPr>
              <w:rPr>
                <w:rFonts w:ascii="宋体"/>
              </w:rPr>
            </w:pPr>
          </w:p>
        </w:tc>
        <w:tc>
          <w:tcPr>
            <w:tcW w:w="20" w:type="dxa"/>
            <w:shd w:val="clear" w:color="auto" w:fill="auto"/>
            <w:vAlign w:val="bottom"/>
          </w:tcPr>
          <w:p w14:paraId="675343AD" w14:textId="77777777" w:rsidR="001B77DD" w:rsidRDefault="001B77DD">
            <w:pPr>
              <w:rPr>
                <w:rFonts w:ascii="宋体"/>
              </w:rPr>
            </w:pPr>
          </w:p>
        </w:tc>
        <w:tc>
          <w:tcPr>
            <w:tcW w:w="20" w:type="dxa"/>
            <w:shd w:val="clear" w:color="auto" w:fill="auto"/>
            <w:vAlign w:val="bottom"/>
          </w:tcPr>
          <w:p w14:paraId="675343AE" w14:textId="77777777" w:rsidR="001B77DD" w:rsidRDefault="001B77DD">
            <w:pPr>
              <w:rPr>
                <w:rFonts w:ascii="宋体"/>
              </w:rPr>
            </w:pPr>
          </w:p>
        </w:tc>
        <w:tc>
          <w:tcPr>
            <w:tcW w:w="395" w:type="dxa"/>
            <w:shd w:val="clear" w:color="auto" w:fill="auto"/>
            <w:vAlign w:val="bottom"/>
          </w:tcPr>
          <w:p w14:paraId="675343AF" w14:textId="77777777" w:rsidR="001B77DD" w:rsidRDefault="001B77DD">
            <w:pPr>
              <w:rPr>
                <w:rFonts w:ascii="宋体"/>
              </w:rPr>
            </w:pPr>
          </w:p>
        </w:tc>
        <w:tc>
          <w:tcPr>
            <w:tcW w:w="20" w:type="dxa"/>
            <w:shd w:val="clear" w:color="auto" w:fill="auto"/>
            <w:vAlign w:val="bottom"/>
          </w:tcPr>
          <w:p w14:paraId="675343B0" w14:textId="77777777" w:rsidR="001B77DD" w:rsidRDefault="001B77DD">
            <w:pPr>
              <w:rPr>
                <w:rFonts w:ascii="宋体"/>
              </w:rPr>
            </w:pPr>
          </w:p>
        </w:tc>
      </w:tr>
      <w:tr w:rsidR="001B77DD" w14:paraId="675343B7" w14:textId="77777777">
        <w:trPr>
          <w:trHeight w:val="280"/>
        </w:trPr>
        <w:tc>
          <w:tcPr>
            <w:tcW w:w="0" w:type="auto"/>
            <w:gridSpan w:val="3"/>
            <w:shd w:val="clear" w:color="auto" w:fill="auto"/>
            <w:tcMar>
              <w:top w:w="0" w:type="dxa"/>
              <w:left w:w="20" w:type="dxa"/>
              <w:bottom w:w="0" w:type="dxa"/>
              <w:right w:w="20" w:type="dxa"/>
            </w:tcMar>
            <w:vAlign w:val="bottom"/>
          </w:tcPr>
          <w:p w14:paraId="675343B2"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3B3" w14:textId="77777777" w:rsidR="001B77DD" w:rsidRDefault="00BF0A28">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vAlign w:val="bottom"/>
          </w:tcPr>
          <w:p w14:paraId="675343B4"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3B5" w14:textId="77777777" w:rsidR="001B77DD" w:rsidRDefault="00BF0A28">
            <w:pPr>
              <w:jc w:val="center"/>
              <w:textAlignment w:val="bottom"/>
            </w:pPr>
            <w:r>
              <w:rPr>
                <w:rFonts w:ascii="Arial" w:eastAsia="宋体" w:hAnsi="Arial" w:cs="Arial"/>
                <w:color w:val="0068B5"/>
                <w:sz w:val="20"/>
                <w:szCs w:val="20"/>
              </w:rPr>
              <w:t>CCG Operating Income $B</w:t>
            </w:r>
          </w:p>
        </w:tc>
        <w:tc>
          <w:tcPr>
            <w:tcW w:w="0" w:type="auto"/>
            <w:gridSpan w:val="3"/>
            <w:shd w:val="clear" w:color="auto" w:fill="auto"/>
            <w:tcMar>
              <w:top w:w="0" w:type="dxa"/>
              <w:left w:w="20" w:type="dxa"/>
              <w:bottom w:w="0" w:type="dxa"/>
              <w:right w:w="20" w:type="dxa"/>
            </w:tcMar>
            <w:vAlign w:val="bottom"/>
          </w:tcPr>
          <w:p w14:paraId="675343B6" w14:textId="77777777" w:rsidR="001B77DD" w:rsidRDefault="001B77DD">
            <w:pPr>
              <w:rPr>
                <w:rFonts w:ascii="宋体"/>
              </w:rPr>
            </w:pPr>
          </w:p>
        </w:tc>
      </w:tr>
    </w:tbl>
    <w:p w14:paraId="675343B8"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30" wp14:editId="67538E31">
            <wp:extent cx="304800" cy="304800"/>
            <wp:effectExtent l="0" t="0" r="0" b="0"/>
            <wp:docPr id="16" name="图片 13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1" descr="IMG_33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32" wp14:editId="67538E33">
            <wp:extent cx="304800" cy="304800"/>
            <wp:effectExtent l="0" t="0" r="0" b="0"/>
            <wp:docPr id="12" name="图片 132"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2" descr="IMG_33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580"/>
        <w:gridCol w:w="36"/>
        <w:gridCol w:w="36"/>
        <w:gridCol w:w="1035"/>
        <w:gridCol w:w="36"/>
        <w:gridCol w:w="36"/>
        <w:gridCol w:w="8149"/>
        <w:gridCol w:w="36"/>
      </w:tblGrid>
      <w:tr w:rsidR="001B77DD" w14:paraId="675343C2" w14:textId="77777777">
        <w:tc>
          <w:tcPr>
            <w:tcW w:w="20" w:type="dxa"/>
            <w:shd w:val="clear" w:color="auto" w:fill="auto"/>
            <w:vAlign w:val="bottom"/>
          </w:tcPr>
          <w:p w14:paraId="675343B9" w14:textId="77777777" w:rsidR="001B77DD" w:rsidRDefault="001B77DD">
            <w:pPr>
              <w:rPr>
                <w:rFonts w:ascii="宋体"/>
              </w:rPr>
            </w:pPr>
          </w:p>
        </w:tc>
        <w:tc>
          <w:tcPr>
            <w:tcW w:w="1595" w:type="dxa"/>
            <w:shd w:val="clear" w:color="auto" w:fill="auto"/>
            <w:vAlign w:val="bottom"/>
          </w:tcPr>
          <w:p w14:paraId="675343BA" w14:textId="77777777" w:rsidR="001B77DD" w:rsidRDefault="001B77DD">
            <w:pPr>
              <w:rPr>
                <w:rFonts w:ascii="宋体"/>
              </w:rPr>
            </w:pPr>
          </w:p>
        </w:tc>
        <w:tc>
          <w:tcPr>
            <w:tcW w:w="20" w:type="dxa"/>
            <w:shd w:val="clear" w:color="auto" w:fill="auto"/>
            <w:vAlign w:val="bottom"/>
          </w:tcPr>
          <w:p w14:paraId="675343BB" w14:textId="77777777" w:rsidR="001B77DD" w:rsidRDefault="001B77DD">
            <w:pPr>
              <w:rPr>
                <w:rFonts w:ascii="宋体"/>
              </w:rPr>
            </w:pPr>
          </w:p>
        </w:tc>
        <w:tc>
          <w:tcPr>
            <w:tcW w:w="20" w:type="dxa"/>
            <w:shd w:val="clear" w:color="auto" w:fill="auto"/>
            <w:vAlign w:val="bottom"/>
          </w:tcPr>
          <w:p w14:paraId="675343BC" w14:textId="77777777" w:rsidR="001B77DD" w:rsidRDefault="001B77DD">
            <w:pPr>
              <w:rPr>
                <w:rFonts w:ascii="宋体"/>
              </w:rPr>
            </w:pPr>
          </w:p>
        </w:tc>
        <w:tc>
          <w:tcPr>
            <w:tcW w:w="1040" w:type="dxa"/>
            <w:shd w:val="clear" w:color="auto" w:fill="auto"/>
            <w:vAlign w:val="bottom"/>
          </w:tcPr>
          <w:p w14:paraId="675343BD" w14:textId="77777777" w:rsidR="001B77DD" w:rsidRDefault="001B77DD">
            <w:pPr>
              <w:rPr>
                <w:rFonts w:ascii="宋体"/>
              </w:rPr>
            </w:pPr>
          </w:p>
        </w:tc>
        <w:tc>
          <w:tcPr>
            <w:tcW w:w="20" w:type="dxa"/>
            <w:shd w:val="clear" w:color="auto" w:fill="auto"/>
            <w:vAlign w:val="bottom"/>
          </w:tcPr>
          <w:p w14:paraId="675343BE" w14:textId="77777777" w:rsidR="001B77DD" w:rsidRDefault="001B77DD">
            <w:pPr>
              <w:rPr>
                <w:rFonts w:ascii="宋体"/>
              </w:rPr>
            </w:pPr>
          </w:p>
        </w:tc>
        <w:tc>
          <w:tcPr>
            <w:tcW w:w="20" w:type="dxa"/>
            <w:shd w:val="clear" w:color="auto" w:fill="auto"/>
            <w:vAlign w:val="bottom"/>
          </w:tcPr>
          <w:p w14:paraId="675343BF" w14:textId="77777777" w:rsidR="001B77DD" w:rsidRDefault="001B77DD">
            <w:pPr>
              <w:rPr>
                <w:rFonts w:ascii="宋体"/>
              </w:rPr>
            </w:pPr>
          </w:p>
        </w:tc>
        <w:tc>
          <w:tcPr>
            <w:tcW w:w="8225" w:type="dxa"/>
            <w:shd w:val="clear" w:color="auto" w:fill="auto"/>
            <w:vAlign w:val="bottom"/>
          </w:tcPr>
          <w:p w14:paraId="675343C0" w14:textId="77777777" w:rsidR="001B77DD" w:rsidRDefault="001B77DD">
            <w:pPr>
              <w:rPr>
                <w:rFonts w:ascii="宋体"/>
              </w:rPr>
            </w:pPr>
          </w:p>
        </w:tc>
        <w:tc>
          <w:tcPr>
            <w:tcW w:w="20" w:type="dxa"/>
            <w:shd w:val="clear" w:color="auto" w:fill="auto"/>
            <w:vAlign w:val="bottom"/>
          </w:tcPr>
          <w:p w14:paraId="675343C1" w14:textId="77777777" w:rsidR="001B77DD" w:rsidRDefault="001B77DD">
            <w:pPr>
              <w:rPr>
                <w:rFonts w:ascii="宋体"/>
              </w:rPr>
            </w:pPr>
          </w:p>
        </w:tc>
      </w:tr>
      <w:tr w:rsidR="001B77DD" w14:paraId="675343C6" w14:textId="77777777">
        <w:trPr>
          <w:trHeight w:val="280"/>
        </w:trPr>
        <w:tc>
          <w:tcPr>
            <w:tcW w:w="0" w:type="auto"/>
            <w:gridSpan w:val="3"/>
            <w:shd w:val="clear" w:color="auto" w:fill="auto"/>
            <w:tcMar>
              <w:top w:w="0" w:type="dxa"/>
              <w:left w:w="20" w:type="dxa"/>
              <w:bottom w:w="0" w:type="dxa"/>
              <w:right w:w="20" w:type="dxa"/>
            </w:tcMar>
            <w:vAlign w:val="bottom"/>
          </w:tcPr>
          <w:p w14:paraId="675343C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3C4" w14:textId="77777777" w:rsidR="001B77DD" w:rsidRDefault="00BF0A28">
            <w:pP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675343C5" w14:textId="77777777" w:rsidR="001B77DD" w:rsidRDefault="00BF0A28">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675343C7"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3CB" w14:textId="77777777">
        <w:tc>
          <w:tcPr>
            <w:tcW w:w="50" w:type="pct"/>
            <w:shd w:val="clear" w:color="auto" w:fill="auto"/>
            <w:vAlign w:val="bottom"/>
          </w:tcPr>
          <w:p w14:paraId="675343C8" w14:textId="77777777" w:rsidR="001B77DD" w:rsidRDefault="001B77DD">
            <w:pPr>
              <w:rPr>
                <w:rFonts w:ascii="宋体"/>
              </w:rPr>
            </w:pPr>
          </w:p>
        </w:tc>
        <w:tc>
          <w:tcPr>
            <w:tcW w:w="4945" w:type="pct"/>
            <w:shd w:val="clear" w:color="auto" w:fill="auto"/>
            <w:vAlign w:val="bottom"/>
          </w:tcPr>
          <w:p w14:paraId="675343C9" w14:textId="77777777" w:rsidR="001B77DD" w:rsidRDefault="001B77DD">
            <w:pPr>
              <w:rPr>
                <w:rFonts w:ascii="宋体"/>
              </w:rPr>
            </w:pPr>
          </w:p>
        </w:tc>
        <w:tc>
          <w:tcPr>
            <w:tcW w:w="5" w:type="pct"/>
            <w:shd w:val="clear" w:color="auto" w:fill="auto"/>
            <w:vAlign w:val="bottom"/>
          </w:tcPr>
          <w:p w14:paraId="675343CA" w14:textId="77777777" w:rsidR="001B77DD" w:rsidRDefault="001B77DD">
            <w:pPr>
              <w:rPr>
                <w:rFonts w:ascii="宋体"/>
              </w:rPr>
            </w:pPr>
          </w:p>
        </w:tc>
      </w:tr>
      <w:tr w:rsidR="001B77DD" w14:paraId="675343CD"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3CC" w14:textId="77777777" w:rsidR="001B77DD" w:rsidRDefault="00BF0A28">
            <w:pPr>
              <w:textAlignment w:val="bottom"/>
            </w:pPr>
            <w:r>
              <w:rPr>
                <w:rFonts w:ascii="Arial" w:eastAsia="宋体" w:hAnsi="Arial" w:cs="Arial"/>
                <w:color w:val="0068B5"/>
                <w:sz w:val="20"/>
                <w:szCs w:val="20"/>
              </w:rPr>
              <w:t>Revenue Summary</w:t>
            </w:r>
          </w:p>
        </w:tc>
      </w:tr>
    </w:tbl>
    <w:p w14:paraId="675343CE" w14:textId="77777777" w:rsidR="001B77DD" w:rsidRDefault="00BF0A28">
      <w:pPr>
        <w:spacing w:after="60"/>
        <w:ind w:hanging="180"/>
      </w:pPr>
      <w:r>
        <w:rPr>
          <w:rFonts w:ascii="Arial" w:eastAsia="宋体" w:hAnsi="Arial" w:cs="Arial"/>
          <w:b/>
          <w:bCs/>
          <w:color w:val="0068B5"/>
          <w:sz w:val="18"/>
          <w:szCs w:val="18"/>
        </w:rPr>
        <w:t>▪</w:t>
      </w:r>
      <w:r>
        <w:rPr>
          <w:rFonts w:ascii="Arial" w:eastAsia="宋体" w:hAnsi="Arial" w:cs="Arial"/>
          <w:color w:val="000000"/>
          <w:sz w:val="18"/>
          <w:szCs w:val="18"/>
        </w:rPr>
        <w:t xml:space="preserve">Increased unit sales driven by continued </w:t>
      </w:r>
      <w:r>
        <w:rPr>
          <w:rFonts w:ascii="Arial" w:eastAsia="宋体" w:hAnsi="Arial" w:cs="Arial"/>
          <w:color w:val="000000"/>
          <w:sz w:val="18"/>
          <w:szCs w:val="18"/>
        </w:rPr>
        <w:t>strength in notebook demand and recovery in desktop demand driven by consumer and commercial recovery from COVID-19 lows.</w:t>
      </w:r>
    </w:p>
    <w:p w14:paraId="675343CF" w14:textId="77777777" w:rsidR="001B77DD" w:rsidRDefault="00BF0A28">
      <w:pP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 xml:space="preserve">Lower notebook ASPs due to strength in the consumer and education market segments, partially offset by higher desktop ASPs </w:t>
      </w:r>
      <w:r>
        <w:rPr>
          <w:rFonts w:ascii="Arial" w:eastAsia="宋体" w:hAnsi="Arial" w:cs="Arial"/>
          <w:color w:val="262626"/>
          <w:sz w:val="18"/>
          <w:szCs w:val="18"/>
        </w:rPr>
        <w:t>driven by commercial recovery from COVID-19.</w:t>
      </w:r>
    </w:p>
    <w:p w14:paraId="675343D0" w14:textId="77777777" w:rsidR="001B77DD" w:rsidRDefault="00BF0A28">
      <w:pPr>
        <w:ind w:hanging="180"/>
      </w:pPr>
      <w:r>
        <w:rPr>
          <w:rFonts w:ascii="Arial" w:eastAsia="宋体" w:hAnsi="Arial" w:cs="Arial"/>
          <w:b/>
          <w:bCs/>
          <w:color w:val="0068B5"/>
          <w:sz w:val="18"/>
          <w:szCs w:val="18"/>
        </w:rPr>
        <w:t>▪</w:t>
      </w:r>
      <w:r>
        <w:rPr>
          <w:rFonts w:ascii="Arial" w:eastAsia="宋体" w:hAnsi="Arial" w:cs="Arial"/>
          <w:color w:val="262626"/>
          <w:sz w:val="18"/>
          <w:szCs w:val="18"/>
        </w:rPr>
        <w:t>Decrease in adjacent revenue primarily driven by the continued ramp down from the exit of our 5G smartphone modem and Home Gateway Platform businesses, partially offset by strength in wireless and connectivity.</w:t>
      </w:r>
      <w:r>
        <w:rPr>
          <w:rFonts w:ascii="Arial" w:eastAsia="宋体" w:hAnsi="Arial" w:cs="Arial"/>
          <w:color w:val="262626"/>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5"/>
        <w:gridCol w:w="4018"/>
        <w:gridCol w:w="36"/>
        <w:gridCol w:w="36"/>
        <w:gridCol w:w="36"/>
        <w:gridCol w:w="36"/>
        <w:gridCol w:w="79"/>
        <w:gridCol w:w="385"/>
        <w:gridCol w:w="36"/>
        <w:gridCol w:w="72"/>
        <w:gridCol w:w="342"/>
        <w:gridCol w:w="36"/>
        <w:gridCol w:w="36"/>
        <w:gridCol w:w="36"/>
        <w:gridCol w:w="36"/>
        <w:gridCol w:w="122"/>
        <w:gridCol w:w="740"/>
        <w:gridCol w:w="36"/>
        <w:gridCol w:w="36"/>
        <w:gridCol w:w="36"/>
        <w:gridCol w:w="36"/>
        <w:gridCol w:w="79"/>
        <w:gridCol w:w="385"/>
        <w:gridCol w:w="36"/>
        <w:gridCol w:w="89"/>
        <w:gridCol w:w="424"/>
        <w:gridCol w:w="36"/>
        <w:gridCol w:w="36"/>
        <w:gridCol w:w="36"/>
        <w:gridCol w:w="36"/>
        <w:gridCol w:w="122"/>
        <w:gridCol w:w="749"/>
        <w:gridCol w:w="37"/>
      </w:tblGrid>
      <w:tr w:rsidR="001B77DD" w14:paraId="675343F2" w14:textId="77777777">
        <w:tc>
          <w:tcPr>
            <w:tcW w:w="50" w:type="pct"/>
            <w:shd w:val="clear" w:color="auto" w:fill="auto"/>
            <w:vAlign w:val="bottom"/>
          </w:tcPr>
          <w:p w14:paraId="675343D1" w14:textId="77777777" w:rsidR="001B77DD" w:rsidRDefault="001B77DD">
            <w:pPr>
              <w:rPr>
                <w:rFonts w:ascii="宋体"/>
              </w:rPr>
            </w:pPr>
          </w:p>
        </w:tc>
        <w:tc>
          <w:tcPr>
            <w:tcW w:w="2431" w:type="pct"/>
            <w:shd w:val="clear" w:color="auto" w:fill="auto"/>
            <w:vAlign w:val="bottom"/>
          </w:tcPr>
          <w:p w14:paraId="675343D2" w14:textId="77777777" w:rsidR="001B77DD" w:rsidRDefault="001B77DD">
            <w:pPr>
              <w:rPr>
                <w:rFonts w:ascii="宋体"/>
              </w:rPr>
            </w:pPr>
          </w:p>
        </w:tc>
        <w:tc>
          <w:tcPr>
            <w:tcW w:w="5" w:type="pct"/>
            <w:shd w:val="clear" w:color="auto" w:fill="auto"/>
            <w:vAlign w:val="bottom"/>
          </w:tcPr>
          <w:p w14:paraId="675343D3" w14:textId="77777777" w:rsidR="001B77DD" w:rsidRDefault="001B77DD">
            <w:pPr>
              <w:rPr>
                <w:rFonts w:ascii="宋体"/>
              </w:rPr>
            </w:pPr>
          </w:p>
        </w:tc>
        <w:tc>
          <w:tcPr>
            <w:tcW w:w="5" w:type="pct"/>
            <w:shd w:val="clear" w:color="auto" w:fill="auto"/>
            <w:vAlign w:val="bottom"/>
          </w:tcPr>
          <w:p w14:paraId="675343D4" w14:textId="77777777" w:rsidR="001B77DD" w:rsidRDefault="001B77DD">
            <w:pPr>
              <w:rPr>
                <w:rFonts w:ascii="宋体"/>
              </w:rPr>
            </w:pPr>
          </w:p>
        </w:tc>
        <w:tc>
          <w:tcPr>
            <w:tcW w:w="24" w:type="pct"/>
            <w:shd w:val="clear" w:color="auto" w:fill="auto"/>
            <w:vAlign w:val="bottom"/>
          </w:tcPr>
          <w:p w14:paraId="675343D5" w14:textId="77777777" w:rsidR="001B77DD" w:rsidRDefault="001B77DD">
            <w:pPr>
              <w:rPr>
                <w:rFonts w:ascii="宋体"/>
              </w:rPr>
            </w:pPr>
          </w:p>
        </w:tc>
        <w:tc>
          <w:tcPr>
            <w:tcW w:w="5" w:type="pct"/>
            <w:shd w:val="clear" w:color="auto" w:fill="auto"/>
            <w:vAlign w:val="bottom"/>
          </w:tcPr>
          <w:p w14:paraId="675343D6" w14:textId="77777777" w:rsidR="001B77DD" w:rsidRDefault="001B77DD">
            <w:pPr>
              <w:rPr>
                <w:rFonts w:ascii="宋体"/>
              </w:rPr>
            </w:pPr>
          </w:p>
        </w:tc>
        <w:tc>
          <w:tcPr>
            <w:tcW w:w="50" w:type="pct"/>
            <w:shd w:val="clear" w:color="auto" w:fill="auto"/>
            <w:vAlign w:val="bottom"/>
          </w:tcPr>
          <w:p w14:paraId="675343D7" w14:textId="77777777" w:rsidR="001B77DD" w:rsidRDefault="001B77DD">
            <w:pPr>
              <w:rPr>
                <w:rFonts w:ascii="宋体"/>
              </w:rPr>
            </w:pPr>
          </w:p>
        </w:tc>
        <w:tc>
          <w:tcPr>
            <w:tcW w:w="245" w:type="pct"/>
            <w:shd w:val="clear" w:color="auto" w:fill="auto"/>
            <w:vAlign w:val="bottom"/>
          </w:tcPr>
          <w:p w14:paraId="675343D8" w14:textId="77777777" w:rsidR="001B77DD" w:rsidRDefault="001B77DD">
            <w:pPr>
              <w:rPr>
                <w:rFonts w:ascii="宋体"/>
              </w:rPr>
            </w:pPr>
          </w:p>
        </w:tc>
        <w:tc>
          <w:tcPr>
            <w:tcW w:w="5" w:type="pct"/>
            <w:shd w:val="clear" w:color="auto" w:fill="auto"/>
            <w:vAlign w:val="bottom"/>
          </w:tcPr>
          <w:p w14:paraId="675343D9" w14:textId="77777777" w:rsidR="001B77DD" w:rsidRDefault="001B77DD">
            <w:pPr>
              <w:rPr>
                <w:rFonts w:ascii="宋体"/>
              </w:rPr>
            </w:pPr>
          </w:p>
        </w:tc>
        <w:tc>
          <w:tcPr>
            <w:tcW w:w="50" w:type="pct"/>
            <w:shd w:val="clear" w:color="auto" w:fill="auto"/>
            <w:vAlign w:val="bottom"/>
          </w:tcPr>
          <w:p w14:paraId="675343DA" w14:textId="77777777" w:rsidR="001B77DD" w:rsidRDefault="001B77DD">
            <w:pPr>
              <w:rPr>
                <w:rFonts w:ascii="宋体"/>
              </w:rPr>
            </w:pPr>
          </w:p>
        </w:tc>
        <w:tc>
          <w:tcPr>
            <w:tcW w:w="238" w:type="pct"/>
            <w:shd w:val="clear" w:color="auto" w:fill="auto"/>
            <w:vAlign w:val="bottom"/>
          </w:tcPr>
          <w:p w14:paraId="675343DB" w14:textId="77777777" w:rsidR="001B77DD" w:rsidRDefault="001B77DD">
            <w:pPr>
              <w:rPr>
                <w:rFonts w:ascii="宋体"/>
              </w:rPr>
            </w:pPr>
          </w:p>
        </w:tc>
        <w:tc>
          <w:tcPr>
            <w:tcW w:w="5" w:type="pct"/>
            <w:shd w:val="clear" w:color="auto" w:fill="auto"/>
            <w:vAlign w:val="bottom"/>
          </w:tcPr>
          <w:p w14:paraId="675343DC" w14:textId="77777777" w:rsidR="001B77DD" w:rsidRDefault="001B77DD">
            <w:pPr>
              <w:rPr>
                <w:rFonts w:ascii="宋体"/>
              </w:rPr>
            </w:pPr>
          </w:p>
        </w:tc>
        <w:tc>
          <w:tcPr>
            <w:tcW w:w="5" w:type="pct"/>
            <w:shd w:val="clear" w:color="auto" w:fill="auto"/>
            <w:vAlign w:val="bottom"/>
          </w:tcPr>
          <w:p w14:paraId="675343DD" w14:textId="77777777" w:rsidR="001B77DD" w:rsidRDefault="001B77DD">
            <w:pPr>
              <w:rPr>
                <w:rFonts w:ascii="宋体"/>
              </w:rPr>
            </w:pPr>
          </w:p>
        </w:tc>
        <w:tc>
          <w:tcPr>
            <w:tcW w:w="24" w:type="pct"/>
            <w:shd w:val="clear" w:color="auto" w:fill="auto"/>
            <w:vAlign w:val="bottom"/>
          </w:tcPr>
          <w:p w14:paraId="675343DE" w14:textId="77777777" w:rsidR="001B77DD" w:rsidRDefault="001B77DD">
            <w:pPr>
              <w:rPr>
                <w:rFonts w:ascii="宋体"/>
              </w:rPr>
            </w:pPr>
          </w:p>
        </w:tc>
        <w:tc>
          <w:tcPr>
            <w:tcW w:w="5" w:type="pct"/>
            <w:shd w:val="clear" w:color="auto" w:fill="auto"/>
            <w:vAlign w:val="bottom"/>
          </w:tcPr>
          <w:p w14:paraId="675343DF" w14:textId="77777777" w:rsidR="001B77DD" w:rsidRDefault="001B77DD">
            <w:pPr>
              <w:rPr>
                <w:rFonts w:ascii="宋体"/>
              </w:rPr>
            </w:pPr>
          </w:p>
        </w:tc>
        <w:tc>
          <w:tcPr>
            <w:tcW w:w="50" w:type="pct"/>
            <w:shd w:val="clear" w:color="auto" w:fill="auto"/>
            <w:vAlign w:val="bottom"/>
          </w:tcPr>
          <w:p w14:paraId="675343E0" w14:textId="77777777" w:rsidR="001B77DD" w:rsidRDefault="001B77DD">
            <w:pPr>
              <w:rPr>
                <w:rFonts w:ascii="宋体"/>
              </w:rPr>
            </w:pPr>
          </w:p>
        </w:tc>
        <w:tc>
          <w:tcPr>
            <w:tcW w:w="539" w:type="pct"/>
            <w:shd w:val="clear" w:color="auto" w:fill="auto"/>
            <w:vAlign w:val="bottom"/>
          </w:tcPr>
          <w:p w14:paraId="675343E1" w14:textId="77777777" w:rsidR="001B77DD" w:rsidRDefault="001B77DD">
            <w:pPr>
              <w:rPr>
                <w:rFonts w:ascii="宋体"/>
              </w:rPr>
            </w:pPr>
          </w:p>
        </w:tc>
        <w:tc>
          <w:tcPr>
            <w:tcW w:w="5" w:type="pct"/>
            <w:shd w:val="clear" w:color="auto" w:fill="auto"/>
            <w:vAlign w:val="bottom"/>
          </w:tcPr>
          <w:p w14:paraId="675343E2" w14:textId="77777777" w:rsidR="001B77DD" w:rsidRDefault="001B77DD">
            <w:pPr>
              <w:rPr>
                <w:rFonts w:ascii="宋体"/>
              </w:rPr>
            </w:pPr>
          </w:p>
        </w:tc>
        <w:tc>
          <w:tcPr>
            <w:tcW w:w="5" w:type="pct"/>
            <w:shd w:val="clear" w:color="auto" w:fill="auto"/>
            <w:vAlign w:val="bottom"/>
          </w:tcPr>
          <w:p w14:paraId="675343E3" w14:textId="77777777" w:rsidR="001B77DD" w:rsidRDefault="001B77DD">
            <w:pPr>
              <w:rPr>
                <w:rFonts w:ascii="宋体"/>
              </w:rPr>
            </w:pPr>
          </w:p>
        </w:tc>
        <w:tc>
          <w:tcPr>
            <w:tcW w:w="24" w:type="pct"/>
            <w:shd w:val="clear" w:color="auto" w:fill="auto"/>
            <w:vAlign w:val="bottom"/>
          </w:tcPr>
          <w:p w14:paraId="675343E4" w14:textId="77777777" w:rsidR="001B77DD" w:rsidRDefault="001B77DD">
            <w:pPr>
              <w:rPr>
                <w:rFonts w:ascii="宋体"/>
              </w:rPr>
            </w:pPr>
          </w:p>
        </w:tc>
        <w:tc>
          <w:tcPr>
            <w:tcW w:w="5" w:type="pct"/>
            <w:shd w:val="clear" w:color="auto" w:fill="auto"/>
            <w:vAlign w:val="bottom"/>
          </w:tcPr>
          <w:p w14:paraId="675343E5" w14:textId="77777777" w:rsidR="001B77DD" w:rsidRDefault="001B77DD">
            <w:pPr>
              <w:rPr>
                <w:rFonts w:ascii="宋体"/>
              </w:rPr>
            </w:pPr>
          </w:p>
        </w:tc>
        <w:tc>
          <w:tcPr>
            <w:tcW w:w="50" w:type="pct"/>
            <w:shd w:val="clear" w:color="auto" w:fill="auto"/>
            <w:vAlign w:val="bottom"/>
          </w:tcPr>
          <w:p w14:paraId="675343E6" w14:textId="77777777" w:rsidR="001B77DD" w:rsidRDefault="001B77DD">
            <w:pPr>
              <w:rPr>
                <w:rFonts w:ascii="宋体"/>
              </w:rPr>
            </w:pPr>
          </w:p>
        </w:tc>
        <w:tc>
          <w:tcPr>
            <w:tcW w:w="245" w:type="pct"/>
            <w:shd w:val="clear" w:color="auto" w:fill="auto"/>
            <w:vAlign w:val="bottom"/>
          </w:tcPr>
          <w:p w14:paraId="675343E7" w14:textId="77777777" w:rsidR="001B77DD" w:rsidRDefault="001B77DD">
            <w:pPr>
              <w:rPr>
                <w:rFonts w:ascii="宋体"/>
              </w:rPr>
            </w:pPr>
          </w:p>
        </w:tc>
        <w:tc>
          <w:tcPr>
            <w:tcW w:w="5" w:type="pct"/>
            <w:shd w:val="clear" w:color="auto" w:fill="auto"/>
            <w:vAlign w:val="bottom"/>
          </w:tcPr>
          <w:p w14:paraId="675343E8" w14:textId="77777777" w:rsidR="001B77DD" w:rsidRDefault="001B77DD">
            <w:pPr>
              <w:rPr>
                <w:rFonts w:ascii="宋体"/>
              </w:rPr>
            </w:pPr>
          </w:p>
        </w:tc>
        <w:tc>
          <w:tcPr>
            <w:tcW w:w="50" w:type="pct"/>
            <w:shd w:val="clear" w:color="auto" w:fill="auto"/>
            <w:vAlign w:val="bottom"/>
          </w:tcPr>
          <w:p w14:paraId="675343E9" w14:textId="77777777" w:rsidR="001B77DD" w:rsidRDefault="001B77DD">
            <w:pPr>
              <w:rPr>
                <w:rFonts w:ascii="宋体"/>
              </w:rPr>
            </w:pPr>
          </w:p>
        </w:tc>
        <w:tc>
          <w:tcPr>
            <w:tcW w:w="238" w:type="pct"/>
            <w:shd w:val="clear" w:color="auto" w:fill="auto"/>
            <w:vAlign w:val="bottom"/>
          </w:tcPr>
          <w:p w14:paraId="675343EA" w14:textId="77777777" w:rsidR="001B77DD" w:rsidRDefault="001B77DD">
            <w:pPr>
              <w:rPr>
                <w:rFonts w:ascii="宋体"/>
              </w:rPr>
            </w:pPr>
          </w:p>
        </w:tc>
        <w:tc>
          <w:tcPr>
            <w:tcW w:w="5" w:type="pct"/>
            <w:shd w:val="clear" w:color="auto" w:fill="auto"/>
            <w:vAlign w:val="bottom"/>
          </w:tcPr>
          <w:p w14:paraId="675343EB" w14:textId="77777777" w:rsidR="001B77DD" w:rsidRDefault="001B77DD">
            <w:pPr>
              <w:rPr>
                <w:rFonts w:ascii="宋体"/>
              </w:rPr>
            </w:pPr>
          </w:p>
        </w:tc>
        <w:tc>
          <w:tcPr>
            <w:tcW w:w="5" w:type="pct"/>
            <w:shd w:val="clear" w:color="auto" w:fill="auto"/>
            <w:vAlign w:val="bottom"/>
          </w:tcPr>
          <w:p w14:paraId="675343EC" w14:textId="77777777" w:rsidR="001B77DD" w:rsidRDefault="001B77DD">
            <w:pPr>
              <w:rPr>
                <w:rFonts w:ascii="宋体"/>
              </w:rPr>
            </w:pPr>
          </w:p>
        </w:tc>
        <w:tc>
          <w:tcPr>
            <w:tcW w:w="24" w:type="pct"/>
            <w:shd w:val="clear" w:color="auto" w:fill="auto"/>
            <w:vAlign w:val="bottom"/>
          </w:tcPr>
          <w:p w14:paraId="675343ED" w14:textId="77777777" w:rsidR="001B77DD" w:rsidRDefault="001B77DD">
            <w:pPr>
              <w:rPr>
                <w:rFonts w:ascii="宋体"/>
              </w:rPr>
            </w:pPr>
          </w:p>
        </w:tc>
        <w:tc>
          <w:tcPr>
            <w:tcW w:w="5" w:type="pct"/>
            <w:shd w:val="clear" w:color="auto" w:fill="auto"/>
            <w:vAlign w:val="bottom"/>
          </w:tcPr>
          <w:p w14:paraId="675343EE" w14:textId="77777777" w:rsidR="001B77DD" w:rsidRDefault="001B77DD">
            <w:pPr>
              <w:rPr>
                <w:rFonts w:ascii="宋体"/>
              </w:rPr>
            </w:pPr>
          </w:p>
        </w:tc>
        <w:tc>
          <w:tcPr>
            <w:tcW w:w="50" w:type="pct"/>
            <w:shd w:val="clear" w:color="auto" w:fill="auto"/>
            <w:vAlign w:val="bottom"/>
          </w:tcPr>
          <w:p w14:paraId="675343EF" w14:textId="77777777" w:rsidR="001B77DD" w:rsidRDefault="001B77DD">
            <w:pPr>
              <w:rPr>
                <w:rFonts w:ascii="宋体"/>
              </w:rPr>
            </w:pPr>
          </w:p>
        </w:tc>
        <w:tc>
          <w:tcPr>
            <w:tcW w:w="539" w:type="pct"/>
            <w:shd w:val="clear" w:color="auto" w:fill="auto"/>
            <w:vAlign w:val="bottom"/>
          </w:tcPr>
          <w:p w14:paraId="675343F0" w14:textId="77777777" w:rsidR="001B77DD" w:rsidRDefault="001B77DD">
            <w:pPr>
              <w:rPr>
                <w:rFonts w:ascii="宋体"/>
              </w:rPr>
            </w:pPr>
          </w:p>
        </w:tc>
        <w:tc>
          <w:tcPr>
            <w:tcW w:w="5" w:type="pct"/>
            <w:shd w:val="clear" w:color="auto" w:fill="auto"/>
            <w:vAlign w:val="bottom"/>
          </w:tcPr>
          <w:p w14:paraId="675343F1" w14:textId="77777777" w:rsidR="001B77DD" w:rsidRDefault="001B77DD">
            <w:pPr>
              <w:rPr>
                <w:rFonts w:ascii="宋体"/>
              </w:rPr>
            </w:pPr>
          </w:p>
        </w:tc>
      </w:tr>
      <w:tr w:rsidR="001B77DD" w14:paraId="675343F8" w14:textId="77777777">
        <w:tc>
          <w:tcPr>
            <w:tcW w:w="0" w:type="auto"/>
            <w:gridSpan w:val="3"/>
            <w:shd w:val="clear" w:color="auto" w:fill="auto"/>
            <w:tcMar>
              <w:top w:w="0" w:type="dxa"/>
              <w:left w:w="20" w:type="dxa"/>
              <w:bottom w:w="0" w:type="dxa"/>
              <w:right w:w="20" w:type="dxa"/>
            </w:tcMar>
            <w:vAlign w:val="bottom"/>
          </w:tcPr>
          <w:p w14:paraId="675343F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3F4" w14:textId="77777777" w:rsidR="001B77DD" w:rsidRDefault="001B77DD">
            <w:pPr>
              <w:rPr>
                <w:rFonts w:ascii="宋体"/>
              </w:rPr>
            </w:pPr>
          </w:p>
        </w:tc>
        <w:tc>
          <w:tcPr>
            <w:tcW w:w="0" w:type="auto"/>
            <w:gridSpan w:val="12"/>
            <w:shd w:val="clear" w:color="auto" w:fill="auto"/>
            <w:tcMar>
              <w:top w:w="40" w:type="dxa"/>
              <w:left w:w="20" w:type="dxa"/>
              <w:bottom w:w="40" w:type="dxa"/>
              <w:right w:w="20" w:type="dxa"/>
            </w:tcMar>
            <w:vAlign w:val="bottom"/>
          </w:tcPr>
          <w:p w14:paraId="675343F5" w14:textId="77777777" w:rsidR="001B77DD" w:rsidRDefault="00BF0A28">
            <w:pPr>
              <w:jc w:val="center"/>
              <w:textAlignment w:val="bottom"/>
            </w:pPr>
            <w:r>
              <w:rPr>
                <w:rFonts w:ascii="Arial" w:eastAsia="宋体" w:hAnsi="Arial" w:cs="Arial"/>
                <w:b/>
                <w:bCs/>
                <w:color w:val="262626"/>
                <w:sz w:val="18"/>
                <w:szCs w:val="18"/>
              </w:rPr>
              <w:t>2021 vs. 2020</w:t>
            </w:r>
          </w:p>
        </w:tc>
        <w:tc>
          <w:tcPr>
            <w:tcW w:w="0" w:type="auto"/>
            <w:gridSpan w:val="3"/>
            <w:shd w:val="clear" w:color="auto" w:fill="auto"/>
            <w:tcMar>
              <w:top w:w="0" w:type="dxa"/>
              <w:left w:w="20" w:type="dxa"/>
              <w:bottom w:w="0" w:type="dxa"/>
              <w:right w:w="20" w:type="dxa"/>
            </w:tcMar>
            <w:vAlign w:val="bottom"/>
          </w:tcPr>
          <w:p w14:paraId="675343F6" w14:textId="77777777" w:rsidR="001B77DD" w:rsidRDefault="001B77DD">
            <w:pPr>
              <w:rPr>
                <w:rFonts w:ascii="宋体"/>
              </w:rPr>
            </w:pPr>
          </w:p>
        </w:tc>
        <w:tc>
          <w:tcPr>
            <w:tcW w:w="0" w:type="auto"/>
            <w:gridSpan w:val="12"/>
            <w:shd w:val="clear" w:color="auto" w:fill="auto"/>
            <w:tcMar>
              <w:top w:w="40" w:type="dxa"/>
              <w:left w:w="20" w:type="dxa"/>
              <w:bottom w:w="40" w:type="dxa"/>
              <w:right w:w="20" w:type="dxa"/>
            </w:tcMar>
            <w:vAlign w:val="bottom"/>
          </w:tcPr>
          <w:p w14:paraId="675343F7" w14:textId="77777777" w:rsidR="001B77DD" w:rsidRDefault="00BF0A28">
            <w:pPr>
              <w:jc w:val="center"/>
              <w:textAlignment w:val="bottom"/>
            </w:pPr>
            <w:r>
              <w:rPr>
                <w:rFonts w:ascii="Arial" w:eastAsia="宋体" w:hAnsi="Arial" w:cs="Arial"/>
                <w:b/>
                <w:bCs/>
                <w:color w:val="262626"/>
                <w:sz w:val="18"/>
                <w:szCs w:val="18"/>
              </w:rPr>
              <w:t>2020 vs. 2019</w:t>
            </w:r>
          </w:p>
        </w:tc>
      </w:tr>
      <w:tr w:rsidR="001B77DD" w14:paraId="67534402" w14:textId="77777777">
        <w:tc>
          <w:tcPr>
            <w:tcW w:w="0" w:type="auto"/>
            <w:gridSpan w:val="3"/>
            <w:shd w:val="clear" w:color="auto" w:fill="auto"/>
            <w:tcMar>
              <w:top w:w="40" w:type="dxa"/>
              <w:left w:w="20" w:type="dxa"/>
              <w:bottom w:w="40" w:type="dxa"/>
              <w:right w:w="20" w:type="dxa"/>
            </w:tcMar>
            <w:vAlign w:val="bottom"/>
          </w:tcPr>
          <w:p w14:paraId="675343F9"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43FA" w14:textId="77777777" w:rsidR="001B77DD" w:rsidRDefault="001B77DD">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675343FB" w14:textId="77777777" w:rsidR="001B77DD" w:rsidRDefault="00BF0A28">
            <w:pPr>
              <w:jc w:val="center"/>
              <w:textAlignment w:val="bottom"/>
            </w:pPr>
            <w:r>
              <w:rPr>
                <w:rFonts w:ascii="Arial" w:eastAsia="宋体" w:hAnsi="Arial" w:cs="Arial"/>
                <w:b/>
                <w:bCs/>
                <w:color w:val="262626"/>
                <w:sz w:val="18"/>
                <w:szCs w:val="18"/>
              </w:rPr>
              <w: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3FC"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3FD" w14:textId="77777777" w:rsidR="001B77DD" w:rsidRDefault="00BF0A28">
            <w:pPr>
              <w:jc w:val="center"/>
              <w:textAlignment w:val="bottom"/>
            </w:pPr>
            <w:r>
              <w:rPr>
                <w:rFonts w:ascii="Arial" w:eastAsia="宋体" w:hAnsi="Arial" w:cs="Arial"/>
                <w:b/>
                <w:bCs/>
                <w:color w:val="262626"/>
                <w:sz w:val="18"/>
                <w:szCs w:val="18"/>
              </w:rPr>
              <w:t>$ Impact</w:t>
            </w:r>
          </w:p>
        </w:tc>
        <w:tc>
          <w:tcPr>
            <w:tcW w:w="0" w:type="auto"/>
            <w:gridSpan w:val="3"/>
            <w:shd w:val="clear" w:color="auto" w:fill="auto"/>
            <w:tcMar>
              <w:top w:w="0" w:type="dxa"/>
              <w:left w:w="20" w:type="dxa"/>
              <w:bottom w:w="0" w:type="dxa"/>
              <w:right w:w="20" w:type="dxa"/>
            </w:tcMar>
            <w:vAlign w:val="bottom"/>
          </w:tcPr>
          <w:p w14:paraId="675343FE" w14:textId="77777777" w:rsidR="001B77DD" w:rsidRDefault="001B77DD">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675343FF" w14:textId="77777777" w:rsidR="001B77DD" w:rsidRDefault="00BF0A28">
            <w:pPr>
              <w:jc w:val="center"/>
              <w:textAlignment w:val="bottom"/>
            </w:pPr>
            <w:r>
              <w:rPr>
                <w:rFonts w:ascii="Arial" w:eastAsia="宋体" w:hAnsi="Arial" w:cs="Arial"/>
                <w:b/>
                <w:bCs/>
                <w:color w:val="262626"/>
                <w:sz w:val="18"/>
                <w:szCs w:val="18"/>
              </w:rPr>
              <w: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400"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401" w14:textId="77777777" w:rsidR="001B77DD" w:rsidRDefault="00BF0A28">
            <w:pPr>
              <w:jc w:val="center"/>
              <w:textAlignment w:val="bottom"/>
            </w:pPr>
            <w:r>
              <w:rPr>
                <w:rFonts w:ascii="Arial" w:eastAsia="宋体" w:hAnsi="Arial" w:cs="Arial"/>
                <w:b/>
                <w:bCs/>
                <w:color w:val="262626"/>
                <w:sz w:val="18"/>
                <w:szCs w:val="18"/>
              </w:rPr>
              <w:t>$ Impact</w:t>
            </w:r>
          </w:p>
        </w:tc>
      </w:tr>
      <w:tr w:rsidR="001B77DD" w14:paraId="6753440E"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440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04"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4405"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440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07"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440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09"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440A"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440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0C"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440D" w14:textId="77777777" w:rsidR="001B77DD" w:rsidRDefault="001B77DD">
            <w:pPr>
              <w:rPr>
                <w:rFonts w:ascii="宋体"/>
              </w:rPr>
            </w:pPr>
          </w:p>
        </w:tc>
      </w:tr>
      <w:tr w:rsidR="001B77DD" w14:paraId="6753441E" w14:textId="77777777">
        <w:tc>
          <w:tcPr>
            <w:tcW w:w="0" w:type="auto"/>
            <w:gridSpan w:val="3"/>
            <w:shd w:val="clear" w:color="auto" w:fill="auto"/>
            <w:tcMar>
              <w:top w:w="40" w:type="dxa"/>
              <w:left w:w="20" w:type="dxa"/>
              <w:bottom w:w="40" w:type="dxa"/>
              <w:right w:w="20" w:type="dxa"/>
            </w:tcMar>
            <w:vAlign w:val="center"/>
          </w:tcPr>
          <w:p w14:paraId="6753440F" w14:textId="77777777" w:rsidR="001B77DD" w:rsidRDefault="00BF0A28">
            <w:pPr>
              <w:textAlignment w:val="center"/>
            </w:pPr>
            <w:r>
              <w:rPr>
                <w:rFonts w:ascii="Arial" w:eastAsia="宋体" w:hAnsi="Arial" w:cs="Arial"/>
                <w:color w:val="262626"/>
                <w:sz w:val="18"/>
                <w:szCs w:val="18"/>
              </w:rPr>
              <w:t>Desktop platform volume</w:t>
            </w:r>
          </w:p>
        </w:tc>
        <w:tc>
          <w:tcPr>
            <w:tcW w:w="0" w:type="auto"/>
            <w:gridSpan w:val="3"/>
            <w:shd w:val="clear" w:color="auto" w:fill="auto"/>
            <w:tcMar>
              <w:top w:w="0" w:type="dxa"/>
              <w:left w:w="20" w:type="dxa"/>
              <w:bottom w:w="0" w:type="dxa"/>
              <w:right w:w="20" w:type="dxa"/>
            </w:tcMar>
            <w:vAlign w:val="bottom"/>
          </w:tcPr>
          <w:p w14:paraId="6753441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11" w14:textId="77777777" w:rsidR="001B77DD" w:rsidRDefault="00BF0A28">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67534412" w14:textId="77777777" w:rsidR="001B77DD" w:rsidRDefault="00BF0A28">
            <w:pPr>
              <w:textAlignment w:val="center"/>
            </w:pPr>
            <w:r>
              <w:rPr>
                <w:rFonts w:ascii="Arial" w:eastAsia="宋体" w:hAnsi="Arial" w:cs="Arial"/>
                <w:color w:val="0068B5"/>
                <w:sz w:val="18"/>
                <w:szCs w:val="18"/>
              </w:rPr>
              <w:t>8%</w:t>
            </w:r>
          </w:p>
        </w:tc>
        <w:tc>
          <w:tcPr>
            <w:tcW w:w="0" w:type="auto"/>
            <w:gridSpan w:val="3"/>
            <w:shd w:val="clear" w:color="auto" w:fill="auto"/>
            <w:tcMar>
              <w:top w:w="0" w:type="dxa"/>
              <w:left w:w="20" w:type="dxa"/>
              <w:bottom w:w="0" w:type="dxa"/>
              <w:right w:w="20" w:type="dxa"/>
            </w:tcMar>
            <w:vAlign w:val="bottom"/>
          </w:tcPr>
          <w:p w14:paraId="67534413" w14:textId="77777777" w:rsidR="001B77DD" w:rsidRDefault="001B77DD">
            <w:pPr>
              <w:rPr>
                <w:rFonts w:ascii="宋体"/>
              </w:rPr>
            </w:pPr>
          </w:p>
        </w:tc>
        <w:tc>
          <w:tcPr>
            <w:tcW w:w="0" w:type="auto"/>
            <w:shd w:val="clear" w:color="auto" w:fill="auto"/>
            <w:tcMar>
              <w:top w:w="40" w:type="dxa"/>
              <w:left w:w="20" w:type="dxa"/>
              <w:bottom w:w="40" w:type="dxa"/>
              <w:right w:w="0" w:type="dxa"/>
            </w:tcMar>
            <w:vAlign w:val="center"/>
          </w:tcPr>
          <w:p w14:paraId="67534414" w14:textId="77777777" w:rsidR="001B77DD" w:rsidRDefault="00BF0A28">
            <w:pPr>
              <w:textAlignment w:val="center"/>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center"/>
          </w:tcPr>
          <w:p w14:paraId="67534415" w14:textId="77777777" w:rsidR="001B77DD" w:rsidRDefault="00BF0A28">
            <w:pPr>
              <w:jc w:val="right"/>
              <w:textAlignment w:val="center"/>
            </w:pPr>
            <w:r>
              <w:rPr>
                <w:rFonts w:ascii="Arial" w:eastAsia="宋体" w:hAnsi="Arial" w:cs="Arial"/>
                <w:color w:val="0068B5"/>
                <w:sz w:val="18"/>
                <w:szCs w:val="18"/>
              </w:rPr>
              <w:t>851 </w:t>
            </w:r>
          </w:p>
        </w:tc>
        <w:tc>
          <w:tcPr>
            <w:tcW w:w="0" w:type="auto"/>
            <w:shd w:val="clear" w:color="auto" w:fill="auto"/>
            <w:tcMar>
              <w:top w:w="40" w:type="dxa"/>
              <w:left w:w="0" w:type="dxa"/>
              <w:bottom w:w="40" w:type="dxa"/>
              <w:right w:w="20" w:type="dxa"/>
            </w:tcMar>
            <w:vAlign w:val="center"/>
          </w:tcPr>
          <w:p w14:paraId="6753441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1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18" w14:textId="77777777" w:rsidR="001B77DD" w:rsidRDefault="00BF0A28">
            <w:pPr>
              <w:jc w:val="right"/>
              <w:textAlignment w:val="center"/>
            </w:pPr>
            <w:r>
              <w:rPr>
                <w:rFonts w:ascii="Arial" w:eastAsia="宋体" w:hAnsi="Arial" w:cs="Arial"/>
                <w:color w:val="262626"/>
                <w:sz w:val="18"/>
                <w:szCs w:val="18"/>
              </w:rPr>
              <w:t>down</w:t>
            </w:r>
          </w:p>
        </w:tc>
        <w:tc>
          <w:tcPr>
            <w:tcW w:w="0" w:type="auto"/>
            <w:gridSpan w:val="3"/>
            <w:shd w:val="clear" w:color="auto" w:fill="auto"/>
            <w:tcMar>
              <w:top w:w="40" w:type="dxa"/>
              <w:left w:w="20" w:type="dxa"/>
              <w:bottom w:w="40" w:type="dxa"/>
              <w:right w:w="20" w:type="dxa"/>
            </w:tcMar>
            <w:vAlign w:val="center"/>
          </w:tcPr>
          <w:p w14:paraId="67534419" w14:textId="77777777" w:rsidR="001B77DD" w:rsidRDefault="00BF0A28">
            <w:pPr>
              <w:textAlignment w:val="center"/>
            </w:pPr>
            <w:r>
              <w:rPr>
                <w:rFonts w:ascii="Arial" w:eastAsia="宋体" w:hAnsi="Arial" w:cs="Arial"/>
                <w:color w:val="262626"/>
                <w:sz w:val="18"/>
                <w:szCs w:val="18"/>
              </w:rPr>
              <w:t>(11)%</w:t>
            </w:r>
          </w:p>
        </w:tc>
        <w:tc>
          <w:tcPr>
            <w:tcW w:w="0" w:type="auto"/>
            <w:gridSpan w:val="3"/>
            <w:shd w:val="clear" w:color="auto" w:fill="auto"/>
            <w:tcMar>
              <w:top w:w="0" w:type="dxa"/>
              <w:left w:w="20" w:type="dxa"/>
              <w:bottom w:w="0" w:type="dxa"/>
              <w:right w:w="20" w:type="dxa"/>
            </w:tcMar>
            <w:vAlign w:val="bottom"/>
          </w:tcPr>
          <w:p w14:paraId="6753441A" w14:textId="77777777" w:rsidR="001B77DD" w:rsidRDefault="001B77DD">
            <w:pPr>
              <w:rPr>
                <w:rFonts w:ascii="宋体"/>
              </w:rPr>
            </w:pPr>
          </w:p>
        </w:tc>
        <w:tc>
          <w:tcPr>
            <w:tcW w:w="0" w:type="auto"/>
            <w:shd w:val="clear" w:color="auto" w:fill="auto"/>
            <w:tcMar>
              <w:top w:w="40" w:type="dxa"/>
              <w:left w:w="20" w:type="dxa"/>
              <w:bottom w:w="40" w:type="dxa"/>
              <w:right w:w="0" w:type="dxa"/>
            </w:tcMar>
            <w:vAlign w:val="center"/>
          </w:tcPr>
          <w:p w14:paraId="6753441B" w14:textId="77777777" w:rsidR="001B77DD" w:rsidRDefault="00BF0A28">
            <w:pPr>
              <w:textAlignment w:val="center"/>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center"/>
          </w:tcPr>
          <w:p w14:paraId="6753441C" w14:textId="77777777" w:rsidR="001B77DD" w:rsidRDefault="00BF0A28">
            <w:pPr>
              <w:jc w:val="right"/>
              <w:textAlignment w:val="center"/>
            </w:pPr>
            <w:r>
              <w:rPr>
                <w:rFonts w:ascii="Arial" w:eastAsia="宋体" w:hAnsi="Arial" w:cs="Arial"/>
                <w:color w:val="262626"/>
                <w:sz w:val="18"/>
                <w:szCs w:val="18"/>
              </w:rPr>
              <w:t>(1,316)</w:t>
            </w:r>
          </w:p>
        </w:tc>
        <w:tc>
          <w:tcPr>
            <w:tcW w:w="0" w:type="auto"/>
            <w:shd w:val="clear" w:color="auto" w:fill="auto"/>
            <w:tcMar>
              <w:top w:w="40" w:type="dxa"/>
              <w:left w:w="0" w:type="dxa"/>
              <w:bottom w:w="40" w:type="dxa"/>
              <w:right w:w="20" w:type="dxa"/>
            </w:tcMar>
            <w:vAlign w:val="center"/>
          </w:tcPr>
          <w:p w14:paraId="6753441D" w14:textId="77777777" w:rsidR="001B77DD" w:rsidRDefault="001B77DD">
            <w:pPr>
              <w:jc w:val="right"/>
              <w:rPr>
                <w:rFonts w:ascii="宋体"/>
              </w:rPr>
            </w:pPr>
          </w:p>
        </w:tc>
      </w:tr>
      <w:tr w:rsidR="001B77DD" w14:paraId="6753442C" w14:textId="77777777">
        <w:tc>
          <w:tcPr>
            <w:tcW w:w="0" w:type="auto"/>
            <w:gridSpan w:val="3"/>
            <w:shd w:val="clear" w:color="auto" w:fill="auto"/>
            <w:tcMar>
              <w:top w:w="40" w:type="dxa"/>
              <w:left w:w="20" w:type="dxa"/>
              <w:bottom w:w="40" w:type="dxa"/>
              <w:right w:w="20" w:type="dxa"/>
            </w:tcMar>
            <w:vAlign w:val="bottom"/>
          </w:tcPr>
          <w:p w14:paraId="6753441F" w14:textId="77777777" w:rsidR="001B77DD" w:rsidRDefault="00BF0A28">
            <w:pPr>
              <w:textAlignment w:val="bottom"/>
            </w:pPr>
            <w:r>
              <w:rPr>
                <w:rFonts w:ascii="Arial" w:eastAsia="宋体" w:hAnsi="Arial" w:cs="Arial"/>
                <w:color w:val="262626"/>
                <w:sz w:val="18"/>
                <w:szCs w:val="18"/>
              </w:rPr>
              <w:t>Desktop platform ASP</w:t>
            </w:r>
          </w:p>
        </w:tc>
        <w:tc>
          <w:tcPr>
            <w:tcW w:w="0" w:type="auto"/>
            <w:gridSpan w:val="3"/>
            <w:shd w:val="clear" w:color="auto" w:fill="auto"/>
            <w:tcMar>
              <w:top w:w="0" w:type="dxa"/>
              <w:left w:w="20" w:type="dxa"/>
              <w:bottom w:w="0" w:type="dxa"/>
              <w:right w:w="20" w:type="dxa"/>
            </w:tcMar>
            <w:vAlign w:val="bottom"/>
          </w:tcPr>
          <w:p w14:paraId="6753442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21" w14:textId="77777777" w:rsidR="001B77DD" w:rsidRDefault="00BF0A28">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67534422" w14:textId="77777777" w:rsidR="001B77DD" w:rsidRDefault="00BF0A28">
            <w:pPr>
              <w:textAlignment w:val="center"/>
            </w:pPr>
            <w:r>
              <w:rPr>
                <w:rFonts w:ascii="Arial" w:eastAsia="宋体" w:hAnsi="Arial" w:cs="Arial"/>
                <w:color w:val="0068B5"/>
                <w:sz w:val="18"/>
                <w:szCs w:val="18"/>
              </w:rPr>
              <w:t>3%</w:t>
            </w:r>
          </w:p>
        </w:tc>
        <w:tc>
          <w:tcPr>
            <w:tcW w:w="0" w:type="auto"/>
            <w:gridSpan w:val="3"/>
            <w:shd w:val="clear" w:color="auto" w:fill="auto"/>
            <w:tcMar>
              <w:top w:w="0" w:type="dxa"/>
              <w:left w:w="20" w:type="dxa"/>
              <w:bottom w:w="0" w:type="dxa"/>
              <w:right w:w="20" w:type="dxa"/>
            </w:tcMar>
            <w:vAlign w:val="bottom"/>
          </w:tcPr>
          <w:p w14:paraId="6753442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424" w14:textId="77777777" w:rsidR="001B77DD" w:rsidRDefault="00BF0A28">
            <w:pPr>
              <w:jc w:val="right"/>
              <w:textAlignment w:val="center"/>
            </w:pPr>
            <w:r>
              <w:rPr>
                <w:rFonts w:ascii="Arial" w:eastAsia="宋体" w:hAnsi="Arial" w:cs="Arial"/>
                <w:color w:val="0068B5"/>
                <w:sz w:val="18"/>
                <w:szCs w:val="18"/>
              </w:rPr>
              <w:t>292 </w:t>
            </w:r>
          </w:p>
        </w:tc>
        <w:tc>
          <w:tcPr>
            <w:tcW w:w="0" w:type="auto"/>
            <w:shd w:val="clear" w:color="auto" w:fill="auto"/>
            <w:tcMar>
              <w:top w:w="40" w:type="dxa"/>
              <w:left w:w="0" w:type="dxa"/>
              <w:bottom w:w="40" w:type="dxa"/>
              <w:right w:w="20" w:type="dxa"/>
            </w:tcMar>
            <w:vAlign w:val="center"/>
          </w:tcPr>
          <w:p w14:paraId="6753442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2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27" w14:textId="77777777" w:rsidR="001B77DD" w:rsidRDefault="00BF0A28">
            <w:pPr>
              <w:jc w:val="right"/>
              <w:textAlignment w:val="center"/>
            </w:pPr>
            <w:r>
              <w:rPr>
                <w:rFonts w:ascii="Arial" w:eastAsia="宋体" w:hAnsi="Arial" w:cs="Arial"/>
                <w:color w:val="262626"/>
                <w:sz w:val="18"/>
                <w:szCs w:val="18"/>
              </w:rPr>
              <w:t>up</w:t>
            </w:r>
          </w:p>
        </w:tc>
        <w:tc>
          <w:tcPr>
            <w:tcW w:w="0" w:type="auto"/>
            <w:gridSpan w:val="3"/>
            <w:shd w:val="clear" w:color="auto" w:fill="auto"/>
            <w:tcMar>
              <w:top w:w="40" w:type="dxa"/>
              <w:left w:w="20" w:type="dxa"/>
              <w:bottom w:w="40" w:type="dxa"/>
              <w:right w:w="20" w:type="dxa"/>
            </w:tcMar>
            <w:vAlign w:val="center"/>
          </w:tcPr>
          <w:p w14:paraId="67534428" w14:textId="77777777" w:rsidR="001B77DD" w:rsidRDefault="00BF0A28">
            <w:pPr>
              <w:textAlignment w:val="center"/>
            </w:pPr>
            <w:r>
              <w:rPr>
                <w:rFonts w:ascii="Arial" w:eastAsia="宋体" w:hAnsi="Arial" w:cs="Arial"/>
                <w:color w:val="262626"/>
                <w:sz w:val="18"/>
                <w:szCs w:val="18"/>
              </w:rPr>
              <w:t>2%</w:t>
            </w:r>
          </w:p>
        </w:tc>
        <w:tc>
          <w:tcPr>
            <w:tcW w:w="0" w:type="auto"/>
            <w:gridSpan w:val="3"/>
            <w:shd w:val="clear" w:color="auto" w:fill="auto"/>
            <w:tcMar>
              <w:top w:w="0" w:type="dxa"/>
              <w:left w:w="20" w:type="dxa"/>
              <w:bottom w:w="0" w:type="dxa"/>
              <w:right w:w="20" w:type="dxa"/>
            </w:tcMar>
            <w:vAlign w:val="bottom"/>
          </w:tcPr>
          <w:p w14:paraId="6753442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42A" w14:textId="77777777" w:rsidR="001B77DD" w:rsidRDefault="00BF0A28">
            <w:pPr>
              <w:jc w:val="right"/>
              <w:textAlignment w:val="center"/>
            </w:pPr>
            <w:r>
              <w:rPr>
                <w:rFonts w:ascii="Arial" w:eastAsia="宋体" w:hAnsi="Arial" w:cs="Arial"/>
                <w:color w:val="262626"/>
                <w:sz w:val="18"/>
                <w:szCs w:val="18"/>
              </w:rPr>
              <w:t>186 </w:t>
            </w:r>
          </w:p>
        </w:tc>
        <w:tc>
          <w:tcPr>
            <w:tcW w:w="0" w:type="auto"/>
            <w:shd w:val="clear" w:color="auto" w:fill="auto"/>
            <w:tcMar>
              <w:top w:w="40" w:type="dxa"/>
              <w:left w:w="0" w:type="dxa"/>
              <w:bottom w:w="40" w:type="dxa"/>
              <w:right w:w="20" w:type="dxa"/>
            </w:tcMar>
            <w:vAlign w:val="center"/>
          </w:tcPr>
          <w:p w14:paraId="6753442B" w14:textId="77777777" w:rsidR="001B77DD" w:rsidRDefault="001B77DD">
            <w:pPr>
              <w:jc w:val="right"/>
              <w:rPr>
                <w:rFonts w:ascii="宋体"/>
              </w:rPr>
            </w:pPr>
          </w:p>
        </w:tc>
      </w:tr>
      <w:tr w:rsidR="001B77DD" w14:paraId="6753443A" w14:textId="77777777">
        <w:tc>
          <w:tcPr>
            <w:tcW w:w="0" w:type="auto"/>
            <w:gridSpan w:val="3"/>
            <w:shd w:val="clear" w:color="auto" w:fill="auto"/>
            <w:tcMar>
              <w:top w:w="40" w:type="dxa"/>
              <w:left w:w="20" w:type="dxa"/>
              <w:bottom w:w="40" w:type="dxa"/>
              <w:right w:w="20" w:type="dxa"/>
            </w:tcMar>
            <w:vAlign w:val="bottom"/>
          </w:tcPr>
          <w:p w14:paraId="6753442D" w14:textId="77777777" w:rsidR="001B77DD" w:rsidRDefault="00BF0A28">
            <w:pPr>
              <w:textAlignment w:val="bottom"/>
            </w:pPr>
            <w:r>
              <w:rPr>
                <w:rFonts w:ascii="Arial" w:eastAsia="宋体" w:hAnsi="Arial" w:cs="Arial"/>
                <w:color w:val="262626"/>
                <w:sz w:val="18"/>
                <w:szCs w:val="18"/>
              </w:rPr>
              <w:t>Notebook platform volume</w:t>
            </w:r>
          </w:p>
        </w:tc>
        <w:tc>
          <w:tcPr>
            <w:tcW w:w="0" w:type="auto"/>
            <w:gridSpan w:val="3"/>
            <w:shd w:val="clear" w:color="auto" w:fill="auto"/>
            <w:tcMar>
              <w:top w:w="0" w:type="dxa"/>
              <w:left w:w="20" w:type="dxa"/>
              <w:bottom w:w="0" w:type="dxa"/>
              <w:right w:w="20" w:type="dxa"/>
            </w:tcMar>
            <w:vAlign w:val="bottom"/>
          </w:tcPr>
          <w:p w14:paraId="6753442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2F" w14:textId="77777777" w:rsidR="001B77DD" w:rsidRDefault="00BF0A28">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67534430" w14:textId="77777777" w:rsidR="001B77DD" w:rsidRDefault="00BF0A28">
            <w:pPr>
              <w:textAlignment w:val="center"/>
            </w:pPr>
            <w:r>
              <w:rPr>
                <w:rFonts w:ascii="Arial" w:eastAsia="宋体" w:hAnsi="Arial" w:cs="Arial"/>
                <w:color w:val="0068B5"/>
                <w:sz w:val="18"/>
                <w:szCs w:val="18"/>
              </w:rPr>
              <w:t>8%</w:t>
            </w:r>
          </w:p>
        </w:tc>
        <w:tc>
          <w:tcPr>
            <w:tcW w:w="0" w:type="auto"/>
            <w:gridSpan w:val="3"/>
            <w:shd w:val="clear" w:color="auto" w:fill="auto"/>
            <w:tcMar>
              <w:top w:w="0" w:type="dxa"/>
              <w:left w:w="20" w:type="dxa"/>
              <w:bottom w:w="0" w:type="dxa"/>
              <w:right w:w="20" w:type="dxa"/>
            </w:tcMar>
            <w:vAlign w:val="bottom"/>
          </w:tcPr>
          <w:p w14:paraId="6753443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432" w14:textId="77777777" w:rsidR="001B77DD" w:rsidRDefault="00BF0A28">
            <w:pPr>
              <w:jc w:val="right"/>
              <w:textAlignment w:val="center"/>
            </w:pPr>
            <w:r>
              <w:rPr>
                <w:rFonts w:ascii="Arial" w:eastAsia="宋体" w:hAnsi="Arial" w:cs="Arial"/>
                <w:color w:val="0068B5"/>
                <w:sz w:val="18"/>
                <w:szCs w:val="18"/>
              </w:rPr>
              <w:t>2,102 </w:t>
            </w:r>
          </w:p>
        </w:tc>
        <w:tc>
          <w:tcPr>
            <w:tcW w:w="0" w:type="auto"/>
            <w:shd w:val="clear" w:color="auto" w:fill="auto"/>
            <w:tcMar>
              <w:top w:w="40" w:type="dxa"/>
              <w:left w:w="0" w:type="dxa"/>
              <w:bottom w:w="40" w:type="dxa"/>
              <w:right w:w="20" w:type="dxa"/>
            </w:tcMar>
            <w:vAlign w:val="center"/>
          </w:tcPr>
          <w:p w14:paraId="6753443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3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35" w14:textId="77777777" w:rsidR="001B77DD" w:rsidRDefault="00BF0A28">
            <w:pPr>
              <w:jc w:val="right"/>
              <w:textAlignment w:val="center"/>
            </w:pPr>
            <w:r>
              <w:rPr>
                <w:rFonts w:ascii="Arial" w:eastAsia="宋体" w:hAnsi="Arial" w:cs="Arial"/>
                <w:color w:val="262626"/>
                <w:sz w:val="18"/>
                <w:szCs w:val="18"/>
              </w:rPr>
              <w:t>up</w:t>
            </w:r>
          </w:p>
        </w:tc>
        <w:tc>
          <w:tcPr>
            <w:tcW w:w="0" w:type="auto"/>
            <w:gridSpan w:val="3"/>
            <w:shd w:val="clear" w:color="auto" w:fill="auto"/>
            <w:tcMar>
              <w:top w:w="40" w:type="dxa"/>
              <w:left w:w="20" w:type="dxa"/>
              <w:bottom w:w="40" w:type="dxa"/>
              <w:right w:w="20" w:type="dxa"/>
            </w:tcMar>
            <w:vAlign w:val="center"/>
          </w:tcPr>
          <w:p w14:paraId="67534436" w14:textId="77777777" w:rsidR="001B77DD" w:rsidRDefault="00BF0A28">
            <w:pPr>
              <w:textAlignment w:val="center"/>
            </w:pPr>
            <w:r>
              <w:rPr>
                <w:rFonts w:ascii="Arial" w:eastAsia="宋体" w:hAnsi="Arial" w:cs="Arial"/>
                <w:color w:val="262626"/>
                <w:sz w:val="18"/>
                <w:szCs w:val="18"/>
              </w:rPr>
              <w:t>28%</w:t>
            </w:r>
          </w:p>
        </w:tc>
        <w:tc>
          <w:tcPr>
            <w:tcW w:w="0" w:type="auto"/>
            <w:gridSpan w:val="3"/>
            <w:shd w:val="clear" w:color="auto" w:fill="auto"/>
            <w:tcMar>
              <w:top w:w="0" w:type="dxa"/>
              <w:left w:w="20" w:type="dxa"/>
              <w:bottom w:w="0" w:type="dxa"/>
              <w:right w:w="20" w:type="dxa"/>
            </w:tcMar>
            <w:vAlign w:val="bottom"/>
          </w:tcPr>
          <w:p w14:paraId="6753443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438" w14:textId="77777777" w:rsidR="001B77DD" w:rsidRDefault="00BF0A28">
            <w:pPr>
              <w:jc w:val="right"/>
              <w:textAlignment w:val="center"/>
            </w:pPr>
            <w:r>
              <w:rPr>
                <w:rFonts w:ascii="Arial" w:eastAsia="宋体" w:hAnsi="Arial" w:cs="Arial"/>
                <w:color w:val="262626"/>
                <w:sz w:val="18"/>
                <w:szCs w:val="18"/>
              </w:rPr>
              <w:t>5,770 </w:t>
            </w:r>
          </w:p>
        </w:tc>
        <w:tc>
          <w:tcPr>
            <w:tcW w:w="0" w:type="auto"/>
            <w:shd w:val="clear" w:color="auto" w:fill="auto"/>
            <w:tcMar>
              <w:top w:w="40" w:type="dxa"/>
              <w:left w:w="0" w:type="dxa"/>
              <w:bottom w:w="40" w:type="dxa"/>
              <w:right w:w="20" w:type="dxa"/>
            </w:tcMar>
            <w:vAlign w:val="center"/>
          </w:tcPr>
          <w:p w14:paraId="67534439" w14:textId="77777777" w:rsidR="001B77DD" w:rsidRDefault="001B77DD">
            <w:pPr>
              <w:jc w:val="right"/>
              <w:rPr>
                <w:rFonts w:ascii="宋体"/>
              </w:rPr>
            </w:pPr>
          </w:p>
        </w:tc>
      </w:tr>
      <w:tr w:rsidR="001B77DD" w14:paraId="67534448" w14:textId="77777777">
        <w:tc>
          <w:tcPr>
            <w:tcW w:w="0" w:type="auto"/>
            <w:gridSpan w:val="3"/>
            <w:shd w:val="clear" w:color="auto" w:fill="auto"/>
            <w:tcMar>
              <w:top w:w="40" w:type="dxa"/>
              <w:left w:w="20" w:type="dxa"/>
              <w:bottom w:w="40" w:type="dxa"/>
              <w:right w:w="20" w:type="dxa"/>
            </w:tcMar>
            <w:vAlign w:val="bottom"/>
          </w:tcPr>
          <w:p w14:paraId="6753443B" w14:textId="77777777" w:rsidR="001B77DD" w:rsidRDefault="00BF0A28">
            <w:pPr>
              <w:textAlignment w:val="bottom"/>
            </w:pPr>
            <w:r>
              <w:rPr>
                <w:rFonts w:ascii="Arial" w:eastAsia="宋体" w:hAnsi="Arial" w:cs="Arial"/>
                <w:color w:val="262626"/>
                <w:sz w:val="18"/>
                <w:szCs w:val="18"/>
              </w:rPr>
              <w:t>Notebook platform ASP</w:t>
            </w:r>
          </w:p>
        </w:tc>
        <w:tc>
          <w:tcPr>
            <w:tcW w:w="0" w:type="auto"/>
            <w:gridSpan w:val="3"/>
            <w:shd w:val="clear" w:color="auto" w:fill="auto"/>
            <w:tcMar>
              <w:top w:w="0" w:type="dxa"/>
              <w:left w:w="20" w:type="dxa"/>
              <w:bottom w:w="0" w:type="dxa"/>
              <w:right w:w="20" w:type="dxa"/>
            </w:tcMar>
            <w:vAlign w:val="bottom"/>
          </w:tcPr>
          <w:p w14:paraId="6753443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3D" w14:textId="77777777" w:rsidR="001B77DD" w:rsidRDefault="00BF0A28">
            <w:pPr>
              <w:jc w:val="right"/>
              <w:textAlignment w:val="center"/>
            </w:pPr>
            <w:r>
              <w:rPr>
                <w:rFonts w:ascii="Arial" w:eastAsia="宋体" w:hAnsi="Arial" w:cs="Arial"/>
                <w:color w:val="0068B5"/>
                <w:sz w:val="18"/>
                <w:szCs w:val="18"/>
              </w:rPr>
              <w:t>down</w:t>
            </w:r>
          </w:p>
        </w:tc>
        <w:tc>
          <w:tcPr>
            <w:tcW w:w="0" w:type="auto"/>
            <w:gridSpan w:val="3"/>
            <w:shd w:val="clear" w:color="auto" w:fill="auto"/>
            <w:tcMar>
              <w:top w:w="40" w:type="dxa"/>
              <w:left w:w="20" w:type="dxa"/>
              <w:bottom w:w="40" w:type="dxa"/>
              <w:right w:w="20" w:type="dxa"/>
            </w:tcMar>
            <w:vAlign w:val="center"/>
          </w:tcPr>
          <w:p w14:paraId="6753443E" w14:textId="77777777" w:rsidR="001B77DD" w:rsidRDefault="00BF0A28">
            <w:pPr>
              <w:textAlignment w:val="center"/>
            </w:pPr>
            <w:r>
              <w:rPr>
                <w:rFonts w:ascii="Arial" w:eastAsia="宋体" w:hAnsi="Arial" w:cs="Arial"/>
                <w:color w:val="0068B5"/>
                <w:sz w:val="18"/>
                <w:szCs w:val="18"/>
              </w:rPr>
              <w:t>(6)%</w:t>
            </w:r>
          </w:p>
        </w:tc>
        <w:tc>
          <w:tcPr>
            <w:tcW w:w="0" w:type="auto"/>
            <w:gridSpan w:val="3"/>
            <w:shd w:val="clear" w:color="auto" w:fill="auto"/>
            <w:tcMar>
              <w:top w:w="0" w:type="dxa"/>
              <w:left w:w="20" w:type="dxa"/>
              <w:bottom w:w="0" w:type="dxa"/>
              <w:right w:w="20" w:type="dxa"/>
            </w:tcMar>
            <w:vAlign w:val="bottom"/>
          </w:tcPr>
          <w:p w14:paraId="6753443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440" w14:textId="77777777" w:rsidR="001B77DD" w:rsidRDefault="00BF0A28">
            <w:pPr>
              <w:jc w:val="right"/>
              <w:textAlignment w:val="center"/>
            </w:pPr>
            <w:r>
              <w:rPr>
                <w:rFonts w:ascii="Arial" w:eastAsia="宋体" w:hAnsi="Arial" w:cs="Arial"/>
                <w:color w:val="0068B5"/>
                <w:sz w:val="18"/>
                <w:szCs w:val="18"/>
              </w:rPr>
              <w:t>(1,530)</w:t>
            </w:r>
          </w:p>
        </w:tc>
        <w:tc>
          <w:tcPr>
            <w:tcW w:w="0" w:type="auto"/>
            <w:shd w:val="clear" w:color="auto" w:fill="auto"/>
            <w:tcMar>
              <w:top w:w="40" w:type="dxa"/>
              <w:left w:w="0" w:type="dxa"/>
              <w:bottom w:w="40" w:type="dxa"/>
              <w:right w:w="20" w:type="dxa"/>
            </w:tcMar>
            <w:vAlign w:val="center"/>
          </w:tcPr>
          <w:p w14:paraId="6753444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4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43" w14:textId="77777777" w:rsidR="001B77DD" w:rsidRDefault="00BF0A28">
            <w:pPr>
              <w:jc w:val="right"/>
              <w:textAlignment w:val="center"/>
            </w:pPr>
            <w:r>
              <w:rPr>
                <w:rFonts w:ascii="Arial" w:eastAsia="宋体" w:hAnsi="Arial" w:cs="Arial"/>
                <w:color w:val="262626"/>
                <w:sz w:val="18"/>
                <w:szCs w:val="18"/>
              </w:rPr>
              <w:t>down</w:t>
            </w:r>
          </w:p>
        </w:tc>
        <w:tc>
          <w:tcPr>
            <w:tcW w:w="0" w:type="auto"/>
            <w:gridSpan w:val="3"/>
            <w:shd w:val="clear" w:color="auto" w:fill="auto"/>
            <w:tcMar>
              <w:top w:w="40" w:type="dxa"/>
              <w:left w:w="20" w:type="dxa"/>
              <w:bottom w:w="40" w:type="dxa"/>
              <w:right w:w="20" w:type="dxa"/>
            </w:tcMar>
            <w:vAlign w:val="center"/>
          </w:tcPr>
          <w:p w14:paraId="67534444" w14:textId="77777777" w:rsidR="001B77DD" w:rsidRDefault="00BF0A28">
            <w:pPr>
              <w:textAlignment w:val="center"/>
            </w:pPr>
            <w:r>
              <w:rPr>
                <w:rFonts w:ascii="Arial" w:eastAsia="宋体" w:hAnsi="Arial" w:cs="Arial"/>
                <w:color w:val="262626"/>
                <w:sz w:val="18"/>
                <w:szCs w:val="18"/>
              </w:rPr>
              <w:t>(6)%</w:t>
            </w:r>
          </w:p>
        </w:tc>
        <w:tc>
          <w:tcPr>
            <w:tcW w:w="0" w:type="auto"/>
            <w:gridSpan w:val="3"/>
            <w:shd w:val="clear" w:color="auto" w:fill="auto"/>
            <w:tcMar>
              <w:top w:w="0" w:type="dxa"/>
              <w:left w:w="20" w:type="dxa"/>
              <w:bottom w:w="0" w:type="dxa"/>
              <w:right w:w="20" w:type="dxa"/>
            </w:tcMar>
            <w:vAlign w:val="bottom"/>
          </w:tcPr>
          <w:p w14:paraId="6753444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446" w14:textId="77777777" w:rsidR="001B77DD" w:rsidRDefault="00BF0A28">
            <w:pPr>
              <w:jc w:val="right"/>
              <w:textAlignment w:val="center"/>
            </w:pPr>
            <w:r>
              <w:rPr>
                <w:rFonts w:ascii="Arial" w:eastAsia="宋体" w:hAnsi="Arial" w:cs="Arial"/>
                <w:color w:val="262626"/>
                <w:sz w:val="18"/>
                <w:szCs w:val="18"/>
              </w:rPr>
              <w:t>(1,646)</w:t>
            </w:r>
          </w:p>
        </w:tc>
        <w:tc>
          <w:tcPr>
            <w:tcW w:w="0" w:type="auto"/>
            <w:shd w:val="clear" w:color="auto" w:fill="auto"/>
            <w:tcMar>
              <w:top w:w="40" w:type="dxa"/>
              <w:left w:w="0" w:type="dxa"/>
              <w:bottom w:w="40" w:type="dxa"/>
              <w:right w:w="20" w:type="dxa"/>
            </w:tcMar>
            <w:vAlign w:val="center"/>
          </w:tcPr>
          <w:p w14:paraId="67534447" w14:textId="77777777" w:rsidR="001B77DD" w:rsidRDefault="001B77DD">
            <w:pPr>
              <w:jc w:val="right"/>
              <w:rPr>
                <w:rFonts w:ascii="宋体"/>
              </w:rPr>
            </w:pPr>
          </w:p>
        </w:tc>
      </w:tr>
      <w:tr w:rsidR="001B77DD" w14:paraId="67534456" w14:textId="77777777">
        <w:tc>
          <w:tcPr>
            <w:tcW w:w="0" w:type="auto"/>
            <w:gridSpan w:val="3"/>
            <w:shd w:val="clear" w:color="auto" w:fill="auto"/>
            <w:tcMar>
              <w:top w:w="40" w:type="dxa"/>
              <w:left w:w="20" w:type="dxa"/>
              <w:bottom w:w="40" w:type="dxa"/>
              <w:right w:w="20" w:type="dxa"/>
            </w:tcMar>
            <w:vAlign w:val="bottom"/>
          </w:tcPr>
          <w:p w14:paraId="67534449" w14:textId="77777777" w:rsidR="001B77DD" w:rsidRDefault="00BF0A28">
            <w:pPr>
              <w:textAlignment w:val="bottom"/>
            </w:pPr>
            <w:r>
              <w:rPr>
                <w:rFonts w:ascii="Arial" w:eastAsia="宋体" w:hAnsi="Arial" w:cs="Arial"/>
                <w:color w:val="262626"/>
                <w:sz w:val="18"/>
                <w:szCs w:val="18"/>
              </w:rPr>
              <w:t>Adjacent products and other</w:t>
            </w:r>
          </w:p>
        </w:tc>
        <w:tc>
          <w:tcPr>
            <w:tcW w:w="0" w:type="auto"/>
            <w:gridSpan w:val="3"/>
            <w:shd w:val="clear" w:color="auto" w:fill="auto"/>
            <w:tcMar>
              <w:top w:w="0" w:type="dxa"/>
              <w:left w:w="20" w:type="dxa"/>
              <w:bottom w:w="0" w:type="dxa"/>
              <w:right w:w="20" w:type="dxa"/>
            </w:tcMar>
            <w:vAlign w:val="bottom"/>
          </w:tcPr>
          <w:p w14:paraId="6753444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4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4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4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44E" w14:textId="77777777" w:rsidR="001B77DD" w:rsidRDefault="00BF0A28">
            <w:pPr>
              <w:jc w:val="right"/>
              <w:textAlignment w:val="center"/>
            </w:pPr>
            <w:r>
              <w:rPr>
                <w:rFonts w:ascii="Arial" w:eastAsia="宋体" w:hAnsi="Arial" w:cs="Arial"/>
                <w:color w:val="0068B5"/>
                <w:sz w:val="18"/>
                <w:szCs w:val="18"/>
              </w:rPr>
              <w:t>(1,261)</w:t>
            </w:r>
          </w:p>
        </w:tc>
        <w:tc>
          <w:tcPr>
            <w:tcW w:w="0" w:type="auto"/>
            <w:shd w:val="clear" w:color="auto" w:fill="auto"/>
            <w:tcMar>
              <w:top w:w="40" w:type="dxa"/>
              <w:left w:w="0" w:type="dxa"/>
              <w:bottom w:w="40" w:type="dxa"/>
              <w:right w:w="20" w:type="dxa"/>
            </w:tcMar>
            <w:vAlign w:val="center"/>
          </w:tcPr>
          <w:p w14:paraId="6753444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5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5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5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5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454" w14:textId="77777777" w:rsidR="001B77DD" w:rsidRDefault="00BF0A28">
            <w:pPr>
              <w:jc w:val="right"/>
              <w:textAlignment w:val="center"/>
            </w:pPr>
            <w:r>
              <w:rPr>
                <w:rFonts w:ascii="Arial" w:eastAsia="宋体" w:hAnsi="Arial" w:cs="Arial"/>
                <w:color w:val="262626"/>
                <w:sz w:val="18"/>
                <w:szCs w:val="18"/>
              </w:rPr>
              <w:t>(83)</w:t>
            </w:r>
          </w:p>
        </w:tc>
        <w:tc>
          <w:tcPr>
            <w:tcW w:w="0" w:type="auto"/>
            <w:shd w:val="clear" w:color="auto" w:fill="auto"/>
            <w:tcMar>
              <w:top w:w="40" w:type="dxa"/>
              <w:left w:w="0" w:type="dxa"/>
              <w:bottom w:w="40" w:type="dxa"/>
              <w:right w:w="20" w:type="dxa"/>
            </w:tcMar>
            <w:vAlign w:val="center"/>
          </w:tcPr>
          <w:p w14:paraId="67534455" w14:textId="77777777" w:rsidR="001B77DD" w:rsidRDefault="001B77DD">
            <w:pPr>
              <w:jc w:val="right"/>
              <w:rPr>
                <w:rFonts w:ascii="宋体"/>
              </w:rPr>
            </w:pPr>
          </w:p>
        </w:tc>
      </w:tr>
      <w:tr w:rsidR="001B77DD" w14:paraId="67534462" w14:textId="77777777">
        <w:trPr>
          <w:hidden/>
        </w:trPr>
        <w:tc>
          <w:tcPr>
            <w:tcW w:w="0" w:type="auto"/>
            <w:gridSpan w:val="3"/>
            <w:shd w:val="clear" w:color="auto" w:fill="auto"/>
            <w:vAlign w:val="bottom"/>
          </w:tcPr>
          <w:p w14:paraId="67534457" w14:textId="77777777" w:rsidR="001B77DD" w:rsidRDefault="001B77DD">
            <w:pPr>
              <w:rPr>
                <w:rFonts w:ascii="宋体"/>
                <w:vanish/>
              </w:rPr>
            </w:pPr>
          </w:p>
        </w:tc>
        <w:tc>
          <w:tcPr>
            <w:tcW w:w="0" w:type="auto"/>
            <w:gridSpan w:val="3"/>
            <w:shd w:val="clear" w:color="auto" w:fill="auto"/>
            <w:vAlign w:val="bottom"/>
          </w:tcPr>
          <w:p w14:paraId="67534458" w14:textId="77777777" w:rsidR="001B77DD" w:rsidRDefault="001B77DD">
            <w:pPr>
              <w:rPr>
                <w:rFonts w:ascii="宋体"/>
                <w:vanish/>
              </w:rPr>
            </w:pPr>
          </w:p>
        </w:tc>
        <w:tc>
          <w:tcPr>
            <w:tcW w:w="0" w:type="auto"/>
            <w:gridSpan w:val="3"/>
            <w:shd w:val="clear" w:color="auto" w:fill="auto"/>
            <w:vAlign w:val="bottom"/>
          </w:tcPr>
          <w:p w14:paraId="67534459" w14:textId="77777777" w:rsidR="001B77DD" w:rsidRDefault="001B77DD">
            <w:pPr>
              <w:rPr>
                <w:rFonts w:ascii="宋体"/>
                <w:vanish/>
              </w:rPr>
            </w:pPr>
          </w:p>
        </w:tc>
        <w:tc>
          <w:tcPr>
            <w:tcW w:w="0" w:type="auto"/>
            <w:gridSpan w:val="3"/>
            <w:shd w:val="clear" w:color="auto" w:fill="auto"/>
            <w:vAlign w:val="bottom"/>
          </w:tcPr>
          <w:p w14:paraId="6753445A" w14:textId="77777777" w:rsidR="001B77DD" w:rsidRDefault="001B77DD">
            <w:pPr>
              <w:rPr>
                <w:rFonts w:ascii="宋体"/>
                <w:vanish/>
              </w:rPr>
            </w:pPr>
          </w:p>
        </w:tc>
        <w:tc>
          <w:tcPr>
            <w:tcW w:w="0" w:type="auto"/>
            <w:gridSpan w:val="3"/>
            <w:shd w:val="clear" w:color="auto" w:fill="auto"/>
            <w:vAlign w:val="bottom"/>
          </w:tcPr>
          <w:p w14:paraId="6753445B" w14:textId="77777777" w:rsidR="001B77DD" w:rsidRDefault="001B77DD">
            <w:pPr>
              <w:rPr>
                <w:rFonts w:ascii="宋体"/>
                <w:vanish/>
              </w:rPr>
            </w:pPr>
          </w:p>
        </w:tc>
        <w:tc>
          <w:tcPr>
            <w:tcW w:w="0" w:type="auto"/>
            <w:gridSpan w:val="3"/>
            <w:shd w:val="clear" w:color="auto" w:fill="auto"/>
            <w:vAlign w:val="bottom"/>
          </w:tcPr>
          <w:p w14:paraId="6753445C" w14:textId="77777777" w:rsidR="001B77DD" w:rsidRDefault="001B77DD">
            <w:pPr>
              <w:rPr>
                <w:rFonts w:ascii="宋体"/>
                <w:vanish/>
              </w:rPr>
            </w:pPr>
          </w:p>
        </w:tc>
        <w:tc>
          <w:tcPr>
            <w:tcW w:w="0" w:type="auto"/>
            <w:gridSpan w:val="3"/>
            <w:shd w:val="clear" w:color="auto" w:fill="auto"/>
            <w:vAlign w:val="bottom"/>
          </w:tcPr>
          <w:p w14:paraId="6753445D" w14:textId="77777777" w:rsidR="001B77DD" w:rsidRDefault="001B77DD">
            <w:pPr>
              <w:rPr>
                <w:rFonts w:ascii="宋体"/>
                <w:vanish/>
              </w:rPr>
            </w:pPr>
          </w:p>
        </w:tc>
        <w:tc>
          <w:tcPr>
            <w:tcW w:w="0" w:type="auto"/>
            <w:gridSpan w:val="3"/>
            <w:shd w:val="clear" w:color="auto" w:fill="auto"/>
            <w:vAlign w:val="bottom"/>
          </w:tcPr>
          <w:p w14:paraId="6753445E" w14:textId="77777777" w:rsidR="001B77DD" w:rsidRDefault="001B77DD">
            <w:pPr>
              <w:rPr>
                <w:rFonts w:ascii="宋体"/>
                <w:vanish/>
              </w:rPr>
            </w:pPr>
          </w:p>
        </w:tc>
        <w:tc>
          <w:tcPr>
            <w:tcW w:w="0" w:type="auto"/>
            <w:gridSpan w:val="3"/>
            <w:shd w:val="clear" w:color="auto" w:fill="auto"/>
            <w:vAlign w:val="bottom"/>
          </w:tcPr>
          <w:p w14:paraId="6753445F" w14:textId="77777777" w:rsidR="001B77DD" w:rsidRDefault="001B77DD">
            <w:pPr>
              <w:rPr>
                <w:rFonts w:ascii="宋体"/>
                <w:vanish/>
              </w:rPr>
            </w:pPr>
          </w:p>
        </w:tc>
        <w:tc>
          <w:tcPr>
            <w:tcW w:w="0" w:type="auto"/>
            <w:gridSpan w:val="3"/>
            <w:shd w:val="clear" w:color="auto" w:fill="auto"/>
            <w:vAlign w:val="bottom"/>
          </w:tcPr>
          <w:p w14:paraId="67534460" w14:textId="77777777" w:rsidR="001B77DD" w:rsidRDefault="001B77DD">
            <w:pPr>
              <w:rPr>
                <w:rFonts w:ascii="宋体"/>
                <w:vanish/>
              </w:rPr>
            </w:pPr>
          </w:p>
        </w:tc>
        <w:tc>
          <w:tcPr>
            <w:tcW w:w="0" w:type="auto"/>
            <w:gridSpan w:val="3"/>
            <w:shd w:val="clear" w:color="auto" w:fill="auto"/>
            <w:vAlign w:val="bottom"/>
          </w:tcPr>
          <w:p w14:paraId="67534461" w14:textId="77777777" w:rsidR="001B77DD" w:rsidRDefault="001B77DD">
            <w:pPr>
              <w:rPr>
                <w:rFonts w:ascii="宋体"/>
                <w:vanish/>
              </w:rPr>
            </w:pPr>
          </w:p>
        </w:tc>
      </w:tr>
      <w:tr w:rsidR="001B77DD" w14:paraId="67534472" w14:textId="77777777">
        <w:tc>
          <w:tcPr>
            <w:tcW w:w="0" w:type="auto"/>
            <w:gridSpan w:val="3"/>
            <w:shd w:val="clear" w:color="auto" w:fill="auto"/>
            <w:tcMar>
              <w:top w:w="40" w:type="dxa"/>
              <w:left w:w="20" w:type="dxa"/>
              <w:bottom w:w="40" w:type="dxa"/>
              <w:right w:w="20" w:type="dxa"/>
            </w:tcMar>
            <w:vAlign w:val="bottom"/>
          </w:tcPr>
          <w:p w14:paraId="67534463" w14:textId="77777777" w:rsidR="001B77DD" w:rsidRDefault="00BF0A28">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vAlign w:val="bottom"/>
          </w:tcPr>
          <w:p w14:paraId="6753446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6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6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67"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4468"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4469" w14:textId="77777777" w:rsidR="001B77DD" w:rsidRDefault="00BF0A28">
            <w:pPr>
              <w:jc w:val="right"/>
              <w:textAlignment w:val="bottom"/>
            </w:pPr>
            <w:r>
              <w:rPr>
                <w:rFonts w:ascii="Arial" w:eastAsia="宋体" w:hAnsi="Arial" w:cs="Arial"/>
                <w:b/>
                <w:bCs/>
                <w:color w:val="0068B5"/>
                <w:sz w:val="18"/>
                <w:szCs w:val="18"/>
              </w:rPr>
              <w:t>454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446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6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6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6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6E"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446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4470" w14:textId="77777777" w:rsidR="001B77DD" w:rsidRDefault="00BF0A28">
            <w:pPr>
              <w:jc w:val="right"/>
              <w:textAlignment w:val="bottom"/>
            </w:pPr>
            <w:r>
              <w:rPr>
                <w:rFonts w:ascii="Arial" w:eastAsia="宋体" w:hAnsi="Arial" w:cs="Arial"/>
                <w:b/>
                <w:bCs/>
                <w:color w:val="262626"/>
                <w:sz w:val="18"/>
                <w:szCs w:val="18"/>
              </w:rPr>
              <w:t>2,911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4471" w14:textId="77777777" w:rsidR="001B77DD" w:rsidRDefault="001B77DD">
            <w:pPr>
              <w:jc w:val="right"/>
              <w:rPr>
                <w:rFonts w:ascii="宋体"/>
              </w:rPr>
            </w:pPr>
          </w:p>
        </w:tc>
      </w:tr>
    </w:tbl>
    <w:p w14:paraId="67534473"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477" w14:textId="77777777">
        <w:tc>
          <w:tcPr>
            <w:tcW w:w="50" w:type="pct"/>
            <w:shd w:val="clear" w:color="auto" w:fill="auto"/>
            <w:vAlign w:val="bottom"/>
          </w:tcPr>
          <w:p w14:paraId="67534474" w14:textId="77777777" w:rsidR="001B77DD" w:rsidRDefault="001B77DD">
            <w:pPr>
              <w:rPr>
                <w:rFonts w:ascii="宋体"/>
              </w:rPr>
            </w:pPr>
          </w:p>
        </w:tc>
        <w:tc>
          <w:tcPr>
            <w:tcW w:w="4945" w:type="pct"/>
            <w:shd w:val="clear" w:color="auto" w:fill="auto"/>
            <w:vAlign w:val="bottom"/>
          </w:tcPr>
          <w:p w14:paraId="67534475" w14:textId="77777777" w:rsidR="001B77DD" w:rsidRDefault="001B77DD">
            <w:pPr>
              <w:rPr>
                <w:rFonts w:ascii="宋体"/>
              </w:rPr>
            </w:pPr>
          </w:p>
        </w:tc>
        <w:tc>
          <w:tcPr>
            <w:tcW w:w="5" w:type="pct"/>
            <w:shd w:val="clear" w:color="auto" w:fill="auto"/>
            <w:vAlign w:val="bottom"/>
          </w:tcPr>
          <w:p w14:paraId="67534476" w14:textId="77777777" w:rsidR="001B77DD" w:rsidRDefault="001B77DD">
            <w:pPr>
              <w:rPr>
                <w:rFonts w:ascii="宋体"/>
              </w:rPr>
            </w:pPr>
          </w:p>
        </w:tc>
      </w:tr>
      <w:tr w:rsidR="001B77DD" w14:paraId="6753447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478" w14:textId="77777777" w:rsidR="001B77DD" w:rsidRDefault="00BF0A28">
            <w:pPr>
              <w:textAlignment w:val="bottom"/>
            </w:pPr>
            <w:r>
              <w:rPr>
                <w:rFonts w:ascii="Arial" w:eastAsia="宋体" w:hAnsi="Arial" w:cs="Arial"/>
                <w:color w:val="0068B5"/>
                <w:sz w:val="20"/>
                <w:szCs w:val="20"/>
              </w:rPr>
              <w:t>Operating Income Summary</w:t>
            </w:r>
          </w:p>
        </w:tc>
      </w:tr>
    </w:tbl>
    <w:p w14:paraId="6753447A" w14:textId="77777777" w:rsidR="001B77DD" w:rsidRDefault="00BF0A28">
      <w:pPr>
        <w:spacing w:after="180"/>
      </w:pPr>
      <w:r>
        <w:rPr>
          <w:rFonts w:ascii="Arial" w:eastAsia="宋体" w:hAnsi="Arial" w:cs="Arial"/>
          <w:color w:val="262626"/>
          <w:sz w:val="18"/>
          <w:szCs w:val="18"/>
        </w:rPr>
        <w:t xml:space="preserve">Operating income decreased 3% year over year, and operating margin was 36% in 2021.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40"/>
        <w:gridCol w:w="7130"/>
        <w:gridCol w:w="39"/>
      </w:tblGrid>
      <w:tr w:rsidR="001B77DD" w14:paraId="67534484" w14:textId="77777777">
        <w:tc>
          <w:tcPr>
            <w:tcW w:w="50" w:type="pct"/>
            <w:shd w:val="clear" w:color="auto" w:fill="auto"/>
            <w:vAlign w:val="bottom"/>
          </w:tcPr>
          <w:p w14:paraId="6753447B" w14:textId="77777777" w:rsidR="001B77DD" w:rsidRDefault="001B77DD">
            <w:pPr>
              <w:rPr>
                <w:rFonts w:ascii="宋体"/>
              </w:rPr>
            </w:pPr>
          </w:p>
        </w:tc>
        <w:tc>
          <w:tcPr>
            <w:tcW w:w="539" w:type="pct"/>
            <w:shd w:val="clear" w:color="auto" w:fill="auto"/>
            <w:vAlign w:val="bottom"/>
          </w:tcPr>
          <w:p w14:paraId="6753447C" w14:textId="77777777" w:rsidR="001B77DD" w:rsidRDefault="001B77DD">
            <w:pPr>
              <w:rPr>
                <w:rFonts w:ascii="宋体"/>
              </w:rPr>
            </w:pPr>
          </w:p>
        </w:tc>
        <w:tc>
          <w:tcPr>
            <w:tcW w:w="5" w:type="pct"/>
            <w:shd w:val="clear" w:color="auto" w:fill="auto"/>
            <w:vAlign w:val="bottom"/>
          </w:tcPr>
          <w:p w14:paraId="6753447D" w14:textId="77777777" w:rsidR="001B77DD" w:rsidRDefault="001B77DD">
            <w:pPr>
              <w:rPr>
                <w:rFonts w:ascii="宋体"/>
              </w:rPr>
            </w:pPr>
          </w:p>
        </w:tc>
        <w:tc>
          <w:tcPr>
            <w:tcW w:w="5" w:type="pct"/>
            <w:shd w:val="clear" w:color="auto" w:fill="auto"/>
            <w:vAlign w:val="bottom"/>
          </w:tcPr>
          <w:p w14:paraId="6753447E" w14:textId="77777777" w:rsidR="001B77DD" w:rsidRDefault="001B77DD">
            <w:pPr>
              <w:rPr>
                <w:rFonts w:ascii="宋体"/>
              </w:rPr>
            </w:pPr>
          </w:p>
        </w:tc>
        <w:tc>
          <w:tcPr>
            <w:tcW w:w="24" w:type="pct"/>
            <w:shd w:val="clear" w:color="auto" w:fill="auto"/>
            <w:vAlign w:val="bottom"/>
          </w:tcPr>
          <w:p w14:paraId="6753447F" w14:textId="77777777" w:rsidR="001B77DD" w:rsidRDefault="001B77DD">
            <w:pPr>
              <w:rPr>
                <w:rFonts w:ascii="宋体"/>
              </w:rPr>
            </w:pPr>
          </w:p>
        </w:tc>
        <w:tc>
          <w:tcPr>
            <w:tcW w:w="5" w:type="pct"/>
            <w:shd w:val="clear" w:color="auto" w:fill="auto"/>
            <w:vAlign w:val="bottom"/>
          </w:tcPr>
          <w:p w14:paraId="67534480" w14:textId="77777777" w:rsidR="001B77DD" w:rsidRDefault="001B77DD">
            <w:pPr>
              <w:rPr>
                <w:rFonts w:ascii="宋体"/>
              </w:rPr>
            </w:pPr>
          </w:p>
        </w:tc>
        <w:tc>
          <w:tcPr>
            <w:tcW w:w="50" w:type="pct"/>
            <w:shd w:val="clear" w:color="auto" w:fill="auto"/>
            <w:vAlign w:val="bottom"/>
          </w:tcPr>
          <w:p w14:paraId="67534481" w14:textId="77777777" w:rsidR="001B77DD" w:rsidRDefault="001B77DD">
            <w:pPr>
              <w:rPr>
                <w:rFonts w:ascii="宋体"/>
              </w:rPr>
            </w:pPr>
          </w:p>
        </w:tc>
        <w:tc>
          <w:tcPr>
            <w:tcW w:w="4316" w:type="pct"/>
            <w:shd w:val="clear" w:color="auto" w:fill="auto"/>
            <w:vAlign w:val="bottom"/>
          </w:tcPr>
          <w:p w14:paraId="67534482" w14:textId="77777777" w:rsidR="001B77DD" w:rsidRDefault="001B77DD">
            <w:pPr>
              <w:rPr>
                <w:rFonts w:ascii="宋体"/>
              </w:rPr>
            </w:pPr>
          </w:p>
        </w:tc>
        <w:tc>
          <w:tcPr>
            <w:tcW w:w="5" w:type="pct"/>
            <w:shd w:val="clear" w:color="auto" w:fill="auto"/>
            <w:vAlign w:val="bottom"/>
          </w:tcPr>
          <w:p w14:paraId="67534483" w14:textId="77777777" w:rsidR="001B77DD" w:rsidRDefault="001B77DD">
            <w:pPr>
              <w:rPr>
                <w:rFonts w:ascii="宋体"/>
              </w:rPr>
            </w:pPr>
          </w:p>
        </w:tc>
      </w:tr>
      <w:tr w:rsidR="001B77DD" w14:paraId="67534488" w14:textId="77777777">
        <w:tc>
          <w:tcPr>
            <w:tcW w:w="0" w:type="auto"/>
            <w:gridSpan w:val="3"/>
            <w:shd w:val="clear" w:color="auto" w:fill="auto"/>
            <w:tcMar>
              <w:top w:w="40" w:type="dxa"/>
              <w:left w:w="20" w:type="dxa"/>
              <w:bottom w:w="40" w:type="dxa"/>
              <w:right w:w="20" w:type="dxa"/>
            </w:tcMar>
            <w:vAlign w:val="bottom"/>
          </w:tcPr>
          <w:p w14:paraId="67534485"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448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487" w14:textId="77777777" w:rsidR="001B77DD" w:rsidRDefault="001B77DD">
            <w:pPr>
              <w:rPr>
                <w:rFonts w:ascii="宋体"/>
              </w:rPr>
            </w:pPr>
          </w:p>
        </w:tc>
      </w:tr>
      <w:tr w:rsidR="001B77DD" w14:paraId="6753448E" w14:textId="77777777">
        <w:tc>
          <w:tcPr>
            <w:tcW w:w="0" w:type="auto"/>
            <w:tcBorders>
              <w:top w:val="single" w:sz="8" w:space="0" w:color="0068B5"/>
            </w:tcBorders>
            <w:shd w:val="clear" w:color="auto" w:fill="auto"/>
            <w:tcMar>
              <w:top w:w="40" w:type="dxa"/>
              <w:left w:w="20" w:type="dxa"/>
              <w:bottom w:w="40" w:type="dxa"/>
              <w:right w:w="0" w:type="dxa"/>
            </w:tcMar>
            <w:vAlign w:val="center"/>
          </w:tcPr>
          <w:p w14:paraId="67534489" w14:textId="77777777" w:rsidR="001B77DD" w:rsidRDefault="00BF0A28">
            <w:pPr>
              <w:textAlignment w:val="center"/>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center"/>
          </w:tcPr>
          <w:p w14:paraId="6753448A" w14:textId="77777777" w:rsidR="001B77DD" w:rsidRDefault="00BF0A28">
            <w:pPr>
              <w:jc w:val="right"/>
              <w:textAlignment w:val="center"/>
            </w:pPr>
            <w:r>
              <w:rPr>
                <w:rFonts w:ascii="Arial" w:eastAsia="宋体" w:hAnsi="Arial" w:cs="Arial"/>
                <w:b/>
                <w:bCs/>
                <w:color w:val="0068B5"/>
                <w:sz w:val="18"/>
                <w:szCs w:val="18"/>
              </w:rPr>
              <w:t>14,672</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center"/>
          </w:tcPr>
          <w:p w14:paraId="6753448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8C"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753448D" w14:textId="77777777" w:rsidR="001B77DD" w:rsidRDefault="00BF0A28">
            <w:pPr>
              <w:textAlignment w:val="center"/>
            </w:pPr>
            <w:r>
              <w:rPr>
                <w:rFonts w:ascii="Arial" w:eastAsia="宋体" w:hAnsi="Arial" w:cs="Arial"/>
                <w:b/>
                <w:bCs/>
                <w:color w:val="262626"/>
                <w:sz w:val="18"/>
                <w:szCs w:val="18"/>
              </w:rPr>
              <w:t>2021 Operating Income</w:t>
            </w:r>
          </w:p>
        </w:tc>
      </w:tr>
      <w:tr w:rsidR="001B77DD" w14:paraId="67534493" w14:textId="77777777">
        <w:tc>
          <w:tcPr>
            <w:tcW w:w="0" w:type="auto"/>
            <w:gridSpan w:val="2"/>
            <w:tcBorders>
              <w:top w:val="single" w:sz="4" w:space="0" w:color="262626"/>
            </w:tcBorders>
            <w:shd w:val="clear" w:color="auto" w:fill="auto"/>
            <w:tcMar>
              <w:top w:w="40" w:type="dxa"/>
              <w:left w:w="20" w:type="dxa"/>
              <w:bottom w:w="40" w:type="dxa"/>
              <w:right w:w="0" w:type="dxa"/>
            </w:tcMar>
            <w:vAlign w:val="center"/>
          </w:tcPr>
          <w:p w14:paraId="6753448F" w14:textId="77777777" w:rsidR="001B77DD" w:rsidRDefault="00BF0A28">
            <w:pPr>
              <w:jc w:val="right"/>
              <w:textAlignment w:val="center"/>
            </w:pPr>
            <w:r>
              <w:rPr>
                <w:rFonts w:ascii="Arial" w:eastAsia="宋体" w:hAnsi="Arial" w:cs="Arial"/>
                <w:color w:val="0068B5"/>
                <w:sz w:val="18"/>
                <w:szCs w:val="18"/>
              </w:rPr>
              <w:t>(850)</w:t>
            </w:r>
          </w:p>
        </w:tc>
        <w:tc>
          <w:tcPr>
            <w:tcW w:w="0" w:type="auto"/>
            <w:tcBorders>
              <w:top w:val="single" w:sz="4" w:space="0" w:color="262626"/>
            </w:tcBorders>
            <w:shd w:val="clear" w:color="auto" w:fill="auto"/>
            <w:tcMar>
              <w:top w:w="40" w:type="dxa"/>
              <w:left w:w="0" w:type="dxa"/>
              <w:bottom w:w="40" w:type="dxa"/>
              <w:right w:w="20" w:type="dxa"/>
            </w:tcMar>
            <w:vAlign w:val="center"/>
          </w:tcPr>
          <w:p w14:paraId="6753449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91"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center"/>
          </w:tcPr>
          <w:p w14:paraId="67534492" w14:textId="77777777" w:rsidR="001B77DD" w:rsidRDefault="00BF0A28">
            <w:pPr>
              <w:textAlignment w:val="center"/>
            </w:pPr>
            <w:r>
              <w:rPr>
                <w:rFonts w:ascii="Arial" w:eastAsia="宋体" w:hAnsi="Arial" w:cs="Arial"/>
                <w:color w:val="262626"/>
                <w:sz w:val="18"/>
                <w:szCs w:val="18"/>
              </w:rPr>
              <w:t xml:space="preserve">Higher operating expenses driven by increased investment in leadership products </w:t>
            </w:r>
          </w:p>
        </w:tc>
      </w:tr>
      <w:tr w:rsidR="001B77DD" w14:paraId="67534498" w14:textId="77777777">
        <w:tc>
          <w:tcPr>
            <w:tcW w:w="0" w:type="auto"/>
            <w:gridSpan w:val="2"/>
            <w:shd w:val="clear" w:color="auto" w:fill="auto"/>
            <w:tcMar>
              <w:top w:w="40" w:type="dxa"/>
              <w:left w:w="20" w:type="dxa"/>
              <w:bottom w:w="40" w:type="dxa"/>
              <w:right w:w="0" w:type="dxa"/>
            </w:tcMar>
            <w:vAlign w:val="center"/>
          </w:tcPr>
          <w:p w14:paraId="67534494" w14:textId="77777777" w:rsidR="001B77DD" w:rsidRDefault="00BF0A28">
            <w:pPr>
              <w:jc w:val="right"/>
              <w:textAlignment w:val="center"/>
            </w:pPr>
            <w:r>
              <w:rPr>
                <w:rFonts w:ascii="Arial" w:eastAsia="宋体" w:hAnsi="Arial" w:cs="Arial"/>
                <w:color w:val="0068B5"/>
                <w:sz w:val="18"/>
                <w:szCs w:val="18"/>
              </w:rPr>
              <w:t>(565)</w:t>
            </w:r>
          </w:p>
        </w:tc>
        <w:tc>
          <w:tcPr>
            <w:tcW w:w="0" w:type="auto"/>
            <w:shd w:val="clear" w:color="auto" w:fill="auto"/>
            <w:tcMar>
              <w:top w:w="40" w:type="dxa"/>
              <w:left w:w="0" w:type="dxa"/>
              <w:bottom w:w="40" w:type="dxa"/>
              <w:right w:w="20" w:type="dxa"/>
            </w:tcMar>
            <w:vAlign w:val="center"/>
          </w:tcPr>
          <w:p w14:paraId="6753449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9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97" w14:textId="77777777" w:rsidR="001B77DD" w:rsidRDefault="00BF0A28">
            <w:pPr>
              <w:textAlignment w:val="center"/>
            </w:pPr>
            <w:r>
              <w:rPr>
                <w:rFonts w:ascii="Arial" w:eastAsia="宋体" w:hAnsi="Arial" w:cs="Arial"/>
                <w:color w:val="262626"/>
                <w:sz w:val="18"/>
                <w:szCs w:val="18"/>
              </w:rPr>
              <w:t>Higher period charges primarily associated with the ramp up of Intel 4</w:t>
            </w:r>
          </w:p>
        </w:tc>
      </w:tr>
      <w:tr w:rsidR="001B77DD" w14:paraId="6753449D" w14:textId="77777777">
        <w:tc>
          <w:tcPr>
            <w:tcW w:w="0" w:type="auto"/>
            <w:gridSpan w:val="2"/>
            <w:shd w:val="clear" w:color="auto" w:fill="auto"/>
            <w:tcMar>
              <w:top w:w="40" w:type="dxa"/>
              <w:left w:w="20" w:type="dxa"/>
              <w:bottom w:w="40" w:type="dxa"/>
              <w:right w:w="0" w:type="dxa"/>
            </w:tcMar>
            <w:vAlign w:val="center"/>
          </w:tcPr>
          <w:p w14:paraId="67534499" w14:textId="77777777" w:rsidR="001B77DD" w:rsidRDefault="00BF0A28">
            <w:pPr>
              <w:jc w:val="right"/>
              <w:textAlignment w:val="center"/>
            </w:pPr>
            <w:r>
              <w:rPr>
                <w:rFonts w:ascii="Arial" w:eastAsia="宋体" w:hAnsi="Arial" w:cs="Arial"/>
                <w:color w:val="0068B5"/>
                <w:sz w:val="18"/>
                <w:szCs w:val="18"/>
              </w:rPr>
              <w:t>(240)</w:t>
            </w:r>
          </w:p>
        </w:tc>
        <w:tc>
          <w:tcPr>
            <w:tcW w:w="0" w:type="auto"/>
            <w:shd w:val="clear" w:color="auto" w:fill="auto"/>
            <w:tcMar>
              <w:top w:w="40" w:type="dxa"/>
              <w:left w:w="0" w:type="dxa"/>
              <w:bottom w:w="40" w:type="dxa"/>
              <w:right w:w="20" w:type="dxa"/>
            </w:tcMar>
            <w:vAlign w:val="center"/>
          </w:tcPr>
          <w:p w14:paraId="6753449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9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9C" w14:textId="77777777" w:rsidR="001B77DD" w:rsidRDefault="00BF0A28">
            <w:pPr>
              <w:textAlignment w:val="center"/>
            </w:pPr>
            <w:r>
              <w:rPr>
                <w:rFonts w:ascii="Arial" w:eastAsia="宋体" w:hAnsi="Arial" w:cs="Arial"/>
                <w:color w:val="262626"/>
                <w:sz w:val="18"/>
                <w:szCs w:val="18"/>
              </w:rPr>
              <w:t>Higher period charges primarily associated with the ramp down of 14nm</w:t>
            </w:r>
          </w:p>
        </w:tc>
      </w:tr>
      <w:tr w:rsidR="001B77DD" w14:paraId="675344A2" w14:textId="77777777">
        <w:tc>
          <w:tcPr>
            <w:tcW w:w="0" w:type="auto"/>
            <w:gridSpan w:val="2"/>
            <w:shd w:val="clear" w:color="auto" w:fill="auto"/>
            <w:tcMar>
              <w:top w:w="40" w:type="dxa"/>
              <w:left w:w="20" w:type="dxa"/>
              <w:bottom w:w="40" w:type="dxa"/>
              <w:right w:w="0" w:type="dxa"/>
            </w:tcMar>
            <w:vAlign w:val="center"/>
          </w:tcPr>
          <w:p w14:paraId="6753449E" w14:textId="77777777" w:rsidR="001B77DD" w:rsidRDefault="00BF0A28">
            <w:pPr>
              <w:jc w:val="right"/>
              <w:textAlignment w:val="center"/>
            </w:pPr>
            <w:r>
              <w:rPr>
                <w:rFonts w:ascii="Arial" w:eastAsia="宋体" w:hAnsi="Arial" w:cs="Arial"/>
                <w:color w:val="0068B5"/>
                <w:sz w:val="18"/>
                <w:szCs w:val="18"/>
              </w:rPr>
              <w:t>(185)</w:t>
            </w:r>
          </w:p>
        </w:tc>
        <w:tc>
          <w:tcPr>
            <w:tcW w:w="0" w:type="auto"/>
            <w:shd w:val="clear" w:color="auto" w:fill="auto"/>
            <w:tcMar>
              <w:top w:w="40" w:type="dxa"/>
              <w:left w:w="0" w:type="dxa"/>
              <w:bottom w:w="40" w:type="dxa"/>
              <w:right w:w="20" w:type="dxa"/>
            </w:tcMar>
            <w:vAlign w:val="center"/>
          </w:tcPr>
          <w:p w14:paraId="6753449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A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A1" w14:textId="77777777" w:rsidR="001B77DD" w:rsidRDefault="00BF0A28">
            <w:pPr>
              <w:textAlignment w:val="center"/>
            </w:pPr>
            <w:r>
              <w:rPr>
                <w:rFonts w:ascii="Arial" w:eastAsia="宋体" w:hAnsi="Arial" w:cs="Arial"/>
                <w:color w:val="262626"/>
                <w:sz w:val="18"/>
                <w:szCs w:val="18"/>
              </w:rPr>
              <w:t>Lower adjacent product margin primarily driven by the exit of our 5G smartphone modem business</w:t>
            </w:r>
          </w:p>
        </w:tc>
      </w:tr>
      <w:tr w:rsidR="001B77DD" w14:paraId="675344A7" w14:textId="77777777">
        <w:tc>
          <w:tcPr>
            <w:tcW w:w="0" w:type="auto"/>
            <w:gridSpan w:val="2"/>
            <w:shd w:val="clear" w:color="auto" w:fill="auto"/>
            <w:tcMar>
              <w:top w:w="40" w:type="dxa"/>
              <w:left w:w="20" w:type="dxa"/>
              <w:bottom w:w="40" w:type="dxa"/>
              <w:right w:w="0" w:type="dxa"/>
            </w:tcMar>
            <w:vAlign w:val="center"/>
          </w:tcPr>
          <w:p w14:paraId="675344A3" w14:textId="77777777" w:rsidR="001B77DD" w:rsidRDefault="00BF0A28">
            <w:pPr>
              <w:jc w:val="right"/>
              <w:textAlignment w:val="center"/>
            </w:pPr>
            <w:r>
              <w:rPr>
                <w:rFonts w:ascii="Arial" w:eastAsia="宋体" w:hAnsi="Arial" w:cs="Arial"/>
                <w:color w:val="0068B5"/>
                <w:sz w:val="18"/>
                <w:szCs w:val="18"/>
              </w:rPr>
              <w:t>(140)</w:t>
            </w:r>
          </w:p>
        </w:tc>
        <w:tc>
          <w:tcPr>
            <w:tcW w:w="0" w:type="auto"/>
            <w:shd w:val="clear" w:color="auto" w:fill="auto"/>
            <w:tcMar>
              <w:top w:w="40" w:type="dxa"/>
              <w:left w:w="0" w:type="dxa"/>
              <w:bottom w:w="40" w:type="dxa"/>
              <w:right w:w="20" w:type="dxa"/>
            </w:tcMar>
            <w:vAlign w:val="center"/>
          </w:tcPr>
          <w:p w14:paraId="675344A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A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A6" w14:textId="77777777" w:rsidR="001B77DD" w:rsidRDefault="00BF0A28">
            <w:pPr>
              <w:textAlignment w:val="center"/>
            </w:pPr>
            <w:r>
              <w:rPr>
                <w:rFonts w:ascii="Arial" w:eastAsia="宋体" w:hAnsi="Arial" w:cs="Arial"/>
                <w:color w:val="262626"/>
                <w:sz w:val="18"/>
                <w:szCs w:val="18"/>
              </w:rPr>
              <w:t>Higher period charges driven by less sell-through of reserves on non-qualified platform products in 2021 as compared to in 2020, and other reserves take</w:t>
            </w:r>
            <w:r>
              <w:rPr>
                <w:rFonts w:ascii="Arial" w:eastAsia="宋体" w:hAnsi="Arial" w:cs="Arial"/>
                <w:color w:val="262626"/>
                <w:sz w:val="18"/>
                <w:szCs w:val="18"/>
              </w:rPr>
              <w:t>n in 2021</w:t>
            </w:r>
          </w:p>
        </w:tc>
      </w:tr>
      <w:tr w:rsidR="001B77DD" w14:paraId="675344AC" w14:textId="77777777">
        <w:tc>
          <w:tcPr>
            <w:tcW w:w="0" w:type="auto"/>
            <w:gridSpan w:val="2"/>
            <w:shd w:val="clear" w:color="auto" w:fill="auto"/>
            <w:tcMar>
              <w:top w:w="40" w:type="dxa"/>
              <w:left w:w="20" w:type="dxa"/>
              <w:bottom w:w="40" w:type="dxa"/>
              <w:right w:w="0" w:type="dxa"/>
            </w:tcMar>
            <w:vAlign w:val="center"/>
          </w:tcPr>
          <w:p w14:paraId="675344A8" w14:textId="77777777" w:rsidR="001B77DD" w:rsidRDefault="00BF0A28">
            <w:pPr>
              <w:jc w:val="right"/>
              <w:textAlignment w:val="center"/>
            </w:pPr>
            <w:r>
              <w:rPr>
                <w:rFonts w:ascii="Arial" w:eastAsia="宋体" w:hAnsi="Arial" w:cs="Arial"/>
                <w:color w:val="0068B5"/>
                <w:sz w:val="18"/>
                <w:szCs w:val="18"/>
              </w:rPr>
              <w:t>710 </w:t>
            </w:r>
          </w:p>
        </w:tc>
        <w:tc>
          <w:tcPr>
            <w:tcW w:w="0" w:type="auto"/>
            <w:shd w:val="clear" w:color="auto" w:fill="auto"/>
            <w:tcMar>
              <w:top w:w="40" w:type="dxa"/>
              <w:left w:w="0" w:type="dxa"/>
              <w:bottom w:w="40" w:type="dxa"/>
              <w:right w:w="20" w:type="dxa"/>
            </w:tcMar>
            <w:vAlign w:val="center"/>
          </w:tcPr>
          <w:p w14:paraId="675344A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A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AB" w14:textId="77777777" w:rsidR="001B77DD" w:rsidRDefault="00BF0A28">
            <w:pPr>
              <w:textAlignment w:val="center"/>
            </w:pPr>
            <w:r>
              <w:rPr>
                <w:rFonts w:ascii="Arial" w:eastAsia="宋体" w:hAnsi="Arial" w:cs="Arial"/>
                <w:color w:val="262626"/>
                <w:sz w:val="18"/>
                <w:szCs w:val="18"/>
              </w:rPr>
              <w:t>Higher gross margin from platform revenue</w:t>
            </w:r>
          </w:p>
        </w:tc>
      </w:tr>
      <w:tr w:rsidR="001B77DD" w14:paraId="675344B1" w14:textId="77777777">
        <w:tc>
          <w:tcPr>
            <w:tcW w:w="0" w:type="auto"/>
            <w:gridSpan w:val="2"/>
            <w:shd w:val="clear" w:color="auto" w:fill="FFFFFF"/>
            <w:tcMar>
              <w:top w:w="40" w:type="dxa"/>
              <w:left w:w="20" w:type="dxa"/>
              <w:bottom w:w="40" w:type="dxa"/>
              <w:right w:w="0" w:type="dxa"/>
            </w:tcMar>
            <w:vAlign w:val="center"/>
          </w:tcPr>
          <w:p w14:paraId="675344AD" w14:textId="77777777" w:rsidR="001B77DD" w:rsidRDefault="00BF0A28">
            <w:pPr>
              <w:jc w:val="right"/>
              <w:textAlignment w:val="center"/>
            </w:pPr>
            <w:r>
              <w:rPr>
                <w:rFonts w:ascii="Arial" w:eastAsia="宋体" w:hAnsi="Arial" w:cs="Arial"/>
                <w:color w:val="0068B5"/>
                <w:sz w:val="18"/>
                <w:szCs w:val="18"/>
              </w:rPr>
              <w:t>655 </w:t>
            </w:r>
          </w:p>
        </w:tc>
        <w:tc>
          <w:tcPr>
            <w:tcW w:w="0" w:type="auto"/>
            <w:shd w:val="clear" w:color="auto" w:fill="FFFFFF"/>
            <w:tcMar>
              <w:top w:w="40" w:type="dxa"/>
              <w:left w:w="0" w:type="dxa"/>
              <w:bottom w:w="40" w:type="dxa"/>
              <w:right w:w="20" w:type="dxa"/>
            </w:tcMar>
            <w:vAlign w:val="center"/>
          </w:tcPr>
          <w:p w14:paraId="675344A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AF"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vAlign w:val="center"/>
          </w:tcPr>
          <w:p w14:paraId="675344B0" w14:textId="77777777" w:rsidR="001B77DD" w:rsidRDefault="00BF0A28">
            <w:pPr>
              <w:textAlignment w:val="center"/>
            </w:pPr>
            <w:r>
              <w:rPr>
                <w:rFonts w:ascii="Arial" w:eastAsia="宋体" w:hAnsi="Arial" w:cs="Arial"/>
                <w:color w:val="262626"/>
                <w:sz w:val="18"/>
                <w:szCs w:val="18"/>
              </w:rPr>
              <w:t>Lower platform unit cost primarily due to cost improvements in 10nm SuperFin</w:t>
            </w:r>
          </w:p>
        </w:tc>
      </w:tr>
      <w:tr w:rsidR="001B77DD" w14:paraId="675344B6" w14:textId="77777777">
        <w:tc>
          <w:tcPr>
            <w:tcW w:w="0" w:type="auto"/>
            <w:gridSpan w:val="2"/>
            <w:shd w:val="clear" w:color="auto" w:fill="FFFFFF"/>
            <w:tcMar>
              <w:top w:w="40" w:type="dxa"/>
              <w:left w:w="20" w:type="dxa"/>
              <w:bottom w:w="40" w:type="dxa"/>
              <w:right w:w="0" w:type="dxa"/>
            </w:tcMar>
            <w:vAlign w:val="center"/>
          </w:tcPr>
          <w:p w14:paraId="675344B2" w14:textId="77777777" w:rsidR="001B77DD" w:rsidRDefault="00BF0A28">
            <w:pPr>
              <w:jc w:val="right"/>
              <w:textAlignment w:val="center"/>
            </w:pPr>
            <w:r>
              <w:rPr>
                <w:rFonts w:ascii="Arial" w:eastAsia="宋体" w:hAnsi="Arial" w:cs="Arial"/>
                <w:color w:val="0068B5"/>
                <w:sz w:val="18"/>
                <w:szCs w:val="18"/>
              </w:rPr>
              <w:t>165 </w:t>
            </w:r>
          </w:p>
        </w:tc>
        <w:tc>
          <w:tcPr>
            <w:tcW w:w="0" w:type="auto"/>
            <w:shd w:val="clear" w:color="auto" w:fill="FFFFFF"/>
            <w:tcMar>
              <w:top w:w="40" w:type="dxa"/>
              <w:left w:w="0" w:type="dxa"/>
              <w:bottom w:w="40" w:type="dxa"/>
              <w:right w:w="20" w:type="dxa"/>
            </w:tcMar>
            <w:vAlign w:val="center"/>
          </w:tcPr>
          <w:p w14:paraId="675344B3"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4B4"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vAlign w:val="center"/>
          </w:tcPr>
          <w:p w14:paraId="675344B5" w14:textId="77777777" w:rsidR="001B77DD" w:rsidRDefault="00BF0A28">
            <w:pPr>
              <w:textAlignment w:val="center"/>
            </w:pPr>
            <w:r>
              <w:rPr>
                <w:rFonts w:ascii="Arial" w:eastAsia="宋体" w:hAnsi="Arial" w:cs="Arial"/>
                <w:color w:val="262626"/>
                <w:sz w:val="18"/>
                <w:szCs w:val="18"/>
              </w:rPr>
              <w:t>Lower period charges primarily driven by a decrease in engineering samples</w:t>
            </w:r>
          </w:p>
        </w:tc>
      </w:tr>
      <w:tr w:rsidR="001B77DD" w14:paraId="675344BB" w14:textId="77777777">
        <w:tc>
          <w:tcPr>
            <w:tcW w:w="0" w:type="auto"/>
            <w:gridSpan w:val="2"/>
            <w:shd w:val="clear" w:color="auto" w:fill="auto"/>
            <w:tcMar>
              <w:top w:w="40" w:type="dxa"/>
              <w:left w:w="20" w:type="dxa"/>
              <w:bottom w:w="40" w:type="dxa"/>
              <w:right w:w="0" w:type="dxa"/>
            </w:tcMar>
            <w:vAlign w:val="center"/>
          </w:tcPr>
          <w:p w14:paraId="675344B7" w14:textId="77777777" w:rsidR="001B77DD" w:rsidRDefault="00BF0A28">
            <w:pPr>
              <w:jc w:val="right"/>
              <w:textAlignment w:val="center"/>
            </w:pPr>
            <w:r>
              <w:rPr>
                <w:rFonts w:ascii="Arial" w:eastAsia="宋体" w:hAnsi="Arial" w:cs="Arial"/>
                <w:color w:val="0068B5"/>
                <w:sz w:val="18"/>
                <w:szCs w:val="18"/>
              </w:rPr>
              <w:t>(7)</w:t>
            </w:r>
          </w:p>
        </w:tc>
        <w:tc>
          <w:tcPr>
            <w:tcW w:w="0" w:type="auto"/>
            <w:shd w:val="clear" w:color="auto" w:fill="auto"/>
            <w:tcMar>
              <w:top w:w="40" w:type="dxa"/>
              <w:left w:w="0" w:type="dxa"/>
              <w:bottom w:w="40" w:type="dxa"/>
              <w:right w:w="20" w:type="dxa"/>
            </w:tcMar>
            <w:vAlign w:val="center"/>
          </w:tcPr>
          <w:p w14:paraId="675344B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B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BA" w14:textId="77777777" w:rsidR="001B77DD" w:rsidRDefault="00BF0A28">
            <w:pPr>
              <w:textAlignment w:val="center"/>
            </w:pPr>
            <w:r>
              <w:rPr>
                <w:rFonts w:ascii="Arial" w:eastAsia="宋体" w:hAnsi="Arial" w:cs="Arial"/>
                <w:color w:val="262626"/>
                <w:sz w:val="18"/>
                <w:szCs w:val="18"/>
              </w:rPr>
              <w:t>Other</w:t>
            </w:r>
          </w:p>
        </w:tc>
      </w:tr>
      <w:tr w:rsidR="001B77DD" w14:paraId="675344C1" w14:textId="77777777">
        <w:tc>
          <w:tcPr>
            <w:tcW w:w="0" w:type="auto"/>
            <w:tcBorders>
              <w:top w:val="single" w:sz="4" w:space="0" w:color="262626"/>
            </w:tcBorders>
            <w:shd w:val="clear" w:color="auto" w:fill="auto"/>
            <w:tcMar>
              <w:top w:w="40" w:type="dxa"/>
              <w:left w:w="20" w:type="dxa"/>
              <w:bottom w:w="40" w:type="dxa"/>
              <w:right w:w="0" w:type="dxa"/>
            </w:tcMar>
            <w:vAlign w:val="center"/>
          </w:tcPr>
          <w:p w14:paraId="675344BC" w14:textId="77777777" w:rsidR="001B77DD" w:rsidRDefault="00BF0A28">
            <w:pPr>
              <w:textAlignment w:val="center"/>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center"/>
          </w:tcPr>
          <w:p w14:paraId="675344BD" w14:textId="77777777" w:rsidR="001B77DD" w:rsidRDefault="00BF0A28">
            <w:pPr>
              <w:jc w:val="right"/>
              <w:textAlignment w:val="center"/>
            </w:pPr>
            <w:r>
              <w:rPr>
                <w:rFonts w:ascii="Arial" w:eastAsia="宋体" w:hAnsi="Arial" w:cs="Arial"/>
                <w:b/>
                <w:bCs/>
                <w:color w:val="262626"/>
                <w:sz w:val="18"/>
                <w:szCs w:val="18"/>
              </w:rPr>
              <w:t>15,129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75344B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BF" w14:textId="77777777" w:rsidR="001B77DD" w:rsidRDefault="001B77DD">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675344C0" w14:textId="77777777" w:rsidR="001B77DD" w:rsidRDefault="00BF0A28">
            <w:pPr>
              <w:textAlignment w:val="center"/>
            </w:pPr>
            <w:r>
              <w:rPr>
                <w:rFonts w:ascii="Arial" w:eastAsia="宋体" w:hAnsi="Arial" w:cs="Arial"/>
                <w:b/>
                <w:bCs/>
                <w:color w:val="262626"/>
                <w:sz w:val="18"/>
                <w:szCs w:val="18"/>
              </w:rPr>
              <w:t>2020 Operating Income</w:t>
            </w:r>
          </w:p>
        </w:tc>
      </w:tr>
      <w:tr w:rsidR="001B77DD" w14:paraId="675344C6" w14:textId="77777777">
        <w:tc>
          <w:tcPr>
            <w:tcW w:w="0" w:type="auto"/>
            <w:gridSpan w:val="2"/>
            <w:tcBorders>
              <w:top w:val="single" w:sz="4" w:space="0" w:color="262626"/>
            </w:tcBorders>
            <w:shd w:val="clear" w:color="auto" w:fill="auto"/>
            <w:tcMar>
              <w:top w:w="40" w:type="dxa"/>
              <w:left w:w="20" w:type="dxa"/>
              <w:bottom w:w="40" w:type="dxa"/>
              <w:right w:w="0" w:type="dxa"/>
            </w:tcMar>
            <w:vAlign w:val="center"/>
          </w:tcPr>
          <w:p w14:paraId="675344C2" w14:textId="77777777" w:rsidR="001B77DD" w:rsidRDefault="00BF0A28">
            <w:pPr>
              <w:jc w:val="right"/>
              <w:textAlignment w:val="center"/>
            </w:pPr>
            <w:r>
              <w:rPr>
                <w:rFonts w:ascii="Arial" w:eastAsia="宋体" w:hAnsi="Arial" w:cs="Arial"/>
                <w:color w:val="262626"/>
                <w:sz w:val="18"/>
                <w:szCs w:val="18"/>
              </w:rPr>
              <w:t>(3,025)</w:t>
            </w:r>
          </w:p>
        </w:tc>
        <w:tc>
          <w:tcPr>
            <w:tcW w:w="0" w:type="auto"/>
            <w:tcBorders>
              <w:top w:val="single" w:sz="4" w:space="0" w:color="262626"/>
            </w:tcBorders>
            <w:shd w:val="clear" w:color="auto" w:fill="auto"/>
            <w:tcMar>
              <w:top w:w="40" w:type="dxa"/>
              <w:left w:w="0" w:type="dxa"/>
              <w:bottom w:w="40" w:type="dxa"/>
              <w:right w:w="20" w:type="dxa"/>
            </w:tcMar>
            <w:vAlign w:val="center"/>
          </w:tcPr>
          <w:p w14:paraId="675344C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C4" w14:textId="77777777" w:rsidR="001B77DD" w:rsidRDefault="001B77DD">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675344C5" w14:textId="77777777" w:rsidR="001B77DD" w:rsidRDefault="00BF0A28">
            <w:pPr>
              <w:textAlignment w:val="center"/>
            </w:pPr>
            <w:r>
              <w:rPr>
                <w:rFonts w:ascii="Arial" w:eastAsia="宋体" w:hAnsi="Arial" w:cs="Arial"/>
                <w:color w:val="262626"/>
                <w:sz w:val="18"/>
                <w:szCs w:val="18"/>
              </w:rPr>
              <w:t>Higher platform unit cost primarily from increased mix of 10nm products</w:t>
            </w:r>
          </w:p>
        </w:tc>
      </w:tr>
      <w:tr w:rsidR="001B77DD" w14:paraId="675344CB" w14:textId="77777777">
        <w:tc>
          <w:tcPr>
            <w:tcW w:w="0" w:type="auto"/>
            <w:gridSpan w:val="2"/>
            <w:shd w:val="clear" w:color="auto" w:fill="auto"/>
            <w:tcMar>
              <w:top w:w="40" w:type="dxa"/>
              <w:left w:w="20" w:type="dxa"/>
              <w:bottom w:w="40" w:type="dxa"/>
              <w:right w:w="0" w:type="dxa"/>
            </w:tcMar>
            <w:vAlign w:val="center"/>
          </w:tcPr>
          <w:p w14:paraId="675344C7" w14:textId="77777777" w:rsidR="001B77DD" w:rsidRDefault="00BF0A28">
            <w:pPr>
              <w:jc w:val="right"/>
              <w:textAlignment w:val="center"/>
            </w:pPr>
            <w:r>
              <w:rPr>
                <w:rFonts w:ascii="Arial" w:eastAsia="宋体" w:hAnsi="Arial" w:cs="Arial"/>
                <w:color w:val="262626"/>
                <w:sz w:val="18"/>
                <w:szCs w:val="18"/>
              </w:rPr>
              <w:t>(125)</w:t>
            </w:r>
          </w:p>
        </w:tc>
        <w:tc>
          <w:tcPr>
            <w:tcW w:w="0" w:type="auto"/>
            <w:shd w:val="clear" w:color="auto" w:fill="auto"/>
            <w:tcMar>
              <w:top w:w="40" w:type="dxa"/>
              <w:left w:w="0" w:type="dxa"/>
              <w:bottom w:w="40" w:type="dxa"/>
              <w:right w:w="20" w:type="dxa"/>
            </w:tcMar>
            <w:vAlign w:val="center"/>
          </w:tcPr>
          <w:p w14:paraId="675344C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C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CA" w14:textId="77777777" w:rsidR="001B77DD" w:rsidRDefault="00BF0A28">
            <w:pPr>
              <w:textAlignment w:val="center"/>
            </w:pPr>
            <w:r>
              <w:rPr>
                <w:rFonts w:ascii="Arial" w:eastAsia="宋体" w:hAnsi="Arial" w:cs="Arial"/>
                <w:color w:val="262626"/>
                <w:sz w:val="18"/>
                <w:szCs w:val="18"/>
              </w:rPr>
              <w:t>Primarily driven by higher logistic expenses due to COVID-19</w:t>
            </w:r>
          </w:p>
        </w:tc>
      </w:tr>
      <w:tr w:rsidR="001B77DD" w14:paraId="675344D0" w14:textId="77777777">
        <w:tc>
          <w:tcPr>
            <w:tcW w:w="0" w:type="auto"/>
            <w:gridSpan w:val="2"/>
            <w:shd w:val="clear" w:color="auto" w:fill="auto"/>
            <w:tcMar>
              <w:top w:w="40" w:type="dxa"/>
              <w:left w:w="20" w:type="dxa"/>
              <w:bottom w:w="40" w:type="dxa"/>
              <w:right w:w="0" w:type="dxa"/>
            </w:tcMar>
            <w:vAlign w:val="center"/>
          </w:tcPr>
          <w:p w14:paraId="675344CC" w14:textId="77777777" w:rsidR="001B77DD" w:rsidRDefault="00BF0A28">
            <w:pPr>
              <w:jc w:val="right"/>
              <w:textAlignment w:val="center"/>
            </w:pPr>
            <w:r>
              <w:rPr>
                <w:rFonts w:ascii="Arial" w:eastAsia="宋体" w:hAnsi="Arial" w:cs="Arial"/>
                <w:color w:val="262626"/>
                <w:sz w:val="18"/>
                <w:szCs w:val="18"/>
              </w:rPr>
              <w:t>1,715 </w:t>
            </w:r>
          </w:p>
        </w:tc>
        <w:tc>
          <w:tcPr>
            <w:tcW w:w="0" w:type="auto"/>
            <w:shd w:val="clear" w:color="auto" w:fill="auto"/>
            <w:tcMar>
              <w:top w:w="40" w:type="dxa"/>
              <w:left w:w="0" w:type="dxa"/>
              <w:bottom w:w="40" w:type="dxa"/>
              <w:right w:w="20" w:type="dxa"/>
            </w:tcMar>
            <w:vAlign w:val="center"/>
          </w:tcPr>
          <w:p w14:paraId="675344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C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CF" w14:textId="77777777" w:rsidR="001B77DD" w:rsidRDefault="00BF0A28">
            <w:pPr>
              <w:textAlignment w:val="center"/>
            </w:pPr>
            <w:r>
              <w:rPr>
                <w:rFonts w:ascii="Arial" w:eastAsia="宋体" w:hAnsi="Arial" w:cs="Arial"/>
                <w:color w:val="262626"/>
                <w:sz w:val="18"/>
                <w:szCs w:val="18"/>
              </w:rPr>
              <w:t>Higher gross margin from platform revenue</w:t>
            </w:r>
          </w:p>
        </w:tc>
      </w:tr>
      <w:tr w:rsidR="001B77DD" w14:paraId="675344D5" w14:textId="77777777">
        <w:tc>
          <w:tcPr>
            <w:tcW w:w="0" w:type="auto"/>
            <w:gridSpan w:val="2"/>
            <w:shd w:val="clear" w:color="auto" w:fill="auto"/>
            <w:tcMar>
              <w:top w:w="40" w:type="dxa"/>
              <w:left w:w="20" w:type="dxa"/>
              <w:bottom w:w="40" w:type="dxa"/>
              <w:right w:w="0" w:type="dxa"/>
            </w:tcMar>
            <w:vAlign w:val="center"/>
          </w:tcPr>
          <w:p w14:paraId="675344D1" w14:textId="77777777" w:rsidR="001B77DD" w:rsidRDefault="00BF0A28">
            <w:pPr>
              <w:jc w:val="right"/>
              <w:textAlignment w:val="center"/>
            </w:pPr>
            <w:r>
              <w:rPr>
                <w:rFonts w:ascii="Arial" w:eastAsia="宋体" w:hAnsi="Arial" w:cs="Arial"/>
                <w:color w:val="262626"/>
                <w:sz w:val="18"/>
                <w:szCs w:val="18"/>
              </w:rPr>
              <w:t>640 </w:t>
            </w:r>
          </w:p>
        </w:tc>
        <w:tc>
          <w:tcPr>
            <w:tcW w:w="0" w:type="auto"/>
            <w:shd w:val="clear" w:color="auto" w:fill="auto"/>
            <w:tcMar>
              <w:top w:w="40" w:type="dxa"/>
              <w:left w:w="0" w:type="dxa"/>
              <w:bottom w:w="40" w:type="dxa"/>
              <w:right w:w="20" w:type="dxa"/>
            </w:tcMar>
            <w:vAlign w:val="center"/>
          </w:tcPr>
          <w:p w14:paraId="675344D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D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4D4" w14:textId="77777777" w:rsidR="001B77DD" w:rsidRDefault="00BF0A28">
            <w:pPr>
              <w:textAlignment w:val="top"/>
            </w:pPr>
            <w:r>
              <w:rPr>
                <w:rFonts w:ascii="Arial" w:eastAsia="宋体" w:hAnsi="Arial" w:cs="Arial"/>
                <w:color w:val="262626"/>
                <w:sz w:val="18"/>
                <w:szCs w:val="18"/>
              </w:rPr>
              <w:t xml:space="preserve">Lower </w:t>
            </w:r>
            <w:r>
              <w:rPr>
                <w:rFonts w:ascii="Arial" w:eastAsia="宋体" w:hAnsi="Arial" w:cs="Arial"/>
                <w:color w:val="262626"/>
                <w:sz w:val="18"/>
                <w:szCs w:val="18"/>
              </w:rPr>
              <w:t>operating expenses</w:t>
            </w:r>
          </w:p>
        </w:tc>
      </w:tr>
      <w:tr w:rsidR="001B77DD" w14:paraId="675344DA" w14:textId="77777777">
        <w:tc>
          <w:tcPr>
            <w:tcW w:w="0" w:type="auto"/>
            <w:gridSpan w:val="2"/>
            <w:shd w:val="clear" w:color="auto" w:fill="auto"/>
            <w:tcMar>
              <w:top w:w="40" w:type="dxa"/>
              <w:left w:w="20" w:type="dxa"/>
              <w:bottom w:w="40" w:type="dxa"/>
              <w:right w:w="0" w:type="dxa"/>
            </w:tcMar>
            <w:vAlign w:val="center"/>
          </w:tcPr>
          <w:p w14:paraId="675344D6" w14:textId="77777777" w:rsidR="001B77DD" w:rsidRDefault="00BF0A28">
            <w:pPr>
              <w:jc w:val="right"/>
              <w:textAlignment w:val="center"/>
            </w:pPr>
            <w:r>
              <w:rPr>
                <w:rFonts w:ascii="Arial" w:eastAsia="宋体" w:hAnsi="Arial" w:cs="Arial"/>
                <w:color w:val="262626"/>
                <w:sz w:val="18"/>
                <w:szCs w:val="18"/>
              </w:rPr>
              <w:t>420 </w:t>
            </w:r>
          </w:p>
        </w:tc>
        <w:tc>
          <w:tcPr>
            <w:tcW w:w="0" w:type="auto"/>
            <w:shd w:val="clear" w:color="auto" w:fill="auto"/>
            <w:tcMar>
              <w:top w:w="40" w:type="dxa"/>
              <w:left w:w="0" w:type="dxa"/>
              <w:bottom w:w="40" w:type="dxa"/>
              <w:right w:w="20" w:type="dxa"/>
            </w:tcMar>
            <w:vAlign w:val="center"/>
          </w:tcPr>
          <w:p w14:paraId="675344D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D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D9" w14:textId="77777777" w:rsidR="001B77DD" w:rsidRDefault="00BF0A28">
            <w:pPr>
              <w:textAlignment w:val="center"/>
            </w:pPr>
            <w:r>
              <w:rPr>
                <w:rFonts w:ascii="Arial" w:eastAsia="宋体" w:hAnsi="Arial" w:cs="Arial"/>
                <w:color w:val="262626"/>
                <w:sz w:val="18"/>
                <w:szCs w:val="18"/>
              </w:rPr>
              <w:t>Lower period charges due to lower start-up cost associated with 10nm products and sell-through of previously reserved platform products related to our 10nm process technology</w:t>
            </w:r>
          </w:p>
        </w:tc>
      </w:tr>
      <w:tr w:rsidR="001B77DD" w14:paraId="675344DF" w14:textId="77777777">
        <w:tc>
          <w:tcPr>
            <w:tcW w:w="0" w:type="auto"/>
            <w:gridSpan w:val="2"/>
            <w:shd w:val="clear" w:color="auto" w:fill="auto"/>
            <w:tcMar>
              <w:top w:w="40" w:type="dxa"/>
              <w:left w:w="20" w:type="dxa"/>
              <w:bottom w:w="40" w:type="dxa"/>
              <w:right w:w="0" w:type="dxa"/>
            </w:tcMar>
            <w:vAlign w:val="center"/>
          </w:tcPr>
          <w:p w14:paraId="675344DB" w14:textId="77777777" w:rsidR="001B77DD" w:rsidRDefault="00BF0A28">
            <w:pPr>
              <w:jc w:val="right"/>
              <w:textAlignment w:val="center"/>
            </w:pPr>
            <w:r>
              <w:rPr>
                <w:rFonts w:ascii="Arial" w:eastAsia="宋体" w:hAnsi="Arial" w:cs="Arial"/>
                <w:color w:val="262626"/>
                <w:sz w:val="18"/>
                <w:szCs w:val="18"/>
              </w:rPr>
              <w:t>300 </w:t>
            </w:r>
          </w:p>
        </w:tc>
        <w:tc>
          <w:tcPr>
            <w:tcW w:w="0" w:type="auto"/>
            <w:shd w:val="clear" w:color="auto" w:fill="auto"/>
            <w:tcMar>
              <w:top w:w="40" w:type="dxa"/>
              <w:left w:w="0" w:type="dxa"/>
              <w:bottom w:w="40" w:type="dxa"/>
              <w:right w:w="20" w:type="dxa"/>
            </w:tcMar>
            <w:vAlign w:val="center"/>
          </w:tcPr>
          <w:p w14:paraId="675344D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D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DE" w14:textId="77777777" w:rsidR="001B77DD" w:rsidRDefault="00BF0A28">
            <w:pPr>
              <w:textAlignment w:val="center"/>
            </w:pPr>
            <w:r>
              <w:rPr>
                <w:rFonts w:ascii="Arial" w:eastAsia="宋体" w:hAnsi="Arial" w:cs="Arial"/>
                <w:color w:val="262626"/>
                <w:sz w:val="18"/>
                <w:szCs w:val="18"/>
              </w:rPr>
              <w:t>Higher CCG adjacent product margin</w:t>
            </w:r>
          </w:p>
        </w:tc>
      </w:tr>
      <w:tr w:rsidR="001B77DD" w14:paraId="675344E4" w14:textId="77777777">
        <w:tc>
          <w:tcPr>
            <w:tcW w:w="0" w:type="auto"/>
            <w:gridSpan w:val="2"/>
            <w:shd w:val="clear" w:color="auto" w:fill="auto"/>
            <w:tcMar>
              <w:top w:w="40" w:type="dxa"/>
              <w:left w:w="20" w:type="dxa"/>
              <w:bottom w:w="40" w:type="dxa"/>
              <w:right w:w="0" w:type="dxa"/>
            </w:tcMar>
            <w:vAlign w:val="center"/>
          </w:tcPr>
          <w:p w14:paraId="675344E0" w14:textId="77777777" w:rsidR="001B77DD" w:rsidRDefault="00BF0A28">
            <w:pPr>
              <w:jc w:val="right"/>
              <w:textAlignment w:val="center"/>
            </w:pPr>
            <w:r>
              <w:rPr>
                <w:rFonts w:ascii="Arial" w:eastAsia="宋体" w:hAnsi="Arial" w:cs="Arial"/>
                <w:color w:val="262626"/>
                <w:sz w:val="18"/>
                <w:szCs w:val="18"/>
              </w:rPr>
              <w:t>2 </w:t>
            </w:r>
          </w:p>
        </w:tc>
        <w:tc>
          <w:tcPr>
            <w:tcW w:w="0" w:type="auto"/>
            <w:shd w:val="clear" w:color="auto" w:fill="auto"/>
            <w:tcMar>
              <w:top w:w="40" w:type="dxa"/>
              <w:left w:w="0" w:type="dxa"/>
              <w:bottom w:w="40" w:type="dxa"/>
              <w:right w:w="20" w:type="dxa"/>
            </w:tcMar>
            <w:vAlign w:val="center"/>
          </w:tcPr>
          <w:p w14:paraId="675344E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E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4E3" w14:textId="77777777" w:rsidR="001B77DD" w:rsidRDefault="00BF0A28">
            <w:pPr>
              <w:textAlignment w:val="center"/>
            </w:pPr>
            <w:r>
              <w:rPr>
                <w:rFonts w:ascii="Arial" w:eastAsia="宋体" w:hAnsi="Arial" w:cs="Arial"/>
                <w:color w:val="262626"/>
                <w:sz w:val="18"/>
                <w:szCs w:val="18"/>
              </w:rPr>
              <w:t>Other</w:t>
            </w:r>
          </w:p>
        </w:tc>
      </w:tr>
      <w:tr w:rsidR="001B77DD" w14:paraId="675344EA"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center"/>
          </w:tcPr>
          <w:p w14:paraId="675344E5" w14:textId="77777777" w:rsidR="001B77DD" w:rsidRDefault="00BF0A28">
            <w:pPr>
              <w:textAlignment w:val="center"/>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center"/>
          </w:tcPr>
          <w:p w14:paraId="675344E6" w14:textId="77777777" w:rsidR="001B77DD" w:rsidRDefault="00BF0A28">
            <w:pPr>
              <w:jc w:val="right"/>
              <w:textAlignment w:val="center"/>
            </w:pPr>
            <w:r>
              <w:rPr>
                <w:rFonts w:ascii="Arial" w:eastAsia="宋体" w:hAnsi="Arial" w:cs="Arial"/>
                <w:b/>
                <w:bCs/>
                <w:color w:val="262626"/>
                <w:sz w:val="18"/>
                <w:szCs w:val="18"/>
              </w:rPr>
              <w:t>15,202</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center"/>
          </w:tcPr>
          <w:p w14:paraId="675344E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4E8" w14:textId="77777777" w:rsidR="001B77DD" w:rsidRDefault="001B77DD">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center"/>
          </w:tcPr>
          <w:p w14:paraId="675344E9" w14:textId="77777777" w:rsidR="001B77DD" w:rsidRDefault="00BF0A28">
            <w:pPr>
              <w:textAlignment w:val="center"/>
            </w:pPr>
            <w:r>
              <w:rPr>
                <w:rFonts w:ascii="Arial" w:eastAsia="宋体" w:hAnsi="Arial" w:cs="Arial"/>
                <w:b/>
                <w:bCs/>
                <w:color w:val="262626"/>
                <w:sz w:val="18"/>
                <w:szCs w:val="18"/>
              </w:rPr>
              <w:t>2019 Operating Income</w:t>
            </w:r>
          </w:p>
        </w:tc>
      </w:tr>
    </w:tbl>
    <w:p w14:paraId="675344EB"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4F5" w14:textId="77777777">
        <w:tc>
          <w:tcPr>
            <w:tcW w:w="50" w:type="pct"/>
            <w:shd w:val="clear" w:color="auto" w:fill="auto"/>
            <w:vAlign w:val="bottom"/>
          </w:tcPr>
          <w:p w14:paraId="675344EC" w14:textId="77777777" w:rsidR="001B77DD" w:rsidRDefault="001B77DD">
            <w:pPr>
              <w:rPr>
                <w:rFonts w:ascii="宋体"/>
              </w:rPr>
            </w:pPr>
          </w:p>
        </w:tc>
        <w:tc>
          <w:tcPr>
            <w:tcW w:w="283" w:type="pct"/>
            <w:shd w:val="clear" w:color="auto" w:fill="auto"/>
            <w:vAlign w:val="bottom"/>
          </w:tcPr>
          <w:p w14:paraId="675344ED" w14:textId="77777777" w:rsidR="001B77DD" w:rsidRDefault="001B77DD">
            <w:pPr>
              <w:rPr>
                <w:rFonts w:ascii="宋体"/>
              </w:rPr>
            </w:pPr>
          </w:p>
        </w:tc>
        <w:tc>
          <w:tcPr>
            <w:tcW w:w="5" w:type="pct"/>
            <w:shd w:val="clear" w:color="auto" w:fill="auto"/>
            <w:vAlign w:val="bottom"/>
          </w:tcPr>
          <w:p w14:paraId="675344EE" w14:textId="77777777" w:rsidR="001B77DD" w:rsidRDefault="001B77DD">
            <w:pPr>
              <w:rPr>
                <w:rFonts w:ascii="宋体"/>
              </w:rPr>
            </w:pPr>
          </w:p>
        </w:tc>
        <w:tc>
          <w:tcPr>
            <w:tcW w:w="50" w:type="pct"/>
            <w:shd w:val="clear" w:color="auto" w:fill="auto"/>
            <w:vAlign w:val="bottom"/>
          </w:tcPr>
          <w:p w14:paraId="675344EF" w14:textId="77777777" w:rsidR="001B77DD" w:rsidRDefault="001B77DD">
            <w:pPr>
              <w:rPr>
                <w:rFonts w:ascii="宋体"/>
              </w:rPr>
            </w:pPr>
          </w:p>
        </w:tc>
        <w:tc>
          <w:tcPr>
            <w:tcW w:w="2656" w:type="pct"/>
            <w:shd w:val="clear" w:color="auto" w:fill="auto"/>
            <w:vAlign w:val="bottom"/>
          </w:tcPr>
          <w:p w14:paraId="675344F0" w14:textId="77777777" w:rsidR="001B77DD" w:rsidRDefault="001B77DD">
            <w:pPr>
              <w:rPr>
                <w:rFonts w:ascii="宋体"/>
              </w:rPr>
            </w:pPr>
          </w:p>
        </w:tc>
        <w:tc>
          <w:tcPr>
            <w:tcW w:w="5" w:type="pct"/>
            <w:shd w:val="clear" w:color="auto" w:fill="auto"/>
            <w:vAlign w:val="bottom"/>
          </w:tcPr>
          <w:p w14:paraId="675344F1" w14:textId="77777777" w:rsidR="001B77DD" w:rsidRDefault="001B77DD">
            <w:pPr>
              <w:rPr>
                <w:rFonts w:ascii="宋体"/>
              </w:rPr>
            </w:pPr>
          </w:p>
        </w:tc>
        <w:tc>
          <w:tcPr>
            <w:tcW w:w="50" w:type="pct"/>
            <w:shd w:val="clear" w:color="auto" w:fill="auto"/>
            <w:vAlign w:val="bottom"/>
          </w:tcPr>
          <w:p w14:paraId="675344F2" w14:textId="77777777" w:rsidR="001B77DD" w:rsidRDefault="001B77DD">
            <w:pPr>
              <w:rPr>
                <w:rFonts w:ascii="宋体"/>
              </w:rPr>
            </w:pPr>
          </w:p>
        </w:tc>
        <w:tc>
          <w:tcPr>
            <w:tcW w:w="1894" w:type="pct"/>
            <w:shd w:val="clear" w:color="auto" w:fill="auto"/>
            <w:vAlign w:val="bottom"/>
          </w:tcPr>
          <w:p w14:paraId="675344F3" w14:textId="77777777" w:rsidR="001B77DD" w:rsidRDefault="001B77DD">
            <w:pPr>
              <w:rPr>
                <w:rFonts w:ascii="宋体"/>
              </w:rPr>
            </w:pPr>
          </w:p>
        </w:tc>
        <w:tc>
          <w:tcPr>
            <w:tcW w:w="5" w:type="pct"/>
            <w:shd w:val="clear" w:color="auto" w:fill="auto"/>
            <w:vAlign w:val="bottom"/>
          </w:tcPr>
          <w:p w14:paraId="675344F4" w14:textId="77777777" w:rsidR="001B77DD" w:rsidRDefault="001B77DD">
            <w:pPr>
              <w:rPr>
                <w:rFonts w:ascii="宋体"/>
              </w:rPr>
            </w:pPr>
          </w:p>
        </w:tc>
      </w:tr>
      <w:tr w:rsidR="001B77DD" w14:paraId="675344F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4F6"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34" wp14:editId="67538E35">
                  <wp:extent cx="304800" cy="304800"/>
                  <wp:effectExtent l="0" t="0" r="0" b="0"/>
                  <wp:docPr id="18" name="图片 13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4F7"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4F8" w14:textId="77777777" w:rsidR="001B77DD" w:rsidRDefault="00BF0A28">
            <w:pPr>
              <w:jc w:val="right"/>
              <w:textAlignment w:val="center"/>
            </w:pPr>
            <w:r>
              <w:rPr>
                <w:rFonts w:ascii="Arial" w:eastAsia="宋体" w:hAnsi="Arial" w:cs="Arial"/>
                <w:color w:val="262626"/>
                <w:sz w:val="16"/>
                <w:szCs w:val="16"/>
              </w:rPr>
              <w:t>22</w:t>
            </w:r>
          </w:p>
        </w:tc>
      </w:tr>
    </w:tbl>
    <w:p w14:paraId="675344FA" w14:textId="77777777" w:rsidR="001B77DD" w:rsidRDefault="00BF0A28">
      <w:r>
        <w:pict w14:anchorId="67538E36">
          <v:rect id="_x0000_i1048" style="width:415.3pt;height:1.5pt" o:hralign="center" o:hrstd="t" o:hr="t" fillcolor="#a0a0a0" stroked="f"/>
        </w:pict>
      </w:r>
    </w:p>
    <w:p w14:paraId="675344FB" w14:textId="77777777" w:rsidR="001B77DD" w:rsidRDefault="001B77DD"/>
    <w:p w14:paraId="675344FC" w14:textId="77777777" w:rsidR="001B77DD" w:rsidRDefault="00BF0A28">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Viewer4_files/intc-20211225_g59.jpg"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37" wp14:editId="67538E38">
            <wp:extent cx="304800" cy="304800"/>
            <wp:effectExtent l="0" t="0" r="0" b="0"/>
            <wp:docPr id="74" name="图片 135"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5" descr="IMG_33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52"/>
        <w:gridCol w:w="493"/>
        <w:gridCol w:w="53"/>
        <w:gridCol w:w="54"/>
        <w:gridCol w:w="5990"/>
        <w:gridCol w:w="54"/>
        <w:gridCol w:w="69"/>
        <w:gridCol w:w="4146"/>
        <w:gridCol w:w="69"/>
      </w:tblGrid>
      <w:tr w:rsidR="001B77DD" w14:paraId="67534506" w14:textId="77777777">
        <w:tc>
          <w:tcPr>
            <w:tcW w:w="20" w:type="dxa"/>
            <w:shd w:val="clear" w:color="auto" w:fill="auto"/>
            <w:vAlign w:val="bottom"/>
          </w:tcPr>
          <w:p w14:paraId="675344FD" w14:textId="77777777" w:rsidR="001B77DD" w:rsidRDefault="001B77DD">
            <w:pPr>
              <w:rPr>
                <w:rFonts w:ascii="宋体"/>
              </w:rPr>
            </w:pPr>
          </w:p>
        </w:tc>
        <w:tc>
          <w:tcPr>
            <w:tcW w:w="545" w:type="dxa"/>
            <w:shd w:val="clear" w:color="auto" w:fill="auto"/>
            <w:vAlign w:val="bottom"/>
          </w:tcPr>
          <w:p w14:paraId="675344FE" w14:textId="77777777" w:rsidR="001B77DD" w:rsidRDefault="001B77DD">
            <w:pPr>
              <w:rPr>
                <w:rFonts w:ascii="宋体"/>
              </w:rPr>
            </w:pPr>
          </w:p>
        </w:tc>
        <w:tc>
          <w:tcPr>
            <w:tcW w:w="20" w:type="dxa"/>
            <w:shd w:val="clear" w:color="auto" w:fill="auto"/>
            <w:vAlign w:val="bottom"/>
          </w:tcPr>
          <w:p w14:paraId="675344FF" w14:textId="77777777" w:rsidR="001B77DD" w:rsidRDefault="001B77DD">
            <w:pPr>
              <w:rPr>
                <w:rFonts w:ascii="宋体"/>
              </w:rPr>
            </w:pPr>
          </w:p>
        </w:tc>
        <w:tc>
          <w:tcPr>
            <w:tcW w:w="20" w:type="dxa"/>
            <w:shd w:val="clear" w:color="auto" w:fill="auto"/>
            <w:vAlign w:val="bottom"/>
          </w:tcPr>
          <w:p w14:paraId="67534500" w14:textId="77777777" w:rsidR="001B77DD" w:rsidRDefault="001B77DD">
            <w:pPr>
              <w:rPr>
                <w:rFonts w:ascii="宋体"/>
              </w:rPr>
            </w:pPr>
          </w:p>
        </w:tc>
        <w:tc>
          <w:tcPr>
            <w:tcW w:w="7655" w:type="dxa"/>
            <w:shd w:val="clear" w:color="auto" w:fill="auto"/>
            <w:vAlign w:val="bottom"/>
          </w:tcPr>
          <w:p w14:paraId="67534501" w14:textId="77777777" w:rsidR="001B77DD" w:rsidRDefault="001B77DD">
            <w:pPr>
              <w:rPr>
                <w:rFonts w:ascii="宋体"/>
              </w:rPr>
            </w:pPr>
          </w:p>
        </w:tc>
        <w:tc>
          <w:tcPr>
            <w:tcW w:w="20" w:type="dxa"/>
            <w:shd w:val="clear" w:color="auto" w:fill="auto"/>
            <w:vAlign w:val="bottom"/>
          </w:tcPr>
          <w:p w14:paraId="67534502" w14:textId="77777777" w:rsidR="001B77DD" w:rsidRDefault="001B77DD">
            <w:pPr>
              <w:rPr>
                <w:rFonts w:ascii="宋体"/>
              </w:rPr>
            </w:pPr>
          </w:p>
        </w:tc>
        <w:tc>
          <w:tcPr>
            <w:tcW w:w="20" w:type="dxa"/>
            <w:shd w:val="clear" w:color="auto" w:fill="auto"/>
            <w:vAlign w:val="bottom"/>
          </w:tcPr>
          <w:p w14:paraId="67534503" w14:textId="77777777" w:rsidR="001B77DD" w:rsidRDefault="001B77DD">
            <w:pPr>
              <w:rPr>
                <w:rFonts w:ascii="宋体"/>
              </w:rPr>
            </w:pPr>
          </w:p>
        </w:tc>
        <w:tc>
          <w:tcPr>
            <w:tcW w:w="2660" w:type="dxa"/>
            <w:shd w:val="clear" w:color="auto" w:fill="auto"/>
            <w:vAlign w:val="bottom"/>
          </w:tcPr>
          <w:p w14:paraId="67534504" w14:textId="77777777" w:rsidR="001B77DD" w:rsidRDefault="001B77DD">
            <w:pPr>
              <w:rPr>
                <w:rFonts w:ascii="宋体"/>
              </w:rPr>
            </w:pPr>
          </w:p>
        </w:tc>
        <w:tc>
          <w:tcPr>
            <w:tcW w:w="20" w:type="dxa"/>
            <w:shd w:val="clear" w:color="auto" w:fill="auto"/>
            <w:vAlign w:val="bottom"/>
          </w:tcPr>
          <w:p w14:paraId="67534505" w14:textId="77777777" w:rsidR="001B77DD" w:rsidRDefault="001B77DD">
            <w:pPr>
              <w:rPr>
                <w:rFonts w:ascii="宋体"/>
              </w:rPr>
            </w:pPr>
          </w:p>
        </w:tc>
      </w:tr>
      <w:tr w:rsidR="001B77DD" w14:paraId="67534509" w14:textId="77777777">
        <w:trPr>
          <w:trHeight w:val="28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67534507" w14:textId="77777777" w:rsidR="001B77DD" w:rsidRDefault="00BF0A28">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vAlign w:val="bottom"/>
          </w:tcPr>
          <w:p w14:paraId="67534508"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39" wp14:editId="67538E3A">
                  <wp:extent cx="304800" cy="304800"/>
                  <wp:effectExtent l="0" t="0" r="0" b="0"/>
                  <wp:docPr id="25" name="图片 136"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6" descr="IMG_33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450C" w14:textId="77777777">
        <w:trPr>
          <w:trHeight w:val="1360"/>
        </w:trPr>
        <w:tc>
          <w:tcPr>
            <w:tcW w:w="0" w:type="auto"/>
            <w:gridSpan w:val="6"/>
            <w:tcBorders>
              <w:top w:val="single" w:sz="4" w:space="0" w:color="262626"/>
            </w:tcBorders>
            <w:shd w:val="clear" w:color="auto" w:fill="auto"/>
            <w:tcMar>
              <w:top w:w="40" w:type="dxa"/>
              <w:left w:w="20" w:type="dxa"/>
              <w:bottom w:w="40" w:type="dxa"/>
              <w:right w:w="20" w:type="dxa"/>
            </w:tcMar>
          </w:tcPr>
          <w:p w14:paraId="6753450A" w14:textId="77777777" w:rsidR="001B77DD" w:rsidRDefault="00BF0A28">
            <w:pPr>
              <w:textAlignment w:val="top"/>
            </w:pPr>
            <w:r>
              <w:rPr>
                <w:rFonts w:ascii="Arial" w:eastAsia="宋体" w:hAnsi="Arial" w:cs="Arial"/>
                <w:color w:val="262626"/>
                <w:sz w:val="18"/>
                <w:szCs w:val="18"/>
              </w:rPr>
              <w:t>DCG develops workload-optimized platforms for compute, storage, and network functions. With unmatched scale, hardware and software portfolio breadth, and expansive partner ecosystem support, we are uniquely positioned to enable the world to unleash the pot</w:t>
            </w:r>
            <w:r>
              <w:rPr>
                <w:rFonts w:ascii="Arial" w:eastAsia="宋体" w:hAnsi="Arial" w:cs="Arial"/>
                <w:color w:val="262626"/>
                <w:sz w:val="18"/>
                <w:szCs w:val="18"/>
              </w:rPr>
              <w:t>ential of data, unlocking value for people, business, and society on a global scale. Market segments include cloud service providers, enterprise and government, and communications service providers. We serve the global appetite for cloud computing and enab</w:t>
            </w:r>
            <w:r>
              <w:rPr>
                <w:rFonts w:ascii="Arial" w:eastAsia="宋体" w:hAnsi="Arial" w:cs="Arial"/>
                <w:color w:val="262626"/>
                <w:sz w:val="18"/>
                <w:szCs w:val="18"/>
              </w:rPr>
              <w:t xml:space="preserve">le digital transformation from edge to cloud. </w:t>
            </w:r>
          </w:p>
        </w:tc>
        <w:tc>
          <w:tcPr>
            <w:tcW w:w="0" w:type="auto"/>
            <w:gridSpan w:val="3"/>
            <w:vMerge/>
            <w:shd w:val="clear" w:color="auto" w:fill="auto"/>
            <w:tcMar>
              <w:top w:w="0" w:type="dxa"/>
              <w:left w:w="20" w:type="dxa"/>
              <w:bottom w:w="0" w:type="dxa"/>
              <w:right w:w="20" w:type="dxa"/>
            </w:tcMar>
            <w:vAlign w:val="bottom"/>
          </w:tcPr>
          <w:p w14:paraId="6753450B" w14:textId="77777777" w:rsidR="001B77DD" w:rsidRDefault="001B77DD">
            <w:pPr>
              <w:rPr>
                <w:rFonts w:ascii="宋体"/>
              </w:rPr>
            </w:pPr>
          </w:p>
        </w:tc>
      </w:tr>
      <w:tr w:rsidR="001B77DD" w14:paraId="67534510" w14:textId="77777777">
        <w:trPr>
          <w:trHeight w:val="60"/>
        </w:trPr>
        <w:tc>
          <w:tcPr>
            <w:tcW w:w="0" w:type="auto"/>
            <w:gridSpan w:val="3"/>
            <w:shd w:val="clear" w:color="auto" w:fill="auto"/>
            <w:tcMar>
              <w:top w:w="0" w:type="dxa"/>
              <w:left w:w="20" w:type="dxa"/>
              <w:bottom w:w="0" w:type="dxa"/>
              <w:right w:w="20" w:type="dxa"/>
            </w:tcMar>
            <w:vAlign w:val="bottom"/>
          </w:tcPr>
          <w:p w14:paraId="6753450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50E"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50F" w14:textId="77777777" w:rsidR="001B77DD" w:rsidRDefault="001B77DD">
            <w:pPr>
              <w:rPr>
                <w:rFonts w:ascii="宋体"/>
              </w:rPr>
            </w:pPr>
          </w:p>
        </w:tc>
      </w:tr>
      <w:tr w:rsidR="001B77DD" w14:paraId="67534514" w14:textId="77777777">
        <w:trPr>
          <w:trHeight w:val="240"/>
        </w:trPr>
        <w:tc>
          <w:tcPr>
            <w:tcW w:w="0" w:type="auto"/>
            <w:gridSpan w:val="6"/>
            <w:shd w:val="clear" w:color="auto" w:fill="auto"/>
            <w:tcMar>
              <w:top w:w="40" w:type="dxa"/>
              <w:left w:w="20" w:type="dxa"/>
              <w:bottom w:w="40" w:type="dxa"/>
              <w:right w:w="20" w:type="dxa"/>
            </w:tcMar>
            <w:vAlign w:val="bottom"/>
          </w:tcPr>
          <w:p w14:paraId="67534511" w14:textId="77777777" w:rsidR="001B77DD" w:rsidRDefault="00BF0A28">
            <w:pPr>
              <w:textAlignment w:val="bottom"/>
            </w:pPr>
            <w:r>
              <w:rPr>
                <w:rFonts w:ascii="Arial" w:eastAsia="宋体" w:hAnsi="Arial" w:cs="Arial"/>
                <w:color w:val="0068B5"/>
                <w:sz w:val="20"/>
                <w:szCs w:val="20"/>
              </w:rPr>
              <w:t>Key Developments</w:t>
            </w:r>
          </w:p>
        </w:tc>
        <w:tc>
          <w:tcPr>
            <w:tcW w:w="0" w:type="auto"/>
            <w:gridSpan w:val="3"/>
            <w:vMerge w:val="restart"/>
            <w:shd w:val="clear" w:color="auto" w:fill="auto"/>
            <w:tcMar>
              <w:top w:w="40" w:type="dxa"/>
              <w:left w:w="20" w:type="dxa"/>
              <w:bottom w:w="40" w:type="dxa"/>
              <w:right w:w="20" w:type="dxa"/>
            </w:tcMar>
          </w:tcPr>
          <w:p w14:paraId="67534512" w14:textId="77777777" w:rsidR="001B77DD" w:rsidRDefault="00BF0A28">
            <w:pPr>
              <w:spacing w:after="180"/>
              <w:textAlignment w:val="top"/>
            </w:pPr>
            <w:r>
              <w:rPr>
                <w:rFonts w:ascii="Arial" w:eastAsia="宋体" w:hAnsi="Arial" w:cs="Arial"/>
                <w:b/>
                <w:bCs/>
                <w:i/>
                <w:iCs/>
                <w:color w:val="262626"/>
                <w:sz w:val="18"/>
                <w:szCs w:val="18"/>
              </w:rPr>
              <w:t xml:space="preserve">"Intel has the breadth and depth of leadership products to solve our customers' most complex problems in a world where the digitization of everything is accelerating the need for </w:t>
            </w:r>
            <w:r>
              <w:rPr>
                <w:rFonts w:ascii="Arial" w:eastAsia="宋体" w:hAnsi="Arial" w:cs="Arial"/>
                <w:b/>
                <w:bCs/>
                <w:i/>
                <w:iCs/>
                <w:color w:val="262626"/>
                <w:sz w:val="18"/>
                <w:szCs w:val="18"/>
              </w:rPr>
              <w:t>high-performance computing."</w:t>
            </w:r>
          </w:p>
          <w:p w14:paraId="67534513" w14:textId="77777777" w:rsidR="001B77DD" w:rsidRDefault="00BF0A28">
            <w:pPr>
              <w:spacing w:after="180"/>
              <w:textAlignment w:val="top"/>
            </w:pPr>
            <w:r>
              <w:rPr>
                <w:rFonts w:ascii="Arial" w:eastAsia="宋体" w:hAnsi="Arial" w:cs="Arial"/>
                <w:b/>
                <w:bCs/>
                <w:color w:val="262626"/>
                <w:sz w:val="18"/>
                <w:szCs w:val="18"/>
              </w:rPr>
              <w:t xml:space="preserve">—Sandra Rivera, </w:t>
            </w:r>
            <w:r>
              <w:rPr>
                <w:rFonts w:ascii="Arial" w:eastAsia="宋体" w:hAnsi="Arial" w:cs="Arial"/>
                <w:color w:val="262626"/>
                <w:sz w:val="18"/>
                <w:szCs w:val="18"/>
              </w:rPr>
              <w:t>Executive Vice President and General Manager, Data Center and AI Group</w:t>
            </w:r>
          </w:p>
        </w:tc>
      </w:tr>
      <w:tr w:rsidR="001B77DD" w14:paraId="67534518" w14:textId="77777777">
        <w:trPr>
          <w:trHeight w:val="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515"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516"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tcPr>
          <w:p w14:paraId="67534517" w14:textId="77777777" w:rsidR="001B77DD" w:rsidRDefault="001B77DD">
            <w:pPr>
              <w:rPr>
                <w:rFonts w:ascii="宋体"/>
              </w:rPr>
            </w:pPr>
          </w:p>
        </w:tc>
      </w:tr>
      <w:tr w:rsidR="001B77DD" w14:paraId="6753451C" w14:textId="77777777">
        <w:trPr>
          <w:trHeight w:val="720"/>
        </w:trPr>
        <w:tc>
          <w:tcPr>
            <w:tcW w:w="0" w:type="auto"/>
            <w:gridSpan w:val="3"/>
            <w:shd w:val="clear" w:color="auto" w:fill="auto"/>
            <w:tcMar>
              <w:top w:w="40" w:type="dxa"/>
              <w:left w:w="20" w:type="dxa"/>
              <w:bottom w:w="40" w:type="dxa"/>
              <w:right w:w="20" w:type="dxa"/>
            </w:tcMar>
          </w:tcPr>
          <w:p w14:paraId="67534519"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51A" w14:textId="77777777" w:rsidR="001B77DD" w:rsidRDefault="00BF0A28">
            <w:pPr>
              <w:textAlignment w:val="top"/>
            </w:pPr>
            <w:r>
              <w:rPr>
                <w:rFonts w:ascii="Arial" w:eastAsia="宋体" w:hAnsi="Arial" w:cs="Arial"/>
                <w:color w:val="262626"/>
                <w:sz w:val="18"/>
                <w:szCs w:val="18"/>
              </w:rPr>
              <w:t xml:space="preserve">We introduced multiple products and continued to invest in our leadership roadmap throughout the year. Amid effects of </w:t>
            </w:r>
            <w:r>
              <w:rPr>
                <w:rFonts w:ascii="Arial" w:eastAsia="宋体" w:hAnsi="Arial" w:cs="Arial"/>
                <w:color w:val="262626"/>
                <w:sz w:val="18"/>
                <w:szCs w:val="18"/>
              </w:rPr>
              <w:t>industry component supply constraints and a competitive environment, revenue decreased 1% year over year.</w:t>
            </w:r>
          </w:p>
        </w:tc>
        <w:tc>
          <w:tcPr>
            <w:tcW w:w="0" w:type="auto"/>
            <w:gridSpan w:val="3"/>
            <w:vMerge/>
            <w:shd w:val="clear" w:color="auto" w:fill="auto"/>
            <w:tcMar>
              <w:top w:w="40" w:type="dxa"/>
              <w:left w:w="20" w:type="dxa"/>
              <w:bottom w:w="40" w:type="dxa"/>
              <w:right w:w="20" w:type="dxa"/>
            </w:tcMar>
          </w:tcPr>
          <w:p w14:paraId="6753451B" w14:textId="77777777" w:rsidR="001B77DD" w:rsidRDefault="001B77DD">
            <w:pPr>
              <w:rPr>
                <w:rFonts w:ascii="宋体"/>
              </w:rPr>
            </w:pPr>
          </w:p>
        </w:tc>
      </w:tr>
      <w:tr w:rsidR="001B77DD" w14:paraId="67534520" w14:textId="77777777">
        <w:trPr>
          <w:trHeight w:val="880"/>
        </w:trPr>
        <w:tc>
          <w:tcPr>
            <w:tcW w:w="0" w:type="auto"/>
            <w:gridSpan w:val="3"/>
            <w:shd w:val="clear" w:color="auto" w:fill="auto"/>
            <w:tcMar>
              <w:top w:w="40" w:type="dxa"/>
              <w:left w:w="20" w:type="dxa"/>
              <w:bottom w:w="40" w:type="dxa"/>
              <w:right w:w="20" w:type="dxa"/>
            </w:tcMar>
          </w:tcPr>
          <w:p w14:paraId="6753451D"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51E" w14:textId="77777777" w:rsidR="001B77DD" w:rsidRDefault="00BF0A28">
            <w:pPr>
              <w:textAlignment w:val="top"/>
            </w:pPr>
            <w:r>
              <w:rPr>
                <w:rFonts w:ascii="Arial" w:eastAsia="宋体" w:hAnsi="Arial" w:cs="Arial"/>
                <w:color w:val="262626"/>
                <w:sz w:val="18"/>
                <w:szCs w:val="18"/>
              </w:rPr>
              <w:t>We launched the 3rd Gen Intel</w:t>
            </w:r>
            <w:r>
              <w:rPr>
                <w:rFonts w:ascii="Arial" w:eastAsia="宋体" w:hAnsi="Arial" w:cs="Arial"/>
                <w:color w:val="262626"/>
                <w:sz w:val="11"/>
                <w:szCs w:val="11"/>
              </w:rPr>
              <w:t xml:space="preserve"> </w:t>
            </w:r>
            <w:r>
              <w:rPr>
                <w:rFonts w:ascii="Arial" w:eastAsia="宋体" w:hAnsi="Arial" w:cs="Arial"/>
                <w:color w:val="262626"/>
                <w:sz w:val="18"/>
                <w:szCs w:val="18"/>
              </w:rPr>
              <w:t xml:space="preserve">Xeon Scalable processors (Ice Lake), the only x86 data center processors with built-in AI acceleration. We also </w:t>
            </w:r>
            <w:r>
              <w:rPr>
                <w:rFonts w:ascii="Arial" w:eastAsia="宋体" w:hAnsi="Arial" w:cs="Arial"/>
                <w:color w:val="262626"/>
                <w:sz w:val="18"/>
                <w:szCs w:val="18"/>
              </w:rPr>
              <w:t>announced the IPU, a platform that enables superior security capabilities and enables our cloud customers to handle infrastructure tasks more efficiently.</w:t>
            </w:r>
          </w:p>
        </w:tc>
        <w:tc>
          <w:tcPr>
            <w:tcW w:w="0" w:type="auto"/>
            <w:gridSpan w:val="3"/>
            <w:vMerge/>
            <w:shd w:val="clear" w:color="auto" w:fill="auto"/>
            <w:tcMar>
              <w:top w:w="40" w:type="dxa"/>
              <w:left w:w="20" w:type="dxa"/>
              <w:bottom w:w="40" w:type="dxa"/>
              <w:right w:w="20" w:type="dxa"/>
            </w:tcMar>
          </w:tcPr>
          <w:p w14:paraId="6753451F" w14:textId="77777777" w:rsidR="001B77DD" w:rsidRDefault="001B77DD">
            <w:pPr>
              <w:rPr>
                <w:rFonts w:ascii="宋体"/>
              </w:rPr>
            </w:pPr>
          </w:p>
        </w:tc>
      </w:tr>
      <w:tr w:rsidR="001B77DD" w14:paraId="67534524" w14:textId="77777777">
        <w:trPr>
          <w:trHeight w:val="900"/>
        </w:trPr>
        <w:tc>
          <w:tcPr>
            <w:tcW w:w="0" w:type="auto"/>
            <w:gridSpan w:val="3"/>
            <w:shd w:val="clear" w:color="auto" w:fill="auto"/>
            <w:tcMar>
              <w:top w:w="40" w:type="dxa"/>
              <w:left w:w="20" w:type="dxa"/>
              <w:bottom w:w="40" w:type="dxa"/>
              <w:right w:w="20" w:type="dxa"/>
            </w:tcMar>
          </w:tcPr>
          <w:p w14:paraId="67534521"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522" w14:textId="77777777" w:rsidR="001B77DD" w:rsidRDefault="00BF0A28">
            <w:pPr>
              <w:textAlignment w:val="top"/>
            </w:pPr>
            <w:r>
              <w:rPr>
                <w:rFonts w:ascii="Arial" w:eastAsia="宋体" w:hAnsi="Arial" w:cs="Arial"/>
                <w:color w:val="262626"/>
                <w:sz w:val="18"/>
                <w:szCs w:val="18"/>
              </w:rPr>
              <w:t>We expanded our broad, data-centric portfolio for 5G network infrastructure including the 3rd Gen</w:t>
            </w:r>
            <w:r>
              <w:rPr>
                <w:rFonts w:ascii="Arial" w:eastAsia="宋体" w:hAnsi="Arial" w:cs="Arial"/>
                <w:color w:val="262626"/>
                <w:sz w:val="18"/>
                <w:szCs w:val="18"/>
              </w:rPr>
              <w:t xml:space="preserve"> Intel Xeon Scalable processor "N-SKUs", a 5G network-optimized Ethernet NIC, and the Intel Network Platform. We also began sampling the next-generation Intel Xeon D processors, which are built for the edge.</w:t>
            </w:r>
          </w:p>
        </w:tc>
        <w:tc>
          <w:tcPr>
            <w:tcW w:w="0" w:type="auto"/>
            <w:gridSpan w:val="3"/>
            <w:vMerge/>
            <w:shd w:val="clear" w:color="auto" w:fill="auto"/>
            <w:tcMar>
              <w:top w:w="40" w:type="dxa"/>
              <w:left w:w="20" w:type="dxa"/>
              <w:bottom w:w="40" w:type="dxa"/>
              <w:right w:w="20" w:type="dxa"/>
            </w:tcMar>
          </w:tcPr>
          <w:p w14:paraId="67534523" w14:textId="77777777" w:rsidR="001B77DD" w:rsidRDefault="001B77DD">
            <w:pPr>
              <w:rPr>
                <w:rFonts w:ascii="宋体"/>
              </w:rPr>
            </w:pPr>
          </w:p>
        </w:tc>
      </w:tr>
      <w:tr w:rsidR="001B77DD" w14:paraId="67534528" w14:textId="77777777">
        <w:trPr>
          <w:hidden/>
        </w:trPr>
        <w:tc>
          <w:tcPr>
            <w:tcW w:w="0" w:type="auto"/>
            <w:gridSpan w:val="3"/>
            <w:shd w:val="clear" w:color="auto" w:fill="auto"/>
            <w:vAlign w:val="bottom"/>
          </w:tcPr>
          <w:p w14:paraId="67534525" w14:textId="77777777" w:rsidR="001B77DD" w:rsidRDefault="001B77DD">
            <w:pPr>
              <w:rPr>
                <w:rFonts w:ascii="宋体"/>
                <w:vanish/>
              </w:rPr>
            </w:pPr>
          </w:p>
        </w:tc>
        <w:tc>
          <w:tcPr>
            <w:tcW w:w="0" w:type="auto"/>
            <w:gridSpan w:val="3"/>
            <w:shd w:val="clear" w:color="auto" w:fill="auto"/>
            <w:vAlign w:val="bottom"/>
          </w:tcPr>
          <w:p w14:paraId="67534526" w14:textId="77777777" w:rsidR="001B77DD" w:rsidRDefault="001B77DD">
            <w:pPr>
              <w:rPr>
                <w:rFonts w:ascii="宋体"/>
                <w:vanish/>
              </w:rPr>
            </w:pPr>
          </w:p>
        </w:tc>
        <w:tc>
          <w:tcPr>
            <w:tcW w:w="0" w:type="auto"/>
            <w:gridSpan w:val="3"/>
            <w:vMerge/>
            <w:shd w:val="clear" w:color="auto" w:fill="auto"/>
            <w:tcMar>
              <w:top w:w="40" w:type="dxa"/>
              <w:left w:w="20" w:type="dxa"/>
              <w:bottom w:w="40" w:type="dxa"/>
              <w:right w:w="20" w:type="dxa"/>
            </w:tcMar>
          </w:tcPr>
          <w:p w14:paraId="67534527" w14:textId="77777777" w:rsidR="001B77DD" w:rsidRDefault="001B77DD">
            <w:pPr>
              <w:rPr>
                <w:rFonts w:ascii="宋体"/>
              </w:rPr>
            </w:pPr>
          </w:p>
        </w:tc>
      </w:tr>
      <w:tr w:rsidR="001B77DD" w14:paraId="6753452C" w14:textId="77777777">
        <w:trPr>
          <w:hidden/>
        </w:trPr>
        <w:tc>
          <w:tcPr>
            <w:tcW w:w="0" w:type="auto"/>
            <w:gridSpan w:val="3"/>
            <w:shd w:val="clear" w:color="auto" w:fill="auto"/>
            <w:vAlign w:val="bottom"/>
          </w:tcPr>
          <w:p w14:paraId="67534529" w14:textId="77777777" w:rsidR="001B77DD" w:rsidRDefault="001B77DD">
            <w:pPr>
              <w:rPr>
                <w:rFonts w:ascii="宋体"/>
                <w:vanish/>
              </w:rPr>
            </w:pPr>
          </w:p>
        </w:tc>
        <w:tc>
          <w:tcPr>
            <w:tcW w:w="0" w:type="auto"/>
            <w:gridSpan w:val="3"/>
            <w:shd w:val="clear" w:color="auto" w:fill="auto"/>
            <w:vAlign w:val="bottom"/>
          </w:tcPr>
          <w:p w14:paraId="6753452A" w14:textId="77777777" w:rsidR="001B77DD" w:rsidRDefault="001B77DD">
            <w:pPr>
              <w:rPr>
                <w:rFonts w:ascii="宋体"/>
                <w:vanish/>
              </w:rPr>
            </w:pPr>
          </w:p>
        </w:tc>
        <w:tc>
          <w:tcPr>
            <w:tcW w:w="0" w:type="auto"/>
            <w:gridSpan w:val="3"/>
            <w:shd w:val="clear" w:color="auto" w:fill="auto"/>
            <w:vAlign w:val="bottom"/>
          </w:tcPr>
          <w:p w14:paraId="6753452B" w14:textId="77777777" w:rsidR="001B77DD" w:rsidRDefault="001B77DD">
            <w:pPr>
              <w:rPr>
                <w:rFonts w:ascii="宋体"/>
                <w:vanish/>
              </w:rPr>
            </w:pPr>
          </w:p>
        </w:tc>
      </w:tr>
    </w:tbl>
    <w:p w14:paraId="6753452D" w14:textId="77777777" w:rsidR="001B77DD" w:rsidRDefault="001B77DD">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531" w14:textId="77777777">
        <w:tc>
          <w:tcPr>
            <w:tcW w:w="20" w:type="dxa"/>
            <w:shd w:val="clear" w:color="auto" w:fill="auto"/>
            <w:vAlign w:val="bottom"/>
          </w:tcPr>
          <w:p w14:paraId="6753452E" w14:textId="77777777" w:rsidR="001B77DD" w:rsidRDefault="001B77DD">
            <w:pPr>
              <w:rPr>
                <w:rFonts w:ascii="宋体"/>
              </w:rPr>
            </w:pPr>
          </w:p>
        </w:tc>
        <w:tc>
          <w:tcPr>
            <w:tcW w:w="10940" w:type="dxa"/>
            <w:shd w:val="clear" w:color="auto" w:fill="auto"/>
            <w:vAlign w:val="bottom"/>
          </w:tcPr>
          <w:p w14:paraId="6753452F" w14:textId="77777777" w:rsidR="001B77DD" w:rsidRDefault="001B77DD">
            <w:pPr>
              <w:rPr>
                <w:rFonts w:ascii="宋体"/>
              </w:rPr>
            </w:pPr>
          </w:p>
        </w:tc>
        <w:tc>
          <w:tcPr>
            <w:tcW w:w="20" w:type="dxa"/>
            <w:shd w:val="clear" w:color="auto" w:fill="auto"/>
            <w:vAlign w:val="bottom"/>
          </w:tcPr>
          <w:p w14:paraId="67534530" w14:textId="77777777" w:rsidR="001B77DD" w:rsidRDefault="001B77DD">
            <w:pPr>
              <w:rPr>
                <w:rFonts w:ascii="宋体"/>
              </w:rPr>
            </w:pPr>
          </w:p>
        </w:tc>
      </w:tr>
      <w:tr w:rsidR="001B77DD" w14:paraId="67534533"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532" w14:textId="77777777" w:rsidR="001B77DD" w:rsidRDefault="00BF0A28">
            <w:pPr>
              <w:textAlignment w:val="bottom"/>
            </w:pPr>
            <w:r>
              <w:rPr>
                <w:rFonts w:ascii="Arial" w:eastAsia="宋体" w:hAnsi="Arial" w:cs="Arial"/>
                <w:color w:val="0068B5"/>
                <w:sz w:val="20"/>
                <w:szCs w:val="20"/>
              </w:rPr>
              <w:t>5-year Trends</w:t>
            </w:r>
          </w:p>
        </w:tc>
      </w:tr>
    </w:tbl>
    <w:p w14:paraId="67534534"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3B" wp14:editId="67538E3C">
            <wp:extent cx="304800" cy="304800"/>
            <wp:effectExtent l="0" t="0" r="0" b="0"/>
            <wp:docPr id="22" name="图片 137"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7" descr="IMG_33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w:instrText>
      </w:r>
      <w:r>
        <w:rPr>
          <w:rFonts w:ascii="宋体" w:eastAsia="宋体" w:hAnsi="宋体" w:cs="宋体"/>
        </w:rPr>
        <w:instrText xml:space="preserve">225_g62.jpg"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3D" wp14:editId="67538E3E">
            <wp:extent cx="304800" cy="304800"/>
            <wp:effectExtent l="0" t="0" r="0" b="0"/>
            <wp:docPr id="35" name="图片 138"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8" descr="IMG_33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710" w:type="dxa"/>
        <w:tblCellMar>
          <w:top w:w="15" w:type="dxa"/>
          <w:left w:w="15" w:type="dxa"/>
          <w:bottom w:w="15" w:type="dxa"/>
          <w:right w:w="15" w:type="dxa"/>
        </w:tblCellMar>
        <w:tblLook w:val="04A0" w:firstRow="1" w:lastRow="0" w:firstColumn="1" w:lastColumn="0" w:noHBand="0" w:noVBand="1"/>
      </w:tblPr>
      <w:tblGrid>
        <w:gridCol w:w="36"/>
        <w:gridCol w:w="532"/>
        <w:gridCol w:w="36"/>
        <w:gridCol w:w="36"/>
        <w:gridCol w:w="2180"/>
        <w:gridCol w:w="36"/>
        <w:gridCol w:w="36"/>
        <w:gridCol w:w="2177"/>
        <w:gridCol w:w="36"/>
        <w:gridCol w:w="36"/>
        <w:gridCol w:w="826"/>
        <w:gridCol w:w="36"/>
        <w:gridCol w:w="36"/>
        <w:gridCol w:w="2119"/>
        <w:gridCol w:w="36"/>
        <w:gridCol w:w="36"/>
        <w:gridCol w:w="2117"/>
        <w:gridCol w:w="36"/>
        <w:gridCol w:w="36"/>
        <w:gridCol w:w="255"/>
        <w:gridCol w:w="36"/>
      </w:tblGrid>
      <w:tr w:rsidR="001B77DD" w14:paraId="6753454A" w14:textId="77777777">
        <w:tc>
          <w:tcPr>
            <w:tcW w:w="20" w:type="dxa"/>
            <w:shd w:val="clear" w:color="auto" w:fill="auto"/>
            <w:vAlign w:val="bottom"/>
          </w:tcPr>
          <w:p w14:paraId="67534535" w14:textId="77777777" w:rsidR="001B77DD" w:rsidRDefault="001B77DD">
            <w:pPr>
              <w:rPr>
                <w:rFonts w:ascii="宋体"/>
              </w:rPr>
            </w:pPr>
          </w:p>
        </w:tc>
        <w:tc>
          <w:tcPr>
            <w:tcW w:w="545" w:type="dxa"/>
            <w:shd w:val="clear" w:color="auto" w:fill="auto"/>
            <w:vAlign w:val="bottom"/>
          </w:tcPr>
          <w:p w14:paraId="67534536" w14:textId="77777777" w:rsidR="001B77DD" w:rsidRDefault="001B77DD">
            <w:pPr>
              <w:rPr>
                <w:rFonts w:ascii="宋体"/>
              </w:rPr>
            </w:pPr>
          </w:p>
        </w:tc>
        <w:tc>
          <w:tcPr>
            <w:tcW w:w="20" w:type="dxa"/>
            <w:shd w:val="clear" w:color="auto" w:fill="auto"/>
            <w:vAlign w:val="bottom"/>
          </w:tcPr>
          <w:p w14:paraId="67534537" w14:textId="77777777" w:rsidR="001B77DD" w:rsidRDefault="001B77DD">
            <w:pPr>
              <w:rPr>
                <w:rFonts w:ascii="宋体"/>
              </w:rPr>
            </w:pPr>
          </w:p>
        </w:tc>
        <w:tc>
          <w:tcPr>
            <w:tcW w:w="20" w:type="dxa"/>
            <w:shd w:val="clear" w:color="auto" w:fill="auto"/>
            <w:vAlign w:val="bottom"/>
          </w:tcPr>
          <w:p w14:paraId="67534538" w14:textId="77777777" w:rsidR="001B77DD" w:rsidRDefault="001B77DD">
            <w:pPr>
              <w:rPr>
                <w:rFonts w:ascii="宋体"/>
              </w:rPr>
            </w:pPr>
          </w:p>
        </w:tc>
        <w:tc>
          <w:tcPr>
            <w:tcW w:w="2225" w:type="dxa"/>
            <w:shd w:val="clear" w:color="auto" w:fill="auto"/>
            <w:vAlign w:val="bottom"/>
          </w:tcPr>
          <w:p w14:paraId="67534539" w14:textId="77777777" w:rsidR="001B77DD" w:rsidRDefault="001B77DD">
            <w:pPr>
              <w:rPr>
                <w:rFonts w:ascii="宋体"/>
              </w:rPr>
            </w:pPr>
          </w:p>
        </w:tc>
        <w:tc>
          <w:tcPr>
            <w:tcW w:w="20" w:type="dxa"/>
            <w:shd w:val="clear" w:color="auto" w:fill="auto"/>
            <w:vAlign w:val="bottom"/>
          </w:tcPr>
          <w:p w14:paraId="6753453A" w14:textId="77777777" w:rsidR="001B77DD" w:rsidRDefault="001B77DD">
            <w:pPr>
              <w:rPr>
                <w:rFonts w:ascii="宋体"/>
              </w:rPr>
            </w:pPr>
          </w:p>
        </w:tc>
        <w:tc>
          <w:tcPr>
            <w:tcW w:w="20" w:type="dxa"/>
            <w:shd w:val="clear" w:color="auto" w:fill="auto"/>
            <w:vAlign w:val="bottom"/>
          </w:tcPr>
          <w:p w14:paraId="6753453B" w14:textId="77777777" w:rsidR="001B77DD" w:rsidRDefault="001B77DD">
            <w:pPr>
              <w:rPr>
                <w:rFonts w:ascii="宋体"/>
              </w:rPr>
            </w:pPr>
          </w:p>
        </w:tc>
        <w:tc>
          <w:tcPr>
            <w:tcW w:w="2225" w:type="dxa"/>
            <w:shd w:val="clear" w:color="auto" w:fill="auto"/>
            <w:vAlign w:val="bottom"/>
          </w:tcPr>
          <w:p w14:paraId="6753453C" w14:textId="77777777" w:rsidR="001B77DD" w:rsidRDefault="001B77DD">
            <w:pPr>
              <w:rPr>
                <w:rFonts w:ascii="宋体"/>
              </w:rPr>
            </w:pPr>
          </w:p>
        </w:tc>
        <w:tc>
          <w:tcPr>
            <w:tcW w:w="20" w:type="dxa"/>
            <w:shd w:val="clear" w:color="auto" w:fill="auto"/>
            <w:vAlign w:val="bottom"/>
          </w:tcPr>
          <w:p w14:paraId="6753453D" w14:textId="77777777" w:rsidR="001B77DD" w:rsidRDefault="001B77DD">
            <w:pPr>
              <w:rPr>
                <w:rFonts w:ascii="宋体"/>
              </w:rPr>
            </w:pPr>
          </w:p>
        </w:tc>
        <w:tc>
          <w:tcPr>
            <w:tcW w:w="20" w:type="dxa"/>
            <w:shd w:val="clear" w:color="auto" w:fill="auto"/>
            <w:vAlign w:val="bottom"/>
          </w:tcPr>
          <w:p w14:paraId="6753453E" w14:textId="77777777" w:rsidR="001B77DD" w:rsidRDefault="001B77DD">
            <w:pPr>
              <w:rPr>
                <w:rFonts w:ascii="宋体"/>
              </w:rPr>
            </w:pPr>
          </w:p>
        </w:tc>
        <w:tc>
          <w:tcPr>
            <w:tcW w:w="845" w:type="dxa"/>
            <w:shd w:val="clear" w:color="auto" w:fill="auto"/>
            <w:vAlign w:val="bottom"/>
          </w:tcPr>
          <w:p w14:paraId="6753453F" w14:textId="77777777" w:rsidR="001B77DD" w:rsidRDefault="001B77DD">
            <w:pPr>
              <w:rPr>
                <w:rFonts w:ascii="宋体"/>
              </w:rPr>
            </w:pPr>
          </w:p>
        </w:tc>
        <w:tc>
          <w:tcPr>
            <w:tcW w:w="20" w:type="dxa"/>
            <w:shd w:val="clear" w:color="auto" w:fill="auto"/>
            <w:vAlign w:val="bottom"/>
          </w:tcPr>
          <w:p w14:paraId="67534540" w14:textId="77777777" w:rsidR="001B77DD" w:rsidRDefault="001B77DD">
            <w:pPr>
              <w:rPr>
                <w:rFonts w:ascii="宋体"/>
              </w:rPr>
            </w:pPr>
          </w:p>
        </w:tc>
        <w:tc>
          <w:tcPr>
            <w:tcW w:w="20" w:type="dxa"/>
            <w:shd w:val="clear" w:color="auto" w:fill="auto"/>
            <w:vAlign w:val="bottom"/>
          </w:tcPr>
          <w:p w14:paraId="67534541" w14:textId="77777777" w:rsidR="001B77DD" w:rsidRDefault="001B77DD">
            <w:pPr>
              <w:rPr>
                <w:rFonts w:ascii="宋体"/>
              </w:rPr>
            </w:pPr>
          </w:p>
        </w:tc>
        <w:tc>
          <w:tcPr>
            <w:tcW w:w="2165" w:type="dxa"/>
            <w:shd w:val="clear" w:color="auto" w:fill="auto"/>
            <w:vAlign w:val="bottom"/>
          </w:tcPr>
          <w:p w14:paraId="67534542" w14:textId="77777777" w:rsidR="001B77DD" w:rsidRDefault="001B77DD">
            <w:pPr>
              <w:rPr>
                <w:rFonts w:ascii="宋体"/>
              </w:rPr>
            </w:pPr>
          </w:p>
        </w:tc>
        <w:tc>
          <w:tcPr>
            <w:tcW w:w="20" w:type="dxa"/>
            <w:shd w:val="clear" w:color="auto" w:fill="auto"/>
            <w:vAlign w:val="bottom"/>
          </w:tcPr>
          <w:p w14:paraId="67534543" w14:textId="77777777" w:rsidR="001B77DD" w:rsidRDefault="001B77DD">
            <w:pPr>
              <w:rPr>
                <w:rFonts w:ascii="宋体"/>
              </w:rPr>
            </w:pPr>
          </w:p>
        </w:tc>
        <w:tc>
          <w:tcPr>
            <w:tcW w:w="20" w:type="dxa"/>
            <w:shd w:val="clear" w:color="auto" w:fill="auto"/>
            <w:vAlign w:val="bottom"/>
          </w:tcPr>
          <w:p w14:paraId="67534544" w14:textId="77777777" w:rsidR="001B77DD" w:rsidRDefault="001B77DD">
            <w:pPr>
              <w:rPr>
                <w:rFonts w:ascii="宋体"/>
              </w:rPr>
            </w:pPr>
          </w:p>
        </w:tc>
        <w:tc>
          <w:tcPr>
            <w:tcW w:w="2165" w:type="dxa"/>
            <w:shd w:val="clear" w:color="auto" w:fill="auto"/>
            <w:vAlign w:val="bottom"/>
          </w:tcPr>
          <w:p w14:paraId="67534545" w14:textId="77777777" w:rsidR="001B77DD" w:rsidRDefault="001B77DD">
            <w:pPr>
              <w:rPr>
                <w:rFonts w:ascii="宋体"/>
              </w:rPr>
            </w:pPr>
          </w:p>
        </w:tc>
        <w:tc>
          <w:tcPr>
            <w:tcW w:w="20" w:type="dxa"/>
            <w:shd w:val="clear" w:color="auto" w:fill="auto"/>
            <w:vAlign w:val="bottom"/>
          </w:tcPr>
          <w:p w14:paraId="67534546" w14:textId="77777777" w:rsidR="001B77DD" w:rsidRDefault="001B77DD">
            <w:pPr>
              <w:rPr>
                <w:rFonts w:ascii="宋体"/>
              </w:rPr>
            </w:pPr>
          </w:p>
        </w:tc>
        <w:tc>
          <w:tcPr>
            <w:tcW w:w="20" w:type="dxa"/>
            <w:shd w:val="clear" w:color="auto" w:fill="auto"/>
            <w:vAlign w:val="bottom"/>
          </w:tcPr>
          <w:p w14:paraId="67534547" w14:textId="77777777" w:rsidR="001B77DD" w:rsidRDefault="001B77DD">
            <w:pPr>
              <w:rPr>
                <w:rFonts w:ascii="宋体"/>
              </w:rPr>
            </w:pPr>
          </w:p>
        </w:tc>
        <w:tc>
          <w:tcPr>
            <w:tcW w:w="260" w:type="dxa"/>
            <w:shd w:val="clear" w:color="auto" w:fill="auto"/>
            <w:vAlign w:val="bottom"/>
          </w:tcPr>
          <w:p w14:paraId="67534548" w14:textId="77777777" w:rsidR="001B77DD" w:rsidRDefault="001B77DD">
            <w:pPr>
              <w:rPr>
                <w:rFonts w:ascii="宋体"/>
              </w:rPr>
            </w:pPr>
          </w:p>
        </w:tc>
        <w:tc>
          <w:tcPr>
            <w:tcW w:w="20" w:type="dxa"/>
            <w:shd w:val="clear" w:color="auto" w:fill="auto"/>
            <w:vAlign w:val="bottom"/>
          </w:tcPr>
          <w:p w14:paraId="67534549" w14:textId="77777777" w:rsidR="001B77DD" w:rsidRDefault="001B77DD">
            <w:pPr>
              <w:rPr>
                <w:rFonts w:ascii="宋体"/>
              </w:rPr>
            </w:pPr>
          </w:p>
        </w:tc>
      </w:tr>
      <w:tr w:rsidR="001B77DD" w14:paraId="67534550" w14:textId="77777777">
        <w:trPr>
          <w:trHeight w:val="220"/>
        </w:trPr>
        <w:tc>
          <w:tcPr>
            <w:tcW w:w="0" w:type="auto"/>
            <w:gridSpan w:val="3"/>
            <w:shd w:val="clear" w:color="auto" w:fill="auto"/>
            <w:tcMar>
              <w:top w:w="0" w:type="dxa"/>
              <w:left w:w="20" w:type="dxa"/>
              <w:bottom w:w="0" w:type="dxa"/>
              <w:right w:w="20" w:type="dxa"/>
            </w:tcMar>
            <w:vAlign w:val="bottom"/>
          </w:tcPr>
          <w:p w14:paraId="6753454B"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tcPr>
          <w:p w14:paraId="6753454C" w14:textId="77777777" w:rsidR="001B77DD" w:rsidRDefault="00BF0A28">
            <w:pPr>
              <w:jc w:val="cente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vAlign w:val="bottom"/>
          </w:tcPr>
          <w:p w14:paraId="6753454D"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tcPr>
          <w:p w14:paraId="6753454E" w14:textId="77777777" w:rsidR="001B77DD" w:rsidRDefault="00BF0A28">
            <w:pPr>
              <w:jc w:val="cente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vAlign w:val="bottom"/>
          </w:tcPr>
          <w:p w14:paraId="6753454F" w14:textId="77777777" w:rsidR="001B77DD" w:rsidRDefault="001B77DD">
            <w:pPr>
              <w:rPr>
                <w:rFonts w:ascii="宋体"/>
              </w:rPr>
            </w:pPr>
          </w:p>
        </w:tc>
      </w:tr>
    </w:tbl>
    <w:p w14:paraId="67534551" w14:textId="77777777" w:rsidR="001B77DD" w:rsidRDefault="001B77DD"/>
    <w:p w14:paraId="67534552"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55C" w14:textId="77777777">
        <w:tc>
          <w:tcPr>
            <w:tcW w:w="50" w:type="pct"/>
            <w:shd w:val="clear" w:color="auto" w:fill="auto"/>
            <w:vAlign w:val="bottom"/>
          </w:tcPr>
          <w:p w14:paraId="67534553" w14:textId="77777777" w:rsidR="001B77DD" w:rsidRDefault="001B77DD">
            <w:pPr>
              <w:rPr>
                <w:rFonts w:ascii="宋体"/>
              </w:rPr>
            </w:pPr>
          </w:p>
        </w:tc>
        <w:tc>
          <w:tcPr>
            <w:tcW w:w="283" w:type="pct"/>
            <w:shd w:val="clear" w:color="auto" w:fill="auto"/>
            <w:vAlign w:val="bottom"/>
          </w:tcPr>
          <w:p w14:paraId="67534554" w14:textId="77777777" w:rsidR="001B77DD" w:rsidRDefault="001B77DD">
            <w:pPr>
              <w:rPr>
                <w:rFonts w:ascii="宋体"/>
              </w:rPr>
            </w:pPr>
          </w:p>
        </w:tc>
        <w:tc>
          <w:tcPr>
            <w:tcW w:w="5" w:type="pct"/>
            <w:shd w:val="clear" w:color="auto" w:fill="auto"/>
            <w:vAlign w:val="bottom"/>
          </w:tcPr>
          <w:p w14:paraId="67534555" w14:textId="77777777" w:rsidR="001B77DD" w:rsidRDefault="001B77DD">
            <w:pPr>
              <w:rPr>
                <w:rFonts w:ascii="宋体"/>
              </w:rPr>
            </w:pPr>
          </w:p>
        </w:tc>
        <w:tc>
          <w:tcPr>
            <w:tcW w:w="50" w:type="pct"/>
            <w:shd w:val="clear" w:color="auto" w:fill="auto"/>
            <w:vAlign w:val="bottom"/>
          </w:tcPr>
          <w:p w14:paraId="67534556" w14:textId="77777777" w:rsidR="001B77DD" w:rsidRDefault="001B77DD">
            <w:pPr>
              <w:rPr>
                <w:rFonts w:ascii="宋体"/>
              </w:rPr>
            </w:pPr>
          </w:p>
        </w:tc>
        <w:tc>
          <w:tcPr>
            <w:tcW w:w="2656" w:type="pct"/>
            <w:shd w:val="clear" w:color="auto" w:fill="auto"/>
            <w:vAlign w:val="bottom"/>
          </w:tcPr>
          <w:p w14:paraId="67534557" w14:textId="77777777" w:rsidR="001B77DD" w:rsidRDefault="001B77DD">
            <w:pPr>
              <w:rPr>
                <w:rFonts w:ascii="宋体"/>
              </w:rPr>
            </w:pPr>
          </w:p>
        </w:tc>
        <w:tc>
          <w:tcPr>
            <w:tcW w:w="5" w:type="pct"/>
            <w:shd w:val="clear" w:color="auto" w:fill="auto"/>
            <w:vAlign w:val="bottom"/>
          </w:tcPr>
          <w:p w14:paraId="67534558" w14:textId="77777777" w:rsidR="001B77DD" w:rsidRDefault="001B77DD">
            <w:pPr>
              <w:rPr>
                <w:rFonts w:ascii="宋体"/>
              </w:rPr>
            </w:pPr>
          </w:p>
        </w:tc>
        <w:tc>
          <w:tcPr>
            <w:tcW w:w="50" w:type="pct"/>
            <w:shd w:val="clear" w:color="auto" w:fill="auto"/>
            <w:vAlign w:val="bottom"/>
          </w:tcPr>
          <w:p w14:paraId="67534559" w14:textId="77777777" w:rsidR="001B77DD" w:rsidRDefault="001B77DD">
            <w:pPr>
              <w:rPr>
                <w:rFonts w:ascii="宋体"/>
              </w:rPr>
            </w:pPr>
          </w:p>
        </w:tc>
        <w:tc>
          <w:tcPr>
            <w:tcW w:w="1894" w:type="pct"/>
            <w:shd w:val="clear" w:color="auto" w:fill="auto"/>
            <w:vAlign w:val="bottom"/>
          </w:tcPr>
          <w:p w14:paraId="6753455A" w14:textId="77777777" w:rsidR="001B77DD" w:rsidRDefault="001B77DD">
            <w:pPr>
              <w:rPr>
                <w:rFonts w:ascii="宋体"/>
              </w:rPr>
            </w:pPr>
          </w:p>
        </w:tc>
        <w:tc>
          <w:tcPr>
            <w:tcW w:w="5" w:type="pct"/>
            <w:shd w:val="clear" w:color="auto" w:fill="auto"/>
            <w:vAlign w:val="bottom"/>
          </w:tcPr>
          <w:p w14:paraId="6753455B" w14:textId="77777777" w:rsidR="001B77DD" w:rsidRDefault="001B77DD">
            <w:pPr>
              <w:rPr>
                <w:rFonts w:ascii="宋体"/>
              </w:rPr>
            </w:pPr>
          </w:p>
        </w:tc>
      </w:tr>
      <w:tr w:rsidR="001B77DD" w14:paraId="6753456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55D"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3F" wp14:editId="67538E40">
                  <wp:extent cx="304800" cy="304800"/>
                  <wp:effectExtent l="0" t="0" r="0" b="0"/>
                  <wp:docPr id="28" name="图片 13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55E"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55F" w14:textId="77777777" w:rsidR="001B77DD" w:rsidRDefault="00BF0A28">
            <w:pPr>
              <w:jc w:val="right"/>
              <w:textAlignment w:val="center"/>
            </w:pPr>
            <w:r>
              <w:rPr>
                <w:rFonts w:ascii="Arial" w:eastAsia="宋体" w:hAnsi="Arial" w:cs="Arial"/>
                <w:color w:val="262626"/>
                <w:sz w:val="16"/>
                <w:szCs w:val="16"/>
              </w:rPr>
              <w:t>23</w:t>
            </w:r>
          </w:p>
        </w:tc>
      </w:tr>
    </w:tbl>
    <w:p w14:paraId="67534561" w14:textId="77777777" w:rsidR="001B77DD" w:rsidRDefault="00BF0A28">
      <w:r>
        <w:pict w14:anchorId="67538E41">
          <v:rect id="_x0000_i1049" style="width:415.3pt;height:1.5pt" o:hralign="center" o:hrstd="t" o:hr="t" fillcolor="#a0a0a0" stroked="f"/>
        </w:pict>
      </w:r>
    </w:p>
    <w:p w14:paraId="67534562" w14:textId="77777777" w:rsidR="001B77DD" w:rsidRDefault="00BF0A28">
      <w:pPr>
        <w:jc w:val="right"/>
      </w:pPr>
      <w:hyperlink r:id="rId84" w:anchor="i6c9ced68f6b24d58a3dcf326e8c3c699_16" w:history="1">
        <w:r>
          <w:rPr>
            <w:rStyle w:val="a5"/>
            <w:rFonts w:ascii="Arial" w:eastAsia="宋体" w:hAnsi="Arial" w:cs="Arial"/>
            <w:b/>
            <w:bCs/>
            <w:sz w:val="16"/>
            <w:szCs w:val="16"/>
          </w:rPr>
          <w:t>Table of Contents</w:t>
        </w:r>
      </w:hyperlink>
    </w:p>
    <w:p w14:paraId="67534563" w14:textId="77777777" w:rsidR="001B77DD" w:rsidRDefault="00BF0A28">
      <w:pPr>
        <w:spacing w:after="120"/>
      </w:pPr>
      <w:r>
        <w:rPr>
          <w:rFonts w:ascii="Arial" w:eastAsia="宋体" w:hAnsi="Arial" w:cs="Arial"/>
          <w:color w:val="0068B5"/>
        </w:rPr>
        <w:t>Market and Business Overview</w:t>
      </w:r>
    </w:p>
    <w:p w14:paraId="67534564" w14:textId="77777777" w:rsidR="001B77DD" w:rsidRDefault="00BF0A28">
      <w:pPr>
        <w:spacing w:after="120"/>
      </w:pPr>
      <w:r>
        <w:rPr>
          <w:rFonts w:ascii="Arial" w:eastAsia="宋体" w:hAnsi="Arial" w:cs="Arial"/>
          <w:color w:val="0068B5"/>
          <w:sz w:val="20"/>
          <w:szCs w:val="20"/>
        </w:rPr>
        <w:t>Market Trends and Strategy</w:t>
      </w:r>
    </w:p>
    <w:p w14:paraId="67534565" w14:textId="77777777" w:rsidR="001B77DD" w:rsidRDefault="00BF0A28">
      <w:pPr>
        <w:spacing w:after="120"/>
      </w:pPr>
      <w:r>
        <w:rPr>
          <w:rFonts w:ascii="Arial" w:eastAsia="宋体" w:hAnsi="Arial" w:cs="Arial"/>
          <w:color w:val="262626"/>
          <w:sz w:val="18"/>
          <w:szCs w:val="18"/>
        </w:rPr>
        <w:t xml:space="preserve">Data is a significant force in society and is being generated at an unprecedented pace. In the context of the data center, four superpowers are shaping the future of technology: </w:t>
      </w:r>
    </w:p>
    <w:p w14:paraId="67534566"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Ubiquitous Compute:</w:t>
      </w:r>
      <w:r>
        <w:rPr>
          <w:rFonts w:ascii="Arial" w:eastAsia="宋体" w:hAnsi="Arial" w:cs="Arial"/>
          <w:color w:val="262626"/>
          <w:sz w:val="18"/>
          <w:szCs w:val="18"/>
        </w:rPr>
        <w:t xml:space="preserve"> Businesses are demanding compute at the edge to drive in</w:t>
      </w:r>
      <w:r>
        <w:rPr>
          <w:rFonts w:ascii="Arial" w:eastAsia="宋体" w:hAnsi="Arial" w:cs="Arial"/>
          <w:color w:val="262626"/>
          <w:sz w:val="18"/>
          <w:szCs w:val="18"/>
        </w:rPr>
        <w:t xml:space="preserve">sights more quickly from growing amounts of data as everything consumers interact with involves computer technology. </w:t>
      </w:r>
    </w:p>
    <w:p w14:paraId="67534567"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Pervasive Connectivity:</w:t>
      </w:r>
      <w:r>
        <w:rPr>
          <w:rFonts w:ascii="Arial" w:eastAsia="宋体" w:hAnsi="Arial" w:cs="Arial"/>
          <w:b/>
          <w:bCs/>
          <w:color w:val="262626"/>
          <w:sz w:val="18"/>
          <w:szCs w:val="18"/>
        </w:rPr>
        <w:t xml:space="preserve"> </w:t>
      </w:r>
      <w:r>
        <w:rPr>
          <w:rFonts w:ascii="Arial" w:eastAsia="宋体" w:hAnsi="Arial" w:cs="Arial"/>
          <w:color w:val="262626"/>
          <w:sz w:val="18"/>
          <w:szCs w:val="18"/>
        </w:rPr>
        <w:t>Increased connectivity is enabling a universal reach with more data movement than ever before, connecting billion</w:t>
      </w:r>
      <w:r>
        <w:rPr>
          <w:rFonts w:ascii="Arial" w:eastAsia="宋体" w:hAnsi="Arial" w:cs="Arial"/>
          <w:color w:val="262626"/>
          <w:sz w:val="18"/>
          <w:szCs w:val="18"/>
        </w:rPr>
        <w:t>s of devices and putting more powerful compute resources in the hands of consumers.</w:t>
      </w:r>
    </w:p>
    <w:p w14:paraId="67534568"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0068B5"/>
          <w:sz w:val="18"/>
          <w:szCs w:val="18"/>
        </w:rPr>
        <w:t>Cloud to Edge:</w:t>
      </w:r>
      <w:r>
        <w:rPr>
          <w:rFonts w:ascii="Arial" w:eastAsia="宋体" w:hAnsi="Arial" w:cs="Arial"/>
          <w:b/>
          <w:bCs/>
          <w:color w:val="262626"/>
          <w:sz w:val="18"/>
          <w:szCs w:val="18"/>
        </w:rPr>
        <w:t xml:space="preserve"> </w:t>
      </w:r>
      <w:r>
        <w:rPr>
          <w:rFonts w:ascii="Arial" w:eastAsia="宋体" w:hAnsi="Arial" w:cs="Arial"/>
          <w:color w:val="262626"/>
          <w:sz w:val="18"/>
          <w:szCs w:val="18"/>
        </w:rPr>
        <w:t>The proliferation of cloud architectures, which started inside the data center to deliver new levels of efficiency and scale, is now the core of the data in</w:t>
      </w:r>
      <w:r>
        <w:rPr>
          <w:rFonts w:ascii="Arial" w:eastAsia="宋体" w:hAnsi="Arial" w:cs="Arial"/>
          <w:color w:val="262626"/>
          <w:sz w:val="18"/>
          <w:szCs w:val="18"/>
        </w:rPr>
        <w:t>frastructure. The growth and prevalence of the cloud is leading to the democratization of high-performance computing, which opens new frontiers of knowledge in areas like precision medicine and numerical weather prediction. Rapid adoption of 5G is enabling</w:t>
      </w:r>
      <w:r>
        <w:rPr>
          <w:rFonts w:ascii="Arial" w:eastAsia="宋体" w:hAnsi="Arial" w:cs="Arial"/>
          <w:color w:val="262626"/>
          <w:sz w:val="18"/>
          <w:szCs w:val="18"/>
        </w:rPr>
        <w:t xml:space="preserve"> increased bandwidth and fueling continued transformation of the network. The evolution of the networks is creating unlimited scale and giving rise to the intelligent edge.</w:t>
      </w:r>
    </w:p>
    <w:p w14:paraId="67534569"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0068B5"/>
          <w:sz w:val="18"/>
          <w:szCs w:val="18"/>
        </w:rPr>
        <w:t>AI:</w:t>
      </w:r>
      <w:r>
        <w:rPr>
          <w:rFonts w:ascii="Arial" w:eastAsia="宋体" w:hAnsi="Arial" w:cs="Arial"/>
          <w:color w:val="262626"/>
          <w:sz w:val="18"/>
          <w:szCs w:val="18"/>
        </w:rPr>
        <w:t xml:space="preserve"> AI is fundamental and becoming pervasive in all applications, creating intelli</w:t>
      </w:r>
      <w:r>
        <w:rPr>
          <w:rFonts w:ascii="Arial" w:eastAsia="宋体" w:hAnsi="Arial" w:cs="Arial"/>
          <w:color w:val="262626"/>
          <w:sz w:val="18"/>
          <w:szCs w:val="18"/>
        </w:rPr>
        <w:t>gence everywhere, and enabling powerful new uses of compute across all fields.</w:t>
      </w:r>
    </w:p>
    <w:p w14:paraId="6753456A" w14:textId="77777777" w:rsidR="001B77DD" w:rsidRDefault="00BF0A28">
      <w:pPr>
        <w:spacing w:after="60"/>
      </w:pPr>
      <w:r>
        <w:rPr>
          <w:rFonts w:ascii="Arial" w:eastAsia="宋体" w:hAnsi="Arial" w:cs="Arial"/>
          <w:color w:val="262626"/>
          <w:sz w:val="18"/>
          <w:szCs w:val="18"/>
        </w:rPr>
        <w:t>Data centers—whether servicing compute, networking, or edge workloads—will go through a massive architectural transformation, leveraging heterogeneous computing with different types of processor architectures optimized for different workloads. With unmatch</w:t>
      </w:r>
      <w:r>
        <w:rPr>
          <w:rFonts w:ascii="Arial" w:eastAsia="宋体" w:hAnsi="Arial" w:cs="Arial"/>
          <w:color w:val="262626"/>
          <w:sz w:val="18"/>
          <w:szCs w:val="18"/>
        </w:rPr>
        <w:t xml:space="preserve">ed scale, hardware and software portfolio breadth, and ecosystem support, we are uniquely positioned to unlock the value of data for people, business, and society on a global scale. </w:t>
      </w:r>
    </w:p>
    <w:tbl>
      <w:tblPr>
        <w:tblW w:w="11100" w:type="dxa"/>
        <w:tblCellMar>
          <w:top w:w="15" w:type="dxa"/>
          <w:left w:w="15" w:type="dxa"/>
          <w:bottom w:w="15" w:type="dxa"/>
          <w:right w:w="15" w:type="dxa"/>
        </w:tblCellMar>
        <w:tblLook w:val="04A0" w:firstRow="1" w:lastRow="0" w:firstColumn="1" w:lastColumn="0" w:noHBand="0" w:noVBand="1"/>
      </w:tblPr>
      <w:tblGrid>
        <w:gridCol w:w="36"/>
        <w:gridCol w:w="3557"/>
        <w:gridCol w:w="36"/>
        <w:gridCol w:w="36"/>
        <w:gridCol w:w="36"/>
        <w:gridCol w:w="36"/>
        <w:gridCol w:w="36"/>
        <w:gridCol w:w="3556"/>
        <w:gridCol w:w="36"/>
        <w:gridCol w:w="36"/>
        <w:gridCol w:w="36"/>
        <w:gridCol w:w="36"/>
        <w:gridCol w:w="36"/>
        <w:gridCol w:w="3555"/>
        <w:gridCol w:w="36"/>
      </w:tblGrid>
      <w:tr w:rsidR="001B77DD" w14:paraId="6753457A" w14:textId="77777777">
        <w:tc>
          <w:tcPr>
            <w:tcW w:w="20" w:type="dxa"/>
            <w:shd w:val="clear" w:color="auto" w:fill="auto"/>
            <w:vAlign w:val="bottom"/>
          </w:tcPr>
          <w:p w14:paraId="6753456B" w14:textId="77777777" w:rsidR="001B77DD" w:rsidRDefault="001B77DD">
            <w:pPr>
              <w:rPr>
                <w:rFonts w:ascii="宋体"/>
              </w:rPr>
            </w:pPr>
          </w:p>
        </w:tc>
        <w:tc>
          <w:tcPr>
            <w:tcW w:w="3620" w:type="dxa"/>
            <w:shd w:val="clear" w:color="auto" w:fill="auto"/>
            <w:vAlign w:val="bottom"/>
          </w:tcPr>
          <w:p w14:paraId="6753456C" w14:textId="77777777" w:rsidR="001B77DD" w:rsidRDefault="001B77DD">
            <w:pPr>
              <w:rPr>
                <w:rFonts w:ascii="宋体"/>
              </w:rPr>
            </w:pPr>
          </w:p>
        </w:tc>
        <w:tc>
          <w:tcPr>
            <w:tcW w:w="20" w:type="dxa"/>
            <w:shd w:val="clear" w:color="auto" w:fill="auto"/>
            <w:vAlign w:val="bottom"/>
          </w:tcPr>
          <w:p w14:paraId="6753456D" w14:textId="77777777" w:rsidR="001B77DD" w:rsidRDefault="001B77DD">
            <w:pPr>
              <w:rPr>
                <w:rFonts w:ascii="宋体"/>
              </w:rPr>
            </w:pPr>
          </w:p>
        </w:tc>
        <w:tc>
          <w:tcPr>
            <w:tcW w:w="20" w:type="dxa"/>
            <w:shd w:val="clear" w:color="auto" w:fill="auto"/>
            <w:vAlign w:val="bottom"/>
          </w:tcPr>
          <w:p w14:paraId="6753456E" w14:textId="77777777" w:rsidR="001B77DD" w:rsidRDefault="001B77DD">
            <w:pPr>
              <w:rPr>
                <w:rFonts w:ascii="宋体"/>
              </w:rPr>
            </w:pPr>
          </w:p>
        </w:tc>
        <w:tc>
          <w:tcPr>
            <w:tcW w:w="20" w:type="dxa"/>
            <w:shd w:val="clear" w:color="auto" w:fill="auto"/>
            <w:vAlign w:val="bottom"/>
          </w:tcPr>
          <w:p w14:paraId="6753456F" w14:textId="77777777" w:rsidR="001B77DD" w:rsidRDefault="001B77DD">
            <w:pPr>
              <w:rPr>
                <w:rFonts w:ascii="宋体"/>
              </w:rPr>
            </w:pPr>
          </w:p>
        </w:tc>
        <w:tc>
          <w:tcPr>
            <w:tcW w:w="20" w:type="dxa"/>
            <w:shd w:val="clear" w:color="auto" w:fill="auto"/>
            <w:vAlign w:val="bottom"/>
          </w:tcPr>
          <w:p w14:paraId="67534570" w14:textId="77777777" w:rsidR="001B77DD" w:rsidRDefault="001B77DD">
            <w:pPr>
              <w:rPr>
                <w:rFonts w:ascii="宋体"/>
              </w:rPr>
            </w:pPr>
          </w:p>
        </w:tc>
        <w:tc>
          <w:tcPr>
            <w:tcW w:w="20" w:type="dxa"/>
            <w:shd w:val="clear" w:color="auto" w:fill="auto"/>
            <w:vAlign w:val="bottom"/>
          </w:tcPr>
          <w:p w14:paraId="67534571" w14:textId="77777777" w:rsidR="001B77DD" w:rsidRDefault="001B77DD">
            <w:pPr>
              <w:rPr>
                <w:rFonts w:ascii="宋体"/>
              </w:rPr>
            </w:pPr>
          </w:p>
        </w:tc>
        <w:tc>
          <w:tcPr>
            <w:tcW w:w="3620" w:type="dxa"/>
            <w:shd w:val="clear" w:color="auto" w:fill="auto"/>
            <w:vAlign w:val="bottom"/>
          </w:tcPr>
          <w:p w14:paraId="67534572" w14:textId="77777777" w:rsidR="001B77DD" w:rsidRDefault="001B77DD">
            <w:pPr>
              <w:rPr>
                <w:rFonts w:ascii="宋体"/>
              </w:rPr>
            </w:pPr>
          </w:p>
        </w:tc>
        <w:tc>
          <w:tcPr>
            <w:tcW w:w="20" w:type="dxa"/>
            <w:shd w:val="clear" w:color="auto" w:fill="auto"/>
            <w:vAlign w:val="bottom"/>
          </w:tcPr>
          <w:p w14:paraId="67534573" w14:textId="77777777" w:rsidR="001B77DD" w:rsidRDefault="001B77DD">
            <w:pPr>
              <w:rPr>
                <w:rFonts w:ascii="宋体"/>
              </w:rPr>
            </w:pPr>
          </w:p>
        </w:tc>
        <w:tc>
          <w:tcPr>
            <w:tcW w:w="20" w:type="dxa"/>
            <w:shd w:val="clear" w:color="auto" w:fill="auto"/>
            <w:vAlign w:val="bottom"/>
          </w:tcPr>
          <w:p w14:paraId="67534574" w14:textId="77777777" w:rsidR="001B77DD" w:rsidRDefault="001B77DD">
            <w:pPr>
              <w:rPr>
                <w:rFonts w:ascii="宋体"/>
              </w:rPr>
            </w:pPr>
          </w:p>
        </w:tc>
        <w:tc>
          <w:tcPr>
            <w:tcW w:w="20" w:type="dxa"/>
            <w:shd w:val="clear" w:color="auto" w:fill="auto"/>
            <w:vAlign w:val="bottom"/>
          </w:tcPr>
          <w:p w14:paraId="67534575" w14:textId="77777777" w:rsidR="001B77DD" w:rsidRDefault="001B77DD">
            <w:pPr>
              <w:rPr>
                <w:rFonts w:ascii="宋体"/>
              </w:rPr>
            </w:pPr>
          </w:p>
        </w:tc>
        <w:tc>
          <w:tcPr>
            <w:tcW w:w="20" w:type="dxa"/>
            <w:shd w:val="clear" w:color="auto" w:fill="auto"/>
            <w:vAlign w:val="bottom"/>
          </w:tcPr>
          <w:p w14:paraId="67534576" w14:textId="77777777" w:rsidR="001B77DD" w:rsidRDefault="001B77DD">
            <w:pPr>
              <w:rPr>
                <w:rFonts w:ascii="宋体"/>
              </w:rPr>
            </w:pPr>
          </w:p>
        </w:tc>
        <w:tc>
          <w:tcPr>
            <w:tcW w:w="20" w:type="dxa"/>
            <w:shd w:val="clear" w:color="auto" w:fill="auto"/>
            <w:vAlign w:val="bottom"/>
          </w:tcPr>
          <w:p w14:paraId="67534577" w14:textId="77777777" w:rsidR="001B77DD" w:rsidRDefault="001B77DD">
            <w:pPr>
              <w:rPr>
                <w:rFonts w:ascii="宋体"/>
              </w:rPr>
            </w:pPr>
          </w:p>
        </w:tc>
        <w:tc>
          <w:tcPr>
            <w:tcW w:w="3620" w:type="dxa"/>
            <w:shd w:val="clear" w:color="auto" w:fill="auto"/>
            <w:vAlign w:val="bottom"/>
          </w:tcPr>
          <w:p w14:paraId="67534578" w14:textId="77777777" w:rsidR="001B77DD" w:rsidRDefault="001B77DD">
            <w:pPr>
              <w:rPr>
                <w:rFonts w:ascii="宋体"/>
              </w:rPr>
            </w:pPr>
          </w:p>
        </w:tc>
        <w:tc>
          <w:tcPr>
            <w:tcW w:w="20" w:type="dxa"/>
            <w:shd w:val="clear" w:color="auto" w:fill="auto"/>
            <w:vAlign w:val="bottom"/>
          </w:tcPr>
          <w:p w14:paraId="67534579" w14:textId="77777777" w:rsidR="001B77DD" w:rsidRDefault="001B77DD">
            <w:pPr>
              <w:rPr>
                <w:rFonts w:ascii="宋体"/>
              </w:rPr>
            </w:pPr>
          </w:p>
        </w:tc>
      </w:tr>
      <w:tr w:rsidR="001B77DD" w14:paraId="6753457C" w14:textId="77777777">
        <w:trPr>
          <w:trHeight w:val="2140"/>
        </w:trPr>
        <w:tc>
          <w:tcPr>
            <w:tcW w:w="0" w:type="auto"/>
            <w:gridSpan w:val="15"/>
            <w:shd w:val="clear" w:color="auto" w:fill="auto"/>
            <w:tcMar>
              <w:top w:w="40" w:type="dxa"/>
              <w:left w:w="20" w:type="dxa"/>
              <w:bottom w:w="40" w:type="dxa"/>
              <w:right w:w="20" w:type="dxa"/>
            </w:tcMar>
            <w:vAlign w:val="center"/>
          </w:tcPr>
          <w:p w14:paraId="6753457B" w14:textId="77777777" w:rsidR="001B77DD" w:rsidRDefault="00BF0A28">
            <w:pP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42" wp14:editId="67538E43">
                  <wp:extent cx="304800" cy="304800"/>
                  <wp:effectExtent l="0" t="0" r="0" b="0"/>
                  <wp:docPr id="46" name="图片 141"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1" descr="IMG_33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Arial" w:eastAsia="宋体" w:hAnsi="Arial" w:cs="Arial"/>
                <w:color w:val="262626"/>
                <w:sz w:val="18"/>
                <w:szCs w:val="18"/>
              </w:rPr>
              <w:t xml:space="preserve"> </w:t>
            </w:r>
          </w:p>
        </w:tc>
      </w:tr>
    </w:tbl>
    <w:p w14:paraId="6753457D" w14:textId="77777777" w:rsidR="001B77DD" w:rsidRDefault="00BF0A28">
      <w:pPr>
        <w:spacing w:before="60" w:after="180"/>
      </w:pPr>
      <w:r>
        <w:rPr>
          <w:rFonts w:ascii="Arial" w:eastAsia="宋体" w:hAnsi="Arial" w:cs="Arial"/>
          <w:color w:val="262626"/>
          <w:sz w:val="18"/>
          <w:szCs w:val="18"/>
        </w:rPr>
        <w:t xml:space="preserve">The on-premise enterprise market segment revenue grew as customers demonstrated strong recovery from </w:t>
      </w:r>
      <w:r>
        <w:rPr>
          <w:rFonts w:ascii="Arial" w:eastAsia="宋体" w:hAnsi="Arial" w:cs="Arial"/>
          <w:color w:val="262626"/>
          <w:sz w:val="18"/>
          <w:szCs w:val="18"/>
        </w:rPr>
        <w:t>COVID-19. Cloud market segment revenue decreased in 2021 driven by an increasingly competitive environment, and industr</w:t>
      </w:r>
      <w:r>
        <w:rPr>
          <w:rFonts w:ascii="Arial" w:eastAsia="宋体" w:hAnsi="Arial" w:cs="Arial"/>
          <w:color w:val="262626"/>
          <w:sz w:val="18"/>
          <w:szCs w:val="18"/>
          <w:shd w:val="clear" w:color="auto" w:fill="FFFFFF"/>
        </w:rPr>
        <w:t>y component supply constraints</w:t>
      </w:r>
      <w:r>
        <w:rPr>
          <w:rFonts w:ascii="Arial" w:eastAsia="宋体" w:hAnsi="Arial" w:cs="Arial"/>
          <w:color w:val="262626"/>
          <w:sz w:val="18"/>
          <w:szCs w:val="18"/>
        </w:rPr>
        <w:t xml:space="preserve">. The communications service provider segment continued to see strong growth with the build-out of 5G, and </w:t>
      </w:r>
      <w:r>
        <w:rPr>
          <w:rFonts w:ascii="Arial" w:eastAsia="宋体" w:hAnsi="Arial" w:cs="Arial"/>
          <w:color w:val="262626"/>
          <w:sz w:val="18"/>
          <w:szCs w:val="18"/>
        </w:rPr>
        <w:t>we collaborated with operators on the next wave of virtualization in the radio access network and build-out of the intelligent edge.</w:t>
      </w:r>
    </w:p>
    <w:p w14:paraId="6753457E" w14:textId="77777777" w:rsidR="001B77DD" w:rsidRDefault="00BF0A28">
      <w:r>
        <w:rPr>
          <w:rFonts w:ascii="Arial" w:eastAsia="宋体" w:hAnsi="Arial" w:cs="Arial"/>
          <w:color w:val="0068B5"/>
          <w:sz w:val="20"/>
          <w:szCs w:val="20"/>
        </w:rPr>
        <w:t>Products and Competition</w:t>
      </w:r>
    </w:p>
    <w:tbl>
      <w:tblPr>
        <w:tblW w:w="10980" w:type="dxa"/>
        <w:tblCellMar>
          <w:top w:w="15" w:type="dxa"/>
          <w:left w:w="15" w:type="dxa"/>
          <w:bottom w:w="15" w:type="dxa"/>
          <w:right w:w="15" w:type="dxa"/>
        </w:tblCellMar>
        <w:tblLook w:val="04A0" w:firstRow="1" w:lastRow="0" w:firstColumn="1" w:lastColumn="0" w:noHBand="0" w:noVBand="1"/>
      </w:tblPr>
      <w:tblGrid>
        <w:gridCol w:w="104"/>
        <w:gridCol w:w="8555"/>
        <w:gridCol w:w="104"/>
        <w:gridCol w:w="36"/>
        <w:gridCol w:w="36"/>
        <w:gridCol w:w="2109"/>
        <w:gridCol w:w="36"/>
      </w:tblGrid>
      <w:tr w:rsidR="001B77DD" w14:paraId="67534586" w14:textId="77777777">
        <w:tc>
          <w:tcPr>
            <w:tcW w:w="20" w:type="dxa"/>
            <w:shd w:val="clear" w:color="auto" w:fill="auto"/>
            <w:vAlign w:val="bottom"/>
          </w:tcPr>
          <w:p w14:paraId="6753457F" w14:textId="77777777" w:rsidR="001B77DD" w:rsidRDefault="001B77DD">
            <w:pPr>
              <w:rPr>
                <w:rFonts w:ascii="宋体"/>
              </w:rPr>
            </w:pPr>
          </w:p>
        </w:tc>
        <w:tc>
          <w:tcPr>
            <w:tcW w:w="3485" w:type="dxa"/>
            <w:shd w:val="clear" w:color="auto" w:fill="auto"/>
            <w:vAlign w:val="bottom"/>
          </w:tcPr>
          <w:p w14:paraId="67534580" w14:textId="77777777" w:rsidR="001B77DD" w:rsidRDefault="001B77DD">
            <w:pPr>
              <w:rPr>
                <w:rFonts w:ascii="宋体"/>
              </w:rPr>
            </w:pPr>
          </w:p>
        </w:tc>
        <w:tc>
          <w:tcPr>
            <w:tcW w:w="20" w:type="dxa"/>
            <w:shd w:val="clear" w:color="auto" w:fill="auto"/>
            <w:vAlign w:val="bottom"/>
          </w:tcPr>
          <w:p w14:paraId="67534581" w14:textId="77777777" w:rsidR="001B77DD" w:rsidRDefault="001B77DD">
            <w:pPr>
              <w:rPr>
                <w:rFonts w:ascii="宋体"/>
              </w:rPr>
            </w:pPr>
          </w:p>
        </w:tc>
        <w:tc>
          <w:tcPr>
            <w:tcW w:w="0" w:type="auto"/>
            <w:shd w:val="clear" w:color="auto" w:fill="auto"/>
            <w:vAlign w:val="bottom"/>
          </w:tcPr>
          <w:p w14:paraId="67534582" w14:textId="77777777" w:rsidR="001B77DD" w:rsidRDefault="001B77DD">
            <w:pPr>
              <w:rPr>
                <w:rFonts w:ascii="宋体"/>
                <w:vanish/>
              </w:rPr>
            </w:pPr>
          </w:p>
        </w:tc>
        <w:tc>
          <w:tcPr>
            <w:tcW w:w="20" w:type="dxa"/>
            <w:shd w:val="clear" w:color="auto" w:fill="auto"/>
            <w:vAlign w:val="bottom"/>
          </w:tcPr>
          <w:p w14:paraId="67534583" w14:textId="77777777" w:rsidR="001B77DD" w:rsidRDefault="001B77DD">
            <w:pPr>
              <w:rPr>
                <w:rFonts w:ascii="宋体"/>
              </w:rPr>
            </w:pPr>
          </w:p>
        </w:tc>
        <w:tc>
          <w:tcPr>
            <w:tcW w:w="7415" w:type="dxa"/>
            <w:shd w:val="clear" w:color="auto" w:fill="auto"/>
            <w:vAlign w:val="bottom"/>
          </w:tcPr>
          <w:p w14:paraId="67534584" w14:textId="77777777" w:rsidR="001B77DD" w:rsidRDefault="001B77DD">
            <w:pPr>
              <w:rPr>
                <w:rFonts w:ascii="宋体"/>
              </w:rPr>
            </w:pPr>
          </w:p>
        </w:tc>
        <w:tc>
          <w:tcPr>
            <w:tcW w:w="20" w:type="dxa"/>
            <w:shd w:val="clear" w:color="auto" w:fill="auto"/>
            <w:vAlign w:val="bottom"/>
          </w:tcPr>
          <w:p w14:paraId="67534585" w14:textId="77777777" w:rsidR="001B77DD" w:rsidRDefault="001B77DD">
            <w:pPr>
              <w:rPr>
                <w:rFonts w:ascii="宋体"/>
              </w:rPr>
            </w:pPr>
          </w:p>
        </w:tc>
      </w:tr>
      <w:tr w:rsidR="001B77DD" w14:paraId="6753458A" w14:textId="77777777">
        <w:trPr>
          <w:trHeight w:val="3760"/>
        </w:trPr>
        <w:tc>
          <w:tcPr>
            <w:tcW w:w="0" w:type="auto"/>
            <w:gridSpan w:val="3"/>
            <w:shd w:val="clear" w:color="auto" w:fill="auto"/>
            <w:tcMar>
              <w:top w:w="40" w:type="dxa"/>
              <w:left w:w="20" w:type="dxa"/>
              <w:bottom w:w="40" w:type="dxa"/>
              <w:right w:w="20" w:type="dxa"/>
            </w:tcMar>
          </w:tcPr>
          <w:p w14:paraId="67534587" w14:textId="77777777" w:rsidR="001B77DD" w:rsidRDefault="00BF0A28">
            <w:pPr>
              <w:textAlignment w:val="top"/>
            </w:pPr>
            <w:r>
              <w:rPr>
                <w:rFonts w:ascii="Arial" w:eastAsia="宋体" w:hAnsi="Arial" w:cs="Arial"/>
                <w:color w:val="262626"/>
                <w:sz w:val="18"/>
                <w:szCs w:val="18"/>
              </w:rPr>
              <w:t>We offer customers a broad portfolio of silicon and software designed to provide workload-</w:t>
            </w:r>
            <w:r>
              <w:rPr>
                <w:rFonts w:ascii="Arial" w:eastAsia="宋体" w:hAnsi="Arial" w:cs="Arial"/>
                <w:color w:val="262626"/>
                <w:sz w:val="18"/>
                <w:szCs w:val="18"/>
              </w:rPr>
              <w:t xml:space="preserve">optimized performance across computing, storage, and networking. As a leading provider of data center platforms, we have competitors such as Advanced Micro Devices, Inc. (AMD), providers of GPU products such as NVIDIA Corporation (NVIDIA), companies using </w:t>
            </w:r>
            <w:r>
              <w:rPr>
                <w:rFonts w:ascii="Arial" w:eastAsia="宋体" w:hAnsi="Arial" w:cs="Arial"/>
                <w:color w:val="262626"/>
                <w:sz w:val="18"/>
                <w:szCs w:val="18"/>
              </w:rPr>
              <w:t>ARM architecture, new entrants developing products customized for specific data center workloads, and internally developed solutions by cloud service providers and others. We expect the competitive environment to continue in 2022.</w:t>
            </w:r>
          </w:p>
        </w:tc>
        <w:tc>
          <w:tcPr>
            <w:tcW w:w="0" w:type="auto"/>
            <w:shd w:val="clear" w:color="auto" w:fill="auto"/>
            <w:vAlign w:val="bottom"/>
          </w:tcPr>
          <w:p w14:paraId="67534588"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4589" w14:textId="77777777" w:rsidR="001B77DD" w:rsidRDefault="00BF0A28">
            <w:pP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44" wp14:editId="67538E45">
                  <wp:extent cx="304800" cy="304800"/>
                  <wp:effectExtent l="0" t="0" r="0" b="0"/>
                  <wp:docPr id="24" name="图片 142"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2" descr="IMG_33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bl>
    <w:p w14:paraId="6753458B" w14:textId="77777777" w:rsidR="001B77DD" w:rsidRDefault="00BF0A28">
      <w:pPr>
        <w:spacing w:after="180"/>
      </w:pPr>
      <w:r>
        <w:rPr>
          <w:rFonts w:ascii="Arial" w:eastAsia="宋体" w:hAnsi="Arial" w:cs="Arial"/>
          <w:color w:val="262626"/>
          <w:sz w:val="18"/>
          <w:szCs w:val="18"/>
        </w:rPr>
        <w:t>In 2021, we launched our 3rd Gen Intel Xeon Scalable processors (Ice Lake), and we shipped 1 million units f</w:t>
      </w:r>
      <w:r>
        <w:rPr>
          <w:rFonts w:ascii="Arial" w:eastAsia="宋体" w:hAnsi="Arial" w:cs="Arial"/>
          <w:color w:val="262626"/>
          <w:sz w:val="18"/>
          <w:szCs w:val="18"/>
        </w:rPr>
        <w:t>aster than the previous Xeon generations. All of our OEM partners are currently shipping 3rd Gen Intel Xeon enabled systems and all major cloud service provider customers have deployed services using 3rd Gen Intel Xeon processors. In 2021, we also introduc</w:t>
      </w:r>
      <w:r>
        <w:rPr>
          <w:rFonts w:ascii="Arial" w:eastAsia="宋体" w:hAnsi="Arial" w:cs="Arial"/>
          <w:color w:val="262626"/>
          <w:sz w:val="18"/>
          <w:szCs w:val="18"/>
        </w:rPr>
        <w:t>ed the Intel</w:t>
      </w:r>
      <w:r>
        <w:rPr>
          <w:rFonts w:ascii="Arial" w:eastAsia="宋体" w:hAnsi="Arial" w:cs="Arial"/>
          <w:color w:val="262626"/>
          <w:sz w:val="11"/>
          <w:szCs w:val="11"/>
        </w:rPr>
        <w:t xml:space="preserve"> </w:t>
      </w:r>
      <w:r>
        <w:rPr>
          <w:rFonts w:ascii="Arial" w:eastAsia="宋体" w:hAnsi="Arial" w:cs="Arial"/>
          <w:color w:val="262626"/>
          <w:sz w:val="18"/>
          <w:szCs w:val="18"/>
        </w:rPr>
        <w:t xml:space="preserve">Optane Persistent Memory 200 Series and Optane SSD P5800X and began sampling the next generation of Intel Xeon D processors, which are built for the edge. </w:t>
      </w:r>
    </w:p>
    <w:p w14:paraId="6753458C" w14:textId="77777777" w:rsidR="001B77DD" w:rsidRDefault="00BF0A28">
      <w:pPr>
        <w:spacing w:after="180"/>
      </w:pPr>
      <w:r>
        <w:rPr>
          <w:rFonts w:ascii="Arial" w:eastAsia="宋体" w:hAnsi="Arial" w:cs="Arial"/>
          <w:color w:val="262626"/>
          <w:sz w:val="18"/>
          <w:szCs w:val="18"/>
        </w:rPr>
        <w:t>In 2021, we also announced the IPU, a platform that enables superior security capabilit</w:t>
      </w:r>
      <w:r>
        <w:rPr>
          <w:rFonts w:ascii="Arial" w:eastAsia="宋体" w:hAnsi="Arial" w:cs="Arial"/>
          <w:color w:val="262626"/>
          <w:sz w:val="18"/>
          <w:szCs w:val="18"/>
        </w:rPr>
        <w:t>ies and lets our cloud customers handle infrastructure tasks more efficiently, enabling the Intel Xeon CPU to focus on the tenant software. Intel announced two types of IPUs, an FPGA-based IPU (Oak Springs Canyon) and an ASIC-based IPU co-developed with Go</w:t>
      </w:r>
      <w:r>
        <w:rPr>
          <w:rFonts w:ascii="Arial" w:eastAsia="宋体" w:hAnsi="Arial" w:cs="Arial"/>
          <w:color w:val="262626"/>
          <w:sz w:val="18"/>
          <w:szCs w:val="18"/>
        </w:rPr>
        <w:t>ogle (Mount Evans).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596" w14:textId="77777777">
        <w:tc>
          <w:tcPr>
            <w:tcW w:w="50" w:type="pct"/>
            <w:shd w:val="clear" w:color="auto" w:fill="auto"/>
            <w:vAlign w:val="bottom"/>
          </w:tcPr>
          <w:p w14:paraId="6753458D" w14:textId="77777777" w:rsidR="001B77DD" w:rsidRDefault="001B77DD">
            <w:pPr>
              <w:rPr>
                <w:rFonts w:ascii="宋体"/>
              </w:rPr>
            </w:pPr>
          </w:p>
        </w:tc>
        <w:tc>
          <w:tcPr>
            <w:tcW w:w="283" w:type="pct"/>
            <w:shd w:val="clear" w:color="auto" w:fill="auto"/>
            <w:vAlign w:val="bottom"/>
          </w:tcPr>
          <w:p w14:paraId="6753458E" w14:textId="77777777" w:rsidR="001B77DD" w:rsidRDefault="001B77DD">
            <w:pPr>
              <w:rPr>
                <w:rFonts w:ascii="宋体"/>
              </w:rPr>
            </w:pPr>
          </w:p>
        </w:tc>
        <w:tc>
          <w:tcPr>
            <w:tcW w:w="5" w:type="pct"/>
            <w:shd w:val="clear" w:color="auto" w:fill="auto"/>
            <w:vAlign w:val="bottom"/>
          </w:tcPr>
          <w:p w14:paraId="6753458F" w14:textId="77777777" w:rsidR="001B77DD" w:rsidRDefault="001B77DD">
            <w:pPr>
              <w:rPr>
                <w:rFonts w:ascii="宋体"/>
              </w:rPr>
            </w:pPr>
          </w:p>
        </w:tc>
        <w:tc>
          <w:tcPr>
            <w:tcW w:w="50" w:type="pct"/>
            <w:shd w:val="clear" w:color="auto" w:fill="auto"/>
            <w:vAlign w:val="bottom"/>
          </w:tcPr>
          <w:p w14:paraId="67534590" w14:textId="77777777" w:rsidR="001B77DD" w:rsidRDefault="001B77DD">
            <w:pPr>
              <w:rPr>
                <w:rFonts w:ascii="宋体"/>
              </w:rPr>
            </w:pPr>
          </w:p>
        </w:tc>
        <w:tc>
          <w:tcPr>
            <w:tcW w:w="2656" w:type="pct"/>
            <w:shd w:val="clear" w:color="auto" w:fill="auto"/>
            <w:vAlign w:val="bottom"/>
          </w:tcPr>
          <w:p w14:paraId="67534591" w14:textId="77777777" w:rsidR="001B77DD" w:rsidRDefault="001B77DD">
            <w:pPr>
              <w:rPr>
                <w:rFonts w:ascii="宋体"/>
              </w:rPr>
            </w:pPr>
          </w:p>
        </w:tc>
        <w:tc>
          <w:tcPr>
            <w:tcW w:w="5" w:type="pct"/>
            <w:shd w:val="clear" w:color="auto" w:fill="auto"/>
            <w:vAlign w:val="bottom"/>
          </w:tcPr>
          <w:p w14:paraId="67534592" w14:textId="77777777" w:rsidR="001B77DD" w:rsidRDefault="001B77DD">
            <w:pPr>
              <w:rPr>
                <w:rFonts w:ascii="宋体"/>
              </w:rPr>
            </w:pPr>
          </w:p>
        </w:tc>
        <w:tc>
          <w:tcPr>
            <w:tcW w:w="50" w:type="pct"/>
            <w:shd w:val="clear" w:color="auto" w:fill="auto"/>
            <w:vAlign w:val="bottom"/>
          </w:tcPr>
          <w:p w14:paraId="67534593" w14:textId="77777777" w:rsidR="001B77DD" w:rsidRDefault="001B77DD">
            <w:pPr>
              <w:rPr>
                <w:rFonts w:ascii="宋体"/>
              </w:rPr>
            </w:pPr>
          </w:p>
        </w:tc>
        <w:tc>
          <w:tcPr>
            <w:tcW w:w="1894" w:type="pct"/>
            <w:shd w:val="clear" w:color="auto" w:fill="auto"/>
            <w:vAlign w:val="bottom"/>
          </w:tcPr>
          <w:p w14:paraId="67534594" w14:textId="77777777" w:rsidR="001B77DD" w:rsidRDefault="001B77DD">
            <w:pPr>
              <w:rPr>
                <w:rFonts w:ascii="宋体"/>
              </w:rPr>
            </w:pPr>
          </w:p>
        </w:tc>
        <w:tc>
          <w:tcPr>
            <w:tcW w:w="5" w:type="pct"/>
            <w:shd w:val="clear" w:color="auto" w:fill="auto"/>
            <w:vAlign w:val="bottom"/>
          </w:tcPr>
          <w:p w14:paraId="67534595" w14:textId="77777777" w:rsidR="001B77DD" w:rsidRDefault="001B77DD">
            <w:pPr>
              <w:rPr>
                <w:rFonts w:ascii="宋体"/>
              </w:rPr>
            </w:pPr>
          </w:p>
        </w:tc>
      </w:tr>
      <w:tr w:rsidR="001B77DD" w14:paraId="6753459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597"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46" wp14:editId="67538E47">
                  <wp:extent cx="304800" cy="304800"/>
                  <wp:effectExtent l="0" t="0" r="0" b="0"/>
                  <wp:docPr id="38" name="图片 14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598"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599" w14:textId="77777777" w:rsidR="001B77DD" w:rsidRDefault="00BF0A28">
            <w:pPr>
              <w:jc w:val="right"/>
              <w:textAlignment w:val="center"/>
            </w:pPr>
            <w:r>
              <w:rPr>
                <w:rFonts w:ascii="Arial" w:eastAsia="宋体" w:hAnsi="Arial" w:cs="Arial"/>
                <w:color w:val="262626"/>
                <w:sz w:val="16"/>
                <w:szCs w:val="16"/>
              </w:rPr>
              <w:t>24</w:t>
            </w:r>
          </w:p>
        </w:tc>
      </w:tr>
    </w:tbl>
    <w:p w14:paraId="6753459B" w14:textId="77777777" w:rsidR="001B77DD" w:rsidRDefault="00BF0A28">
      <w:r>
        <w:pict w14:anchorId="67538E48">
          <v:rect id="_x0000_i1050" style="width:415.3pt;height:1.5pt" o:hralign="center" o:hrstd="t" o:hr="t" fillcolor="#a0a0a0" stroked="f"/>
        </w:pict>
      </w:r>
    </w:p>
    <w:p w14:paraId="6753459C" w14:textId="77777777" w:rsidR="001B77DD" w:rsidRDefault="00BF0A28">
      <w:pPr>
        <w:jc w:val="right"/>
      </w:pPr>
      <w:hyperlink r:id="rId85" w:anchor="i6c9ced68f6b24d58a3dcf326e8c3c699_16" w:history="1">
        <w:r>
          <w:rPr>
            <w:rStyle w:val="a5"/>
            <w:rFonts w:ascii="Arial" w:eastAsia="宋体" w:hAnsi="Arial" w:cs="Arial"/>
            <w:b/>
            <w:bCs/>
            <w:sz w:val="16"/>
            <w:szCs w:val="16"/>
          </w:rPr>
          <w:t>Table of Contents</w:t>
        </w:r>
      </w:hyperlink>
    </w:p>
    <w:p w14:paraId="6753459D" w14:textId="77777777" w:rsidR="001B77DD" w:rsidRDefault="00BF0A28">
      <w:pPr>
        <w:spacing w:after="120"/>
      </w:pPr>
      <w:r>
        <w:rPr>
          <w:rFonts w:ascii="Arial" w:eastAsia="宋体" w:hAnsi="Arial" w:cs="Arial"/>
          <w:color w:val="0068B5"/>
        </w:rPr>
        <w:t>Financial Performance</w:t>
      </w:r>
    </w:p>
    <w:tbl>
      <w:tblPr>
        <w:tblW w:w="10965" w:type="dxa"/>
        <w:tblCellMar>
          <w:top w:w="15" w:type="dxa"/>
          <w:left w:w="15" w:type="dxa"/>
          <w:bottom w:w="15" w:type="dxa"/>
          <w:right w:w="15" w:type="dxa"/>
        </w:tblCellMar>
        <w:tblLook w:val="04A0" w:firstRow="1" w:lastRow="0" w:firstColumn="1" w:lastColumn="0" w:noHBand="0" w:noVBand="1"/>
      </w:tblPr>
      <w:tblGrid>
        <w:gridCol w:w="36"/>
        <w:gridCol w:w="256"/>
        <w:gridCol w:w="36"/>
        <w:gridCol w:w="36"/>
        <w:gridCol w:w="4527"/>
        <w:gridCol w:w="36"/>
        <w:gridCol w:w="36"/>
        <w:gridCol w:w="860"/>
        <w:gridCol w:w="36"/>
        <w:gridCol w:w="36"/>
        <w:gridCol w:w="4470"/>
        <w:gridCol w:w="36"/>
        <w:gridCol w:w="36"/>
        <w:gridCol w:w="492"/>
        <w:gridCol w:w="36"/>
      </w:tblGrid>
      <w:tr w:rsidR="001B77DD" w14:paraId="675345AD" w14:textId="77777777">
        <w:tc>
          <w:tcPr>
            <w:tcW w:w="20" w:type="dxa"/>
            <w:shd w:val="clear" w:color="auto" w:fill="auto"/>
            <w:vAlign w:val="bottom"/>
          </w:tcPr>
          <w:p w14:paraId="6753459E" w14:textId="77777777" w:rsidR="001B77DD" w:rsidRDefault="001B77DD">
            <w:pPr>
              <w:rPr>
                <w:rFonts w:ascii="宋体"/>
              </w:rPr>
            </w:pPr>
          </w:p>
        </w:tc>
        <w:tc>
          <w:tcPr>
            <w:tcW w:w="260" w:type="dxa"/>
            <w:shd w:val="clear" w:color="auto" w:fill="auto"/>
            <w:vAlign w:val="bottom"/>
          </w:tcPr>
          <w:p w14:paraId="6753459F" w14:textId="77777777" w:rsidR="001B77DD" w:rsidRDefault="001B77DD">
            <w:pPr>
              <w:rPr>
                <w:rFonts w:ascii="宋体"/>
              </w:rPr>
            </w:pPr>
          </w:p>
        </w:tc>
        <w:tc>
          <w:tcPr>
            <w:tcW w:w="20" w:type="dxa"/>
            <w:shd w:val="clear" w:color="auto" w:fill="auto"/>
            <w:vAlign w:val="bottom"/>
          </w:tcPr>
          <w:p w14:paraId="675345A0" w14:textId="77777777" w:rsidR="001B77DD" w:rsidRDefault="001B77DD">
            <w:pPr>
              <w:rPr>
                <w:rFonts w:ascii="宋体"/>
              </w:rPr>
            </w:pPr>
          </w:p>
        </w:tc>
        <w:tc>
          <w:tcPr>
            <w:tcW w:w="20" w:type="dxa"/>
            <w:shd w:val="clear" w:color="auto" w:fill="auto"/>
            <w:vAlign w:val="bottom"/>
          </w:tcPr>
          <w:p w14:paraId="675345A1" w14:textId="77777777" w:rsidR="001B77DD" w:rsidRDefault="001B77DD">
            <w:pPr>
              <w:rPr>
                <w:rFonts w:ascii="宋体"/>
              </w:rPr>
            </w:pPr>
          </w:p>
        </w:tc>
        <w:tc>
          <w:tcPr>
            <w:tcW w:w="4595" w:type="dxa"/>
            <w:shd w:val="clear" w:color="auto" w:fill="auto"/>
            <w:vAlign w:val="bottom"/>
          </w:tcPr>
          <w:p w14:paraId="675345A2" w14:textId="77777777" w:rsidR="001B77DD" w:rsidRDefault="001B77DD">
            <w:pPr>
              <w:rPr>
                <w:rFonts w:ascii="宋体"/>
              </w:rPr>
            </w:pPr>
          </w:p>
        </w:tc>
        <w:tc>
          <w:tcPr>
            <w:tcW w:w="20" w:type="dxa"/>
            <w:shd w:val="clear" w:color="auto" w:fill="auto"/>
            <w:vAlign w:val="bottom"/>
          </w:tcPr>
          <w:p w14:paraId="675345A3" w14:textId="77777777" w:rsidR="001B77DD" w:rsidRDefault="001B77DD">
            <w:pPr>
              <w:rPr>
                <w:rFonts w:ascii="宋体"/>
              </w:rPr>
            </w:pPr>
          </w:p>
        </w:tc>
        <w:tc>
          <w:tcPr>
            <w:tcW w:w="20" w:type="dxa"/>
            <w:shd w:val="clear" w:color="auto" w:fill="auto"/>
            <w:vAlign w:val="bottom"/>
          </w:tcPr>
          <w:p w14:paraId="675345A4" w14:textId="77777777" w:rsidR="001B77DD" w:rsidRDefault="001B77DD">
            <w:pPr>
              <w:rPr>
                <w:rFonts w:ascii="宋体"/>
              </w:rPr>
            </w:pPr>
          </w:p>
        </w:tc>
        <w:tc>
          <w:tcPr>
            <w:tcW w:w="875" w:type="dxa"/>
            <w:shd w:val="clear" w:color="auto" w:fill="auto"/>
            <w:vAlign w:val="bottom"/>
          </w:tcPr>
          <w:p w14:paraId="675345A5" w14:textId="77777777" w:rsidR="001B77DD" w:rsidRDefault="001B77DD">
            <w:pPr>
              <w:rPr>
                <w:rFonts w:ascii="宋体"/>
              </w:rPr>
            </w:pPr>
          </w:p>
        </w:tc>
        <w:tc>
          <w:tcPr>
            <w:tcW w:w="20" w:type="dxa"/>
            <w:shd w:val="clear" w:color="auto" w:fill="auto"/>
            <w:vAlign w:val="bottom"/>
          </w:tcPr>
          <w:p w14:paraId="675345A6" w14:textId="77777777" w:rsidR="001B77DD" w:rsidRDefault="001B77DD">
            <w:pPr>
              <w:rPr>
                <w:rFonts w:ascii="宋体"/>
              </w:rPr>
            </w:pPr>
          </w:p>
        </w:tc>
        <w:tc>
          <w:tcPr>
            <w:tcW w:w="20" w:type="dxa"/>
            <w:shd w:val="clear" w:color="auto" w:fill="auto"/>
            <w:vAlign w:val="bottom"/>
          </w:tcPr>
          <w:p w14:paraId="675345A7" w14:textId="77777777" w:rsidR="001B77DD" w:rsidRDefault="001B77DD">
            <w:pPr>
              <w:rPr>
                <w:rFonts w:ascii="宋体"/>
              </w:rPr>
            </w:pPr>
          </w:p>
        </w:tc>
        <w:tc>
          <w:tcPr>
            <w:tcW w:w="4535" w:type="dxa"/>
            <w:shd w:val="clear" w:color="auto" w:fill="auto"/>
            <w:vAlign w:val="bottom"/>
          </w:tcPr>
          <w:p w14:paraId="675345A8" w14:textId="77777777" w:rsidR="001B77DD" w:rsidRDefault="001B77DD">
            <w:pPr>
              <w:rPr>
                <w:rFonts w:ascii="宋体"/>
              </w:rPr>
            </w:pPr>
          </w:p>
        </w:tc>
        <w:tc>
          <w:tcPr>
            <w:tcW w:w="20" w:type="dxa"/>
            <w:shd w:val="clear" w:color="auto" w:fill="auto"/>
            <w:vAlign w:val="bottom"/>
          </w:tcPr>
          <w:p w14:paraId="675345A9" w14:textId="77777777" w:rsidR="001B77DD" w:rsidRDefault="001B77DD">
            <w:pPr>
              <w:rPr>
                <w:rFonts w:ascii="宋体"/>
              </w:rPr>
            </w:pPr>
          </w:p>
        </w:tc>
        <w:tc>
          <w:tcPr>
            <w:tcW w:w="20" w:type="dxa"/>
            <w:shd w:val="clear" w:color="auto" w:fill="auto"/>
            <w:vAlign w:val="bottom"/>
          </w:tcPr>
          <w:p w14:paraId="675345AA" w14:textId="77777777" w:rsidR="001B77DD" w:rsidRDefault="001B77DD">
            <w:pPr>
              <w:rPr>
                <w:rFonts w:ascii="宋体"/>
              </w:rPr>
            </w:pPr>
          </w:p>
        </w:tc>
        <w:tc>
          <w:tcPr>
            <w:tcW w:w="500" w:type="dxa"/>
            <w:shd w:val="clear" w:color="auto" w:fill="auto"/>
            <w:vAlign w:val="bottom"/>
          </w:tcPr>
          <w:p w14:paraId="675345AB" w14:textId="77777777" w:rsidR="001B77DD" w:rsidRDefault="001B77DD">
            <w:pPr>
              <w:rPr>
                <w:rFonts w:ascii="宋体"/>
              </w:rPr>
            </w:pPr>
          </w:p>
        </w:tc>
        <w:tc>
          <w:tcPr>
            <w:tcW w:w="20" w:type="dxa"/>
            <w:shd w:val="clear" w:color="auto" w:fill="auto"/>
            <w:vAlign w:val="bottom"/>
          </w:tcPr>
          <w:p w14:paraId="675345AC" w14:textId="77777777" w:rsidR="001B77DD" w:rsidRDefault="001B77DD">
            <w:pPr>
              <w:rPr>
                <w:rFonts w:ascii="宋体"/>
              </w:rPr>
            </w:pPr>
          </w:p>
        </w:tc>
      </w:tr>
      <w:tr w:rsidR="001B77DD" w14:paraId="675345B3" w14:textId="77777777">
        <w:trPr>
          <w:trHeight w:val="280"/>
        </w:trPr>
        <w:tc>
          <w:tcPr>
            <w:tcW w:w="0" w:type="auto"/>
            <w:gridSpan w:val="3"/>
            <w:shd w:val="clear" w:color="auto" w:fill="auto"/>
            <w:tcMar>
              <w:top w:w="0" w:type="dxa"/>
              <w:left w:w="20" w:type="dxa"/>
              <w:bottom w:w="0" w:type="dxa"/>
              <w:right w:w="20" w:type="dxa"/>
            </w:tcMar>
            <w:vAlign w:val="bottom"/>
          </w:tcPr>
          <w:p w14:paraId="675345AE"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5AF" w14:textId="77777777" w:rsidR="001B77DD" w:rsidRDefault="00BF0A28">
            <w:pPr>
              <w:jc w:val="center"/>
              <w:textAlignment w:val="bottom"/>
            </w:pPr>
            <w:r>
              <w:rPr>
                <w:rFonts w:ascii="Arial" w:eastAsia="宋体" w:hAnsi="Arial" w:cs="Arial"/>
                <w:color w:val="0068B5"/>
                <w:sz w:val="20"/>
                <w:szCs w:val="20"/>
              </w:rPr>
              <w:t>DCG Revenue $B</w:t>
            </w:r>
          </w:p>
        </w:tc>
        <w:tc>
          <w:tcPr>
            <w:tcW w:w="0" w:type="auto"/>
            <w:gridSpan w:val="3"/>
            <w:shd w:val="clear" w:color="auto" w:fill="auto"/>
            <w:tcMar>
              <w:top w:w="0" w:type="dxa"/>
              <w:left w:w="20" w:type="dxa"/>
              <w:bottom w:w="0" w:type="dxa"/>
              <w:right w:w="20" w:type="dxa"/>
            </w:tcMar>
            <w:vAlign w:val="bottom"/>
          </w:tcPr>
          <w:p w14:paraId="675345B0"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5B1" w14:textId="77777777" w:rsidR="001B77DD" w:rsidRDefault="00BF0A28">
            <w:pPr>
              <w:jc w:val="center"/>
              <w:textAlignment w:val="bottom"/>
            </w:pPr>
            <w:r>
              <w:rPr>
                <w:rFonts w:ascii="Arial" w:eastAsia="宋体" w:hAnsi="Arial" w:cs="Arial"/>
                <w:color w:val="0068B5"/>
                <w:sz w:val="20"/>
                <w:szCs w:val="20"/>
              </w:rPr>
              <w:t>DCG Operating Income $B</w:t>
            </w:r>
          </w:p>
        </w:tc>
        <w:tc>
          <w:tcPr>
            <w:tcW w:w="0" w:type="auto"/>
            <w:gridSpan w:val="3"/>
            <w:shd w:val="clear" w:color="auto" w:fill="auto"/>
            <w:tcMar>
              <w:top w:w="0" w:type="dxa"/>
              <w:left w:w="20" w:type="dxa"/>
              <w:bottom w:w="0" w:type="dxa"/>
              <w:right w:w="20" w:type="dxa"/>
            </w:tcMar>
            <w:vAlign w:val="bottom"/>
          </w:tcPr>
          <w:p w14:paraId="675345B2" w14:textId="77777777" w:rsidR="001B77DD" w:rsidRDefault="001B77DD">
            <w:pPr>
              <w:rPr>
                <w:rFonts w:ascii="宋体"/>
              </w:rPr>
            </w:pPr>
          </w:p>
        </w:tc>
      </w:tr>
    </w:tbl>
    <w:p w14:paraId="675345B4"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49" wp14:editId="67538E4A">
            <wp:extent cx="304800" cy="304800"/>
            <wp:effectExtent l="0" t="0" r="0" b="0"/>
            <wp:docPr id="20" name="图片 145"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5" descr="IMG_34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w:instrText>
      </w:r>
      <w:r>
        <w:rPr>
          <w:rFonts w:ascii="宋体" w:eastAsia="宋体" w:hAnsi="宋体" w:cs="宋体"/>
        </w:rPr>
        <w:instrText xml:space="preserve">225_g66.jpg"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4B" wp14:editId="67538E4C">
            <wp:extent cx="304800" cy="304800"/>
            <wp:effectExtent l="0" t="0" r="0" b="0"/>
            <wp:docPr id="21" name="图片 146"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6" descr="IMG_34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580"/>
        <w:gridCol w:w="36"/>
        <w:gridCol w:w="36"/>
        <w:gridCol w:w="1035"/>
        <w:gridCol w:w="36"/>
        <w:gridCol w:w="36"/>
        <w:gridCol w:w="8149"/>
        <w:gridCol w:w="36"/>
      </w:tblGrid>
      <w:tr w:rsidR="001B77DD" w14:paraId="675345BE" w14:textId="77777777">
        <w:tc>
          <w:tcPr>
            <w:tcW w:w="20" w:type="dxa"/>
            <w:shd w:val="clear" w:color="auto" w:fill="auto"/>
            <w:vAlign w:val="bottom"/>
          </w:tcPr>
          <w:p w14:paraId="675345B5" w14:textId="77777777" w:rsidR="001B77DD" w:rsidRDefault="001B77DD">
            <w:pPr>
              <w:rPr>
                <w:rFonts w:ascii="宋体"/>
              </w:rPr>
            </w:pPr>
          </w:p>
        </w:tc>
        <w:tc>
          <w:tcPr>
            <w:tcW w:w="1595" w:type="dxa"/>
            <w:shd w:val="clear" w:color="auto" w:fill="auto"/>
            <w:vAlign w:val="bottom"/>
          </w:tcPr>
          <w:p w14:paraId="675345B6" w14:textId="77777777" w:rsidR="001B77DD" w:rsidRDefault="001B77DD">
            <w:pPr>
              <w:rPr>
                <w:rFonts w:ascii="宋体"/>
              </w:rPr>
            </w:pPr>
          </w:p>
        </w:tc>
        <w:tc>
          <w:tcPr>
            <w:tcW w:w="20" w:type="dxa"/>
            <w:shd w:val="clear" w:color="auto" w:fill="auto"/>
            <w:vAlign w:val="bottom"/>
          </w:tcPr>
          <w:p w14:paraId="675345B7" w14:textId="77777777" w:rsidR="001B77DD" w:rsidRDefault="001B77DD">
            <w:pPr>
              <w:rPr>
                <w:rFonts w:ascii="宋体"/>
              </w:rPr>
            </w:pPr>
          </w:p>
        </w:tc>
        <w:tc>
          <w:tcPr>
            <w:tcW w:w="20" w:type="dxa"/>
            <w:shd w:val="clear" w:color="auto" w:fill="auto"/>
            <w:vAlign w:val="bottom"/>
          </w:tcPr>
          <w:p w14:paraId="675345B8" w14:textId="77777777" w:rsidR="001B77DD" w:rsidRDefault="001B77DD">
            <w:pPr>
              <w:rPr>
                <w:rFonts w:ascii="宋体"/>
              </w:rPr>
            </w:pPr>
          </w:p>
        </w:tc>
        <w:tc>
          <w:tcPr>
            <w:tcW w:w="1040" w:type="dxa"/>
            <w:shd w:val="clear" w:color="auto" w:fill="auto"/>
            <w:vAlign w:val="bottom"/>
          </w:tcPr>
          <w:p w14:paraId="675345B9" w14:textId="77777777" w:rsidR="001B77DD" w:rsidRDefault="001B77DD">
            <w:pPr>
              <w:rPr>
                <w:rFonts w:ascii="宋体"/>
              </w:rPr>
            </w:pPr>
          </w:p>
        </w:tc>
        <w:tc>
          <w:tcPr>
            <w:tcW w:w="20" w:type="dxa"/>
            <w:shd w:val="clear" w:color="auto" w:fill="auto"/>
            <w:vAlign w:val="bottom"/>
          </w:tcPr>
          <w:p w14:paraId="675345BA" w14:textId="77777777" w:rsidR="001B77DD" w:rsidRDefault="001B77DD">
            <w:pPr>
              <w:rPr>
                <w:rFonts w:ascii="宋体"/>
              </w:rPr>
            </w:pPr>
          </w:p>
        </w:tc>
        <w:tc>
          <w:tcPr>
            <w:tcW w:w="20" w:type="dxa"/>
            <w:shd w:val="clear" w:color="auto" w:fill="auto"/>
            <w:vAlign w:val="bottom"/>
          </w:tcPr>
          <w:p w14:paraId="675345BB" w14:textId="77777777" w:rsidR="001B77DD" w:rsidRDefault="001B77DD">
            <w:pPr>
              <w:rPr>
                <w:rFonts w:ascii="宋体"/>
              </w:rPr>
            </w:pPr>
          </w:p>
        </w:tc>
        <w:tc>
          <w:tcPr>
            <w:tcW w:w="8225" w:type="dxa"/>
            <w:shd w:val="clear" w:color="auto" w:fill="auto"/>
            <w:vAlign w:val="bottom"/>
          </w:tcPr>
          <w:p w14:paraId="675345BC" w14:textId="77777777" w:rsidR="001B77DD" w:rsidRDefault="001B77DD">
            <w:pPr>
              <w:rPr>
                <w:rFonts w:ascii="宋体"/>
              </w:rPr>
            </w:pPr>
          </w:p>
        </w:tc>
        <w:tc>
          <w:tcPr>
            <w:tcW w:w="20" w:type="dxa"/>
            <w:shd w:val="clear" w:color="auto" w:fill="auto"/>
            <w:vAlign w:val="bottom"/>
          </w:tcPr>
          <w:p w14:paraId="675345BD" w14:textId="77777777" w:rsidR="001B77DD" w:rsidRDefault="001B77DD">
            <w:pPr>
              <w:rPr>
                <w:rFonts w:ascii="宋体"/>
              </w:rPr>
            </w:pPr>
          </w:p>
        </w:tc>
      </w:tr>
      <w:tr w:rsidR="001B77DD" w14:paraId="675345C2" w14:textId="77777777">
        <w:trPr>
          <w:trHeight w:val="280"/>
        </w:trPr>
        <w:tc>
          <w:tcPr>
            <w:tcW w:w="0" w:type="auto"/>
            <w:gridSpan w:val="3"/>
            <w:shd w:val="clear" w:color="auto" w:fill="auto"/>
            <w:tcMar>
              <w:top w:w="0" w:type="dxa"/>
              <w:left w:w="20" w:type="dxa"/>
              <w:bottom w:w="0" w:type="dxa"/>
              <w:right w:w="20" w:type="dxa"/>
            </w:tcMar>
            <w:vAlign w:val="bottom"/>
          </w:tcPr>
          <w:p w14:paraId="675345B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5C0" w14:textId="77777777" w:rsidR="001B77DD" w:rsidRDefault="00BF0A28">
            <w:pPr>
              <w:textAlignment w:val="center"/>
            </w:pPr>
            <w:r>
              <w:rPr>
                <w:rFonts w:ascii="Arial" w:eastAsia="宋体" w:hAnsi="Arial" w:cs="Arial"/>
                <w:color w:val="004A8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Platform</w:t>
            </w:r>
          </w:p>
        </w:tc>
        <w:tc>
          <w:tcPr>
            <w:tcW w:w="0" w:type="auto"/>
            <w:gridSpan w:val="3"/>
            <w:shd w:val="clear" w:color="auto" w:fill="auto"/>
            <w:tcMar>
              <w:top w:w="40" w:type="dxa"/>
              <w:left w:w="20" w:type="dxa"/>
              <w:bottom w:w="40" w:type="dxa"/>
              <w:right w:w="20" w:type="dxa"/>
            </w:tcMar>
            <w:vAlign w:val="center"/>
          </w:tcPr>
          <w:p w14:paraId="675345C1" w14:textId="77777777" w:rsidR="001B77DD" w:rsidRDefault="00BF0A28">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Adjacent</w:t>
            </w:r>
          </w:p>
        </w:tc>
      </w:tr>
    </w:tbl>
    <w:p w14:paraId="675345C3"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5C7" w14:textId="77777777">
        <w:tc>
          <w:tcPr>
            <w:tcW w:w="50" w:type="pct"/>
            <w:shd w:val="clear" w:color="auto" w:fill="auto"/>
            <w:vAlign w:val="bottom"/>
          </w:tcPr>
          <w:p w14:paraId="675345C4" w14:textId="77777777" w:rsidR="001B77DD" w:rsidRDefault="001B77DD">
            <w:pPr>
              <w:rPr>
                <w:rFonts w:ascii="宋体"/>
              </w:rPr>
            </w:pPr>
          </w:p>
        </w:tc>
        <w:tc>
          <w:tcPr>
            <w:tcW w:w="4945" w:type="pct"/>
            <w:shd w:val="clear" w:color="auto" w:fill="auto"/>
            <w:vAlign w:val="bottom"/>
          </w:tcPr>
          <w:p w14:paraId="675345C5" w14:textId="77777777" w:rsidR="001B77DD" w:rsidRDefault="001B77DD">
            <w:pPr>
              <w:rPr>
                <w:rFonts w:ascii="宋体"/>
              </w:rPr>
            </w:pPr>
          </w:p>
        </w:tc>
        <w:tc>
          <w:tcPr>
            <w:tcW w:w="5" w:type="pct"/>
            <w:shd w:val="clear" w:color="auto" w:fill="auto"/>
            <w:vAlign w:val="bottom"/>
          </w:tcPr>
          <w:p w14:paraId="675345C6" w14:textId="77777777" w:rsidR="001B77DD" w:rsidRDefault="001B77DD">
            <w:pPr>
              <w:rPr>
                <w:rFonts w:ascii="宋体"/>
              </w:rPr>
            </w:pPr>
          </w:p>
        </w:tc>
      </w:tr>
      <w:tr w:rsidR="001B77DD" w14:paraId="675345C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5C8" w14:textId="77777777" w:rsidR="001B77DD" w:rsidRDefault="00BF0A28">
            <w:pPr>
              <w:textAlignment w:val="bottom"/>
            </w:pPr>
            <w:r>
              <w:rPr>
                <w:rFonts w:ascii="Arial" w:eastAsia="宋体" w:hAnsi="Arial" w:cs="Arial"/>
                <w:color w:val="0068B5"/>
                <w:sz w:val="20"/>
                <w:szCs w:val="20"/>
              </w:rPr>
              <w:t>Revenue Summary</w:t>
            </w:r>
          </w:p>
        </w:tc>
      </w:tr>
    </w:tbl>
    <w:p w14:paraId="675345CA" w14:textId="77777777" w:rsidR="001B77DD" w:rsidRDefault="00BF0A28">
      <w:pP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 xml:space="preserve">Lower platform ASP driven by product mix and a competitive environment, partially offset by recovery in the enterprise and government market segment, </w:t>
      </w:r>
      <w:r>
        <w:rPr>
          <w:rFonts w:ascii="Arial" w:eastAsia="宋体" w:hAnsi="Arial" w:cs="Arial"/>
          <w:color w:val="262626"/>
          <w:sz w:val="18"/>
          <w:szCs w:val="18"/>
        </w:rPr>
        <w:t>compared to COVID-driven lows in 2020.</w:t>
      </w:r>
    </w:p>
    <w:p w14:paraId="675345CB" w14:textId="77777777" w:rsidR="001B77DD" w:rsidRDefault="00BF0A28">
      <w:pP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 xml:space="preserve">Higher platform volume driven by recovery in the enterprise and government market segment (up 21% from 2020) and growth in the communications service providers market segment (up 9% from 2020), partially offset by a </w:t>
      </w:r>
      <w:r>
        <w:rPr>
          <w:rFonts w:ascii="Arial" w:eastAsia="宋体" w:hAnsi="Arial" w:cs="Arial"/>
          <w:color w:val="262626"/>
          <w:sz w:val="18"/>
          <w:szCs w:val="18"/>
        </w:rPr>
        <w:t>decline in the cloud service providers market segment (down 19% from 2020). (2020 compared to 2019, the cloud service providers market segment was up 20% and communications service providers market segment up 17%, partially offset by enterprise and governm</w:t>
      </w:r>
      <w:r>
        <w:rPr>
          <w:rFonts w:ascii="Arial" w:eastAsia="宋体" w:hAnsi="Arial" w:cs="Arial"/>
          <w:color w:val="262626"/>
          <w:sz w:val="18"/>
          <w:szCs w:val="18"/>
        </w:rPr>
        <w:t xml:space="preserve">ent market segment down 8%). </w:t>
      </w:r>
    </w:p>
    <w:p w14:paraId="675345CC" w14:textId="77777777" w:rsidR="001B77DD" w:rsidRDefault="00BF0A28">
      <w:pPr>
        <w:spacing w:after="60"/>
        <w:ind w:hanging="180"/>
      </w:pPr>
      <w:r>
        <w:rPr>
          <w:rFonts w:ascii="Arial" w:eastAsia="宋体" w:hAnsi="Arial" w:cs="Arial"/>
          <w:b/>
          <w:bCs/>
          <w:color w:val="0068B5"/>
          <w:sz w:val="18"/>
          <w:szCs w:val="18"/>
        </w:rPr>
        <w:t>▪</w:t>
      </w:r>
      <w:r>
        <w:rPr>
          <w:rFonts w:ascii="Arial" w:eastAsia="宋体" w:hAnsi="Arial" w:cs="Arial"/>
          <w:color w:val="262626"/>
          <w:sz w:val="18"/>
          <w:szCs w:val="18"/>
        </w:rPr>
        <w:t>Adjacent revenue grew primarily due to the inclusion of the Intel Optane memory business and growth in Ethernet, partially offset by a reduction in the 5G networking volume from elevated levels in 2020.</w:t>
      </w:r>
    </w:p>
    <w:tbl>
      <w:tblPr>
        <w:tblW w:w="5000" w:type="pct"/>
        <w:tblCellMar>
          <w:top w:w="15" w:type="dxa"/>
          <w:left w:w="15" w:type="dxa"/>
          <w:bottom w:w="15" w:type="dxa"/>
          <w:right w:w="15" w:type="dxa"/>
        </w:tblCellMar>
        <w:tblLook w:val="04A0" w:firstRow="1" w:lastRow="0" w:firstColumn="1" w:lastColumn="0" w:noHBand="0" w:noVBand="1"/>
      </w:tblPr>
      <w:tblGrid>
        <w:gridCol w:w="49"/>
        <w:gridCol w:w="3490"/>
        <w:gridCol w:w="36"/>
        <w:gridCol w:w="36"/>
        <w:gridCol w:w="36"/>
        <w:gridCol w:w="36"/>
        <w:gridCol w:w="67"/>
        <w:gridCol w:w="446"/>
        <w:gridCol w:w="36"/>
        <w:gridCol w:w="52"/>
        <w:gridCol w:w="552"/>
        <w:gridCol w:w="37"/>
        <w:gridCol w:w="36"/>
        <w:gridCol w:w="36"/>
        <w:gridCol w:w="36"/>
        <w:gridCol w:w="122"/>
        <w:gridCol w:w="831"/>
        <w:gridCol w:w="36"/>
        <w:gridCol w:w="36"/>
        <w:gridCol w:w="36"/>
        <w:gridCol w:w="36"/>
        <w:gridCol w:w="67"/>
        <w:gridCol w:w="416"/>
        <w:gridCol w:w="36"/>
        <w:gridCol w:w="52"/>
        <w:gridCol w:w="552"/>
        <w:gridCol w:w="37"/>
        <w:gridCol w:w="36"/>
        <w:gridCol w:w="36"/>
        <w:gridCol w:w="36"/>
        <w:gridCol w:w="122"/>
        <w:gridCol w:w="831"/>
        <w:gridCol w:w="37"/>
      </w:tblGrid>
      <w:tr w:rsidR="001B77DD" w14:paraId="675345EE" w14:textId="77777777">
        <w:tc>
          <w:tcPr>
            <w:tcW w:w="50" w:type="pct"/>
            <w:shd w:val="clear" w:color="auto" w:fill="auto"/>
            <w:vAlign w:val="bottom"/>
          </w:tcPr>
          <w:p w14:paraId="675345CD" w14:textId="77777777" w:rsidR="001B77DD" w:rsidRDefault="001B77DD">
            <w:pPr>
              <w:rPr>
                <w:rFonts w:ascii="宋体"/>
              </w:rPr>
            </w:pPr>
          </w:p>
        </w:tc>
        <w:tc>
          <w:tcPr>
            <w:tcW w:w="2112" w:type="pct"/>
            <w:shd w:val="clear" w:color="auto" w:fill="auto"/>
            <w:vAlign w:val="bottom"/>
          </w:tcPr>
          <w:p w14:paraId="675345CE" w14:textId="77777777" w:rsidR="001B77DD" w:rsidRDefault="001B77DD">
            <w:pPr>
              <w:rPr>
                <w:rFonts w:ascii="宋体"/>
              </w:rPr>
            </w:pPr>
          </w:p>
        </w:tc>
        <w:tc>
          <w:tcPr>
            <w:tcW w:w="5" w:type="pct"/>
            <w:shd w:val="clear" w:color="auto" w:fill="auto"/>
            <w:vAlign w:val="bottom"/>
          </w:tcPr>
          <w:p w14:paraId="675345CF" w14:textId="77777777" w:rsidR="001B77DD" w:rsidRDefault="001B77DD">
            <w:pPr>
              <w:rPr>
                <w:rFonts w:ascii="宋体"/>
              </w:rPr>
            </w:pPr>
          </w:p>
        </w:tc>
        <w:tc>
          <w:tcPr>
            <w:tcW w:w="5" w:type="pct"/>
            <w:shd w:val="clear" w:color="auto" w:fill="auto"/>
            <w:vAlign w:val="bottom"/>
          </w:tcPr>
          <w:p w14:paraId="675345D0" w14:textId="77777777" w:rsidR="001B77DD" w:rsidRDefault="001B77DD">
            <w:pPr>
              <w:rPr>
                <w:rFonts w:ascii="宋体"/>
              </w:rPr>
            </w:pPr>
          </w:p>
        </w:tc>
        <w:tc>
          <w:tcPr>
            <w:tcW w:w="17" w:type="pct"/>
            <w:shd w:val="clear" w:color="auto" w:fill="auto"/>
            <w:vAlign w:val="bottom"/>
          </w:tcPr>
          <w:p w14:paraId="675345D1" w14:textId="77777777" w:rsidR="001B77DD" w:rsidRDefault="001B77DD">
            <w:pPr>
              <w:rPr>
                <w:rFonts w:ascii="宋体"/>
              </w:rPr>
            </w:pPr>
          </w:p>
        </w:tc>
        <w:tc>
          <w:tcPr>
            <w:tcW w:w="5" w:type="pct"/>
            <w:shd w:val="clear" w:color="auto" w:fill="auto"/>
            <w:vAlign w:val="bottom"/>
          </w:tcPr>
          <w:p w14:paraId="675345D2" w14:textId="77777777" w:rsidR="001B77DD" w:rsidRDefault="001B77DD">
            <w:pPr>
              <w:rPr>
                <w:rFonts w:ascii="宋体"/>
              </w:rPr>
            </w:pPr>
          </w:p>
        </w:tc>
        <w:tc>
          <w:tcPr>
            <w:tcW w:w="50" w:type="pct"/>
            <w:shd w:val="clear" w:color="auto" w:fill="auto"/>
            <w:vAlign w:val="bottom"/>
          </w:tcPr>
          <w:p w14:paraId="675345D3" w14:textId="77777777" w:rsidR="001B77DD" w:rsidRDefault="001B77DD">
            <w:pPr>
              <w:rPr>
                <w:rFonts w:ascii="宋体"/>
              </w:rPr>
            </w:pPr>
          </w:p>
        </w:tc>
        <w:tc>
          <w:tcPr>
            <w:tcW w:w="298" w:type="pct"/>
            <w:shd w:val="clear" w:color="auto" w:fill="auto"/>
            <w:vAlign w:val="bottom"/>
          </w:tcPr>
          <w:p w14:paraId="675345D4" w14:textId="77777777" w:rsidR="001B77DD" w:rsidRDefault="001B77DD">
            <w:pPr>
              <w:rPr>
                <w:rFonts w:ascii="宋体"/>
              </w:rPr>
            </w:pPr>
          </w:p>
        </w:tc>
        <w:tc>
          <w:tcPr>
            <w:tcW w:w="5" w:type="pct"/>
            <w:shd w:val="clear" w:color="auto" w:fill="auto"/>
            <w:vAlign w:val="bottom"/>
          </w:tcPr>
          <w:p w14:paraId="675345D5" w14:textId="77777777" w:rsidR="001B77DD" w:rsidRDefault="001B77DD">
            <w:pPr>
              <w:rPr>
                <w:rFonts w:ascii="宋体"/>
              </w:rPr>
            </w:pPr>
          </w:p>
        </w:tc>
        <w:tc>
          <w:tcPr>
            <w:tcW w:w="50" w:type="pct"/>
            <w:shd w:val="clear" w:color="auto" w:fill="auto"/>
            <w:vAlign w:val="bottom"/>
          </w:tcPr>
          <w:p w14:paraId="675345D6" w14:textId="77777777" w:rsidR="001B77DD" w:rsidRDefault="001B77DD">
            <w:pPr>
              <w:rPr>
                <w:rFonts w:ascii="宋体"/>
              </w:rPr>
            </w:pPr>
          </w:p>
        </w:tc>
        <w:tc>
          <w:tcPr>
            <w:tcW w:w="352" w:type="pct"/>
            <w:shd w:val="clear" w:color="auto" w:fill="auto"/>
            <w:vAlign w:val="bottom"/>
          </w:tcPr>
          <w:p w14:paraId="675345D7" w14:textId="77777777" w:rsidR="001B77DD" w:rsidRDefault="001B77DD">
            <w:pPr>
              <w:rPr>
                <w:rFonts w:ascii="宋体"/>
              </w:rPr>
            </w:pPr>
          </w:p>
        </w:tc>
        <w:tc>
          <w:tcPr>
            <w:tcW w:w="5" w:type="pct"/>
            <w:shd w:val="clear" w:color="auto" w:fill="auto"/>
            <w:vAlign w:val="bottom"/>
          </w:tcPr>
          <w:p w14:paraId="675345D8" w14:textId="77777777" w:rsidR="001B77DD" w:rsidRDefault="001B77DD">
            <w:pPr>
              <w:rPr>
                <w:rFonts w:ascii="宋体"/>
              </w:rPr>
            </w:pPr>
          </w:p>
        </w:tc>
        <w:tc>
          <w:tcPr>
            <w:tcW w:w="5" w:type="pct"/>
            <w:shd w:val="clear" w:color="auto" w:fill="auto"/>
            <w:vAlign w:val="bottom"/>
          </w:tcPr>
          <w:p w14:paraId="675345D9" w14:textId="77777777" w:rsidR="001B77DD" w:rsidRDefault="001B77DD">
            <w:pPr>
              <w:rPr>
                <w:rFonts w:ascii="宋体"/>
              </w:rPr>
            </w:pPr>
          </w:p>
        </w:tc>
        <w:tc>
          <w:tcPr>
            <w:tcW w:w="23" w:type="pct"/>
            <w:shd w:val="clear" w:color="auto" w:fill="auto"/>
            <w:vAlign w:val="bottom"/>
          </w:tcPr>
          <w:p w14:paraId="675345DA" w14:textId="77777777" w:rsidR="001B77DD" w:rsidRDefault="001B77DD">
            <w:pPr>
              <w:rPr>
                <w:rFonts w:ascii="宋体"/>
              </w:rPr>
            </w:pPr>
          </w:p>
        </w:tc>
        <w:tc>
          <w:tcPr>
            <w:tcW w:w="5" w:type="pct"/>
            <w:shd w:val="clear" w:color="auto" w:fill="auto"/>
            <w:vAlign w:val="bottom"/>
          </w:tcPr>
          <w:p w14:paraId="675345DB" w14:textId="77777777" w:rsidR="001B77DD" w:rsidRDefault="001B77DD">
            <w:pPr>
              <w:rPr>
                <w:rFonts w:ascii="宋体"/>
              </w:rPr>
            </w:pPr>
          </w:p>
        </w:tc>
        <w:tc>
          <w:tcPr>
            <w:tcW w:w="50" w:type="pct"/>
            <w:shd w:val="clear" w:color="auto" w:fill="auto"/>
            <w:vAlign w:val="bottom"/>
          </w:tcPr>
          <w:p w14:paraId="675345DC" w14:textId="77777777" w:rsidR="001B77DD" w:rsidRDefault="001B77DD">
            <w:pPr>
              <w:rPr>
                <w:rFonts w:ascii="宋体"/>
              </w:rPr>
            </w:pPr>
          </w:p>
        </w:tc>
        <w:tc>
          <w:tcPr>
            <w:tcW w:w="536" w:type="pct"/>
            <w:shd w:val="clear" w:color="auto" w:fill="auto"/>
            <w:vAlign w:val="bottom"/>
          </w:tcPr>
          <w:p w14:paraId="675345DD" w14:textId="77777777" w:rsidR="001B77DD" w:rsidRDefault="001B77DD">
            <w:pPr>
              <w:rPr>
                <w:rFonts w:ascii="宋体"/>
              </w:rPr>
            </w:pPr>
          </w:p>
        </w:tc>
        <w:tc>
          <w:tcPr>
            <w:tcW w:w="5" w:type="pct"/>
            <w:shd w:val="clear" w:color="auto" w:fill="auto"/>
            <w:vAlign w:val="bottom"/>
          </w:tcPr>
          <w:p w14:paraId="675345DE" w14:textId="77777777" w:rsidR="001B77DD" w:rsidRDefault="001B77DD">
            <w:pPr>
              <w:rPr>
                <w:rFonts w:ascii="宋体"/>
              </w:rPr>
            </w:pPr>
          </w:p>
        </w:tc>
        <w:tc>
          <w:tcPr>
            <w:tcW w:w="5" w:type="pct"/>
            <w:shd w:val="clear" w:color="auto" w:fill="auto"/>
            <w:vAlign w:val="bottom"/>
          </w:tcPr>
          <w:p w14:paraId="675345DF" w14:textId="77777777" w:rsidR="001B77DD" w:rsidRDefault="001B77DD">
            <w:pPr>
              <w:rPr>
                <w:rFonts w:ascii="宋体"/>
              </w:rPr>
            </w:pPr>
          </w:p>
        </w:tc>
        <w:tc>
          <w:tcPr>
            <w:tcW w:w="23" w:type="pct"/>
            <w:shd w:val="clear" w:color="auto" w:fill="auto"/>
            <w:vAlign w:val="bottom"/>
          </w:tcPr>
          <w:p w14:paraId="675345E0" w14:textId="77777777" w:rsidR="001B77DD" w:rsidRDefault="001B77DD">
            <w:pPr>
              <w:rPr>
                <w:rFonts w:ascii="宋体"/>
              </w:rPr>
            </w:pPr>
          </w:p>
        </w:tc>
        <w:tc>
          <w:tcPr>
            <w:tcW w:w="5" w:type="pct"/>
            <w:shd w:val="clear" w:color="auto" w:fill="auto"/>
            <w:vAlign w:val="bottom"/>
          </w:tcPr>
          <w:p w14:paraId="675345E1" w14:textId="77777777" w:rsidR="001B77DD" w:rsidRDefault="001B77DD">
            <w:pPr>
              <w:rPr>
                <w:rFonts w:ascii="宋体"/>
              </w:rPr>
            </w:pPr>
          </w:p>
        </w:tc>
        <w:tc>
          <w:tcPr>
            <w:tcW w:w="50" w:type="pct"/>
            <w:shd w:val="clear" w:color="auto" w:fill="auto"/>
            <w:vAlign w:val="bottom"/>
          </w:tcPr>
          <w:p w14:paraId="675345E2" w14:textId="77777777" w:rsidR="001B77DD" w:rsidRDefault="001B77DD">
            <w:pPr>
              <w:rPr>
                <w:rFonts w:ascii="宋体"/>
              </w:rPr>
            </w:pPr>
          </w:p>
        </w:tc>
        <w:tc>
          <w:tcPr>
            <w:tcW w:w="298" w:type="pct"/>
            <w:shd w:val="clear" w:color="auto" w:fill="auto"/>
            <w:vAlign w:val="bottom"/>
          </w:tcPr>
          <w:p w14:paraId="675345E3" w14:textId="77777777" w:rsidR="001B77DD" w:rsidRDefault="001B77DD">
            <w:pPr>
              <w:rPr>
                <w:rFonts w:ascii="宋体"/>
              </w:rPr>
            </w:pPr>
          </w:p>
        </w:tc>
        <w:tc>
          <w:tcPr>
            <w:tcW w:w="5" w:type="pct"/>
            <w:shd w:val="clear" w:color="auto" w:fill="auto"/>
            <w:vAlign w:val="bottom"/>
          </w:tcPr>
          <w:p w14:paraId="675345E4" w14:textId="77777777" w:rsidR="001B77DD" w:rsidRDefault="001B77DD">
            <w:pPr>
              <w:rPr>
                <w:rFonts w:ascii="宋体"/>
              </w:rPr>
            </w:pPr>
          </w:p>
        </w:tc>
        <w:tc>
          <w:tcPr>
            <w:tcW w:w="50" w:type="pct"/>
            <w:shd w:val="clear" w:color="auto" w:fill="auto"/>
            <w:vAlign w:val="bottom"/>
          </w:tcPr>
          <w:p w14:paraId="675345E5" w14:textId="77777777" w:rsidR="001B77DD" w:rsidRDefault="001B77DD">
            <w:pPr>
              <w:rPr>
                <w:rFonts w:ascii="宋体"/>
              </w:rPr>
            </w:pPr>
          </w:p>
        </w:tc>
        <w:tc>
          <w:tcPr>
            <w:tcW w:w="352" w:type="pct"/>
            <w:shd w:val="clear" w:color="auto" w:fill="auto"/>
            <w:vAlign w:val="bottom"/>
          </w:tcPr>
          <w:p w14:paraId="675345E6" w14:textId="77777777" w:rsidR="001B77DD" w:rsidRDefault="001B77DD">
            <w:pPr>
              <w:rPr>
                <w:rFonts w:ascii="宋体"/>
              </w:rPr>
            </w:pPr>
          </w:p>
        </w:tc>
        <w:tc>
          <w:tcPr>
            <w:tcW w:w="5" w:type="pct"/>
            <w:shd w:val="clear" w:color="auto" w:fill="auto"/>
            <w:vAlign w:val="bottom"/>
          </w:tcPr>
          <w:p w14:paraId="675345E7" w14:textId="77777777" w:rsidR="001B77DD" w:rsidRDefault="001B77DD">
            <w:pPr>
              <w:rPr>
                <w:rFonts w:ascii="宋体"/>
              </w:rPr>
            </w:pPr>
          </w:p>
        </w:tc>
        <w:tc>
          <w:tcPr>
            <w:tcW w:w="5" w:type="pct"/>
            <w:shd w:val="clear" w:color="auto" w:fill="auto"/>
            <w:vAlign w:val="bottom"/>
          </w:tcPr>
          <w:p w14:paraId="675345E8" w14:textId="77777777" w:rsidR="001B77DD" w:rsidRDefault="001B77DD">
            <w:pPr>
              <w:rPr>
                <w:rFonts w:ascii="宋体"/>
              </w:rPr>
            </w:pPr>
          </w:p>
        </w:tc>
        <w:tc>
          <w:tcPr>
            <w:tcW w:w="23" w:type="pct"/>
            <w:shd w:val="clear" w:color="auto" w:fill="auto"/>
            <w:vAlign w:val="bottom"/>
          </w:tcPr>
          <w:p w14:paraId="675345E9" w14:textId="77777777" w:rsidR="001B77DD" w:rsidRDefault="001B77DD">
            <w:pPr>
              <w:rPr>
                <w:rFonts w:ascii="宋体"/>
              </w:rPr>
            </w:pPr>
          </w:p>
        </w:tc>
        <w:tc>
          <w:tcPr>
            <w:tcW w:w="5" w:type="pct"/>
            <w:shd w:val="clear" w:color="auto" w:fill="auto"/>
            <w:vAlign w:val="bottom"/>
          </w:tcPr>
          <w:p w14:paraId="675345EA" w14:textId="77777777" w:rsidR="001B77DD" w:rsidRDefault="001B77DD">
            <w:pPr>
              <w:rPr>
                <w:rFonts w:ascii="宋体"/>
              </w:rPr>
            </w:pPr>
          </w:p>
        </w:tc>
        <w:tc>
          <w:tcPr>
            <w:tcW w:w="50" w:type="pct"/>
            <w:shd w:val="clear" w:color="auto" w:fill="auto"/>
            <w:vAlign w:val="bottom"/>
          </w:tcPr>
          <w:p w14:paraId="675345EB" w14:textId="77777777" w:rsidR="001B77DD" w:rsidRDefault="001B77DD">
            <w:pPr>
              <w:rPr>
                <w:rFonts w:ascii="宋体"/>
              </w:rPr>
            </w:pPr>
          </w:p>
        </w:tc>
        <w:tc>
          <w:tcPr>
            <w:tcW w:w="536" w:type="pct"/>
            <w:shd w:val="clear" w:color="auto" w:fill="auto"/>
            <w:vAlign w:val="bottom"/>
          </w:tcPr>
          <w:p w14:paraId="675345EC" w14:textId="77777777" w:rsidR="001B77DD" w:rsidRDefault="001B77DD">
            <w:pPr>
              <w:rPr>
                <w:rFonts w:ascii="宋体"/>
              </w:rPr>
            </w:pPr>
          </w:p>
        </w:tc>
        <w:tc>
          <w:tcPr>
            <w:tcW w:w="5" w:type="pct"/>
            <w:shd w:val="clear" w:color="auto" w:fill="auto"/>
            <w:vAlign w:val="bottom"/>
          </w:tcPr>
          <w:p w14:paraId="675345ED" w14:textId="77777777" w:rsidR="001B77DD" w:rsidRDefault="001B77DD">
            <w:pPr>
              <w:rPr>
                <w:rFonts w:ascii="宋体"/>
              </w:rPr>
            </w:pPr>
          </w:p>
        </w:tc>
      </w:tr>
      <w:tr w:rsidR="001B77DD" w14:paraId="675345F4" w14:textId="77777777">
        <w:tc>
          <w:tcPr>
            <w:tcW w:w="0" w:type="auto"/>
            <w:gridSpan w:val="3"/>
            <w:shd w:val="clear" w:color="auto" w:fill="auto"/>
            <w:tcMar>
              <w:top w:w="0" w:type="dxa"/>
              <w:left w:w="20" w:type="dxa"/>
              <w:bottom w:w="0" w:type="dxa"/>
              <w:right w:w="20" w:type="dxa"/>
            </w:tcMar>
            <w:vAlign w:val="bottom"/>
          </w:tcPr>
          <w:p w14:paraId="675345E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5F0" w14:textId="77777777" w:rsidR="001B77DD" w:rsidRDefault="001B77DD">
            <w:pPr>
              <w:rPr>
                <w:rFonts w:ascii="宋体"/>
              </w:rPr>
            </w:pPr>
          </w:p>
        </w:tc>
        <w:tc>
          <w:tcPr>
            <w:tcW w:w="0" w:type="auto"/>
            <w:gridSpan w:val="12"/>
            <w:shd w:val="clear" w:color="auto" w:fill="auto"/>
            <w:tcMar>
              <w:top w:w="40" w:type="dxa"/>
              <w:left w:w="20" w:type="dxa"/>
              <w:bottom w:w="40" w:type="dxa"/>
              <w:right w:w="20" w:type="dxa"/>
            </w:tcMar>
            <w:vAlign w:val="bottom"/>
          </w:tcPr>
          <w:p w14:paraId="675345F1" w14:textId="77777777" w:rsidR="001B77DD" w:rsidRDefault="00BF0A28">
            <w:pPr>
              <w:jc w:val="center"/>
              <w:textAlignment w:val="bottom"/>
            </w:pPr>
            <w:r>
              <w:rPr>
                <w:rFonts w:ascii="Arial" w:eastAsia="宋体" w:hAnsi="Arial" w:cs="Arial"/>
                <w:b/>
                <w:bCs/>
                <w:color w:val="262626"/>
                <w:sz w:val="18"/>
                <w:szCs w:val="18"/>
              </w:rPr>
              <w:t>2021 vs. 2020</w:t>
            </w:r>
          </w:p>
        </w:tc>
        <w:tc>
          <w:tcPr>
            <w:tcW w:w="0" w:type="auto"/>
            <w:gridSpan w:val="3"/>
            <w:shd w:val="clear" w:color="auto" w:fill="auto"/>
            <w:tcMar>
              <w:top w:w="0" w:type="dxa"/>
              <w:left w:w="20" w:type="dxa"/>
              <w:bottom w:w="0" w:type="dxa"/>
              <w:right w:w="20" w:type="dxa"/>
            </w:tcMar>
            <w:vAlign w:val="bottom"/>
          </w:tcPr>
          <w:p w14:paraId="675345F2" w14:textId="77777777" w:rsidR="001B77DD" w:rsidRDefault="001B77DD">
            <w:pPr>
              <w:rPr>
                <w:rFonts w:ascii="宋体"/>
              </w:rPr>
            </w:pPr>
          </w:p>
        </w:tc>
        <w:tc>
          <w:tcPr>
            <w:tcW w:w="0" w:type="auto"/>
            <w:gridSpan w:val="12"/>
            <w:shd w:val="clear" w:color="auto" w:fill="auto"/>
            <w:tcMar>
              <w:top w:w="40" w:type="dxa"/>
              <w:left w:w="20" w:type="dxa"/>
              <w:bottom w:w="40" w:type="dxa"/>
              <w:right w:w="20" w:type="dxa"/>
            </w:tcMar>
            <w:vAlign w:val="bottom"/>
          </w:tcPr>
          <w:p w14:paraId="675345F3" w14:textId="77777777" w:rsidR="001B77DD" w:rsidRDefault="00BF0A28">
            <w:pPr>
              <w:jc w:val="center"/>
              <w:textAlignment w:val="bottom"/>
            </w:pPr>
            <w:r>
              <w:rPr>
                <w:rFonts w:ascii="Arial" w:eastAsia="宋体" w:hAnsi="Arial" w:cs="Arial"/>
                <w:b/>
                <w:bCs/>
                <w:color w:val="262626"/>
                <w:sz w:val="18"/>
                <w:szCs w:val="18"/>
              </w:rPr>
              <w:t>2020 vs. 2019</w:t>
            </w:r>
          </w:p>
        </w:tc>
      </w:tr>
      <w:tr w:rsidR="001B77DD" w14:paraId="675345FE" w14:textId="77777777">
        <w:tc>
          <w:tcPr>
            <w:tcW w:w="0" w:type="auto"/>
            <w:gridSpan w:val="3"/>
            <w:shd w:val="clear" w:color="auto" w:fill="auto"/>
            <w:tcMar>
              <w:top w:w="40" w:type="dxa"/>
              <w:left w:w="20" w:type="dxa"/>
              <w:bottom w:w="40" w:type="dxa"/>
              <w:right w:w="20" w:type="dxa"/>
            </w:tcMar>
            <w:vAlign w:val="bottom"/>
          </w:tcPr>
          <w:p w14:paraId="675345F5"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45F6" w14:textId="77777777" w:rsidR="001B77DD" w:rsidRDefault="001B77DD">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675345F7" w14:textId="77777777" w:rsidR="001B77DD" w:rsidRDefault="00BF0A28">
            <w:pPr>
              <w:jc w:val="center"/>
              <w:textAlignment w:val="bottom"/>
            </w:pPr>
            <w:r>
              <w:rPr>
                <w:rFonts w:ascii="Arial" w:eastAsia="宋体" w:hAnsi="Arial" w:cs="Arial"/>
                <w:b/>
                <w:bCs/>
                <w:color w:val="262626"/>
                <w:sz w:val="18"/>
                <w:szCs w:val="18"/>
              </w:rPr>
              <w:t>% Growth</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5F8"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5F9" w14:textId="77777777" w:rsidR="001B77DD" w:rsidRDefault="00BF0A28">
            <w:pPr>
              <w:jc w:val="center"/>
              <w:textAlignment w:val="bottom"/>
            </w:pPr>
            <w:r>
              <w:rPr>
                <w:rFonts w:ascii="Arial" w:eastAsia="宋体" w:hAnsi="Arial" w:cs="Arial"/>
                <w:b/>
                <w:bCs/>
                <w:color w:val="262626"/>
                <w:sz w:val="18"/>
                <w:szCs w:val="18"/>
              </w:rPr>
              <w:t>$ Impact</w:t>
            </w:r>
          </w:p>
        </w:tc>
        <w:tc>
          <w:tcPr>
            <w:tcW w:w="0" w:type="auto"/>
            <w:gridSpan w:val="3"/>
            <w:shd w:val="clear" w:color="auto" w:fill="auto"/>
            <w:tcMar>
              <w:top w:w="0" w:type="dxa"/>
              <w:left w:w="20" w:type="dxa"/>
              <w:bottom w:w="0" w:type="dxa"/>
              <w:right w:w="20" w:type="dxa"/>
            </w:tcMar>
            <w:vAlign w:val="bottom"/>
          </w:tcPr>
          <w:p w14:paraId="675345FA" w14:textId="77777777" w:rsidR="001B77DD" w:rsidRDefault="001B77DD">
            <w:pPr>
              <w:rPr>
                <w:rFonts w:ascii="宋体"/>
              </w:rPr>
            </w:pPr>
          </w:p>
        </w:tc>
        <w:tc>
          <w:tcPr>
            <w:tcW w:w="0" w:type="auto"/>
            <w:gridSpan w:val="6"/>
            <w:tcBorders>
              <w:top w:val="single" w:sz="4" w:space="0" w:color="0068B5"/>
            </w:tcBorders>
            <w:shd w:val="clear" w:color="auto" w:fill="auto"/>
            <w:tcMar>
              <w:top w:w="40" w:type="dxa"/>
              <w:left w:w="20" w:type="dxa"/>
              <w:bottom w:w="40" w:type="dxa"/>
              <w:right w:w="20" w:type="dxa"/>
            </w:tcMar>
            <w:vAlign w:val="bottom"/>
          </w:tcPr>
          <w:p w14:paraId="675345FB" w14:textId="77777777" w:rsidR="001B77DD" w:rsidRDefault="00BF0A28">
            <w:pPr>
              <w:jc w:val="center"/>
              <w:textAlignment w:val="bottom"/>
            </w:pPr>
            <w:r>
              <w:rPr>
                <w:rFonts w:ascii="Arial" w:eastAsia="宋体" w:hAnsi="Arial" w:cs="Arial"/>
                <w:b/>
                <w:bCs/>
                <w:color w:val="262626"/>
                <w:sz w:val="18"/>
                <w:szCs w:val="18"/>
              </w:rPr>
              <w:t>% Growth</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5FC"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5FD" w14:textId="77777777" w:rsidR="001B77DD" w:rsidRDefault="00BF0A28">
            <w:pPr>
              <w:jc w:val="center"/>
              <w:textAlignment w:val="bottom"/>
            </w:pPr>
            <w:r>
              <w:rPr>
                <w:rFonts w:ascii="Arial" w:eastAsia="宋体" w:hAnsi="Arial" w:cs="Arial"/>
                <w:b/>
                <w:bCs/>
                <w:color w:val="262626"/>
                <w:sz w:val="18"/>
                <w:szCs w:val="18"/>
              </w:rPr>
              <w:t>$ Impact</w:t>
            </w:r>
          </w:p>
        </w:tc>
      </w:tr>
      <w:tr w:rsidR="001B77DD" w14:paraId="6753460A" w14:textId="77777777">
        <w:trPr>
          <w:hidden/>
        </w:trPr>
        <w:tc>
          <w:tcPr>
            <w:tcW w:w="0" w:type="auto"/>
            <w:gridSpan w:val="3"/>
            <w:shd w:val="clear" w:color="auto" w:fill="auto"/>
            <w:vAlign w:val="bottom"/>
          </w:tcPr>
          <w:p w14:paraId="675345FF" w14:textId="77777777" w:rsidR="001B77DD" w:rsidRDefault="001B77DD">
            <w:pPr>
              <w:rPr>
                <w:rFonts w:ascii="宋体"/>
                <w:vanish/>
              </w:rPr>
            </w:pPr>
          </w:p>
        </w:tc>
        <w:tc>
          <w:tcPr>
            <w:tcW w:w="0" w:type="auto"/>
            <w:gridSpan w:val="3"/>
            <w:shd w:val="clear" w:color="auto" w:fill="auto"/>
            <w:vAlign w:val="bottom"/>
          </w:tcPr>
          <w:p w14:paraId="67534600" w14:textId="77777777" w:rsidR="001B77DD" w:rsidRDefault="001B77DD">
            <w:pPr>
              <w:rPr>
                <w:rFonts w:ascii="宋体"/>
                <w:vanish/>
              </w:rPr>
            </w:pPr>
          </w:p>
        </w:tc>
        <w:tc>
          <w:tcPr>
            <w:tcW w:w="0" w:type="auto"/>
            <w:gridSpan w:val="3"/>
            <w:shd w:val="clear" w:color="auto" w:fill="auto"/>
            <w:vAlign w:val="bottom"/>
          </w:tcPr>
          <w:p w14:paraId="67534601" w14:textId="77777777" w:rsidR="001B77DD" w:rsidRDefault="001B77DD">
            <w:pPr>
              <w:rPr>
                <w:rFonts w:ascii="宋体"/>
                <w:vanish/>
              </w:rPr>
            </w:pPr>
          </w:p>
        </w:tc>
        <w:tc>
          <w:tcPr>
            <w:tcW w:w="0" w:type="auto"/>
            <w:gridSpan w:val="3"/>
            <w:shd w:val="clear" w:color="auto" w:fill="auto"/>
            <w:vAlign w:val="bottom"/>
          </w:tcPr>
          <w:p w14:paraId="67534602" w14:textId="77777777" w:rsidR="001B77DD" w:rsidRDefault="001B77DD">
            <w:pPr>
              <w:rPr>
                <w:rFonts w:ascii="宋体"/>
                <w:vanish/>
              </w:rPr>
            </w:pPr>
          </w:p>
        </w:tc>
        <w:tc>
          <w:tcPr>
            <w:tcW w:w="0" w:type="auto"/>
            <w:gridSpan w:val="3"/>
            <w:shd w:val="clear" w:color="auto" w:fill="auto"/>
            <w:vAlign w:val="bottom"/>
          </w:tcPr>
          <w:p w14:paraId="67534603" w14:textId="77777777" w:rsidR="001B77DD" w:rsidRDefault="001B77DD">
            <w:pPr>
              <w:rPr>
                <w:rFonts w:ascii="宋体"/>
                <w:vanish/>
              </w:rPr>
            </w:pPr>
          </w:p>
        </w:tc>
        <w:tc>
          <w:tcPr>
            <w:tcW w:w="0" w:type="auto"/>
            <w:gridSpan w:val="3"/>
            <w:shd w:val="clear" w:color="auto" w:fill="auto"/>
            <w:vAlign w:val="bottom"/>
          </w:tcPr>
          <w:p w14:paraId="67534604" w14:textId="77777777" w:rsidR="001B77DD" w:rsidRDefault="001B77DD">
            <w:pPr>
              <w:rPr>
                <w:rFonts w:ascii="宋体"/>
                <w:vanish/>
              </w:rPr>
            </w:pPr>
          </w:p>
        </w:tc>
        <w:tc>
          <w:tcPr>
            <w:tcW w:w="0" w:type="auto"/>
            <w:gridSpan w:val="3"/>
            <w:shd w:val="clear" w:color="auto" w:fill="auto"/>
            <w:vAlign w:val="bottom"/>
          </w:tcPr>
          <w:p w14:paraId="67534605" w14:textId="77777777" w:rsidR="001B77DD" w:rsidRDefault="001B77DD">
            <w:pPr>
              <w:rPr>
                <w:rFonts w:ascii="宋体"/>
                <w:vanish/>
              </w:rPr>
            </w:pPr>
          </w:p>
        </w:tc>
        <w:tc>
          <w:tcPr>
            <w:tcW w:w="0" w:type="auto"/>
            <w:gridSpan w:val="3"/>
            <w:shd w:val="clear" w:color="auto" w:fill="auto"/>
            <w:vAlign w:val="bottom"/>
          </w:tcPr>
          <w:p w14:paraId="67534606" w14:textId="77777777" w:rsidR="001B77DD" w:rsidRDefault="001B77DD">
            <w:pPr>
              <w:rPr>
                <w:rFonts w:ascii="宋体"/>
                <w:vanish/>
              </w:rPr>
            </w:pPr>
          </w:p>
        </w:tc>
        <w:tc>
          <w:tcPr>
            <w:tcW w:w="0" w:type="auto"/>
            <w:gridSpan w:val="3"/>
            <w:shd w:val="clear" w:color="auto" w:fill="auto"/>
            <w:vAlign w:val="bottom"/>
          </w:tcPr>
          <w:p w14:paraId="67534607" w14:textId="77777777" w:rsidR="001B77DD" w:rsidRDefault="001B77DD">
            <w:pPr>
              <w:rPr>
                <w:rFonts w:ascii="宋体"/>
                <w:vanish/>
              </w:rPr>
            </w:pPr>
          </w:p>
        </w:tc>
        <w:tc>
          <w:tcPr>
            <w:tcW w:w="0" w:type="auto"/>
            <w:gridSpan w:val="3"/>
            <w:shd w:val="clear" w:color="auto" w:fill="auto"/>
            <w:vAlign w:val="bottom"/>
          </w:tcPr>
          <w:p w14:paraId="67534608" w14:textId="77777777" w:rsidR="001B77DD" w:rsidRDefault="001B77DD">
            <w:pPr>
              <w:rPr>
                <w:rFonts w:ascii="宋体"/>
                <w:vanish/>
              </w:rPr>
            </w:pPr>
          </w:p>
        </w:tc>
        <w:tc>
          <w:tcPr>
            <w:tcW w:w="0" w:type="auto"/>
            <w:gridSpan w:val="3"/>
            <w:shd w:val="clear" w:color="auto" w:fill="auto"/>
            <w:vAlign w:val="bottom"/>
          </w:tcPr>
          <w:p w14:paraId="67534609" w14:textId="77777777" w:rsidR="001B77DD" w:rsidRDefault="001B77DD">
            <w:pPr>
              <w:rPr>
                <w:rFonts w:ascii="宋体"/>
                <w:vanish/>
              </w:rPr>
            </w:pPr>
          </w:p>
        </w:tc>
      </w:tr>
      <w:tr w:rsidR="001B77DD" w14:paraId="6753461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460B" w14:textId="77777777" w:rsidR="001B77DD" w:rsidRDefault="00BF0A28">
            <w:pPr>
              <w:textAlignment w:val="bottom"/>
            </w:pPr>
            <w:r>
              <w:rPr>
                <w:rFonts w:ascii="Arial" w:eastAsia="宋体" w:hAnsi="Arial" w:cs="Arial"/>
                <w:color w:val="262626"/>
                <w:sz w:val="18"/>
                <w:szCs w:val="18"/>
              </w:rPr>
              <w:t>Platform ASP</w:t>
            </w:r>
          </w:p>
        </w:tc>
        <w:tc>
          <w:tcPr>
            <w:tcW w:w="0" w:type="auto"/>
            <w:gridSpan w:val="3"/>
            <w:shd w:val="clear" w:color="auto" w:fill="auto"/>
            <w:tcMar>
              <w:top w:w="0" w:type="dxa"/>
              <w:left w:w="20" w:type="dxa"/>
              <w:bottom w:w="0" w:type="dxa"/>
              <w:right w:w="20" w:type="dxa"/>
            </w:tcMar>
            <w:vAlign w:val="bottom"/>
          </w:tcPr>
          <w:p w14:paraId="6753460C"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753460D" w14:textId="77777777" w:rsidR="001B77DD" w:rsidRDefault="00BF0A28">
            <w:pPr>
              <w:jc w:val="right"/>
              <w:textAlignment w:val="center"/>
            </w:pPr>
            <w:r>
              <w:rPr>
                <w:rFonts w:ascii="Arial" w:eastAsia="宋体" w:hAnsi="Arial" w:cs="Arial"/>
                <w:color w:val="0068B5"/>
                <w:sz w:val="18"/>
                <w:szCs w:val="18"/>
              </w:rPr>
              <w:t>down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753460E" w14:textId="77777777" w:rsidR="001B77DD" w:rsidRDefault="00BF0A28">
            <w:pPr>
              <w:textAlignment w:val="center"/>
            </w:pPr>
            <w:r>
              <w:rPr>
                <w:rFonts w:ascii="Arial" w:eastAsia="宋体" w:hAnsi="Arial" w:cs="Arial"/>
                <w:color w:val="0068B5"/>
                <w:sz w:val="18"/>
                <w:szCs w:val="18"/>
              </w:rPr>
              <w:t>(4)%</w:t>
            </w:r>
          </w:p>
        </w:tc>
        <w:tc>
          <w:tcPr>
            <w:tcW w:w="0" w:type="auto"/>
            <w:gridSpan w:val="3"/>
            <w:shd w:val="clear" w:color="auto" w:fill="auto"/>
            <w:tcMar>
              <w:top w:w="0" w:type="dxa"/>
              <w:left w:w="20" w:type="dxa"/>
              <w:bottom w:w="0" w:type="dxa"/>
              <w:right w:w="20" w:type="dxa"/>
            </w:tcMar>
            <w:vAlign w:val="bottom"/>
          </w:tcPr>
          <w:p w14:paraId="6753460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center"/>
          </w:tcPr>
          <w:p w14:paraId="67534610" w14:textId="77777777" w:rsidR="001B77DD" w:rsidRDefault="00BF0A28">
            <w:pPr>
              <w:textAlignment w:val="center"/>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center"/>
          </w:tcPr>
          <w:p w14:paraId="67534611" w14:textId="77777777" w:rsidR="001B77DD" w:rsidRDefault="00BF0A28">
            <w:pPr>
              <w:jc w:val="right"/>
              <w:textAlignment w:val="center"/>
            </w:pPr>
            <w:r>
              <w:rPr>
                <w:rFonts w:ascii="Arial" w:eastAsia="宋体" w:hAnsi="Arial" w:cs="Arial"/>
                <w:color w:val="0068B5"/>
                <w:sz w:val="18"/>
                <w:szCs w:val="18"/>
              </w:rPr>
              <w:t>(924)</w:t>
            </w:r>
          </w:p>
        </w:tc>
        <w:tc>
          <w:tcPr>
            <w:tcW w:w="0" w:type="auto"/>
            <w:tcBorders>
              <w:top w:val="single" w:sz="8" w:space="0" w:color="0068B5"/>
            </w:tcBorders>
            <w:shd w:val="clear" w:color="auto" w:fill="auto"/>
            <w:tcMar>
              <w:top w:w="40" w:type="dxa"/>
              <w:left w:w="0" w:type="dxa"/>
              <w:bottom w:w="40" w:type="dxa"/>
              <w:right w:w="20" w:type="dxa"/>
            </w:tcMar>
            <w:vAlign w:val="center"/>
          </w:tcPr>
          <w:p w14:paraId="6753461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13"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7534614" w14:textId="77777777" w:rsidR="001B77DD" w:rsidRDefault="00BF0A28">
            <w:pPr>
              <w:jc w:val="right"/>
              <w:textAlignment w:val="center"/>
            </w:pPr>
            <w:r>
              <w:rPr>
                <w:rFonts w:ascii="Arial" w:eastAsia="宋体" w:hAnsi="Arial" w:cs="Arial"/>
                <w:color w:val="262626"/>
                <w:sz w:val="18"/>
                <w:szCs w:val="18"/>
              </w:rPr>
              <w:t>down</w:t>
            </w:r>
          </w:p>
        </w:tc>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7534615" w14:textId="77777777" w:rsidR="001B77DD" w:rsidRDefault="00BF0A28">
            <w:pPr>
              <w:textAlignment w:val="center"/>
            </w:pPr>
            <w:r>
              <w:rPr>
                <w:rFonts w:ascii="Arial" w:eastAsia="宋体" w:hAnsi="Arial" w:cs="Arial"/>
                <w:color w:val="262626"/>
                <w:sz w:val="18"/>
                <w:szCs w:val="18"/>
              </w:rPr>
              <w:t>(3)%</w:t>
            </w:r>
          </w:p>
        </w:tc>
        <w:tc>
          <w:tcPr>
            <w:tcW w:w="0" w:type="auto"/>
            <w:gridSpan w:val="3"/>
            <w:shd w:val="clear" w:color="auto" w:fill="auto"/>
            <w:tcMar>
              <w:top w:w="0" w:type="dxa"/>
              <w:left w:w="20" w:type="dxa"/>
              <w:bottom w:w="0" w:type="dxa"/>
              <w:right w:w="20" w:type="dxa"/>
            </w:tcMar>
            <w:vAlign w:val="bottom"/>
          </w:tcPr>
          <w:p w14:paraId="6753461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center"/>
          </w:tcPr>
          <w:p w14:paraId="67534617" w14:textId="77777777" w:rsidR="001B77DD" w:rsidRDefault="00BF0A28">
            <w:pPr>
              <w:textAlignment w:val="center"/>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center"/>
          </w:tcPr>
          <w:p w14:paraId="67534618" w14:textId="77777777" w:rsidR="001B77DD" w:rsidRDefault="00BF0A28">
            <w:pPr>
              <w:jc w:val="right"/>
              <w:textAlignment w:val="center"/>
            </w:pPr>
            <w:r>
              <w:rPr>
                <w:rFonts w:ascii="Arial" w:eastAsia="宋体" w:hAnsi="Arial" w:cs="Arial"/>
                <w:color w:val="262626"/>
                <w:sz w:val="18"/>
                <w:szCs w:val="18"/>
              </w:rPr>
              <w:t>(701)</w:t>
            </w:r>
          </w:p>
        </w:tc>
        <w:tc>
          <w:tcPr>
            <w:tcW w:w="0" w:type="auto"/>
            <w:tcBorders>
              <w:top w:val="single" w:sz="8" w:space="0" w:color="0068B5"/>
            </w:tcBorders>
            <w:shd w:val="clear" w:color="auto" w:fill="auto"/>
            <w:tcMar>
              <w:top w:w="40" w:type="dxa"/>
              <w:left w:w="0" w:type="dxa"/>
              <w:bottom w:w="40" w:type="dxa"/>
              <w:right w:w="20" w:type="dxa"/>
            </w:tcMar>
            <w:vAlign w:val="center"/>
          </w:tcPr>
          <w:p w14:paraId="67534619" w14:textId="77777777" w:rsidR="001B77DD" w:rsidRDefault="001B77DD">
            <w:pPr>
              <w:jc w:val="right"/>
              <w:rPr>
                <w:rFonts w:ascii="宋体"/>
              </w:rPr>
            </w:pPr>
          </w:p>
        </w:tc>
      </w:tr>
      <w:tr w:rsidR="001B77DD" w14:paraId="67534628" w14:textId="77777777">
        <w:tc>
          <w:tcPr>
            <w:tcW w:w="0" w:type="auto"/>
            <w:gridSpan w:val="3"/>
            <w:shd w:val="clear" w:color="auto" w:fill="auto"/>
            <w:tcMar>
              <w:top w:w="40" w:type="dxa"/>
              <w:left w:w="20" w:type="dxa"/>
              <w:bottom w:w="40" w:type="dxa"/>
              <w:right w:w="20" w:type="dxa"/>
            </w:tcMar>
            <w:vAlign w:val="center"/>
          </w:tcPr>
          <w:p w14:paraId="6753461B" w14:textId="77777777" w:rsidR="001B77DD" w:rsidRDefault="00BF0A28">
            <w:pPr>
              <w:textAlignment w:val="center"/>
            </w:pPr>
            <w:r>
              <w:rPr>
                <w:rFonts w:ascii="Arial" w:eastAsia="宋体" w:hAnsi="Arial" w:cs="Arial"/>
                <w:color w:val="262626"/>
                <w:sz w:val="18"/>
                <w:szCs w:val="18"/>
              </w:rPr>
              <w:t>Platform volume</w:t>
            </w:r>
          </w:p>
        </w:tc>
        <w:tc>
          <w:tcPr>
            <w:tcW w:w="0" w:type="auto"/>
            <w:gridSpan w:val="3"/>
            <w:shd w:val="clear" w:color="auto" w:fill="auto"/>
            <w:tcMar>
              <w:top w:w="0" w:type="dxa"/>
              <w:left w:w="20" w:type="dxa"/>
              <w:bottom w:w="0" w:type="dxa"/>
              <w:right w:w="20" w:type="dxa"/>
            </w:tcMar>
            <w:vAlign w:val="bottom"/>
          </w:tcPr>
          <w:p w14:paraId="6753461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1D" w14:textId="77777777" w:rsidR="001B77DD" w:rsidRDefault="00BF0A28">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6753461E" w14:textId="77777777" w:rsidR="001B77DD" w:rsidRDefault="00BF0A28">
            <w:pPr>
              <w:textAlignment w:val="center"/>
            </w:pPr>
            <w:r>
              <w:rPr>
                <w:rFonts w:ascii="Arial" w:eastAsia="宋体" w:hAnsi="Arial" w:cs="Arial"/>
                <w:color w:val="0068B5"/>
                <w:sz w:val="18"/>
                <w:szCs w:val="18"/>
              </w:rPr>
              <w:t>2%</w:t>
            </w:r>
          </w:p>
        </w:tc>
        <w:tc>
          <w:tcPr>
            <w:tcW w:w="0" w:type="auto"/>
            <w:gridSpan w:val="3"/>
            <w:shd w:val="clear" w:color="auto" w:fill="auto"/>
            <w:tcMar>
              <w:top w:w="0" w:type="dxa"/>
              <w:left w:w="20" w:type="dxa"/>
              <w:bottom w:w="0" w:type="dxa"/>
              <w:right w:w="20" w:type="dxa"/>
            </w:tcMar>
            <w:vAlign w:val="bottom"/>
          </w:tcPr>
          <w:p w14:paraId="6753461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620" w14:textId="77777777" w:rsidR="001B77DD" w:rsidRDefault="00BF0A28">
            <w:pPr>
              <w:jc w:val="right"/>
              <w:textAlignment w:val="center"/>
            </w:pPr>
            <w:r>
              <w:rPr>
                <w:rFonts w:ascii="Arial" w:eastAsia="宋体" w:hAnsi="Arial" w:cs="Arial"/>
                <w:color w:val="0068B5"/>
                <w:sz w:val="18"/>
                <w:szCs w:val="18"/>
              </w:rPr>
              <w:t>571 </w:t>
            </w:r>
          </w:p>
        </w:tc>
        <w:tc>
          <w:tcPr>
            <w:tcW w:w="0" w:type="auto"/>
            <w:shd w:val="clear" w:color="auto" w:fill="auto"/>
            <w:tcMar>
              <w:top w:w="40" w:type="dxa"/>
              <w:left w:w="0" w:type="dxa"/>
              <w:bottom w:w="40" w:type="dxa"/>
              <w:right w:w="20" w:type="dxa"/>
            </w:tcMar>
            <w:vAlign w:val="center"/>
          </w:tcPr>
          <w:p w14:paraId="6753462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2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23" w14:textId="77777777" w:rsidR="001B77DD" w:rsidRDefault="00BF0A28">
            <w:pPr>
              <w:jc w:val="right"/>
              <w:textAlignment w:val="center"/>
            </w:pPr>
            <w:r>
              <w:rPr>
                <w:rFonts w:ascii="Arial" w:eastAsia="宋体" w:hAnsi="Arial" w:cs="Arial"/>
                <w:color w:val="262626"/>
                <w:sz w:val="18"/>
                <w:szCs w:val="18"/>
              </w:rPr>
              <w:t>up</w:t>
            </w:r>
          </w:p>
        </w:tc>
        <w:tc>
          <w:tcPr>
            <w:tcW w:w="0" w:type="auto"/>
            <w:gridSpan w:val="3"/>
            <w:shd w:val="clear" w:color="auto" w:fill="auto"/>
            <w:tcMar>
              <w:top w:w="40" w:type="dxa"/>
              <w:left w:w="20" w:type="dxa"/>
              <w:bottom w:w="40" w:type="dxa"/>
              <w:right w:w="20" w:type="dxa"/>
            </w:tcMar>
            <w:vAlign w:val="center"/>
          </w:tcPr>
          <w:p w14:paraId="67534624" w14:textId="77777777" w:rsidR="001B77DD" w:rsidRDefault="00BF0A28">
            <w:pPr>
              <w:textAlignment w:val="center"/>
            </w:pPr>
            <w:r>
              <w:rPr>
                <w:rFonts w:ascii="Arial" w:eastAsia="宋体" w:hAnsi="Arial" w:cs="Arial"/>
                <w:color w:val="262626"/>
                <w:sz w:val="18"/>
                <w:szCs w:val="18"/>
              </w:rPr>
              <w:t>11%</w:t>
            </w:r>
          </w:p>
        </w:tc>
        <w:tc>
          <w:tcPr>
            <w:tcW w:w="0" w:type="auto"/>
            <w:gridSpan w:val="3"/>
            <w:shd w:val="clear" w:color="auto" w:fill="auto"/>
            <w:tcMar>
              <w:top w:w="0" w:type="dxa"/>
              <w:left w:w="20" w:type="dxa"/>
              <w:bottom w:w="0" w:type="dxa"/>
              <w:right w:w="20" w:type="dxa"/>
            </w:tcMar>
            <w:vAlign w:val="bottom"/>
          </w:tcPr>
          <w:p w14:paraId="6753462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626" w14:textId="77777777" w:rsidR="001B77DD" w:rsidRDefault="00BF0A28">
            <w:pPr>
              <w:jc w:val="right"/>
              <w:textAlignment w:val="center"/>
            </w:pPr>
            <w:r>
              <w:rPr>
                <w:rFonts w:ascii="Arial" w:eastAsia="宋体" w:hAnsi="Arial" w:cs="Arial"/>
                <w:color w:val="262626"/>
                <w:sz w:val="18"/>
                <w:szCs w:val="18"/>
              </w:rPr>
              <w:t>2,316 </w:t>
            </w:r>
          </w:p>
        </w:tc>
        <w:tc>
          <w:tcPr>
            <w:tcW w:w="0" w:type="auto"/>
            <w:shd w:val="clear" w:color="auto" w:fill="auto"/>
            <w:tcMar>
              <w:top w:w="40" w:type="dxa"/>
              <w:left w:w="0" w:type="dxa"/>
              <w:bottom w:w="40" w:type="dxa"/>
              <w:right w:w="20" w:type="dxa"/>
            </w:tcMar>
            <w:vAlign w:val="center"/>
          </w:tcPr>
          <w:p w14:paraId="67534627" w14:textId="77777777" w:rsidR="001B77DD" w:rsidRDefault="001B77DD">
            <w:pPr>
              <w:jc w:val="right"/>
              <w:rPr>
                <w:rFonts w:ascii="宋体"/>
              </w:rPr>
            </w:pPr>
          </w:p>
        </w:tc>
      </w:tr>
      <w:tr w:rsidR="001B77DD" w14:paraId="67534636" w14:textId="77777777">
        <w:tc>
          <w:tcPr>
            <w:tcW w:w="0" w:type="auto"/>
            <w:gridSpan w:val="3"/>
            <w:shd w:val="clear" w:color="auto" w:fill="auto"/>
            <w:tcMar>
              <w:top w:w="40" w:type="dxa"/>
              <w:left w:w="20" w:type="dxa"/>
              <w:bottom w:w="40" w:type="dxa"/>
              <w:right w:w="20" w:type="dxa"/>
            </w:tcMar>
            <w:vAlign w:val="bottom"/>
          </w:tcPr>
          <w:p w14:paraId="67534629" w14:textId="77777777" w:rsidR="001B77DD" w:rsidRDefault="00BF0A28">
            <w:pPr>
              <w:textAlignment w:val="bottom"/>
            </w:pPr>
            <w:r>
              <w:rPr>
                <w:rFonts w:ascii="Arial" w:eastAsia="宋体" w:hAnsi="Arial" w:cs="Arial"/>
                <w:color w:val="262626"/>
                <w:sz w:val="18"/>
                <w:szCs w:val="18"/>
              </w:rPr>
              <w:t>Adjacent products</w:t>
            </w:r>
          </w:p>
        </w:tc>
        <w:tc>
          <w:tcPr>
            <w:tcW w:w="0" w:type="auto"/>
            <w:gridSpan w:val="3"/>
            <w:shd w:val="clear" w:color="auto" w:fill="auto"/>
            <w:tcMar>
              <w:top w:w="0" w:type="dxa"/>
              <w:left w:w="20" w:type="dxa"/>
              <w:bottom w:w="0" w:type="dxa"/>
              <w:right w:w="20" w:type="dxa"/>
            </w:tcMar>
            <w:vAlign w:val="bottom"/>
          </w:tcPr>
          <w:p w14:paraId="6753462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2B" w14:textId="77777777" w:rsidR="001B77DD" w:rsidRDefault="00BF0A28">
            <w:pPr>
              <w:jc w:val="right"/>
              <w:textAlignment w:val="center"/>
            </w:pPr>
            <w:r>
              <w:rPr>
                <w:rFonts w:ascii="Arial" w:eastAsia="宋体" w:hAnsi="Arial" w:cs="Arial"/>
                <w:color w:val="0068B5"/>
                <w:sz w:val="18"/>
                <w:szCs w:val="18"/>
              </w:rPr>
              <w:t>up</w:t>
            </w:r>
          </w:p>
        </w:tc>
        <w:tc>
          <w:tcPr>
            <w:tcW w:w="0" w:type="auto"/>
            <w:gridSpan w:val="3"/>
            <w:shd w:val="clear" w:color="auto" w:fill="auto"/>
            <w:tcMar>
              <w:top w:w="40" w:type="dxa"/>
              <w:left w:w="20" w:type="dxa"/>
              <w:bottom w:w="40" w:type="dxa"/>
              <w:right w:w="20" w:type="dxa"/>
            </w:tcMar>
            <w:vAlign w:val="center"/>
          </w:tcPr>
          <w:p w14:paraId="6753462C" w14:textId="77777777" w:rsidR="001B77DD" w:rsidRDefault="00BF0A28">
            <w:pPr>
              <w:textAlignment w:val="center"/>
            </w:pPr>
            <w:r>
              <w:rPr>
                <w:rFonts w:ascii="Arial" w:eastAsia="宋体" w:hAnsi="Arial" w:cs="Arial"/>
                <w:color w:val="0068B5"/>
                <w:sz w:val="18"/>
                <w:szCs w:val="18"/>
              </w:rPr>
              <w:t>2%</w:t>
            </w:r>
          </w:p>
        </w:tc>
        <w:tc>
          <w:tcPr>
            <w:tcW w:w="0" w:type="auto"/>
            <w:gridSpan w:val="3"/>
            <w:shd w:val="clear" w:color="auto" w:fill="auto"/>
            <w:tcMar>
              <w:top w:w="0" w:type="dxa"/>
              <w:left w:w="20" w:type="dxa"/>
              <w:bottom w:w="0" w:type="dxa"/>
              <w:right w:w="20" w:type="dxa"/>
            </w:tcMar>
            <w:vAlign w:val="bottom"/>
          </w:tcPr>
          <w:p w14:paraId="6753462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62E" w14:textId="77777777" w:rsidR="001B77DD" w:rsidRDefault="00BF0A28">
            <w:pPr>
              <w:jc w:val="right"/>
              <w:textAlignment w:val="center"/>
            </w:pPr>
            <w:r>
              <w:rPr>
                <w:rFonts w:ascii="Arial" w:eastAsia="宋体" w:hAnsi="Arial" w:cs="Arial"/>
                <w:color w:val="0068B5"/>
                <w:sz w:val="18"/>
                <w:szCs w:val="18"/>
              </w:rPr>
              <w:t>71 </w:t>
            </w:r>
          </w:p>
        </w:tc>
        <w:tc>
          <w:tcPr>
            <w:tcW w:w="0" w:type="auto"/>
            <w:shd w:val="clear" w:color="auto" w:fill="auto"/>
            <w:tcMar>
              <w:top w:w="40" w:type="dxa"/>
              <w:left w:w="0" w:type="dxa"/>
              <w:bottom w:w="40" w:type="dxa"/>
              <w:right w:w="20" w:type="dxa"/>
            </w:tcMar>
            <w:vAlign w:val="center"/>
          </w:tcPr>
          <w:p w14:paraId="6753462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3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31" w14:textId="77777777" w:rsidR="001B77DD" w:rsidRDefault="00BF0A28">
            <w:pPr>
              <w:jc w:val="right"/>
              <w:textAlignment w:val="center"/>
            </w:pPr>
            <w:r>
              <w:rPr>
                <w:rFonts w:ascii="Arial" w:eastAsia="宋体" w:hAnsi="Arial" w:cs="Arial"/>
                <w:color w:val="262626"/>
                <w:sz w:val="18"/>
                <w:szCs w:val="18"/>
              </w:rPr>
              <w:t>up</w:t>
            </w:r>
          </w:p>
        </w:tc>
        <w:tc>
          <w:tcPr>
            <w:tcW w:w="0" w:type="auto"/>
            <w:gridSpan w:val="3"/>
            <w:shd w:val="clear" w:color="auto" w:fill="auto"/>
            <w:tcMar>
              <w:top w:w="40" w:type="dxa"/>
              <w:left w:w="20" w:type="dxa"/>
              <w:bottom w:w="40" w:type="dxa"/>
              <w:right w:w="20" w:type="dxa"/>
            </w:tcMar>
            <w:vAlign w:val="center"/>
          </w:tcPr>
          <w:p w14:paraId="67534632" w14:textId="77777777" w:rsidR="001B77DD" w:rsidRDefault="00BF0A28">
            <w:pPr>
              <w:textAlignment w:val="center"/>
            </w:pPr>
            <w:r>
              <w:rPr>
                <w:rFonts w:ascii="Arial" w:eastAsia="宋体" w:hAnsi="Arial" w:cs="Arial"/>
                <w:color w:val="262626"/>
                <w:sz w:val="18"/>
                <w:szCs w:val="18"/>
              </w:rPr>
              <w:t>49%</w:t>
            </w:r>
          </w:p>
        </w:tc>
        <w:tc>
          <w:tcPr>
            <w:tcW w:w="0" w:type="auto"/>
            <w:gridSpan w:val="3"/>
            <w:shd w:val="clear" w:color="auto" w:fill="auto"/>
            <w:tcMar>
              <w:top w:w="0" w:type="dxa"/>
              <w:left w:w="20" w:type="dxa"/>
              <w:bottom w:w="0" w:type="dxa"/>
              <w:right w:w="20" w:type="dxa"/>
            </w:tcMar>
            <w:vAlign w:val="bottom"/>
          </w:tcPr>
          <w:p w14:paraId="6753463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center"/>
          </w:tcPr>
          <w:p w14:paraId="67534634" w14:textId="77777777" w:rsidR="001B77DD" w:rsidRDefault="00BF0A28">
            <w:pPr>
              <w:jc w:val="right"/>
              <w:textAlignment w:val="center"/>
            </w:pPr>
            <w:r>
              <w:rPr>
                <w:rFonts w:ascii="Arial" w:eastAsia="宋体" w:hAnsi="Arial" w:cs="Arial"/>
                <w:color w:val="262626"/>
                <w:sz w:val="18"/>
                <w:szCs w:val="18"/>
              </w:rPr>
              <w:t>1,007 </w:t>
            </w:r>
          </w:p>
        </w:tc>
        <w:tc>
          <w:tcPr>
            <w:tcW w:w="0" w:type="auto"/>
            <w:shd w:val="clear" w:color="auto" w:fill="auto"/>
            <w:tcMar>
              <w:top w:w="40" w:type="dxa"/>
              <w:left w:w="0" w:type="dxa"/>
              <w:bottom w:w="40" w:type="dxa"/>
              <w:right w:w="20" w:type="dxa"/>
            </w:tcMar>
            <w:vAlign w:val="center"/>
          </w:tcPr>
          <w:p w14:paraId="67534635" w14:textId="77777777" w:rsidR="001B77DD" w:rsidRDefault="001B77DD">
            <w:pPr>
              <w:jc w:val="right"/>
              <w:rPr>
                <w:rFonts w:ascii="宋体"/>
              </w:rPr>
            </w:pPr>
          </w:p>
        </w:tc>
      </w:tr>
      <w:tr w:rsidR="001B77DD" w14:paraId="67534642" w14:textId="77777777">
        <w:trPr>
          <w:hidden/>
        </w:trPr>
        <w:tc>
          <w:tcPr>
            <w:tcW w:w="0" w:type="auto"/>
            <w:gridSpan w:val="3"/>
            <w:shd w:val="clear" w:color="auto" w:fill="auto"/>
            <w:vAlign w:val="bottom"/>
          </w:tcPr>
          <w:p w14:paraId="67534637" w14:textId="77777777" w:rsidR="001B77DD" w:rsidRDefault="001B77DD">
            <w:pPr>
              <w:rPr>
                <w:rFonts w:ascii="宋体"/>
                <w:vanish/>
              </w:rPr>
            </w:pPr>
          </w:p>
        </w:tc>
        <w:tc>
          <w:tcPr>
            <w:tcW w:w="0" w:type="auto"/>
            <w:gridSpan w:val="3"/>
            <w:shd w:val="clear" w:color="auto" w:fill="auto"/>
            <w:vAlign w:val="bottom"/>
          </w:tcPr>
          <w:p w14:paraId="67534638" w14:textId="77777777" w:rsidR="001B77DD" w:rsidRDefault="001B77DD">
            <w:pPr>
              <w:rPr>
                <w:rFonts w:ascii="宋体"/>
                <w:vanish/>
              </w:rPr>
            </w:pPr>
          </w:p>
        </w:tc>
        <w:tc>
          <w:tcPr>
            <w:tcW w:w="0" w:type="auto"/>
            <w:gridSpan w:val="3"/>
            <w:shd w:val="clear" w:color="auto" w:fill="auto"/>
            <w:vAlign w:val="bottom"/>
          </w:tcPr>
          <w:p w14:paraId="67534639" w14:textId="77777777" w:rsidR="001B77DD" w:rsidRDefault="001B77DD">
            <w:pPr>
              <w:rPr>
                <w:rFonts w:ascii="宋体"/>
                <w:vanish/>
              </w:rPr>
            </w:pPr>
          </w:p>
        </w:tc>
        <w:tc>
          <w:tcPr>
            <w:tcW w:w="0" w:type="auto"/>
            <w:gridSpan w:val="3"/>
            <w:shd w:val="clear" w:color="auto" w:fill="auto"/>
            <w:vAlign w:val="bottom"/>
          </w:tcPr>
          <w:p w14:paraId="6753463A" w14:textId="77777777" w:rsidR="001B77DD" w:rsidRDefault="001B77DD">
            <w:pPr>
              <w:rPr>
                <w:rFonts w:ascii="宋体"/>
                <w:vanish/>
              </w:rPr>
            </w:pPr>
          </w:p>
        </w:tc>
        <w:tc>
          <w:tcPr>
            <w:tcW w:w="0" w:type="auto"/>
            <w:gridSpan w:val="3"/>
            <w:shd w:val="clear" w:color="auto" w:fill="auto"/>
            <w:vAlign w:val="bottom"/>
          </w:tcPr>
          <w:p w14:paraId="6753463B" w14:textId="77777777" w:rsidR="001B77DD" w:rsidRDefault="001B77DD">
            <w:pPr>
              <w:rPr>
                <w:rFonts w:ascii="宋体"/>
                <w:vanish/>
              </w:rPr>
            </w:pPr>
          </w:p>
        </w:tc>
        <w:tc>
          <w:tcPr>
            <w:tcW w:w="0" w:type="auto"/>
            <w:gridSpan w:val="3"/>
            <w:shd w:val="clear" w:color="auto" w:fill="auto"/>
            <w:vAlign w:val="bottom"/>
          </w:tcPr>
          <w:p w14:paraId="6753463C" w14:textId="77777777" w:rsidR="001B77DD" w:rsidRDefault="001B77DD">
            <w:pPr>
              <w:rPr>
                <w:rFonts w:ascii="宋体"/>
                <w:vanish/>
              </w:rPr>
            </w:pPr>
          </w:p>
        </w:tc>
        <w:tc>
          <w:tcPr>
            <w:tcW w:w="0" w:type="auto"/>
            <w:gridSpan w:val="3"/>
            <w:shd w:val="clear" w:color="auto" w:fill="auto"/>
            <w:vAlign w:val="bottom"/>
          </w:tcPr>
          <w:p w14:paraId="6753463D" w14:textId="77777777" w:rsidR="001B77DD" w:rsidRDefault="001B77DD">
            <w:pPr>
              <w:rPr>
                <w:rFonts w:ascii="宋体"/>
                <w:vanish/>
              </w:rPr>
            </w:pPr>
          </w:p>
        </w:tc>
        <w:tc>
          <w:tcPr>
            <w:tcW w:w="0" w:type="auto"/>
            <w:gridSpan w:val="3"/>
            <w:shd w:val="clear" w:color="auto" w:fill="auto"/>
            <w:vAlign w:val="bottom"/>
          </w:tcPr>
          <w:p w14:paraId="6753463E" w14:textId="77777777" w:rsidR="001B77DD" w:rsidRDefault="001B77DD">
            <w:pPr>
              <w:rPr>
                <w:rFonts w:ascii="宋体"/>
                <w:vanish/>
              </w:rPr>
            </w:pPr>
          </w:p>
        </w:tc>
        <w:tc>
          <w:tcPr>
            <w:tcW w:w="0" w:type="auto"/>
            <w:gridSpan w:val="3"/>
            <w:shd w:val="clear" w:color="auto" w:fill="auto"/>
            <w:vAlign w:val="bottom"/>
          </w:tcPr>
          <w:p w14:paraId="6753463F" w14:textId="77777777" w:rsidR="001B77DD" w:rsidRDefault="001B77DD">
            <w:pPr>
              <w:rPr>
                <w:rFonts w:ascii="宋体"/>
                <w:vanish/>
              </w:rPr>
            </w:pPr>
          </w:p>
        </w:tc>
        <w:tc>
          <w:tcPr>
            <w:tcW w:w="0" w:type="auto"/>
            <w:gridSpan w:val="3"/>
            <w:shd w:val="clear" w:color="auto" w:fill="auto"/>
            <w:vAlign w:val="bottom"/>
          </w:tcPr>
          <w:p w14:paraId="67534640" w14:textId="77777777" w:rsidR="001B77DD" w:rsidRDefault="001B77DD">
            <w:pPr>
              <w:rPr>
                <w:rFonts w:ascii="宋体"/>
                <w:vanish/>
              </w:rPr>
            </w:pPr>
          </w:p>
        </w:tc>
        <w:tc>
          <w:tcPr>
            <w:tcW w:w="0" w:type="auto"/>
            <w:gridSpan w:val="3"/>
            <w:shd w:val="clear" w:color="auto" w:fill="auto"/>
            <w:vAlign w:val="bottom"/>
          </w:tcPr>
          <w:p w14:paraId="67534641" w14:textId="77777777" w:rsidR="001B77DD" w:rsidRDefault="001B77DD">
            <w:pPr>
              <w:rPr>
                <w:rFonts w:ascii="宋体"/>
                <w:vanish/>
              </w:rPr>
            </w:pPr>
          </w:p>
        </w:tc>
      </w:tr>
      <w:tr w:rsidR="001B77DD" w14:paraId="67534652" w14:textId="77777777">
        <w:tc>
          <w:tcPr>
            <w:tcW w:w="0" w:type="auto"/>
            <w:gridSpan w:val="3"/>
            <w:shd w:val="clear" w:color="auto" w:fill="auto"/>
            <w:tcMar>
              <w:top w:w="40" w:type="dxa"/>
              <w:left w:w="20" w:type="dxa"/>
              <w:bottom w:w="40" w:type="dxa"/>
              <w:right w:w="20" w:type="dxa"/>
            </w:tcMar>
            <w:vAlign w:val="bottom"/>
          </w:tcPr>
          <w:p w14:paraId="67534643" w14:textId="77777777" w:rsidR="001B77DD" w:rsidRDefault="00BF0A28">
            <w:pPr>
              <w:textAlignment w:val="bottom"/>
            </w:pPr>
            <w:r>
              <w:rPr>
                <w:rFonts w:ascii="Arial" w:eastAsia="宋体" w:hAnsi="Arial" w:cs="Arial"/>
                <w:b/>
                <w:bCs/>
                <w:color w:val="262626"/>
                <w:sz w:val="18"/>
                <w:szCs w:val="18"/>
              </w:rPr>
              <w:t>Total change in revenue</w:t>
            </w:r>
          </w:p>
        </w:tc>
        <w:tc>
          <w:tcPr>
            <w:tcW w:w="0" w:type="auto"/>
            <w:gridSpan w:val="3"/>
            <w:shd w:val="clear" w:color="auto" w:fill="auto"/>
            <w:tcMar>
              <w:top w:w="0" w:type="dxa"/>
              <w:left w:w="20" w:type="dxa"/>
              <w:bottom w:w="0" w:type="dxa"/>
              <w:right w:w="20" w:type="dxa"/>
            </w:tcMar>
            <w:vAlign w:val="bottom"/>
          </w:tcPr>
          <w:p w14:paraId="6753464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64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64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647" w14:textId="77777777" w:rsidR="001B77DD" w:rsidRDefault="001B77DD">
            <w:pPr>
              <w:rPr>
                <w:rFonts w:ascii="宋体"/>
              </w:rPr>
            </w:pPr>
          </w:p>
        </w:tc>
        <w:tc>
          <w:tcPr>
            <w:tcW w:w="0" w:type="auto"/>
            <w:tcBorders>
              <w:top w:val="single" w:sz="4" w:space="0" w:color="000000"/>
              <w:bottom w:val="double" w:sz="6" w:space="0" w:color="262626"/>
            </w:tcBorders>
            <w:shd w:val="clear" w:color="auto" w:fill="auto"/>
            <w:tcMar>
              <w:top w:w="40" w:type="dxa"/>
              <w:left w:w="20" w:type="dxa"/>
              <w:bottom w:w="40" w:type="dxa"/>
              <w:right w:w="0" w:type="dxa"/>
            </w:tcMar>
            <w:vAlign w:val="bottom"/>
          </w:tcPr>
          <w:p w14:paraId="67534648"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000000"/>
              <w:bottom w:val="double" w:sz="6" w:space="0" w:color="262626"/>
            </w:tcBorders>
            <w:shd w:val="clear" w:color="auto" w:fill="auto"/>
            <w:tcMar>
              <w:top w:w="40" w:type="dxa"/>
              <w:left w:w="0" w:type="dxa"/>
              <w:bottom w:w="40" w:type="dxa"/>
              <w:right w:w="0" w:type="dxa"/>
            </w:tcMar>
            <w:vAlign w:val="bottom"/>
          </w:tcPr>
          <w:p w14:paraId="67534649" w14:textId="77777777" w:rsidR="001B77DD" w:rsidRDefault="00BF0A28">
            <w:pPr>
              <w:jc w:val="right"/>
              <w:textAlignment w:val="bottom"/>
            </w:pPr>
            <w:r>
              <w:rPr>
                <w:rFonts w:ascii="Arial" w:eastAsia="宋体" w:hAnsi="Arial" w:cs="Arial"/>
                <w:b/>
                <w:bCs/>
                <w:color w:val="0068B5"/>
                <w:sz w:val="18"/>
                <w:szCs w:val="18"/>
              </w:rPr>
              <w:t>(282)</w:t>
            </w:r>
          </w:p>
        </w:tc>
        <w:tc>
          <w:tcPr>
            <w:tcW w:w="0" w:type="auto"/>
            <w:tcBorders>
              <w:top w:val="single" w:sz="4" w:space="0" w:color="000000"/>
              <w:bottom w:val="double" w:sz="6" w:space="0" w:color="262626"/>
            </w:tcBorders>
            <w:shd w:val="clear" w:color="auto" w:fill="auto"/>
            <w:tcMar>
              <w:top w:w="40" w:type="dxa"/>
              <w:left w:w="0" w:type="dxa"/>
              <w:bottom w:w="40" w:type="dxa"/>
              <w:right w:w="20" w:type="dxa"/>
            </w:tcMar>
            <w:vAlign w:val="bottom"/>
          </w:tcPr>
          <w:p w14:paraId="6753464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4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64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64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64E" w14:textId="77777777" w:rsidR="001B77DD" w:rsidRDefault="001B77DD">
            <w:pPr>
              <w:rPr>
                <w:rFonts w:ascii="宋体"/>
              </w:rPr>
            </w:pPr>
          </w:p>
        </w:tc>
        <w:tc>
          <w:tcPr>
            <w:tcW w:w="0" w:type="auto"/>
            <w:tcBorders>
              <w:top w:val="single" w:sz="4" w:space="0" w:color="000000"/>
              <w:bottom w:val="double" w:sz="6" w:space="0" w:color="262626"/>
            </w:tcBorders>
            <w:shd w:val="clear" w:color="auto" w:fill="auto"/>
            <w:tcMar>
              <w:top w:w="40" w:type="dxa"/>
              <w:left w:w="20" w:type="dxa"/>
              <w:bottom w:w="40" w:type="dxa"/>
              <w:right w:w="0" w:type="dxa"/>
            </w:tcMar>
            <w:vAlign w:val="bottom"/>
          </w:tcPr>
          <w:p w14:paraId="6753464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000000"/>
              <w:bottom w:val="double" w:sz="6" w:space="0" w:color="262626"/>
            </w:tcBorders>
            <w:shd w:val="clear" w:color="auto" w:fill="auto"/>
            <w:tcMar>
              <w:top w:w="40" w:type="dxa"/>
              <w:left w:w="0" w:type="dxa"/>
              <w:bottom w:w="40" w:type="dxa"/>
              <w:right w:w="0" w:type="dxa"/>
            </w:tcMar>
            <w:vAlign w:val="bottom"/>
          </w:tcPr>
          <w:p w14:paraId="67534650" w14:textId="77777777" w:rsidR="001B77DD" w:rsidRDefault="00BF0A28">
            <w:pPr>
              <w:jc w:val="right"/>
              <w:textAlignment w:val="bottom"/>
            </w:pPr>
            <w:r>
              <w:rPr>
                <w:rFonts w:ascii="Arial" w:eastAsia="宋体" w:hAnsi="Arial" w:cs="Arial"/>
                <w:b/>
                <w:bCs/>
                <w:color w:val="262626"/>
                <w:sz w:val="18"/>
                <w:szCs w:val="18"/>
              </w:rPr>
              <w:t>2,622</w:t>
            </w:r>
            <w:r>
              <w:rPr>
                <w:rFonts w:ascii="Arial" w:eastAsia="宋体" w:hAnsi="Arial" w:cs="Arial"/>
                <w:color w:val="262626"/>
                <w:sz w:val="18"/>
                <w:szCs w:val="18"/>
              </w:rPr>
              <w:t> </w:t>
            </w:r>
          </w:p>
        </w:tc>
        <w:tc>
          <w:tcPr>
            <w:tcW w:w="0" w:type="auto"/>
            <w:tcBorders>
              <w:top w:val="single" w:sz="4" w:space="0" w:color="000000"/>
              <w:bottom w:val="double" w:sz="6" w:space="0" w:color="262626"/>
            </w:tcBorders>
            <w:shd w:val="clear" w:color="auto" w:fill="auto"/>
            <w:tcMar>
              <w:top w:w="40" w:type="dxa"/>
              <w:left w:w="0" w:type="dxa"/>
              <w:bottom w:w="40" w:type="dxa"/>
              <w:right w:w="20" w:type="dxa"/>
            </w:tcMar>
            <w:vAlign w:val="bottom"/>
          </w:tcPr>
          <w:p w14:paraId="67534651" w14:textId="77777777" w:rsidR="001B77DD" w:rsidRDefault="001B77DD">
            <w:pPr>
              <w:jc w:val="right"/>
              <w:rPr>
                <w:rFonts w:ascii="宋体"/>
              </w:rPr>
            </w:pPr>
          </w:p>
        </w:tc>
      </w:tr>
      <w:tr w:rsidR="001B77DD" w14:paraId="6753465E" w14:textId="77777777">
        <w:trPr>
          <w:hidden/>
        </w:trPr>
        <w:tc>
          <w:tcPr>
            <w:tcW w:w="0" w:type="auto"/>
            <w:gridSpan w:val="3"/>
            <w:shd w:val="clear" w:color="auto" w:fill="auto"/>
            <w:vAlign w:val="bottom"/>
          </w:tcPr>
          <w:p w14:paraId="67534653" w14:textId="77777777" w:rsidR="001B77DD" w:rsidRDefault="001B77DD">
            <w:pPr>
              <w:rPr>
                <w:rFonts w:ascii="宋体"/>
                <w:vanish/>
              </w:rPr>
            </w:pPr>
          </w:p>
        </w:tc>
        <w:tc>
          <w:tcPr>
            <w:tcW w:w="0" w:type="auto"/>
            <w:gridSpan w:val="3"/>
            <w:shd w:val="clear" w:color="auto" w:fill="auto"/>
            <w:vAlign w:val="bottom"/>
          </w:tcPr>
          <w:p w14:paraId="67534654" w14:textId="77777777" w:rsidR="001B77DD" w:rsidRDefault="001B77DD">
            <w:pPr>
              <w:rPr>
                <w:rFonts w:ascii="宋体"/>
                <w:vanish/>
              </w:rPr>
            </w:pPr>
          </w:p>
        </w:tc>
        <w:tc>
          <w:tcPr>
            <w:tcW w:w="0" w:type="auto"/>
            <w:gridSpan w:val="3"/>
            <w:shd w:val="clear" w:color="auto" w:fill="auto"/>
            <w:vAlign w:val="bottom"/>
          </w:tcPr>
          <w:p w14:paraId="67534655" w14:textId="77777777" w:rsidR="001B77DD" w:rsidRDefault="001B77DD">
            <w:pPr>
              <w:rPr>
                <w:rFonts w:ascii="宋体"/>
                <w:vanish/>
              </w:rPr>
            </w:pPr>
          </w:p>
        </w:tc>
        <w:tc>
          <w:tcPr>
            <w:tcW w:w="0" w:type="auto"/>
            <w:gridSpan w:val="3"/>
            <w:shd w:val="clear" w:color="auto" w:fill="auto"/>
            <w:vAlign w:val="bottom"/>
          </w:tcPr>
          <w:p w14:paraId="67534656" w14:textId="77777777" w:rsidR="001B77DD" w:rsidRDefault="001B77DD">
            <w:pPr>
              <w:rPr>
                <w:rFonts w:ascii="宋体"/>
                <w:vanish/>
              </w:rPr>
            </w:pPr>
          </w:p>
        </w:tc>
        <w:tc>
          <w:tcPr>
            <w:tcW w:w="0" w:type="auto"/>
            <w:gridSpan w:val="3"/>
            <w:shd w:val="clear" w:color="auto" w:fill="auto"/>
            <w:vAlign w:val="bottom"/>
          </w:tcPr>
          <w:p w14:paraId="67534657" w14:textId="77777777" w:rsidR="001B77DD" w:rsidRDefault="001B77DD">
            <w:pPr>
              <w:rPr>
                <w:rFonts w:ascii="宋体"/>
                <w:vanish/>
              </w:rPr>
            </w:pPr>
          </w:p>
        </w:tc>
        <w:tc>
          <w:tcPr>
            <w:tcW w:w="0" w:type="auto"/>
            <w:gridSpan w:val="3"/>
            <w:shd w:val="clear" w:color="auto" w:fill="auto"/>
            <w:vAlign w:val="bottom"/>
          </w:tcPr>
          <w:p w14:paraId="67534658" w14:textId="77777777" w:rsidR="001B77DD" w:rsidRDefault="001B77DD">
            <w:pPr>
              <w:rPr>
                <w:rFonts w:ascii="宋体"/>
                <w:vanish/>
              </w:rPr>
            </w:pPr>
          </w:p>
        </w:tc>
        <w:tc>
          <w:tcPr>
            <w:tcW w:w="0" w:type="auto"/>
            <w:gridSpan w:val="3"/>
            <w:shd w:val="clear" w:color="auto" w:fill="auto"/>
            <w:vAlign w:val="bottom"/>
          </w:tcPr>
          <w:p w14:paraId="67534659" w14:textId="77777777" w:rsidR="001B77DD" w:rsidRDefault="001B77DD">
            <w:pPr>
              <w:rPr>
                <w:rFonts w:ascii="宋体"/>
                <w:vanish/>
              </w:rPr>
            </w:pPr>
          </w:p>
        </w:tc>
        <w:tc>
          <w:tcPr>
            <w:tcW w:w="0" w:type="auto"/>
            <w:gridSpan w:val="3"/>
            <w:shd w:val="clear" w:color="auto" w:fill="auto"/>
            <w:vAlign w:val="bottom"/>
          </w:tcPr>
          <w:p w14:paraId="6753465A" w14:textId="77777777" w:rsidR="001B77DD" w:rsidRDefault="001B77DD">
            <w:pPr>
              <w:rPr>
                <w:rFonts w:ascii="宋体"/>
                <w:vanish/>
              </w:rPr>
            </w:pPr>
          </w:p>
        </w:tc>
        <w:tc>
          <w:tcPr>
            <w:tcW w:w="0" w:type="auto"/>
            <w:gridSpan w:val="3"/>
            <w:shd w:val="clear" w:color="auto" w:fill="auto"/>
            <w:vAlign w:val="bottom"/>
          </w:tcPr>
          <w:p w14:paraId="6753465B" w14:textId="77777777" w:rsidR="001B77DD" w:rsidRDefault="001B77DD">
            <w:pPr>
              <w:rPr>
                <w:rFonts w:ascii="宋体"/>
                <w:vanish/>
              </w:rPr>
            </w:pPr>
          </w:p>
        </w:tc>
        <w:tc>
          <w:tcPr>
            <w:tcW w:w="0" w:type="auto"/>
            <w:gridSpan w:val="3"/>
            <w:shd w:val="clear" w:color="auto" w:fill="auto"/>
            <w:vAlign w:val="bottom"/>
          </w:tcPr>
          <w:p w14:paraId="6753465C" w14:textId="77777777" w:rsidR="001B77DD" w:rsidRDefault="001B77DD">
            <w:pPr>
              <w:rPr>
                <w:rFonts w:ascii="宋体"/>
                <w:vanish/>
              </w:rPr>
            </w:pPr>
          </w:p>
        </w:tc>
        <w:tc>
          <w:tcPr>
            <w:tcW w:w="0" w:type="auto"/>
            <w:gridSpan w:val="3"/>
            <w:shd w:val="clear" w:color="auto" w:fill="auto"/>
            <w:vAlign w:val="bottom"/>
          </w:tcPr>
          <w:p w14:paraId="6753465D" w14:textId="77777777" w:rsidR="001B77DD" w:rsidRDefault="001B77DD">
            <w:pPr>
              <w:rPr>
                <w:rFonts w:ascii="宋体"/>
                <w:vanish/>
              </w:rPr>
            </w:pPr>
          </w:p>
        </w:tc>
      </w:tr>
      <w:tr w:rsidR="001B77DD" w14:paraId="6753466A" w14:textId="77777777">
        <w:trPr>
          <w:hidden/>
        </w:trPr>
        <w:tc>
          <w:tcPr>
            <w:tcW w:w="0" w:type="auto"/>
            <w:gridSpan w:val="3"/>
            <w:shd w:val="clear" w:color="auto" w:fill="auto"/>
            <w:vAlign w:val="bottom"/>
          </w:tcPr>
          <w:p w14:paraId="6753465F" w14:textId="77777777" w:rsidR="001B77DD" w:rsidRDefault="001B77DD">
            <w:pPr>
              <w:rPr>
                <w:rFonts w:ascii="宋体"/>
                <w:vanish/>
              </w:rPr>
            </w:pPr>
          </w:p>
        </w:tc>
        <w:tc>
          <w:tcPr>
            <w:tcW w:w="0" w:type="auto"/>
            <w:gridSpan w:val="3"/>
            <w:shd w:val="clear" w:color="auto" w:fill="auto"/>
            <w:vAlign w:val="bottom"/>
          </w:tcPr>
          <w:p w14:paraId="67534660" w14:textId="77777777" w:rsidR="001B77DD" w:rsidRDefault="001B77DD">
            <w:pPr>
              <w:rPr>
                <w:rFonts w:ascii="宋体"/>
                <w:vanish/>
              </w:rPr>
            </w:pPr>
          </w:p>
        </w:tc>
        <w:tc>
          <w:tcPr>
            <w:tcW w:w="0" w:type="auto"/>
            <w:gridSpan w:val="3"/>
            <w:shd w:val="clear" w:color="auto" w:fill="auto"/>
            <w:vAlign w:val="bottom"/>
          </w:tcPr>
          <w:p w14:paraId="67534661" w14:textId="77777777" w:rsidR="001B77DD" w:rsidRDefault="001B77DD">
            <w:pPr>
              <w:rPr>
                <w:rFonts w:ascii="宋体"/>
                <w:vanish/>
              </w:rPr>
            </w:pPr>
          </w:p>
        </w:tc>
        <w:tc>
          <w:tcPr>
            <w:tcW w:w="0" w:type="auto"/>
            <w:gridSpan w:val="3"/>
            <w:shd w:val="clear" w:color="auto" w:fill="auto"/>
            <w:vAlign w:val="bottom"/>
          </w:tcPr>
          <w:p w14:paraId="67534662" w14:textId="77777777" w:rsidR="001B77DD" w:rsidRDefault="001B77DD">
            <w:pPr>
              <w:rPr>
                <w:rFonts w:ascii="宋体"/>
                <w:vanish/>
              </w:rPr>
            </w:pPr>
          </w:p>
        </w:tc>
        <w:tc>
          <w:tcPr>
            <w:tcW w:w="0" w:type="auto"/>
            <w:gridSpan w:val="3"/>
            <w:shd w:val="clear" w:color="auto" w:fill="auto"/>
            <w:vAlign w:val="bottom"/>
          </w:tcPr>
          <w:p w14:paraId="67534663" w14:textId="77777777" w:rsidR="001B77DD" w:rsidRDefault="001B77DD">
            <w:pPr>
              <w:rPr>
                <w:rFonts w:ascii="宋体"/>
                <w:vanish/>
              </w:rPr>
            </w:pPr>
          </w:p>
        </w:tc>
        <w:tc>
          <w:tcPr>
            <w:tcW w:w="0" w:type="auto"/>
            <w:gridSpan w:val="3"/>
            <w:shd w:val="clear" w:color="auto" w:fill="auto"/>
            <w:vAlign w:val="bottom"/>
          </w:tcPr>
          <w:p w14:paraId="67534664" w14:textId="77777777" w:rsidR="001B77DD" w:rsidRDefault="001B77DD">
            <w:pPr>
              <w:rPr>
                <w:rFonts w:ascii="宋体"/>
                <w:vanish/>
              </w:rPr>
            </w:pPr>
          </w:p>
        </w:tc>
        <w:tc>
          <w:tcPr>
            <w:tcW w:w="0" w:type="auto"/>
            <w:gridSpan w:val="3"/>
            <w:shd w:val="clear" w:color="auto" w:fill="auto"/>
            <w:vAlign w:val="bottom"/>
          </w:tcPr>
          <w:p w14:paraId="67534665" w14:textId="77777777" w:rsidR="001B77DD" w:rsidRDefault="001B77DD">
            <w:pPr>
              <w:rPr>
                <w:rFonts w:ascii="宋体"/>
                <w:vanish/>
              </w:rPr>
            </w:pPr>
          </w:p>
        </w:tc>
        <w:tc>
          <w:tcPr>
            <w:tcW w:w="0" w:type="auto"/>
            <w:gridSpan w:val="3"/>
            <w:shd w:val="clear" w:color="auto" w:fill="auto"/>
            <w:vAlign w:val="bottom"/>
          </w:tcPr>
          <w:p w14:paraId="67534666" w14:textId="77777777" w:rsidR="001B77DD" w:rsidRDefault="001B77DD">
            <w:pPr>
              <w:rPr>
                <w:rFonts w:ascii="宋体"/>
                <w:vanish/>
              </w:rPr>
            </w:pPr>
          </w:p>
        </w:tc>
        <w:tc>
          <w:tcPr>
            <w:tcW w:w="0" w:type="auto"/>
            <w:gridSpan w:val="3"/>
            <w:shd w:val="clear" w:color="auto" w:fill="auto"/>
            <w:vAlign w:val="bottom"/>
          </w:tcPr>
          <w:p w14:paraId="67534667" w14:textId="77777777" w:rsidR="001B77DD" w:rsidRDefault="001B77DD">
            <w:pPr>
              <w:rPr>
                <w:rFonts w:ascii="宋体"/>
                <w:vanish/>
              </w:rPr>
            </w:pPr>
          </w:p>
        </w:tc>
        <w:tc>
          <w:tcPr>
            <w:tcW w:w="0" w:type="auto"/>
            <w:gridSpan w:val="3"/>
            <w:shd w:val="clear" w:color="auto" w:fill="auto"/>
            <w:vAlign w:val="bottom"/>
          </w:tcPr>
          <w:p w14:paraId="67534668" w14:textId="77777777" w:rsidR="001B77DD" w:rsidRDefault="001B77DD">
            <w:pPr>
              <w:rPr>
                <w:rFonts w:ascii="宋体"/>
                <w:vanish/>
              </w:rPr>
            </w:pPr>
          </w:p>
        </w:tc>
        <w:tc>
          <w:tcPr>
            <w:tcW w:w="0" w:type="auto"/>
            <w:gridSpan w:val="3"/>
            <w:shd w:val="clear" w:color="auto" w:fill="auto"/>
            <w:vAlign w:val="bottom"/>
          </w:tcPr>
          <w:p w14:paraId="67534669" w14:textId="77777777" w:rsidR="001B77DD" w:rsidRDefault="001B77DD">
            <w:pPr>
              <w:rPr>
                <w:rFonts w:ascii="宋体"/>
                <w:vanish/>
              </w:rPr>
            </w:pPr>
          </w:p>
        </w:tc>
      </w:tr>
      <w:tr w:rsidR="001B77DD" w14:paraId="67534676" w14:textId="77777777">
        <w:trPr>
          <w:hidden/>
        </w:trPr>
        <w:tc>
          <w:tcPr>
            <w:tcW w:w="0" w:type="auto"/>
            <w:gridSpan w:val="3"/>
            <w:shd w:val="clear" w:color="auto" w:fill="auto"/>
            <w:vAlign w:val="bottom"/>
          </w:tcPr>
          <w:p w14:paraId="6753466B" w14:textId="77777777" w:rsidR="001B77DD" w:rsidRDefault="001B77DD">
            <w:pPr>
              <w:rPr>
                <w:rFonts w:ascii="宋体"/>
                <w:vanish/>
              </w:rPr>
            </w:pPr>
          </w:p>
        </w:tc>
        <w:tc>
          <w:tcPr>
            <w:tcW w:w="0" w:type="auto"/>
            <w:gridSpan w:val="3"/>
            <w:shd w:val="clear" w:color="auto" w:fill="auto"/>
            <w:vAlign w:val="bottom"/>
          </w:tcPr>
          <w:p w14:paraId="6753466C" w14:textId="77777777" w:rsidR="001B77DD" w:rsidRDefault="001B77DD">
            <w:pPr>
              <w:rPr>
                <w:rFonts w:ascii="宋体"/>
                <w:vanish/>
              </w:rPr>
            </w:pPr>
          </w:p>
        </w:tc>
        <w:tc>
          <w:tcPr>
            <w:tcW w:w="0" w:type="auto"/>
            <w:gridSpan w:val="3"/>
            <w:shd w:val="clear" w:color="auto" w:fill="auto"/>
            <w:vAlign w:val="bottom"/>
          </w:tcPr>
          <w:p w14:paraId="6753466D" w14:textId="77777777" w:rsidR="001B77DD" w:rsidRDefault="001B77DD">
            <w:pPr>
              <w:rPr>
                <w:rFonts w:ascii="宋体"/>
                <w:vanish/>
              </w:rPr>
            </w:pPr>
          </w:p>
        </w:tc>
        <w:tc>
          <w:tcPr>
            <w:tcW w:w="0" w:type="auto"/>
            <w:gridSpan w:val="3"/>
            <w:shd w:val="clear" w:color="auto" w:fill="auto"/>
            <w:vAlign w:val="bottom"/>
          </w:tcPr>
          <w:p w14:paraId="6753466E" w14:textId="77777777" w:rsidR="001B77DD" w:rsidRDefault="001B77DD">
            <w:pPr>
              <w:rPr>
                <w:rFonts w:ascii="宋体"/>
                <w:vanish/>
              </w:rPr>
            </w:pPr>
          </w:p>
        </w:tc>
        <w:tc>
          <w:tcPr>
            <w:tcW w:w="0" w:type="auto"/>
            <w:gridSpan w:val="3"/>
            <w:shd w:val="clear" w:color="auto" w:fill="auto"/>
            <w:vAlign w:val="bottom"/>
          </w:tcPr>
          <w:p w14:paraId="6753466F" w14:textId="77777777" w:rsidR="001B77DD" w:rsidRDefault="001B77DD">
            <w:pPr>
              <w:rPr>
                <w:rFonts w:ascii="宋体"/>
                <w:vanish/>
              </w:rPr>
            </w:pPr>
          </w:p>
        </w:tc>
        <w:tc>
          <w:tcPr>
            <w:tcW w:w="0" w:type="auto"/>
            <w:gridSpan w:val="3"/>
            <w:shd w:val="clear" w:color="auto" w:fill="auto"/>
            <w:vAlign w:val="bottom"/>
          </w:tcPr>
          <w:p w14:paraId="67534670" w14:textId="77777777" w:rsidR="001B77DD" w:rsidRDefault="001B77DD">
            <w:pPr>
              <w:rPr>
                <w:rFonts w:ascii="宋体"/>
                <w:vanish/>
              </w:rPr>
            </w:pPr>
          </w:p>
        </w:tc>
        <w:tc>
          <w:tcPr>
            <w:tcW w:w="0" w:type="auto"/>
            <w:gridSpan w:val="3"/>
            <w:shd w:val="clear" w:color="auto" w:fill="auto"/>
            <w:vAlign w:val="bottom"/>
          </w:tcPr>
          <w:p w14:paraId="67534671" w14:textId="77777777" w:rsidR="001B77DD" w:rsidRDefault="001B77DD">
            <w:pPr>
              <w:rPr>
                <w:rFonts w:ascii="宋体"/>
                <w:vanish/>
              </w:rPr>
            </w:pPr>
          </w:p>
        </w:tc>
        <w:tc>
          <w:tcPr>
            <w:tcW w:w="0" w:type="auto"/>
            <w:gridSpan w:val="3"/>
            <w:shd w:val="clear" w:color="auto" w:fill="auto"/>
            <w:vAlign w:val="bottom"/>
          </w:tcPr>
          <w:p w14:paraId="67534672" w14:textId="77777777" w:rsidR="001B77DD" w:rsidRDefault="001B77DD">
            <w:pPr>
              <w:rPr>
                <w:rFonts w:ascii="宋体"/>
                <w:vanish/>
              </w:rPr>
            </w:pPr>
          </w:p>
        </w:tc>
        <w:tc>
          <w:tcPr>
            <w:tcW w:w="0" w:type="auto"/>
            <w:gridSpan w:val="3"/>
            <w:shd w:val="clear" w:color="auto" w:fill="auto"/>
            <w:vAlign w:val="bottom"/>
          </w:tcPr>
          <w:p w14:paraId="67534673" w14:textId="77777777" w:rsidR="001B77DD" w:rsidRDefault="001B77DD">
            <w:pPr>
              <w:rPr>
                <w:rFonts w:ascii="宋体"/>
                <w:vanish/>
              </w:rPr>
            </w:pPr>
          </w:p>
        </w:tc>
        <w:tc>
          <w:tcPr>
            <w:tcW w:w="0" w:type="auto"/>
            <w:gridSpan w:val="3"/>
            <w:shd w:val="clear" w:color="auto" w:fill="auto"/>
            <w:vAlign w:val="bottom"/>
          </w:tcPr>
          <w:p w14:paraId="67534674" w14:textId="77777777" w:rsidR="001B77DD" w:rsidRDefault="001B77DD">
            <w:pPr>
              <w:rPr>
                <w:rFonts w:ascii="宋体"/>
                <w:vanish/>
              </w:rPr>
            </w:pPr>
          </w:p>
        </w:tc>
        <w:tc>
          <w:tcPr>
            <w:tcW w:w="0" w:type="auto"/>
            <w:gridSpan w:val="3"/>
            <w:shd w:val="clear" w:color="auto" w:fill="auto"/>
            <w:vAlign w:val="bottom"/>
          </w:tcPr>
          <w:p w14:paraId="67534675" w14:textId="77777777" w:rsidR="001B77DD" w:rsidRDefault="001B77DD">
            <w:pPr>
              <w:rPr>
                <w:rFonts w:ascii="宋体"/>
                <w:vanish/>
              </w:rPr>
            </w:pPr>
          </w:p>
        </w:tc>
      </w:tr>
      <w:tr w:rsidR="001B77DD" w14:paraId="67534682" w14:textId="77777777">
        <w:trPr>
          <w:hidden/>
        </w:trPr>
        <w:tc>
          <w:tcPr>
            <w:tcW w:w="0" w:type="auto"/>
            <w:gridSpan w:val="3"/>
            <w:shd w:val="clear" w:color="auto" w:fill="auto"/>
            <w:vAlign w:val="bottom"/>
          </w:tcPr>
          <w:p w14:paraId="67534677" w14:textId="77777777" w:rsidR="001B77DD" w:rsidRDefault="001B77DD">
            <w:pPr>
              <w:rPr>
                <w:rFonts w:ascii="宋体"/>
                <w:vanish/>
              </w:rPr>
            </w:pPr>
          </w:p>
        </w:tc>
        <w:tc>
          <w:tcPr>
            <w:tcW w:w="0" w:type="auto"/>
            <w:gridSpan w:val="3"/>
            <w:shd w:val="clear" w:color="auto" w:fill="auto"/>
            <w:vAlign w:val="bottom"/>
          </w:tcPr>
          <w:p w14:paraId="67534678" w14:textId="77777777" w:rsidR="001B77DD" w:rsidRDefault="001B77DD">
            <w:pPr>
              <w:rPr>
                <w:rFonts w:ascii="宋体"/>
                <w:vanish/>
              </w:rPr>
            </w:pPr>
          </w:p>
        </w:tc>
        <w:tc>
          <w:tcPr>
            <w:tcW w:w="0" w:type="auto"/>
            <w:gridSpan w:val="3"/>
            <w:shd w:val="clear" w:color="auto" w:fill="auto"/>
            <w:vAlign w:val="bottom"/>
          </w:tcPr>
          <w:p w14:paraId="67534679" w14:textId="77777777" w:rsidR="001B77DD" w:rsidRDefault="001B77DD">
            <w:pPr>
              <w:rPr>
                <w:rFonts w:ascii="宋体"/>
                <w:vanish/>
              </w:rPr>
            </w:pPr>
          </w:p>
        </w:tc>
        <w:tc>
          <w:tcPr>
            <w:tcW w:w="0" w:type="auto"/>
            <w:gridSpan w:val="3"/>
            <w:shd w:val="clear" w:color="auto" w:fill="auto"/>
            <w:vAlign w:val="bottom"/>
          </w:tcPr>
          <w:p w14:paraId="6753467A" w14:textId="77777777" w:rsidR="001B77DD" w:rsidRDefault="001B77DD">
            <w:pPr>
              <w:rPr>
                <w:rFonts w:ascii="宋体"/>
                <w:vanish/>
              </w:rPr>
            </w:pPr>
          </w:p>
        </w:tc>
        <w:tc>
          <w:tcPr>
            <w:tcW w:w="0" w:type="auto"/>
            <w:gridSpan w:val="3"/>
            <w:shd w:val="clear" w:color="auto" w:fill="auto"/>
            <w:vAlign w:val="bottom"/>
          </w:tcPr>
          <w:p w14:paraId="6753467B" w14:textId="77777777" w:rsidR="001B77DD" w:rsidRDefault="001B77DD">
            <w:pPr>
              <w:rPr>
                <w:rFonts w:ascii="宋体"/>
                <w:vanish/>
              </w:rPr>
            </w:pPr>
          </w:p>
        </w:tc>
        <w:tc>
          <w:tcPr>
            <w:tcW w:w="0" w:type="auto"/>
            <w:gridSpan w:val="3"/>
            <w:shd w:val="clear" w:color="auto" w:fill="auto"/>
            <w:vAlign w:val="bottom"/>
          </w:tcPr>
          <w:p w14:paraId="6753467C" w14:textId="77777777" w:rsidR="001B77DD" w:rsidRDefault="001B77DD">
            <w:pPr>
              <w:rPr>
                <w:rFonts w:ascii="宋体"/>
                <w:vanish/>
              </w:rPr>
            </w:pPr>
          </w:p>
        </w:tc>
        <w:tc>
          <w:tcPr>
            <w:tcW w:w="0" w:type="auto"/>
            <w:gridSpan w:val="3"/>
            <w:shd w:val="clear" w:color="auto" w:fill="auto"/>
            <w:vAlign w:val="bottom"/>
          </w:tcPr>
          <w:p w14:paraId="6753467D" w14:textId="77777777" w:rsidR="001B77DD" w:rsidRDefault="001B77DD">
            <w:pPr>
              <w:rPr>
                <w:rFonts w:ascii="宋体"/>
                <w:vanish/>
              </w:rPr>
            </w:pPr>
          </w:p>
        </w:tc>
        <w:tc>
          <w:tcPr>
            <w:tcW w:w="0" w:type="auto"/>
            <w:gridSpan w:val="3"/>
            <w:shd w:val="clear" w:color="auto" w:fill="auto"/>
            <w:vAlign w:val="bottom"/>
          </w:tcPr>
          <w:p w14:paraId="6753467E" w14:textId="77777777" w:rsidR="001B77DD" w:rsidRDefault="001B77DD">
            <w:pPr>
              <w:rPr>
                <w:rFonts w:ascii="宋体"/>
                <w:vanish/>
              </w:rPr>
            </w:pPr>
          </w:p>
        </w:tc>
        <w:tc>
          <w:tcPr>
            <w:tcW w:w="0" w:type="auto"/>
            <w:gridSpan w:val="3"/>
            <w:shd w:val="clear" w:color="auto" w:fill="auto"/>
            <w:vAlign w:val="bottom"/>
          </w:tcPr>
          <w:p w14:paraId="6753467F" w14:textId="77777777" w:rsidR="001B77DD" w:rsidRDefault="001B77DD">
            <w:pPr>
              <w:rPr>
                <w:rFonts w:ascii="宋体"/>
                <w:vanish/>
              </w:rPr>
            </w:pPr>
          </w:p>
        </w:tc>
        <w:tc>
          <w:tcPr>
            <w:tcW w:w="0" w:type="auto"/>
            <w:gridSpan w:val="3"/>
            <w:shd w:val="clear" w:color="auto" w:fill="auto"/>
            <w:vAlign w:val="bottom"/>
          </w:tcPr>
          <w:p w14:paraId="67534680" w14:textId="77777777" w:rsidR="001B77DD" w:rsidRDefault="001B77DD">
            <w:pPr>
              <w:rPr>
                <w:rFonts w:ascii="宋体"/>
                <w:vanish/>
              </w:rPr>
            </w:pPr>
          </w:p>
        </w:tc>
        <w:tc>
          <w:tcPr>
            <w:tcW w:w="0" w:type="auto"/>
            <w:gridSpan w:val="3"/>
            <w:shd w:val="clear" w:color="auto" w:fill="auto"/>
            <w:vAlign w:val="bottom"/>
          </w:tcPr>
          <w:p w14:paraId="67534681" w14:textId="77777777" w:rsidR="001B77DD" w:rsidRDefault="001B77DD">
            <w:pPr>
              <w:rPr>
                <w:rFonts w:ascii="宋体"/>
                <w:vanish/>
              </w:rPr>
            </w:pPr>
          </w:p>
        </w:tc>
      </w:tr>
      <w:tr w:rsidR="001B77DD" w14:paraId="6753468E" w14:textId="77777777">
        <w:trPr>
          <w:hidden/>
        </w:trPr>
        <w:tc>
          <w:tcPr>
            <w:tcW w:w="0" w:type="auto"/>
            <w:gridSpan w:val="3"/>
            <w:shd w:val="clear" w:color="auto" w:fill="auto"/>
            <w:vAlign w:val="bottom"/>
          </w:tcPr>
          <w:p w14:paraId="67534683" w14:textId="77777777" w:rsidR="001B77DD" w:rsidRDefault="001B77DD">
            <w:pPr>
              <w:rPr>
                <w:rFonts w:ascii="宋体"/>
                <w:vanish/>
              </w:rPr>
            </w:pPr>
          </w:p>
        </w:tc>
        <w:tc>
          <w:tcPr>
            <w:tcW w:w="0" w:type="auto"/>
            <w:gridSpan w:val="3"/>
            <w:shd w:val="clear" w:color="auto" w:fill="auto"/>
            <w:vAlign w:val="bottom"/>
          </w:tcPr>
          <w:p w14:paraId="67534684" w14:textId="77777777" w:rsidR="001B77DD" w:rsidRDefault="001B77DD">
            <w:pPr>
              <w:rPr>
                <w:rFonts w:ascii="宋体"/>
                <w:vanish/>
              </w:rPr>
            </w:pPr>
          </w:p>
        </w:tc>
        <w:tc>
          <w:tcPr>
            <w:tcW w:w="0" w:type="auto"/>
            <w:gridSpan w:val="3"/>
            <w:shd w:val="clear" w:color="auto" w:fill="auto"/>
            <w:vAlign w:val="bottom"/>
          </w:tcPr>
          <w:p w14:paraId="67534685" w14:textId="77777777" w:rsidR="001B77DD" w:rsidRDefault="001B77DD">
            <w:pPr>
              <w:rPr>
                <w:rFonts w:ascii="宋体"/>
                <w:vanish/>
              </w:rPr>
            </w:pPr>
          </w:p>
        </w:tc>
        <w:tc>
          <w:tcPr>
            <w:tcW w:w="0" w:type="auto"/>
            <w:gridSpan w:val="3"/>
            <w:shd w:val="clear" w:color="auto" w:fill="auto"/>
            <w:vAlign w:val="bottom"/>
          </w:tcPr>
          <w:p w14:paraId="67534686" w14:textId="77777777" w:rsidR="001B77DD" w:rsidRDefault="001B77DD">
            <w:pPr>
              <w:rPr>
                <w:rFonts w:ascii="宋体"/>
                <w:vanish/>
              </w:rPr>
            </w:pPr>
          </w:p>
        </w:tc>
        <w:tc>
          <w:tcPr>
            <w:tcW w:w="0" w:type="auto"/>
            <w:gridSpan w:val="3"/>
            <w:shd w:val="clear" w:color="auto" w:fill="auto"/>
            <w:vAlign w:val="bottom"/>
          </w:tcPr>
          <w:p w14:paraId="67534687" w14:textId="77777777" w:rsidR="001B77DD" w:rsidRDefault="001B77DD">
            <w:pPr>
              <w:rPr>
                <w:rFonts w:ascii="宋体"/>
                <w:vanish/>
              </w:rPr>
            </w:pPr>
          </w:p>
        </w:tc>
        <w:tc>
          <w:tcPr>
            <w:tcW w:w="0" w:type="auto"/>
            <w:gridSpan w:val="3"/>
            <w:shd w:val="clear" w:color="auto" w:fill="auto"/>
            <w:vAlign w:val="bottom"/>
          </w:tcPr>
          <w:p w14:paraId="67534688" w14:textId="77777777" w:rsidR="001B77DD" w:rsidRDefault="001B77DD">
            <w:pPr>
              <w:rPr>
                <w:rFonts w:ascii="宋体"/>
                <w:vanish/>
              </w:rPr>
            </w:pPr>
          </w:p>
        </w:tc>
        <w:tc>
          <w:tcPr>
            <w:tcW w:w="0" w:type="auto"/>
            <w:gridSpan w:val="3"/>
            <w:shd w:val="clear" w:color="auto" w:fill="auto"/>
            <w:vAlign w:val="bottom"/>
          </w:tcPr>
          <w:p w14:paraId="67534689" w14:textId="77777777" w:rsidR="001B77DD" w:rsidRDefault="001B77DD">
            <w:pPr>
              <w:rPr>
                <w:rFonts w:ascii="宋体"/>
                <w:vanish/>
              </w:rPr>
            </w:pPr>
          </w:p>
        </w:tc>
        <w:tc>
          <w:tcPr>
            <w:tcW w:w="0" w:type="auto"/>
            <w:gridSpan w:val="3"/>
            <w:shd w:val="clear" w:color="auto" w:fill="auto"/>
            <w:vAlign w:val="bottom"/>
          </w:tcPr>
          <w:p w14:paraId="6753468A" w14:textId="77777777" w:rsidR="001B77DD" w:rsidRDefault="001B77DD">
            <w:pPr>
              <w:rPr>
                <w:rFonts w:ascii="宋体"/>
                <w:vanish/>
              </w:rPr>
            </w:pPr>
          </w:p>
        </w:tc>
        <w:tc>
          <w:tcPr>
            <w:tcW w:w="0" w:type="auto"/>
            <w:gridSpan w:val="3"/>
            <w:shd w:val="clear" w:color="auto" w:fill="auto"/>
            <w:vAlign w:val="bottom"/>
          </w:tcPr>
          <w:p w14:paraId="6753468B" w14:textId="77777777" w:rsidR="001B77DD" w:rsidRDefault="001B77DD">
            <w:pPr>
              <w:rPr>
                <w:rFonts w:ascii="宋体"/>
                <w:vanish/>
              </w:rPr>
            </w:pPr>
          </w:p>
        </w:tc>
        <w:tc>
          <w:tcPr>
            <w:tcW w:w="0" w:type="auto"/>
            <w:gridSpan w:val="3"/>
            <w:shd w:val="clear" w:color="auto" w:fill="auto"/>
            <w:vAlign w:val="bottom"/>
          </w:tcPr>
          <w:p w14:paraId="6753468C" w14:textId="77777777" w:rsidR="001B77DD" w:rsidRDefault="001B77DD">
            <w:pPr>
              <w:rPr>
                <w:rFonts w:ascii="宋体"/>
                <w:vanish/>
              </w:rPr>
            </w:pPr>
          </w:p>
        </w:tc>
        <w:tc>
          <w:tcPr>
            <w:tcW w:w="0" w:type="auto"/>
            <w:gridSpan w:val="3"/>
            <w:shd w:val="clear" w:color="auto" w:fill="auto"/>
            <w:vAlign w:val="bottom"/>
          </w:tcPr>
          <w:p w14:paraId="6753468D" w14:textId="77777777" w:rsidR="001B77DD" w:rsidRDefault="001B77DD">
            <w:pPr>
              <w:rPr>
                <w:rFonts w:ascii="宋体"/>
                <w:vanish/>
              </w:rPr>
            </w:pPr>
          </w:p>
        </w:tc>
      </w:tr>
      <w:tr w:rsidR="001B77DD" w14:paraId="675346AA" w14:textId="77777777">
        <w:trPr>
          <w:hidden/>
        </w:trPr>
        <w:tc>
          <w:tcPr>
            <w:tcW w:w="0" w:type="auto"/>
            <w:gridSpan w:val="3"/>
            <w:shd w:val="clear" w:color="auto" w:fill="auto"/>
            <w:vAlign w:val="bottom"/>
          </w:tcPr>
          <w:p w14:paraId="6753468F" w14:textId="77777777" w:rsidR="001B77DD" w:rsidRDefault="001B77DD">
            <w:pPr>
              <w:rPr>
                <w:rFonts w:ascii="宋体"/>
                <w:vanish/>
              </w:rPr>
            </w:pPr>
          </w:p>
        </w:tc>
        <w:tc>
          <w:tcPr>
            <w:tcW w:w="0" w:type="auto"/>
            <w:gridSpan w:val="3"/>
            <w:shd w:val="clear" w:color="auto" w:fill="auto"/>
            <w:vAlign w:val="bottom"/>
          </w:tcPr>
          <w:p w14:paraId="67534690" w14:textId="77777777" w:rsidR="001B77DD" w:rsidRDefault="001B77DD">
            <w:pPr>
              <w:rPr>
                <w:rFonts w:ascii="宋体"/>
                <w:vanish/>
              </w:rPr>
            </w:pPr>
          </w:p>
        </w:tc>
        <w:tc>
          <w:tcPr>
            <w:tcW w:w="0" w:type="auto"/>
            <w:gridSpan w:val="3"/>
            <w:shd w:val="clear" w:color="auto" w:fill="auto"/>
            <w:vAlign w:val="bottom"/>
          </w:tcPr>
          <w:p w14:paraId="67534691" w14:textId="77777777" w:rsidR="001B77DD" w:rsidRDefault="001B77DD">
            <w:pPr>
              <w:rPr>
                <w:rFonts w:ascii="宋体"/>
                <w:vanish/>
              </w:rPr>
            </w:pPr>
          </w:p>
        </w:tc>
        <w:tc>
          <w:tcPr>
            <w:tcW w:w="0" w:type="auto"/>
            <w:shd w:val="clear" w:color="auto" w:fill="auto"/>
            <w:vAlign w:val="bottom"/>
          </w:tcPr>
          <w:p w14:paraId="67534692" w14:textId="77777777" w:rsidR="001B77DD" w:rsidRDefault="001B77DD">
            <w:pPr>
              <w:rPr>
                <w:rFonts w:ascii="宋体"/>
              </w:rPr>
            </w:pPr>
          </w:p>
        </w:tc>
        <w:tc>
          <w:tcPr>
            <w:tcW w:w="0" w:type="auto"/>
            <w:shd w:val="clear" w:color="auto" w:fill="auto"/>
            <w:vAlign w:val="bottom"/>
          </w:tcPr>
          <w:p w14:paraId="67534693" w14:textId="77777777" w:rsidR="001B77DD" w:rsidRDefault="001B77DD">
            <w:pPr>
              <w:rPr>
                <w:rFonts w:ascii="宋体"/>
              </w:rPr>
            </w:pPr>
          </w:p>
        </w:tc>
        <w:tc>
          <w:tcPr>
            <w:tcW w:w="0" w:type="auto"/>
            <w:shd w:val="clear" w:color="auto" w:fill="auto"/>
            <w:vAlign w:val="bottom"/>
          </w:tcPr>
          <w:p w14:paraId="67534694" w14:textId="77777777" w:rsidR="001B77DD" w:rsidRDefault="001B77DD">
            <w:pPr>
              <w:rPr>
                <w:rFonts w:ascii="宋体"/>
              </w:rPr>
            </w:pPr>
          </w:p>
        </w:tc>
        <w:tc>
          <w:tcPr>
            <w:tcW w:w="0" w:type="auto"/>
            <w:shd w:val="clear" w:color="auto" w:fill="auto"/>
            <w:vAlign w:val="bottom"/>
          </w:tcPr>
          <w:p w14:paraId="67534695" w14:textId="77777777" w:rsidR="001B77DD" w:rsidRDefault="001B77DD">
            <w:pPr>
              <w:rPr>
                <w:rFonts w:ascii="宋体"/>
              </w:rPr>
            </w:pPr>
          </w:p>
        </w:tc>
        <w:tc>
          <w:tcPr>
            <w:tcW w:w="0" w:type="auto"/>
            <w:shd w:val="clear" w:color="auto" w:fill="auto"/>
            <w:vAlign w:val="bottom"/>
          </w:tcPr>
          <w:p w14:paraId="67534696" w14:textId="77777777" w:rsidR="001B77DD" w:rsidRDefault="001B77DD">
            <w:pPr>
              <w:rPr>
                <w:rFonts w:ascii="宋体"/>
              </w:rPr>
            </w:pPr>
          </w:p>
        </w:tc>
        <w:tc>
          <w:tcPr>
            <w:tcW w:w="0" w:type="auto"/>
            <w:shd w:val="clear" w:color="auto" w:fill="auto"/>
            <w:vAlign w:val="bottom"/>
          </w:tcPr>
          <w:p w14:paraId="67534697" w14:textId="77777777" w:rsidR="001B77DD" w:rsidRDefault="001B77DD">
            <w:pPr>
              <w:rPr>
                <w:rFonts w:ascii="宋体"/>
              </w:rPr>
            </w:pPr>
          </w:p>
        </w:tc>
        <w:tc>
          <w:tcPr>
            <w:tcW w:w="0" w:type="auto"/>
            <w:shd w:val="clear" w:color="auto" w:fill="auto"/>
            <w:vAlign w:val="bottom"/>
          </w:tcPr>
          <w:p w14:paraId="67534698" w14:textId="77777777" w:rsidR="001B77DD" w:rsidRDefault="001B77DD">
            <w:pPr>
              <w:rPr>
                <w:rFonts w:ascii="宋体"/>
              </w:rPr>
            </w:pPr>
          </w:p>
        </w:tc>
        <w:tc>
          <w:tcPr>
            <w:tcW w:w="0" w:type="auto"/>
            <w:shd w:val="clear" w:color="auto" w:fill="auto"/>
            <w:vAlign w:val="bottom"/>
          </w:tcPr>
          <w:p w14:paraId="67534699" w14:textId="77777777" w:rsidR="001B77DD" w:rsidRDefault="001B77DD">
            <w:pPr>
              <w:rPr>
                <w:rFonts w:ascii="宋体"/>
              </w:rPr>
            </w:pPr>
          </w:p>
        </w:tc>
        <w:tc>
          <w:tcPr>
            <w:tcW w:w="0" w:type="auto"/>
            <w:shd w:val="clear" w:color="auto" w:fill="auto"/>
            <w:vAlign w:val="bottom"/>
          </w:tcPr>
          <w:p w14:paraId="6753469A" w14:textId="77777777" w:rsidR="001B77DD" w:rsidRDefault="001B77DD">
            <w:pPr>
              <w:rPr>
                <w:rFonts w:ascii="宋体"/>
              </w:rPr>
            </w:pPr>
          </w:p>
        </w:tc>
        <w:tc>
          <w:tcPr>
            <w:tcW w:w="0" w:type="auto"/>
            <w:shd w:val="clear" w:color="auto" w:fill="auto"/>
            <w:vAlign w:val="bottom"/>
          </w:tcPr>
          <w:p w14:paraId="6753469B" w14:textId="77777777" w:rsidR="001B77DD" w:rsidRDefault="001B77DD">
            <w:pPr>
              <w:rPr>
                <w:rFonts w:ascii="宋体"/>
              </w:rPr>
            </w:pPr>
          </w:p>
        </w:tc>
        <w:tc>
          <w:tcPr>
            <w:tcW w:w="0" w:type="auto"/>
            <w:shd w:val="clear" w:color="auto" w:fill="auto"/>
            <w:vAlign w:val="bottom"/>
          </w:tcPr>
          <w:p w14:paraId="6753469C" w14:textId="77777777" w:rsidR="001B77DD" w:rsidRDefault="001B77DD">
            <w:pPr>
              <w:rPr>
                <w:rFonts w:ascii="宋体"/>
              </w:rPr>
            </w:pPr>
          </w:p>
        </w:tc>
        <w:tc>
          <w:tcPr>
            <w:tcW w:w="0" w:type="auto"/>
            <w:shd w:val="clear" w:color="auto" w:fill="auto"/>
            <w:vAlign w:val="bottom"/>
          </w:tcPr>
          <w:p w14:paraId="6753469D" w14:textId="77777777" w:rsidR="001B77DD" w:rsidRDefault="001B77DD">
            <w:pPr>
              <w:rPr>
                <w:rFonts w:ascii="宋体"/>
              </w:rPr>
            </w:pPr>
          </w:p>
        </w:tc>
        <w:tc>
          <w:tcPr>
            <w:tcW w:w="0" w:type="auto"/>
            <w:shd w:val="clear" w:color="auto" w:fill="auto"/>
            <w:vAlign w:val="bottom"/>
          </w:tcPr>
          <w:p w14:paraId="6753469E" w14:textId="77777777" w:rsidR="001B77DD" w:rsidRDefault="001B77DD">
            <w:pPr>
              <w:rPr>
                <w:rFonts w:ascii="宋体"/>
              </w:rPr>
            </w:pPr>
          </w:p>
        </w:tc>
        <w:tc>
          <w:tcPr>
            <w:tcW w:w="0" w:type="auto"/>
            <w:shd w:val="clear" w:color="auto" w:fill="auto"/>
            <w:vAlign w:val="bottom"/>
          </w:tcPr>
          <w:p w14:paraId="6753469F" w14:textId="77777777" w:rsidR="001B77DD" w:rsidRDefault="001B77DD">
            <w:pPr>
              <w:rPr>
                <w:rFonts w:ascii="宋体"/>
              </w:rPr>
            </w:pPr>
          </w:p>
        </w:tc>
        <w:tc>
          <w:tcPr>
            <w:tcW w:w="0" w:type="auto"/>
            <w:shd w:val="clear" w:color="auto" w:fill="auto"/>
            <w:vAlign w:val="bottom"/>
          </w:tcPr>
          <w:p w14:paraId="675346A0" w14:textId="77777777" w:rsidR="001B77DD" w:rsidRDefault="001B77DD">
            <w:pPr>
              <w:rPr>
                <w:rFonts w:ascii="宋体"/>
              </w:rPr>
            </w:pPr>
          </w:p>
        </w:tc>
        <w:tc>
          <w:tcPr>
            <w:tcW w:w="0" w:type="auto"/>
            <w:shd w:val="clear" w:color="auto" w:fill="auto"/>
            <w:vAlign w:val="bottom"/>
          </w:tcPr>
          <w:p w14:paraId="675346A1" w14:textId="77777777" w:rsidR="001B77DD" w:rsidRDefault="001B77DD">
            <w:pPr>
              <w:rPr>
                <w:rFonts w:ascii="宋体"/>
              </w:rPr>
            </w:pPr>
          </w:p>
        </w:tc>
        <w:tc>
          <w:tcPr>
            <w:tcW w:w="0" w:type="auto"/>
            <w:shd w:val="clear" w:color="auto" w:fill="auto"/>
            <w:vAlign w:val="bottom"/>
          </w:tcPr>
          <w:p w14:paraId="675346A2" w14:textId="77777777" w:rsidR="001B77DD" w:rsidRDefault="001B77DD">
            <w:pPr>
              <w:rPr>
                <w:rFonts w:ascii="宋体"/>
              </w:rPr>
            </w:pPr>
          </w:p>
        </w:tc>
        <w:tc>
          <w:tcPr>
            <w:tcW w:w="0" w:type="auto"/>
            <w:shd w:val="clear" w:color="auto" w:fill="auto"/>
            <w:vAlign w:val="bottom"/>
          </w:tcPr>
          <w:p w14:paraId="675346A3" w14:textId="77777777" w:rsidR="001B77DD" w:rsidRDefault="001B77DD">
            <w:pPr>
              <w:rPr>
                <w:rFonts w:ascii="宋体"/>
              </w:rPr>
            </w:pPr>
          </w:p>
        </w:tc>
        <w:tc>
          <w:tcPr>
            <w:tcW w:w="0" w:type="auto"/>
            <w:shd w:val="clear" w:color="auto" w:fill="auto"/>
            <w:vAlign w:val="bottom"/>
          </w:tcPr>
          <w:p w14:paraId="675346A4" w14:textId="77777777" w:rsidR="001B77DD" w:rsidRDefault="001B77DD">
            <w:pPr>
              <w:rPr>
                <w:rFonts w:ascii="宋体"/>
              </w:rPr>
            </w:pPr>
          </w:p>
        </w:tc>
        <w:tc>
          <w:tcPr>
            <w:tcW w:w="0" w:type="auto"/>
            <w:shd w:val="clear" w:color="auto" w:fill="auto"/>
            <w:vAlign w:val="bottom"/>
          </w:tcPr>
          <w:p w14:paraId="675346A5" w14:textId="77777777" w:rsidR="001B77DD" w:rsidRDefault="001B77DD">
            <w:pPr>
              <w:rPr>
                <w:rFonts w:ascii="宋体"/>
              </w:rPr>
            </w:pPr>
          </w:p>
        </w:tc>
        <w:tc>
          <w:tcPr>
            <w:tcW w:w="0" w:type="auto"/>
            <w:shd w:val="clear" w:color="auto" w:fill="auto"/>
            <w:vAlign w:val="bottom"/>
          </w:tcPr>
          <w:p w14:paraId="675346A6" w14:textId="77777777" w:rsidR="001B77DD" w:rsidRDefault="001B77DD">
            <w:pPr>
              <w:rPr>
                <w:rFonts w:ascii="宋体"/>
              </w:rPr>
            </w:pPr>
          </w:p>
        </w:tc>
        <w:tc>
          <w:tcPr>
            <w:tcW w:w="0" w:type="auto"/>
            <w:shd w:val="clear" w:color="auto" w:fill="auto"/>
            <w:vAlign w:val="bottom"/>
          </w:tcPr>
          <w:p w14:paraId="675346A7" w14:textId="77777777" w:rsidR="001B77DD" w:rsidRDefault="001B77DD">
            <w:pPr>
              <w:rPr>
                <w:rFonts w:ascii="宋体"/>
              </w:rPr>
            </w:pPr>
          </w:p>
        </w:tc>
        <w:tc>
          <w:tcPr>
            <w:tcW w:w="0" w:type="auto"/>
            <w:shd w:val="clear" w:color="auto" w:fill="auto"/>
            <w:vAlign w:val="bottom"/>
          </w:tcPr>
          <w:p w14:paraId="675346A8" w14:textId="77777777" w:rsidR="001B77DD" w:rsidRDefault="001B77DD">
            <w:pPr>
              <w:rPr>
                <w:rFonts w:ascii="宋体"/>
              </w:rPr>
            </w:pPr>
          </w:p>
        </w:tc>
        <w:tc>
          <w:tcPr>
            <w:tcW w:w="0" w:type="auto"/>
            <w:shd w:val="clear" w:color="auto" w:fill="auto"/>
            <w:vAlign w:val="bottom"/>
          </w:tcPr>
          <w:p w14:paraId="675346A9" w14:textId="77777777" w:rsidR="001B77DD" w:rsidRDefault="001B77DD">
            <w:pPr>
              <w:rPr>
                <w:rFonts w:ascii="宋体"/>
              </w:rPr>
            </w:pPr>
          </w:p>
        </w:tc>
      </w:tr>
    </w:tbl>
    <w:p w14:paraId="675346AB"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6AF" w14:textId="77777777">
        <w:tc>
          <w:tcPr>
            <w:tcW w:w="50" w:type="pct"/>
            <w:shd w:val="clear" w:color="auto" w:fill="auto"/>
            <w:vAlign w:val="bottom"/>
          </w:tcPr>
          <w:p w14:paraId="675346AC" w14:textId="77777777" w:rsidR="001B77DD" w:rsidRDefault="001B77DD">
            <w:pPr>
              <w:rPr>
                <w:rFonts w:ascii="宋体"/>
              </w:rPr>
            </w:pPr>
          </w:p>
        </w:tc>
        <w:tc>
          <w:tcPr>
            <w:tcW w:w="4945" w:type="pct"/>
            <w:shd w:val="clear" w:color="auto" w:fill="auto"/>
            <w:vAlign w:val="bottom"/>
          </w:tcPr>
          <w:p w14:paraId="675346AD" w14:textId="77777777" w:rsidR="001B77DD" w:rsidRDefault="001B77DD">
            <w:pPr>
              <w:rPr>
                <w:rFonts w:ascii="宋体"/>
              </w:rPr>
            </w:pPr>
          </w:p>
        </w:tc>
        <w:tc>
          <w:tcPr>
            <w:tcW w:w="5" w:type="pct"/>
            <w:shd w:val="clear" w:color="auto" w:fill="auto"/>
            <w:vAlign w:val="bottom"/>
          </w:tcPr>
          <w:p w14:paraId="675346AE" w14:textId="77777777" w:rsidR="001B77DD" w:rsidRDefault="001B77DD">
            <w:pPr>
              <w:rPr>
                <w:rFonts w:ascii="宋体"/>
              </w:rPr>
            </w:pPr>
          </w:p>
        </w:tc>
      </w:tr>
      <w:tr w:rsidR="001B77DD" w14:paraId="675346B1"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6B0" w14:textId="77777777" w:rsidR="001B77DD" w:rsidRDefault="00BF0A28">
            <w:pPr>
              <w:textAlignment w:val="bottom"/>
            </w:pPr>
            <w:r>
              <w:rPr>
                <w:rFonts w:ascii="Arial" w:eastAsia="宋体" w:hAnsi="Arial" w:cs="Arial"/>
                <w:color w:val="0068B5"/>
                <w:sz w:val="20"/>
                <w:szCs w:val="20"/>
              </w:rPr>
              <w:t>Operating Income Summary</w:t>
            </w:r>
          </w:p>
        </w:tc>
      </w:tr>
    </w:tbl>
    <w:p w14:paraId="675346B2" w14:textId="77777777" w:rsidR="001B77DD" w:rsidRDefault="00BF0A28">
      <w:pPr>
        <w:spacing w:after="60"/>
      </w:pPr>
      <w:r>
        <w:rPr>
          <w:rFonts w:ascii="Arial" w:eastAsia="宋体" w:hAnsi="Arial" w:cs="Arial"/>
          <w:color w:val="262626"/>
          <w:sz w:val="18"/>
          <w:szCs w:val="18"/>
        </w:rPr>
        <w:t xml:space="preserve">Operating income decreased 34% year over year, and operating margin was 27% in 2021. </w:t>
      </w:r>
    </w:p>
    <w:tbl>
      <w:tblPr>
        <w:tblW w:w="5000" w:type="pct"/>
        <w:tblCellMar>
          <w:top w:w="15" w:type="dxa"/>
          <w:left w:w="15" w:type="dxa"/>
          <w:bottom w:w="15" w:type="dxa"/>
          <w:right w:w="15" w:type="dxa"/>
        </w:tblCellMar>
        <w:tblLook w:val="04A0" w:firstRow="1" w:lastRow="0" w:firstColumn="1" w:lastColumn="0" w:noHBand="0" w:noVBand="1"/>
      </w:tblPr>
      <w:tblGrid>
        <w:gridCol w:w="122"/>
        <w:gridCol w:w="849"/>
        <w:gridCol w:w="36"/>
        <w:gridCol w:w="36"/>
        <w:gridCol w:w="36"/>
        <w:gridCol w:w="36"/>
        <w:gridCol w:w="38"/>
        <w:gridCol w:w="7146"/>
        <w:gridCol w:w="37"/>
      </w:tblGrid>
      <w:tr w:rsidR="001B77DD" w14:paraId="675346BC" w14:textId="77777777">
        <w:tc>
          <w:tcPr>
            <w:tcW w:w="50" w:type="pct"/>
            <w:shd w:val="clear" w:color="auto" w:fill="auto"/>
            <w:vAlign w:val="bottom"/>
          </w:tcPr>
          <w:p w14:paraId="675346B3" w14:textId="77777777" w:rsidR="001B77DD" w:rsidRDefault="001B77DD">
            <w:pPr>
              <w:rPr>
                <w:rFonts w:ascii="宋体"/>
              </w:rPr>
            </w:pPr>
          </w:p>
        </w:tc>
        <w:tc>
          <w:tcPr>
            <w:tcW w:w="532" w:type="pct"/>
            <w:shd w:val="clear" w:color="auto" w:fill="auto"/>
            <w:vAlign w:val="bottom"/>
          </w:tcPr>
          <w:p w14:paraId="675346B4" w14:textId="77777777" w:rsidR="001B77DD" w:rsidRDefault="001B77DD">
            <w:pPr>
              <w:rPr>
                <w:rFonts w:ascii="宋体"/>
              </w:rPr>
            </w:pPr>
          </w:p>
        </w:tc>
        <w:tc>
          <w:tcPr>
            <w:tcW w:w="5" w:type="pct"/>
            <w:shd w:val="clear" w:color="auto" w:fill="auto"/>
            <w:vAlign w:val="bottom"/>
          </w:tcPr>
          <w:p w14:paraId="675346B5" w14:textId="77777777" w:rsidR="001B77DD" w:rsidRDefault="001B77DD">
            <w:pPr>
              <w:rPr>
                <w:rFonts w:ascii="宋体"/>
              </w:rPr>
            </w:pPr>
          </w:p>
        </w:tc>
        <w:tc>
          <w:tcPr>
            <w:tcW w:w="5" w:type="pct"/>
            <w:shd w:val="clear" w:color="auto" w:fill="auto"/>
            <w:vAlign w:val="bottom"/>
          </w:tcPr>
          <w:p w14:paraId="675346B6" w14:textId="77777777" w:rsidR="001B77DD" w:rsidRDefault="001B77DD">
            <w:pPr>
              <w:rPr>
                <w:rFonts w:ascii="宋体"/>
              </w:rPr>
            </w:pPr>
          </w:p>
        </w:tc>
        <w:tc>
          <w:tcPr>
            <w:tcW w:w="24" w:type="pct"/>
            <w:shd w:val="clear" w:color="auto" w:fill="auto"/>
            <w:vAlign w:val="bottom"/>
          </w:tcPr>
          <w:p w14:paraId="675346B7" w14:textId="77777777" w:rsidR="001B77DD" w:rsidRDefault="001B77DD">
            <w:pPr>
              <w:rPr>
                <w:rFonts w:ascii="宋体"/>
              </w:rPr>
            </w:pPr>
          </w:p>
        </w:tc>
        <w:tc>
          <w:tcPr>
            <w:tcW w:w="5" w:type="pct"/>
            <w:shd w:val="clear" w:color="auto" w:fill="auto"/>
            <w:vAlign w:val="bottom"/>
          </w:tcPr>
          <w:p w14:paraId="675346B8" w14:textId="77777777" w:rsidR="001B77DD" w:rsidRDefault="001B77DD">
            <w:pPr>
              <w:rPr>
                <w:rFonts w:ascii="宋体"/>
              </w:rPr>
            </w:pPr>
          </w:p>
        </w:tc>
        <w:tc>
          <w:tcPr>
            <w:tcW w:w="50" w:type="pct"/>
            <w:shd w:val="clear" w:color="auto" w:fill="auto"/>
            <w:vAlign w:val="bottom"/>
          </w:tcPr>
          <w:p w14:paraId="675346B9" w14:textId="77777777" w:rsidR="001B77DD" w:rsidRDefault="001B77DD">
            <w:pPr>
              <w:rPr>
                <w:rFonts w:ascii="宋体"/>
              </w:rPr>
            </w:pPr>
          </w:p>
        </w:tc>
        <w:tc>
          <w:tcPr>
            <w:tcW w:w="4323" w:type="pct"/>
            <w:shd w:val="clear" w:color="auto" w:fill="auto"/>
            <w:vAlign w:val="bottom"/>
          </w:tcPr>
          <w:p w14:paraId="675346BA" w14:textId="77777777" w:rsidR="001B77DD" w:rsidRDefault="001B77DD">
            <w:pPr>
              <w:rPr>
                <w:rFonts w:ascii="宋体"/>
              </w:rPr>
            </w:pPr>
          </w:p>
        </w:tc>
        <w:tc>
          <w:tcPr>
            <w:tcW w:w="5" w:type="pct"/>
            <w:shd w:val="clear" w:color="auto" w:fill="auto"/>
            <w:vAlign w:val="bottom"/>
          </w:tcPr>
          <w:p w14:paraId="675346BB" w14:textId="77777777" w:rsidR="001B77DD" w:rsidRDefault="001B77DD">
            <w:pPr>
              <w:rPr>
                <w:rFonts w:ascii="宋体"/>
              </w:rPr>
            </w:pPr>
          </w:p>
        </w:tc>
      </w:tr>
      <w:tr w:rsidR="001B77DD" w14:paraId="675346C0" w14:textId="77777777">
        <w:tc>
          <w:tcPr>
            <w:tcW w:w="0" w:type="auto"/>
            <w:gridSpan w:val="3"/>
            <w:shd w:val="clear" w:color="auto" w:fill="auto"/>
            <w:tcMar>
              <w:top w:w="40" w:type="dxa"/>
              <w:left w:w="20" w:type="dxa"/>
              <w:bottom w:w="40" w:type="dxa"/>
              <w:right w:w="20" w:type="dxa"/>
            </w:tcMar>
            <w:vAlign w:val="bottom"/>
          </w:tcPr>
          <w:p w14:paraId="675346BD"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46B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6BF" w14:textId="77777777" w:rsidR="001B77DD" w:rsidRDefault="001B77DD">
            <w:pPr>
              <w:rPr>
                <w:rFonts w:ascii="宋体"/>
              </w:rPr>
            </w:pPr>
          </w:p>
        </w:tc>
      </w:tr>
      <w:tr w:rsidR="001B77DD" w14:paraId="675346C6"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675346C1"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6C2" w14:textId="77777777" w:rsidR="001B77DD" w:rsidRDefault="00BF0A28">
            <w:pPr>
              <w:jc w:val="right"/>
              <w:textAlignment w:val="bottom"/>
            </w:pPr>
            <w:r>
              <w:rPr>
                <w:rFonts w:ascii="Arial" w:eastAsia="宋体" w:hAnsi="Arial" w:cs="Arial"/>
                <w:b/>
                <w:bCs/>
                <w:color w:val="0068B5"/>
                <w:sz w:val="18"/>
                <w:szCs w:val="18"/>
              </w:rPr>
              <w:t>6,997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6C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C4"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46C5" w14:textId="77777777" w:rsidR="001B77DD" w:rsidRDefault="00BF0A28">
            <w:pPr>
              <w:textAlignment w:val="bottom"/>
            </w:pPr>
            <w:r>
              <w:rPr>
                <w:rFonts w:ascii="Arial" w:eastAsia="宋体" w:hAnsi="Arial" w:cs="Arial"/>
                <w:b/>
                <w:bCs/>
                <w:color w:val="262626"/>
                <w:sz w:val="18"/>
                <w:szCs w:val="18"/>
              </w:rPr>
              <w:t>2021 Operating Income</w:t>
            </w:r>
          </w:p>
        </w:tc>
      </w:tr>
      <w:tr w:rsidR="001B77DD" w14:paraId="675346CB" w14:textId="77777777">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6C7" w14:textId="77777777" w:rsidR="001B77DD" w:rsidRDefault="00BF0A28">
            <w:pPr>
              <w:jc w:val="right"/>
              <w:textAlignment w:val="bottom"/>
            </w:pPr>
            <w:r>
              <w:rPr>
                <w:rFonts w:ascii="Arial" w:eastAsia="宋体" w:hAnsi="Arial" w:cs="Arial"/>
                <w:color w:val="0068B5"/>
                <w:sz w:val="18"/>
                <w:szCs w:val="18"/>
              </w:rPr>
              <w:t>(1,185)</w:t>
            </w:r>
          </w:p>
        </w:tc>
        <w:tc>
          <w:tcPr>
            <w:tcW w:w="0" w:type="auto"/>
            <w:tcBorders>
              <w:top w:val="single" w:sz="4" w:space="0" w:color="262626"/>
            </w:tcBorders>
            <w:shd w:val="clear" w:color="auto" w:fill="auto"/>
            <w:tcMar>
              <w:top w:w="40" w:type="dxa"/>
              <w:left w:w="0" w:type="dxa"/>
              <w:bottom w:w="40" w:type="dxa"/>
              <w:right w:w="20" w:type="dxa"/>
            </w:tcMar>
            <w:vAlign w:val="bottom"/>
          </w:tcPr>
          <w:p w14:paraId="675346C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C9" w14:textId="77777777" w:rsidR="001B77DD" w:rsidRDefault="001B77DD">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675346CA" w14:textId="77777777" w:rsidR="001B77DD" w:rsidRDefault="00BF0A28">
            <w:pPr>
              <w:textAlignment w:val="center"/>
            </w:pPr>
            <w:r>
              <w:rPr>
                <w:rFonts w:ascii="Arial" w:eastAsia="宋体" w:hAnsi="Arial" w:cs="Arial"/>
                <w:color w:val="262626"/>
                <w:sz w:val="18"/>
                <w:szCs w:val="18"/>
              </w:rPr>
              <w:t>Higher operating expenses driven by investment in leadership products</w:t>
            </w:r>
          </w:p>
        </w:tc>
      </w:tr>
      <w:tr w:rsidR="001B77DD" w14:paraId="675346D0" w14:textId="77777777">
        <w:tc>
          <w:tcPr>
            <w:tcW w:w="0" w:type="auto"/>
            <w:gridSpan w:val="2"/>
            <w:shd w:val="clear" w:color="auto" w:fill="auto"/>
            <w:tcMar>
              <w:top w:w="40" w:type="dxa"/>
              <w:left w:w="20" w:type="dxa"/>
              <w:bottom w:w="40" w:type="dxa"/>
              <w:right w:w="0" w:type="dxa"/>
            </w:tcMar>
          </w:tcPr>
          <w:p w14:paraId="675346CC" w14:textId="77777777" w:rsidR="001B77DD" w:rsidRDefault="00BF0A28">
            <w:pPr>
              <w:jc w:val="right"/>
              <w:textAlignment w:val="top"/>
            </w:pPr>
            <w:r>
              <w:rPr>
                <w:rFonts w:ascii="Arial" w:eastAsia="宋体" w:hAnsi="Arial" w:cs="Arial"/>
                <w:color w:val="0068B5"/>
                <w:sz w:val="18"/>
                <w:szCs w:val="18"/>
              </w:rPr>
              <w:t>(840)</w:t>
            </w:r>
          </w:p>
        </w:tc>
        <w:tc>
          <w:tcPr>
            <w:tcW w:w="0" w:type="auto"/>
            <w:shd w:val="clear" w:color="auto" w:fill="auto"/>
            <w:tcMar>
              <w:top w:w="40" w:type="dxa"/>
              <w:left w:w="0" w:type="dxa"/>
              <w:bottom w:w="40" w:type="dxa"/>
              <w:right w:w="20" w:type="dxa"/>
            </w:tcMar>
          </w:tcPr>
          <w:p w14:paraId="675346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C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CF" w14:textId="77777777" w:rsidR="001B77DD" w:rsidRDefault="00BF0A28">
            <w:pPr>
              <w:textAlignment w:val="center"/>
            </w:pPr>
            <w:r>
              <w:rPr>
                <w:rFonts w:ascii="Arial" w:eastAsia="宋体" w:hAnsi="Arial" w:cs="Arial"/>
                <w:color w:val="262626"/>
                <w:sz w:val="18"/>
                <w:szCs w:val="18"/>
              </w:rPr>
              <w:t xml:space="preserve">Higher </w:t>
            </w:r>
            <w:r>
              <w:rPr>
                <w:rFonts w:ascii="Arial" w:eastAsia="宋体" w:hAnsi="Arial" w:cs="Arial"/>
                <w:color w:val="262626"/>
                <w:sz w:val="18"/>
                <w:szCs w:val="18"/>
              </w:rPr>
              <w:t>platform unit cost primarily from increased mix of 10nm SuperFin products</w:t>
            </w:r>
          </w:p>
        </w:tc>
      </w:tr>
      <w:tr w:rsidR="001B77DD" w14:paraId="675346D5" w14:textId="77777777">
        <w:tc>
          <w:tcPr>
            <w:tcW w:w="0" w:type="auto"/>
            <w:gridSpan w:val="2"/>
            <w:shd w:val="clear" w:color="auto" w:fill="auto"/>
            <w:tcMar>
              <w:top w:w="40" w:type="dxa"/>
              <w:left w:w="20" w:type="dxa"/>
              <w:bottom w:w="40" w:type="dxa"/>
              <w:right w:w="0" w:type="dxa"/>
            </w:tcMar>
            <w:vAlign w:val="bottom"/>
          </w:tcPr>
          <w:p w14:paraId="675346D1" w14:textId="77777777" w:rsidR="001B77DD" w:rsidRDefault="00BF0A28">
            <w:pPr>
              <w:jc w:val="right"/>
              <w:textAlignment w:val="bottom"/>
            </w:pPr>
            <w:r>
              <w:rPr>
                <w:rFonts w:ascii="Arial" w:eastAsia="宋体" w:hAnsi="Arial" w:cs="Arial"/>
                <w:color w:val="0068B5"/>
                <w:sz w:val="18"/>
                <w:szCs w:val="18"/>
              </w:rPr>
              <w:t>(685)</w:t>
            </w:r>
          </w:p>
        </w:tc>
        <w:tc>
          <w:tcPr>
            <w:tcW w:w="0" w:type="auto"/>
            <w:shd w:val="clear" w:color="auto" w:fill="auto"/>
            <w:tcMar>
              <w:top w:w="40" w:type="dxa"/>
              <w:left w:w="0" w:type="dxa"/>
              <w:bottom w:w="40" w:type="dxa"/>
              <w:right w:w="20" w:type="dxa"/>
            </w:tcMar>
            <w:vAlign w:val="bottom"/>
          </w:tcPr>
          <w:p w14:paraId="675346D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D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D4" w14:textId="77777777" w:rsidR="001B77DD" w:rsidRDefault="00BF0A28">
            <w:pPr>
              <w:textAlignment w:val="center"/>
            </w:pPr>
            <w:r>
              <w:rPr>
                <w:rFonts w:ascii="Arial" w:eastAsia="宋体" w:hAnsi="Arial" w:cs="Arial"/>
                <w:color w:val="262626"/>
                <w:sz w:val="18"/>
                <w:szCs w:val="18"/>
              </w:rPr>
              <w:t>Higher period charges primarily associated with ramp up of Intel 4</w:t>
            </w:r>
          </w:p>
        </w:tc>
      </w:tr>
      <w:tr w:rsidR="001B77DD" w14:paraId="675346DA" w14:textId="77777777">
        <w:tc>
          <w:tcPr>
            <w:tcW w:w="0" w:type="auto"/>
            <w:gridSpan w:val="2"/>
            <w:shd w:val="clear" w:color="auto" w:fill="auto"/>
            <w:tcMar>
              <w:top w:w="40" w:type="dxa"/>
              <w:left w:w="20" w:type="dxa"/>
              <w:bottom w:w="40" w:type="dxa"/>
              <w:right w:w="0" w:type="dxa"/>
            </w:tcMar>
            <w:vAlign w:val="bottom"/>
          </w:tcPr>
          <w:p w14:paraId="675346D6" w14:textId="77777777" w:rsidR="001B77DD" w:rsidRDefault="00BF0A28">
            <w:pPr>
              <w:jc w:val="right"/>
              <w:textAlignment w:val="bottom"/>
            </w:pPr>
            <w:r>
              <w:rPr>
                <w:rFonts w:ascii="Arial" w:eastAsia="宋体" w:hAnsi="Arial" w:cs="Arial"/>
                <w:color w:val="0068B5"/>
                <w:sz w:val="18"/>
                <w:szCs w:val="18"/>
              </w:rPr>
              <w:t>(435)</w:t>
            </w:r>
          </w:p>
        </w:tc>
        <w:tc>
          <w:tcPr>
            <w:tcW w:w="0" w:type="auto"/>
            <w:shd w:val="clear" w:color="auto" w:fill="auto"/>
            <w:tcMar>
              <w:top w:w="40" w:type="dxa"/>
              <w:left w:w="0" w:type="dxa"/>
              <w:bottom w:w="40" w:type="dxa"/>
              <w:right w:w="20" w:type="dxa"/>
            </w:tcMar>
            <w:vAlign w:val="bottom"/>
          </w:tcPr>
          <w:p w14:paraId="675346D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D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D9" w14:textId="77777777" w:rsidR="001B77DD" w:rsidRDefault="00BF0A28">
            <w:pPr>
              <w:textAlignment w:val="center"/>
            </w:pPr>
            <w:r>
              <w:rPr>
                <w:rFonts w:ascii="Arial" w:eastAsia="宋体" w:hAnsi="Arial" w:cs="Arial"/>
                <w:color w:val="262626"/>
                <w:sz w:val="18"/>
                <w:szCs w:val="18"/>
              </w:rPr>
              <w:t>Lower gross margin from platform revenue</w:t>
            </w:r>
          </w:p>
        </w:tc>
      </w:tr>
      <w:tr w:rsidR="001B77DD" w14:paraId="675346DF" w14:textId="77777777">
        <w:tc>
          <w:tcPr>
            <w:tcW w:w="0" w:type="auto"/>
            <w:gridSpan w:val="2"/>
            <w:shd w:val="clear" w:color="auto" w:fill="auto"/>
            <w:tcMar>
              <w:top w:w="40" w:type="dxa"/>
              <w:left w:w="20" w:type="dxa"/>
              <w:bottom w:w="40" w:type="dxa"/>
              <w:right w:w="0" w:type="dxa"/>
            </w:tcMar>
            <w:vAlign w:val="bottom"/>
          </w:tcPr>
          <w:p w14:paraId="675346DB" w14:textId="77777777" w:rsidR="001B77DD" w:rsidRDefault="00BF0A28">
            <w:pPr>
              <w:jc w:val="right"/>
              <w:textAlignment w:val="bottom"/>
            </w:pPr>
            <w:r>
              <w:rPr>
                <w:rFonts w:ascii="Arial" w:eastAsia="宋体" w:hAnsi="Arial" w:cs="Arial"/>
                <w:color w:val="0068B5"/>
                <w:sz w:val="18"/>
                <w:szCs w:val="18"/>
              </w:rPr>
              <w:t>(250)</w:t>
            </w:r>
          </w:p>
        </w:tc>
        <w:tc>
          <w:tcPr>
            <w:tcW w:w="0" w:type="auto"/>
            <w:shd w:val="clear" w:color="auto" w:fill="auto"/>
            <w:tcMar>
              <w:top w:w="40" w:type="dxa"/>
              <w:left w:w="0" w:type="dxa"/>
              <w:bottom w:w="40" w:type="dxa"/>
              <w:right w:w="20" w:type="dxa"/>
            </w:tcMar>
            <w:vAlign w:val="bottom"/>
          </w:tcPr>
          <w:p w14:paraId="675346D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D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DE" w14:textId="77777777" w:rsidR="001B77DD" w:rsidRDefault="00BF0A28">
            <w:pPr>
              <w:textAlignment w:val="center"/>
            </w:pPr>
            <w:r>
              <w:rPr>
                <w:rFonts w:ascii="Arial" w:eastAsia="宋体" w:hAnsi="Arial" w:cs="Arial"/>
                <w:color w:val="262626"/>
                <w:sz w:val="18"/>
                <w:szCs w:val="18"/>
              </w:rPr>
              <w:t xml:space="preserve">Higher period charges primarily </w:t>
            </w:r>
            <w:r>
              <w:rPr>
                <w:rFonts w:ascii="Arial" w:eastAsia="宋体" w:hAnsi="Arial" w:cs="Arial"/>
                <w:color w:val="262626"/>
                <w:sz w:val="18"/>
                <w:szCs w:val="18"/>
              </w:rPr>
              <w:t>associated with ramp down of 14nm</w:t>
            </w:r>
          </w:p>
        </w:tc>
      </w:tr>
      <w:tr w:rsidR="001B77DD" w14:paraId="675346E4" w14:textId="77777777">
        <w:tc>
          <w:tcPr>
            <w:tcW w:w="0" w:type="auto"/>
            <w:gridSpan w:val="2"/>
            <w:shd w:val="clear" w:color="auto" w:fill="auto"/>
            <w:tcMar>
              <w:top w:w="40" w:type="dxa"/>
              <w:left w:w="20" w:type="dxa"/>
              <w:bottom w:w="40" w:type="dxa"/>
              <w:right w:w="0" w:type="dxa"/>
            </w:tcMar>
            <w:vAlign w:val="bottom"/>
          </w:tcPr>
          <w:p w14:paraId="675346E0" w14:textId="77777777" w:rsidR="001B77DD" w:rsidRDefault="00BF0A28">
            <w:pPr>
              <w:jc w:val="right"/>
              <w:textAlignment w:val="bottom"/>
            </w:pPr>
            <w:r>
              <w:rPr>
                <w:rFonts w:ascii="Arial" w:eastAsia="宋体" w:hAnsi="Arial" w:cs="Arial"/>
                <w:color w:val="0068B5"/>
                <w:sz w:val="18"/>
                <w:szCs w:val="18"/>
              </w:rPr>
              <w:t>(160)</w:t>
            </w:r>
          </w:p>
        </w:tc>
        <w:tc>
          <w:tcPr>
            <w:tcW w:w="0" w:type="auto"/>
            <w:shd w:val="clear" w:color="auto" w:fill="auto"/>
            <w:tcMar>
              <w:top w:w="40" w:type="dxa"/>
              <w:left w:w="0" w:type="dxa"/>
              <w:bottom w:w="40" w:type="dxa"/>
              <w:right w:w="20" w:type="dxa"/>
            </w:tcMar>
            <w:vAlign w:val="bottom"/>
          </w:tcPr>
          <w:p w14:paraId="675346E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E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E3" w14:textId="77777777" w:rsidR="001B77DD" w:rsidRDefault="00BF0A28">
            <w:pPr>
              <w:textAlignment w:val="center"/>
            </w:pPr>
            <w:r>
              <w:rPr>
                <w:rFonts w:ascii="Arial" w:eastAsia="宋体" w:hAnsi="Arial" w:cs="Arial"/>
                <w:color w:val="262626"/>
                <w:sz w:val="18"/>
                <w:szCs w:val="18"/>
              </w:rPr>
              <w:t xml:space="preserve">Higher period charges driven by increased engineering samples </w:t>
            </w:r>
          </w:p>
        </w:tc>
      </w:tr>
      <w:tr w:rsidR="001B77DD" w14:paraId="675346E9" w14:textId="77777777">
        <w:tc>
          <w:tcPr>
            <w:tcW w:w="0" w:type="auto"/>
            <w:gridSpan w:val="2"/>
            <w:shd w:val="clear" w:color="auto" w:fill="auto"/>
            <w:tcMar>
              <w:top w:w="40" w:type="dxa"/>
              <w:left w:w="20" w:type="dxa"/>
              <w:bottom w:w="40" w:type="dxa"/>
              <w:right w:w="0" w:type="dxa"/>
            </w:tcMar>
            <w:vAlign w:val="bottom"/>
          </w:tcPr>
          <w:p w14:paraId="675346E5" w14:textId="77777777" w:rsidR="001B77DD" w:rsidRDefault="00BF0A28">
            <w:pPr>
              <w:jc w:val="right"/>
              <w:textAlignment w:val="bottom"/>
            </w:pPr>
            <w:r>
              <w:rPr>
                <w:rFonts w:ascii="Arial" w:eastAsia="宋体" w:hAnsi="Arial" w:cs="Arial"/>
                <w:color w:val="0068B5"/>
                <w:sz w:val="18"/>
                <w:szCs w:val="18"/>
              </w:rPr>
              <w:t>(155)</w:t>
            </w:r>
          </w:p>
        </w:tc>
        <w:tc>
          <w:tcPr>
            <w:tcW w:w="0" w:type="auto"/>
            <w:shd w:val="clear" w:color="auto" w:fill="auto"/>
            <w:tcMar>
              <w:top w:w="40" w:type="dxa"/>
              <w:left w:w="0" w:type="dxa"/>
              <w:bottom w:w="40" w:type="dxa"/>
              <w:right w:w="20" w:type="dxa"/>
            </w:tcMar>
            <w:vAlign w:val="bottom"/>
          </w:tcPr>
          <w:p w14:paraId="675346E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E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E8" w14:textId="77777777" w:rsidR="001B77DD" w:rsidRDefault="00BF0A28">
            <w:pPr>
              <w:textAlignment w:val="center"/>
            </w:pPr>
            <w:r>
              <w:rPr>
                <w:rFonts w:ascii="Arial" w:eastAsia="宋体" w:hAnsi="Arial" w:cs="Arial"/>
                <w:color w:val="262626"/>
                <w:sz w:val="18"/>
                <w:szCs w:val="18"/>
              </w:rPr>
              <w:t>Lower adjacent product margin</w:t>
            </w:r>
          </w:p>
        </w:tc>
      </w:tr>
      <w:tr w:rsidR="001B77DD" w14:paraId="675346EE" w14:textId="77777777">
        <w:tc>
          <w:tcPr>
            <w:tcW w:w="0" w:type="auto"/>
            <w:gridSpan w:val="2"/>
            <w:shd w:val="clear" w:color="auto" w:fill="auto"/>
            <w:tcMar>
              <w:top w:w="40" w:type="dxa"/>
              <w:left w:w="20" w:type="dxa"/>
              <w:bottom w:w="40" w:type="dxa"/>
              <w:right w:w="0" w:type="dxa"/>
            </w:tcMar>
            <w:vAlign w:val="bottom"/>
          </w:tcPr>
          <w:p w14:paraId="675346EA" w14:textId="77777777" w:rsidR="001B77DD" w:rsidRDefault="00BF0A28">
            <w:pPr>
              <w:jc w:val="right"/>
              <w:textAlignment w:val="bottom"/>
            </w:pPr>
            <w:r>
              <w:rPr>
                <w:rFonts w:ascii="Arial" w:eastAsia="宋体" w:hAnsi="Arial" w:cs="Arial"/>
                <w:color w:val="0068B5"/>
                <w:sz w:val="18"/>
                <w:szCs w:val="18"/>
              </w:rPr>
              <w:t>145 </w:t>
            </w:r>
          </w:p>
        </w:tc>
        <w:tc>
          <w:tcPr>
            <w:tcW w:w="0" w:type="auto"/>
            <w:shd w:val="clear" w:color="auto" w:fill="auto"/>
            <w:tcMar>
              <w:top w:w="40" w:type="dxa"/>
              <w:left w:w="0" w:type="dxa"/>
              <w:bottom w:w="40" w:type="dxa"/>
              <w:right w:w="20" w:type="dxa"/>
            </w:tcMar>
            <w:vAlign w:val="bottom"/>
          </w:tcPr>
          <w:p w14:paraId="675346E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E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ED" w14:textId="77777777" w:rsidR="001B77DD" w:rsidRDefault="00BF0A28">
            <w:pPr>
              <w:textAlignment w:val="center"/>
            </w:pPr>
            <w:r>
              <w:rPr>
                <w:rFonts w:ascii="Arial" w:eastAsia="宋体" w:hAnsi="Arial" w:cs="Arial"/>
                <w:color w:val="262626"/>
                <w:sz w:val="18"/>
                <w:szCs w:val="18"/>
              </w:rPr>
              <w:t xml:space="preserve">Lower period charges driven by absence of other reserves taken in 2020, partially offset by </w:t>
            </w:r>
            <w:r>
              <w:rPr>
                <w:rFonts w:ascii="Arial" w:eastAsia="宋体" w:hAnsi="Arial" w:cs="Arial"/>
                <w:color w:val="262626"/>
                <w:sz w:val="18"/>
                <w:szCs w:val="18"/>
              </w:rPr>
              <w:t>reserves recorded in 2021</w:t>
            </w:r>
          </w:p>
        </w:tc>
      </w:tr>
      <w:tr w:rsidR="001B77DD" w14:paraId="675346F3" w14:textId="77777777">
        <w:tc>
          <w:tcPr>
            <w:tcW w:w="0" w:type="auto"/>
            <w:gridSpan w:val="2"/>
            <w:shd w:val="clear" w:color="auto" w:fill="auto"/>
            <w:tcMar>
              <w:top w:w="40" w:type="dxa"/>
              <w:left w:w="20" w:type="dxa"/>
              <w:bottom w:w="40" w:type="dxa"/>
              <w:right w:w="0" w:type="dxa"/>
            </w:tcMar>
            <w:vAlign w:val="bottom"/>
          </w:tcPr>
          <w:p w14:paraId="675346EF" w14:textId="77777777" w:rsidR="001B77DD" w:rsidRDefault="00BF0A28">
            <w:pPr>
              <w:jc w:val="right"/>
              <w:textAlignment w:val="bottom"/>
            </w:pPr>
            <w:r>
              <w:rPr>
                <w:rFonts w:ascii="Arial" w:eastAsia="宋体" w:hAnsi="Arial" w:cs="Arial"/>
                <w:color w:val="0068B5"/>
                <w:sz w:val="18"/>
                <w:szCs w:val="18"/>
              </w:rPr>
              <w:t>(9)</w:t>
            </w:r>
          </w:p>
        </w:tc>
        <w:tc>
          <w:tcPr>
            <w:tcW w:w="0" w:type="auto"/>
            <w:shd w:val="clear" w:color="auto" w:fill="auto"/>
            <w:tcMar>
              <w:top w:w="40" w:type="dxa"/>
              <w:left w:w="0" w:type="dxa"/>
              <w:bottom w:w="40" w:type="dxa"/>
              <w:right w:w="20" w:type="dxa"/>
            </w:tcMar>
            <w:vAlign w:val="bottom"/>
          </w:tcPr>
          <w:p w14:paraId="675346F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F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6F2" w14:textId="77777777" w:rsidR="001B77DD" w:rsidRDefault="00BF0A28">
            <w:pPr>
              <w:textAlignment w:val="center"/>
            </w:pPr>
            <w:r>
              <w:rPr>
                <w:rFonts w:ascii="Arial" w:eastAsia="宋体" w:hAnsi="Arial" w:cs="Arial"/>
                <w:color w:val="262626"/>
                <w:sz w:val="18"/>
                <w:szCs w:val="18"/>
              </w:rPr>
              <w:t>Other</w:t>
            </w:r>
          </w:p>
        </w:tc>
      </w:tr>
      <w:tr w:rsidR="001B77DD" w14:paraId="675346F9"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75346F4"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6F5" w14:textId="77777777" w:rsidR="001B77DD" w:rsidRDefault="00BF0A28">
            <w:pPr>
              <w:jc w:val="right"/>
              <w:textAlignment w:val="bottom"/>
            </w:pPr>
            <w:r>
              <w:rPr>
                <w:rFonts w:ascii="Arial" w:eastAsia="宋体" w:hAnsi="Arial" w:cs="Arial"/>
                <w:b/>
                <w:bCs/>
                <w:color w:val="262626"/>
                <w:sz w:val="18"/>
                <w:szCs w:val="18"/>
              </w:rPr>
              <w:t>10,571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6F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F7"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46F8" w14:textId="77777777" w:rsidR="001B77DD" w:rsidRDefault="00BF0A28">
            <w:pPr>
              <w:textAlignment w:val="bottom"/>
            </w:pPr>
            <w:r>
              <w:rPr>
                <w:rFonts w:ascii="Arial" w:eastAsia="宋体" w:hAnsi="Arial" w:cs="Arial"/>
                <w:b/>
                <w:bCs/>
                <w:color w:val="262626"/>
                <w:sz w:val="18"/>
                <w:szCs w:val="18"/>
              </w:rPr>
              <w:t>2020 Operating Income</w:t>
            </w:r>
          </w:p>
        </w:tc>
      </w:tr>
      <w:tr w:rsidR="001B77DD" w14:paraId="675346FE" w14:textId="77777777">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6FA" w14:textId="77777777" w:rsidR="001B77DD" w:rsidRDefault="00BF0A28">
            <w:pPr>
              <w:jc w:val="right"/>
              <w:textAlignment w:val="bottom"/>
            </w:pPr>
            <w:r>
              <w:rPr>
                <w:rFonts w:ascii="Arial" w:eastAsia="宋体" w:hAnsi="Arial" w:cs="Arial"/>
                <w:color w:val="262626"/>
                <w:sz w:val="18"/>
                <w:szCs w:val="18"/>
              </w:rPr>
              <w:t>1,325 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6F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6FC" w14:textId="77777777" w:rsidR="001B77DD" w:rsidRDefault="001B77DD">
            <w:pPr>
              <w:rPr>
                <w:rFonts w:ascii="宋体"/>
              </w:rPr>
            </w:pPr>
          </w:p>
        </w:tc>
        <w:tc>
          <w:tcPr>
            <w:tcW w:w="0" w:type="auto"/>
            <w:gridSpan w:val="3"/>
            <w:tcBorders>
              <w:top w:val="single" w:sz="8" w:space="0" w:color="6D6D6D"/>
            </w:tcBorders>
            <w:shd w:val="clear" w:color="auto" w:fill="auto"/>
            <w:tcMar>
              <w:top w:w="40" w:type="dxa"/>
              <w:left w:w="20" w:type="dxa"/>
              <w:bottom w:w="40" w:type="dxa"/>
              <w:right w:w="20" w:type="dxa"/>
            </w:tcMar>
            <w:vAlign w:val="center"/>
          </w:tcPr>
          <w:p w14:paraId="675346FD" w14:textId="77777777" w:rsidR="001B77DD" w:rsidRDefault="00BF0A28">
            <w:pPr>
              <w:textAlignment w:val="center"/>
            </w:pPr>
            <w:r>
              <w:rPr>
                <w:rFonts w:ascii="Arial" w:eastAsia="宋体" w:hAnsi="Arial" w:cs="Arial"/>
                <w:color w:val="262626"/>
                <w:sz w:val="18"/>
                <w:szCs w:val="18"/>
              </w:rPr>
              <w:t>Higher gross margin from platform revenue</w:t>
            </w:r>
          </w:p>
        </w:tc>
      </w:tr>
      <w:tr w:rsidR="001B77DD" w14:paraId="67534703" w14:textId="77777777">
        <w:tc>
          <w:tcPr>
            <w:tcW w:w="0" w:type="auto"/>
            <w:gridSpan w:val="2"/>
            <w:shd w:val="clear" w:color="auto" w:fill="auto"/>
            <w:tcMar>
              <w:top w:w="40" w:type="dxa"/>
              <w:left w:w="20" w:type="dxa"/>
              <w:bottom w:w="40" w:type="dxa"/>
              <w:right w:w="0" w:type="dxa"/>
            </w:tcMar>
          </w:tcPr>
          <w:p w14:paraId="675346FF" w14:textId="77777777" w:rsidR="001B77DD" w:rsidRDefault="00BF0A28">
            <w:pPr>
              <w:jc w:val="right"/>
              <w:textAlignment w:val="top"/>
            </w:pPr>
            <w:r>
              <w:rPr>
                <w:rFonts w:ascii="Arial" w:eastAsia="宋体" w:hAnsi="Arial" w:cs="Arial"/>
                <w:color w:val="262626"/>
                <w:sz w:val="18"/>
                <w:szCs w:val="18"/>
              </w:rPr>
              <w:t>235 </w:t>
            </w:r>
          </w:p>
        </w:tc>
        <w:tc>
          <w:tcPr>
            <w:tcW w:w="0" w:type="auto"/>
            <w:shd w:val="clear" w:color="auto" w:fill="auto"/>
            <w:tcMar>
              <w:top w:w="40" w:type="dxa"/>
              <w:left w:w="0" w:type="dxa"/>
              <w:bottom w:w="40" w:type="dxa"/>
              <w:right w:w="20" w:type="dxa"/>
            </w:tcMar>
          </w:tcPr>
          <w:p w14:paraId="6753470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70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702" w14:textId="77777777" w:rsidR="001B77DD" w:rsidRDefault="00BF0A28">
            <w:pPr>
              <w:textAlignment w:val="center"/>
            </w:pPr>
            <w:r>
              <w:rPr>
                <w:rFonts w:ascii="Arial" w:eastAsia="宋体" w:hAnsi="Arial" w:cs="Arial"/>
                <w:color w:val="262626"/>
                <w:sz w:val="18"/>
                <w:szCs w:val="18"/>
              </w:rPr>
              <w:t xml:space="preserve">Lower period charges due to lower factory start-up costs associated with the initial ramp of 10nm, partially offset by </w:t>
            </w:r>
            <w:r>
              <w:rPr>
                <w:rFonts w:ascii="Arial" w:eastAsia="宋体" w:hAnsi="Arial" w:cs="Arial"/>
                <w:color w:val="262626"/>
                <w:sz w:val="18"/>
                <w:szCs w:val="18"/>
              </w:rPr>
              <w:t>lower platform product reserves</w:t>
            </w:r>
          </w:p>
        </w:tc>
      </w:tr>
      <w:tr w:rsidR="001B77DD" w14:paraId="67534708" w14:textId="77777777">
        <w:tc>
          <w:tcPr>
            <w:tcW w:w="0" w:type="auto"/>
            <w:gridSpan w:val="2"/>
            <w:shd w:val="clear" w:color="auto" w:fill="auto"/>
            <w:tcMar>
              <w:top w:w="40" w:type="dxa"/>
              <w:left w:w="20" w:type="dxa"/>
              <w:bottom w:w="40" w:type="dxa"/>
              <w:right w:w="0" w:type="dxa"/>
            </w:tcMar>
            <w:vAlign w:val="bottom"/>
          </w:tcPr>
          <w:p w14:paraId="67534704" w14:textId="77777777" w:rsidR="001B77DD" w:rsidRDefault="00BF0A28">
            <w:pPr>
              <w:jc w:val="right"/>
              <w:textAlignment w:val="bottom"/>
            </w:pPr>
            <w:r>
              <w:rPr>
                <w:rFonts w:ascii="Arial" w:eastAsia="宋体" w:hAnsi="Arial" w:cs="Arial"/>
                <w:color w:val="262626"/>
                <w:sz w:val="18"/>
                <w:szCs w:val="18"/>
              </w:rPr>
              <w:t>(425)</w:t>
            </w:r>
          </w:p>
        </w:tc>
        <w:tc>
          <w:tcPr>
            <w:tcW w:w="0" w:type="auto"/>
            <w:shd w:val="clear" w:color="auto" w:fill="auto"/>
            <w:tcMar>
              <w:top w:w="40" w:type="dxa"/>
              <w:left w:w="0" w:type="dxa"/>
              <w:bottom w:w="40" w:type="dxa"/>
              <w:right w:w="20" w:type="dxa"/>
            </w:tcMar>
            <w:vAlign w:val="bottom"/>
          </w:tcPr>
          <w:p w14:paraId="6753470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70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707" w14:textId="77777777" w:rsidR="001B77DD" w:rsidRDefault="00BF0A28">
            <w:pPr>
              <w:textAlignment w:val="center"/>
            </w:pPr>
            <w:r>
              <w:rPr>
                <w:rFonts w:ascii="Arial" w:eastAsia="宋体" w:hAnsi="Arial" w:cs="Arial"/>
                <w:color w:val="262626"/>
                <w:sz w:val="18"/>
                <w:szCs w:val="18"/>
              </w:rPr>
              <w:t>Higher operating expenses</w:t>
            </w:r>
          </w:p>
        </w:tc>
      </w:tr>
      <w:tr w:rsidR="001B77DD" w14:paraId="6753470D" w14:textId="77777777">
        <w:tc>
          <w:tcPr>
            <w:tcW w:w="0" w:type="auto"/>
            <w:gridSpan w:val="2"/>
            <w:shd w:val="clear" w:color="auto" w:fill="auto"/>
            <w:tcMar>
              <w:top w:w="40" w:type="dxa"/>
              <w:left w:w="20" w:type="dxa"/>
              <w:bottom w:w="40" w:type="dxa"/>
              <w:right w:w="0" w:type="dxa"/>
            </w:tcMar>
            <w:vAlign w:val="bottom"/>
          </w:tcPr>
          <w:p w14:paraId="67534709" w14:textId="77777777" w:rsidR="001B77DD" w:rsidRDefault="00BF0A28">
            <w:pPr>
              <w:jc w:val="right"/>
              <w:textAlignment w:val="bottom"/>
            </w:pPr>
            <w:r>
              <w:rPr>
                <w:rFonts w:ascii="Arial" w:eastAsia="宋体" w:hAnsi="Arial" w:cs="Arial"/>
                <w:color w:val="262626"/>
                <w:sz w:val="18"/>
                <w:szCs w:val="18"/>
              </w:rPr>
              <w:t>(375)</w:t>
            </w:r>
          </w:p>
        </w:tc>
        <w:tc>
          <w:tcPr>
            <w:tcW w:w="0" w:type="auto"/>
            <w:shd w:val="clear" w:color="auto" w:fill="auto"/>
            <w:tcMar>
              <w:top w:w="40" w:type="dxa"/>
              <w:left w:w="0" w:type="dxa"/>
              <w:bottom w:w="40" w:type="dxa"/>
              <w:right w:w="20" w:type="dxa"/>
            </w:tcMar>
            <w:vAlign w:val="bottom"/>
          </w:tcPr>
          <w:p w14:paraId="6753470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70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70C" w14:textId="77777777" w:rsidR="001B77DD" w:rsidRDefault="00BF0A28">
            <w:pPr>
              <w:textAlignment w:val="center"/>
            </w:pPr>
            <w:r>
              <w:rPr>
                <w:rFonts w:ascii="Arial" w:eastAsia="宋体" w:hAnsi="Arial" w:cs="Arial"/>
                <w:color w:val="262626"/>
                <w:sz w:val="18"/>
                <w:szCs w:val="18"/>
              </w:rPr>
              <w:t>Lower DCG adjacent product margin</w:t>
            </w:r>
          </w:p>
        </w:tc>
      </w:tr>
      <w:tr w:rsidR="001B77DD" w14:paraId="67534712" w14:textId="77777777">
        <w:tc>
          <w:tcPr>
            <w:tcW w:w="0" w:type="auto"/>
            <w:gridSpan w:val="2"/>
            <w:shd w:val="clear" w:color="auto" w:fill="auto"/>
            <w:tcMar>
              <w:top w:w="40" w:type="dxa"/>
              <w:left w:w="20" w:type="dxa"/>
              <w:bottom w:w="40" w:type="dxa"/>
              <w:right w:w="0" w:type="dxa"/>
            </w:tcMar>
            <w:vAlign w:val="bottom"/>
          </w:tcPr>
          <w:p w14:paraId="6753470E" w14:textId="77777777" w:rsidR="001B77DD" w:rsidRDefault="00BF0A28">
            <w:pPr>
              <w:jc w:val="right"/>
              <w:textAlignment w:val="bottom"/>
            </w:pPr>
            <w:r>
              <w:rPr>
                <w:rFonts w:ascii="Arial" w:eastAsia="宋体" w:hAnsi="Arial" w:cs="Arial"/>
                <w:color w:val="262626"/>
                <w:sz w:val="18"/>
                <w:szCs w:val="18"/>
              </w:rPr>
              <w:t>(295)</w:t>
            </w:r>
          </w:p>
        </w:tc>
        <w:tc>
          <w:tcPr>
            <w:tcW w:w="0" w:type="auto"/>
            <w:shd w:val="clear" w:color="auto" w:fill="auto"/>
            <w:tcMar>
              <w:top w:w="40" w:type="dxa"/>
              <w:left w:w="0" w:type="dxa"/>
              <w:bottom w:w="40" w:type="dxa"/>
              <w:right w:w="20" w:type="dxa"/>
            </w:tcMar>
            <w:vAlign w:val="bottom"/>
          </w:tcPr>
          <w:p w14:paraId="6753470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71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711" w14:textId="77777777" w:rsidR="001B77DD" w:rsidRDefault="00BF0A28">
            <w:pPr>
              <w:textAlignment w:val="center"/>
            </w:pPr>
            <w:r>
              <w:rPr>
                <w:rFonts w:ascii="Arial" w:eastAsia="宋体" w:hAnsi="Arial" w:cs="Arial"/>
                <w:color w:val="262626"/>
                <w:sz w:val="18"/>
                <w:szCs w:val="18"/>
              </w:rPr>
              <w:t>Higher platform unit cost</w:t>
            </w:r>
          </w:p>
        </w:tc>
      </w:tr>
      <w:tr w:rsidR="001B77DD" w14:paraId="67534717" w14:textId="77777777">
        <w:tc>
          <w:tcPr>
            <w:tcW w:w="0" w:type="auto"/>
            <w:gridSpan w:val="2"/>
            <w:shd w:val="clear" w:color="auto" w:fill="auto"/>
            <w:tcMar>
              <w:top w:w="40" w:type="dxa"/>
              <w:left w:w="20" w:type="dxa"/>
              <w:bottom w:w="40" w:type="dxa"/>
              <w:right w:w="0" w:type="dxa"/>
            </w:tcMar>
            <w:vAlign w:val="bottom"/>
          </w:tcPr>
          <w:p w14:paraId="67534713" w14:textId="77777777" w:rsidR="001B77DD" w:rsidRDefault="00BF0A28">
            <w:pPr>
              <w:jc w:val="right"/>
              <w:textAlignment w:val="bottom"/>
            </w:pPr>
            <w:r>
              <w:rPr>
                <w:rFonts w:ascii="Arial" w:eastAsia="宋体" w:hAnsi="Arial" w:cs="Arial"/>
                <w:color w:val="262626"/>
                <w:sz w:val="18"/>
                <w:szCs w:val="18"/>
              </w:rPr>
              <w:t>(125)</w:t>
            </w:r>
          </w:p>
        </w:tc>
        <w:tc>
          <w:tcPr>
            <w:tcW w:w="0" w:type="auto"/>
            <w:shd w:val="clear" w:color="auto" w:fill="auto"/>
            <w:tcMar>
              <w:top w:w="40" w:type="dxa"/>
              <w:left w:w="0" w:type="dxa"/>
              <w:bottom w:w="40" w:type="dxa"/>
              <w:right w:w="20" w:type="dxa"/>
            </w:tcMar>
            <w:vAlign w:val="bottom"/>
          </w:tcPr>
          <w:p w14:paraId="6753471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71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716" w14:textId="77777777" w:rsidR="001B77DD" w:rsidRDefault="00BF0A28">
            <w:pPr>
              <w:textAlignment w:val="center"/>
            </w:pPr>
            <w:r>
              <w:rPr>
                <w:rFonts w:ascii="Arial" w:eastAsia="宋体" w:hAnsi="Arial" w:cs="Arial"/>
                <w:color w:val="262626"/>
                <w:sz w:val="18"/>
                <w:szCs w:val="18"/>
              </w:rPr>
              <w:t>Primarily driven by higher logistic expenses due to COVID-19</w:t>
            </w:r>
          </w:p>
        </w:tc>
      </w:tr>
      <w:tr w:rsidR="001B77DD" w14:paraId="6753471C" w14:textId="77777777">
        <w:tc>
          <w:tcPr>
            <w:tcW w:w="0" w:type="auto"/>
            <w:gridSpan w:val="2"/>
            <w:shd w:val="clear" w:color="auto" w:fill="auto"/>
            <w:tcMar>
              <w:top w:w="40" w:type="dxa"/>
              <w:left w:w="20" w:type="dxa"/>
              <w:bottom w:w="40" w:type="dxa"/>
              <w:right w:w="0" w:type="dxa"/>
            </w:tcMar>
            <w:vAlign w:val="bottom"/>
          </w:tcPr>
          <w:p w14:paraId="67534718" w14:textId="77777777" w:rsidR="001B77DD" w:rsidRDefault="00BF0A28">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6753471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71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471B" w14:textId="77777777" w:rsidR="001B77DD" w:rsidRDefault="00BF0A28">
            <w:pPr>
              <w:textAlignment w:val="center"/>
            </w:pPr>
            <w:r>
              <w:rPr>
                <w:rFonts w:ascii="Arial" w:eastAsia="宋体" w:hAnsi="Arial" w:cs="Arial"/>
                <w:color w:val="262626"/>
                <w:sz w:val="18"/>
                <w:szCs w:val="18"/>
              </w:rPr>
              <w:t>Other</w:t>
            </w:r>
          </w:p>
        </w:tc>
      </w:tr>
      <w:tr w:rsidR="001B77DD" w14:paraId="67534722"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753471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753471E" w14:textId="77777777" w:rsidR="001B77DD" w:rsidRDefault="00BF0A28">
            <w:pPr>
              <w:jc w:val="right"/>
              <w:textAlignment w:val="bottom"/>
            </w:pPr>
            <w:r>
              <w:rPr>
                <w:rFonts w:ascii="Arial" w:eastAsia="宋体" w:hAnsi="Arial" w:cs="Arial"/>
                <w:b/>
                <w:bCs/>
                <w:color w:val="262626"/>
                <w:sz w:val="18"/>
                <w:szCs w:val="18"/>
              </w:rPr>
              <w:t>10,227</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753471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720" w14:textId="77777777" w:rsidR="001B77DD" w:rsidRDefault="001B77DD">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7534721" w14:textId="77777777" w:rsidR="001B77DD" w:rsidRDefault="00BF0A28">
            <w:pPr>
              <w:textAlignment w:val="bottom"/>
            </w:pPr>
            <w:r>
              <w:rPr>
                <w:rFonts w:ascii="Arial" w:eastAsia="宋体" w:hAnsi="Arial" w:cs="Arial"/>
                <w:b/>
                <w:bCs/>
                <w:color w:val="262626"/>
                <w:sz w:val="18"/>
                <w:szCs w:val="18"/>
              </w:rPr>
              <w:t xml:space="preserve">2019 </w:t>
            </w:r>
            <w:r>
              <w:rPr>
                <w:rFonts w:ascii="Arial" w:eastAsia="宋体" w:hAnsi="Arial" w:cs="Arial"/>
                <w:b/>
                <w:bCs/>
                <w:color w:val="262626"/>
                <w:sz w:val="18"/>
                <w:szCs w:val="18"/>
              </w:rPr>
              <w:t>Operating Income</w:t>
            </w:r>
          </w:p>
        </w:tc>
      </w:tr>
    </w:tbl>
    <w:p w14:paraId="67534723"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72D" w14:textId="77777777">
        <w:tc>
          <w:tcPr>
            <w:tcW w:w="50" w:type="pct"/>
            <w:shd w:val="clear" w:color="auto" w:fill="auto"/>
            <w:vAlign w:val="bottom"/>
          </w:tcPr>
          <w:p w14:paraId="67534724" w14:textId="77777777" w:rsidR="001B77DD" w:rsidRDefault="001B77DD">
            <w:pPr>
              <w:rPr>
                <w:rFonts w:ascii="宋体"/>
              </w:rPr>
            </w:pPr>
          </w:p>
        </w:tc>
        <w:tc>
          <w:tcPr>
            <w:tcW w:w="283" w:type="pct"/>
            <w:shd w:val="clear" w:color="auto" w:fill="auto"/>
            <w:vAlign w:val="bottom"/>
          </w:tcPr>
          <w:p w14:paraId="67534725" w14:textId="77777777" w:rsidR="001B77DD" w:rsidRDefault="001B77DD">
            <w:pPr>
              <w:rPr>
                <w:rFonts w:ascii="宋体"/>
              </w:rPr>
            </w:pPr>
          </w:p>
        </w:tc>
        <w:tc>
          <w:tcPr>
            <w:tcW w:w="5" w:type="pct"/>
            <w:shd w:val="clear" w:color="auto" w:fill="auto"/>
            <w:vAlign w:val="bottom"/>
          </w:tcPr>
          <w:p w14:paraId="67534726" w14:textId="77777777" w:rsidR="001B77DD" w:rsidRDefault="001B77DD">
            <w:pPr>
              <w:rPr>
                <w:rFonts w:ascii="宋体"/>
              </w:rPr>
            </w:pPr>
          </w:p>
        </w:tc>
        <w:tc>
          <w:tcPr>
            <w:tcW w:w="50" w:type="pct"/>
            <w:shd w:val="clear" w:color="auto" w:fill="auto"/>
            <w:vAlign w:val="bottom"/>
          </w:tcPr>
          <w:p w14:paraId="67534727" w14:textId="77777777" w:rsidR="001B77DD" w:rsidRDefault="001B77DD">
            <w:pPr>
              <w:rPr>
                <w:rFonts w:ascii="宋体"/>
              </w:rPr>
            </w:pPr>
          </w:p>
        </w:tc>
        <w:tc>
          <w:tcPr>
            <w:tcW w:w="2656" w:type="pct"/>
            <w:shd w:val="clear" w:color="auto" w:fill="auto"/>
            <w:vAlign w:val="bottom"/>
          </w:tcPr>
          <w:p w14:paraId="67534728" w14:textId="77777777" w:rsidR="001B77DD" w:rsidRDefault="001B77DD">
            <w:pPr>
              <w:rPr>
                <w:rFonts w:ascii="宋体"/>
              </w:rPr>
            </w:pPr>
          </w:p>
        </w:tc>
        <w:tc>
          <w:tcPr>
            <w:tcW w:w="5" w:type="pct"/>
            <w:shd w:val="clear" w:color="auto" w:fill="auto"/>
            <w:vAlign w:val="bottom"/>
          </w:tcPr>
          <w:p w14:paraId="67534729" w14:textId="77777777" w:rsidR="001B77DD" w:rsidRDefault="001B77DD">
            <w:pPr>
              <w:rPr>
                <w:rFonts w:ascii="宋体"/>
              </w:rPr>
            </w:pPr>
          </w:p>
        </w:tc>
        <w:tc>
          <w:tcPr>
            <w:tcW w:w="50" w:type="pct"/>
            <w:shd w:val="clear" w:color="auto" w:fill="auto"/>
            <w:vAlign w:val="bottom"/>
          </w:tcPr>
          <w:p w14:paraId="6753472A" w14:textId="77777777" w:rsidR="001B77DD" w:rsidRDefault="001B77DD">
            <w:pPr>
              <w:rPr>
                <w:rFonts w:ascii="宋体"/>
              </w:rPr>
            </w:pPr>
          </w:p>
        </w:tc>
        <w:tc>
          <w:tcPr>
            <w:tcW w:w="1894" w:type="pct"/>
            <w:shd w:val="clear" w:color="auto" w:fill="auto"/>
            <w:vAlign w:val="bottom"/>
          </w:tcPr>
          <w:p w14:paraId="6753472B" w14:textId="77777777" w:rsidR="001B77DD" w:rsidRDefault="001B77DD">
            <w:pPr>
              <w:rPr>
                <w:rFonts w:ascii="宋体"/>
              </w:rPr>
            </w:pPr>
          </w:p>
        </w:tc>
        <w:tc>
          <w:tcPr>
            <w:tcW w:w="5" w:type="pct"/>
            <w:shd w:val="clear" w:color="auto" w:fill="auto"/>
            <w:vAlign w:val="bottom"/>
          </w:tcPr>
          <w:p w14:paraId="6753472C" w14:textId="77777777" w:rsidR="001B77DD" w:rsidRDefault="001B77DD">
            <w:pPr>
              <w:rPr>
                <w:rFonts w:ascii="宋体"/>
              </w:rPr>
            </w:pPr>
          </w:p>
        </w:tc>
      </w:tr>
      <w:tr w:rsidR="001B77DD" w14:paraId="6753473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72E"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4D" wp14:editId="67538E4E">
                  <wp:extent cx="304800" cy="304800"/>
                  <wp:effectExtent l="0" t="0" r="0" b="0"/>
                  <wp:docPr id="64" name="图片 14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4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72F"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730" w14:textId="77777777" w:rsidR="001B77DD" w:rsidRDefault="00BF0A28">
            <w:pPr>
              <w:jc w:val="right"/>
              <w:textAlignment w:val="center"/>
            </w:pPr>
            <w:r>
              <w:rPr>
                <w:rFonts w:ascii="Arial" w:eastAsia="宋体" w:hAnsi="Arial" w:cs="Arial"/>
                <w:color w:val="262626"/>
                <w:sz w:val="16"/>
                <w:szCs w:val="16"/>
              </w:rPr>
              <w:t>25</w:t>
            </w:r>
          </w:p>
        </w:tc>
      </w:tr>
    </w:tbl>
    <w:p w14:paraId="67534732" w14:textId="77777777" w:rsidR="001B77DD" w:rsidRDefault="00BF0A28">
      <w:r>
        <w:pict w14:anchorId="67538E4F">
          <v:rect id="_x0000_i1051" style="width:415.3pt;height:1.5pt" o:hralign="center" o:hrstd="t" o:hr="t" fillcolor="#a0a0a0" stroked="f"/>
        </w:pict>
      </w:r>
    </w:p>
    <w:p w14:paraId="67534733" w14:textId="77777777" w:rsidR="001B77DD" w:rsidRDefault="001B77DD"/>
    <w:p w14:paraId="67534734" w14:textId="77777777" w:rsidR="001B77DD" w:rsidRDefault="00BF0A28">
      <w:pPr>
        <w:spacing w:before="180" w:after="180"/>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50" wp14:editId="67538E51">
            <wp:extent cx="304800" cy="304800"/>
            <wp:effectExtent l="0" t="0" r="0" b="0"/>
            <wp:docPr id="17" name="图片 14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9" descr="IMG_34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4735" w14:textId="77777777" w:rsidR="001B77DD" w:rsidRDefault="00BF0A28">
      <w:pPr>
        <w:spacing w:after="180"/>
      </w:pPr>
      <w:r>
        <w:rPr>
          <w:rFonts w:ascii="Arial" w:eastAsia="宋体" w:hAnsi="Arial" w:cs="Arial"/>
          <w:color w:val="262626"/>
          <w:sz w:val="18"/>
          <w:szCs w:val="18"/>
        </w:rPr>
        <w:t xml:space="preserve">More industries are harnessing the power of data to create business value, innovate, and grow. This requires </w:t>
      </w:r>
      <w:r>
        <w:rPr>
          <w:rFonts w:ascii="Arial" w:eastAsia="宋体" w:hAnsi="Arial" w:cs="Arial"/>
          <w:color w:val="262626"/>
          <w:sz w:val="18"/>
          <w:szCs w:val="18"/>
        </w:rPr>
        <w:t>that intelligence move closer to the edge, allowing data to be acted on where it is created. Working with our partners and developers, we use our architecture, accelerators, and software to develop and scale a growing Internet of Things portfolio and ecosy</w:t>
      </w:r>
      <w:r>
        <w:rPr>
          <w:rFonts w:ascii="Arial" w:eastAsia="宋体" w:hAnsi="Arial" w:cs="Arial"/>
          <w:color w:val="262626"/>
          <w:sz w:val="18"/>
          <w:szCs w:val="18"/>
        </w:rPr>
        <w:t>stem. Our Internet of Things portfolio is comprised of our IOTG and Mobileye businesses.</w:t>
      </w:r>
    </w:p>
    <w:p w14:paraId="67534736" w14:textId="77777777" w:rsidR="001B77DD" w:rsidRDefault="00BF0A28">
      <w:pPr>
        <w:spacing w:before="180"/>
      </w:pPr>
      <w:r>
        <w:rPr>
          <w:rFonts w:ascii="Arial" w:eastAsia="宋体" w:hAnsi="Arial" w:cs="Arial"/>
          <w:color w:val="0068B5"/>
          <w:sz w:val="28"/>
          <w:szCs w:val="28"/>
        </w:rPr>
        <w:t>Internet of Things Group</w:t>
      </w:r>
    </w:p>
    <w:tbl>
      <w:tblPr>
        <w:tblW w:w="10980" w:type="dxa"/>
        <w:tblCellMar>
          <w:top w:w="15" w:type="dxa"/>
          <w:left w:w="15" w:type="dxa"/>
          <w:bottom w:w="15" w:type="dxa"/>
          <w:right w:w="15" w:type="dxa"/>
        </w:tblCellMar>
        <w:tblLook w:val="04A0" w:firstRow="1" w:lastRow="0" w:firstColumn="1" w:lastColumn="0" w:noHBand="0" w:noVBand="1"/>
      </w:tblPr>
      <w:tblGrid>
        <w:gridCol w:w="52"/>
        <w:gridCol w:w="457"/>
        <w:gridCol w:w="51"/>
        <w:gridCol w:w="56"/>
        <w:gridCol w:w="6359"/>
        <w:gridCol w:w="55"/>
        <w:gridCol w:w="76"/>
        <w:gridCol w:w="3798"/>
        <w:gridCol w:w="76"/>
      </w:tblGrid>
      <w:tr w:rsidR="001B77DD" w14:paraId="67534740" w14:textId="77777777">
        <w:tc>
          <w:tcPr>
            <w:tcW w:w="20" w:type="dxa"/>
            <w:shd w:val="clear" w:color="auto" w:fill="auto"/>
            <w:vAlign w:val="bottom"/>
          </w:tcPr>
          <w:p w14:paraId="67534737" w14:textId="77777777" w:rsidR="001B77DD" w:rsidRDefault="001B77DD">
            <w:pPr>
              <w:rPr>
                <w:rFonts w:ascii="宋体"/>
              </w:rPr>
            </w:pPr>
          </w:p>
        </w:tc>
        <w:tc>
          <w:tcPr>
            <w:tcW w:w="545" w:type="dxa"/>
            <w:shd w:val="clear" w:color="auto" w:fill="auto"/>
            <w:vAlign w:val="bottom"/>
          </w:tcPr>
          <w:p w14:paraId="67534738" w14:textId="77777777" w:rsidR="001B77DD" w:rsidRDefault="001B77DD">
            <w:pPr>
              <w:rPr>
                <w:rFonts w:ascii="宋体"/>
              </w:rPr>
            </w:pPr>
          </w:p>
        </w:tc>
        <w:tc>
          <w:tcPr>
            <w:tcW w:w="20" w:type="dxa"/>
            <w:shd w:val="clear" w:color="auto" w:fill="auto"/>
            <w:vAlign w:val="bottom"/>
          </w:tcPr>
          <w:p w14:paraId="67534739" w14:textId="77777777" w:rsidR="001B77DD" w:rsidRDefault="001B77DD">
            <w:pPr>
              <w:rPr>
                <w:rFonts w:ascii="宋体"/>
              </w:rPr>
            </w:pPr>
          </w:p>
        </w:tc>
        <w:tc>
          <w:tcPr>
            <w:tcW w:w="20" w:type="dxa"/>
            <w:shd w:val="clear" w:color="auto" w:fill="auto"/>
            <w:vAlign w:val="bottom"/>
          </w:tcPr>
          <w:p w14:paraId="6753473A" w14:textId="77777777" w:rsidR="001B77DD" w:rsidRDefault="001B77DD">
            <w:pPr>
              <w:rPr>
                <w:rFonts w:ascii="宋体"/>
              </w:rPr>
            </w:pPr>
          </w:p>
        </w:tc>
        <w:tc>
          <w:tcPr>
            <w:tcW w:w="7955" w:type="dxa"/>
            <w:shd w:val="clear" w:color="auto" w:fill="auto"/>
            <w:vAlign w:val="bottom"/>
          </w:tcPr>
          <w:p w14:paraId="6753473B" w14:textId="77777777" w:rsidR="001B77DD" w:rsidRDefault="001B77DD">
            <w:pPr>
              <w:rPr>
                <w:rFonts w:ascii="宋体"/>
              </w:rPr>
            </w:pPr>
          </w:p>
        </w:tc>
        <w:tc>
          <w:tcPr>
            <w:tcW w:w="20" w:type="dxa"/>
            <w:shd w:val="clear" w:color="auto" w:fill="auto"/>
            <w:vAlign w:val="bottom"/>
          </w:tcPr>
          <w:p w14:paraId="6753473C" w14:textId="77777777" w:rsidR="001B77DD" w:rsidRDefault="001B77DD">
            <w:pPr>
              <w:rPr>
                <w:rFonts w:ascii="宋体"/>
              </w:rPr>
            </w:pPr>
          </w:p>
        </w:tc>
        <w:tc>
          <w:tcPr>
            <w:tcW w:w="20" w:type="dxa"/>
            <w:shd w:val="clear" w:color="auto" w:fill="auto"/>
            <w:vAlign w:val="bottom"/>
          </w:tcPr>
          <w:p w14:paraId="6753473D" w14:textId="77777777" w:rsidR="001B77DD" w:rsidRDefault="001B77DD">
            <w:pPr>
              <w:rPr>
                <w:rFonts w:ascii="宋体"/>
              </w:rPr>
            </w:pPr>
          </w:p>
        </w:tc>
        <w:tc>
          <w:tcPr>
            <w:tcW w:w="2360" w:type="dxa"/>
            <w:shd w:val="clear" w:color="auto" w:fill="auto"/>
            <w:vAlign w:val="bottom"/>
          </w:tcPr>
          <w:p w14:paraId="6753473E" w14:textId="77777777" w:rsidR="001B77DD" w:rsidRDefault="001B77DD">
            <w:pPr>
              <w:rPr>
                <w:rFonts w:ascii="宋体"/>
              </w:rPr>
            </w:pPr>
          </w:p>
        </w:tc>
        <w:tc>
          <w:tcPr>
            <w:tcW w:w="20" w:type="dxa"/>
            <w:shd w:val="clear" w:color="auto" w:fill="auto"/>
            <w:vAlign w:val="bottom"/>
          </w:tcPr>
          <w:p w14:paraId="6753473F" w14:textId="77777777" w:rsidR="001B77DD" w:rsidRDefault="001B77DD">
            <w:pPr>
              <w:rPr>
                <w:rFonts w:ascii="宋体"/>
              </w:rPr>
            </w:pPr>
          </w:p>
        </w:tc>
      </w:tr>
      <w:tr w:rsidR="001B77DD" w14:paraId="67534743" w14:textId="77777777">
        <w:trPr>
          <w:trHeight w:val="28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67534741" w14:textId="77777777" w:rsidR="001B77DD" w:rsidRDefault="00BF0A28">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vAlign w:val="bottom"/>
          </w:tcPr>
          <w:p w14:paraId="67534742" w14:textId="77777777" w:rsidR="001B77DD" w:rsidRDefault="00BF0A28">
            <w:pPr>
              <w:spacing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52" wp14:editId="67538E53">
                  <wp:extent cx="304800" cy="304800"/>
                  <wp:effectExtent l="0" t="0" r="0" b="0"/>
                  <wp:docPr id="71" name="图片 15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0" descr="IMG_34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4746" w14:textId="77777777">
        <w:trPr>
          <w:trHeight w:val="1140"/>
        </w:trPr>
        <w:tc>
          <w:tcPr>
            <w:tcW w:w="0" w:type="auto"/>
            <w:gridSpan w:val="6"/>
            <w:tcBorders>
              <w:top w:val="single" w:sz="4" w:space="0" w:color="262626"/>
            </w:tcBorders>
            <w:shd w:val="clear" w:color="auto" w:fill="auto"/>
            <w:tcMar>
              <w:top w:w="40" w:type="dxa"/>
              <w:left w:w="20" w:type="dxa"/>
              <w:bottom w:w="40" w:type="dxa"/>
              <w:right w:w="20" w:type="dxa"/>
            </w:tcMar>
          </w:tcPr>
          <w:p w14:paraId="67534744" w14:textId="77777777" w:rsidR="001B77DD" w:rsidRDefault="00BF0A28">
            <w:pPr>
              <w:spacing w:after="180"/>
              <w:textAlignment w:val="top"/>
            </w:pPr>
            <w:r>
              <w:rPr>
                <w:rFonts w:ascii="Arial" w:eastAsia="宋体" w:hAnsi="Arial" w:cs="Arial"/>
                <w:color w:val="262626"/>
                <w:sz w:val="18"/>
                <w:szCs w:val="18"/>
              </w:rPr>
              <w:t xml:space="preserve">IOTG develops high-performance compute platforms that solve the technology needs for business use cases </w:t>
            </w:r>
            <w:r>
              <w:rPr>
                <w:rFonts w:ascii="Arial" w:eastAsia="宋体" w:hAnsi="Arial" w:cs="Arial"/>
                <w:color w:val="262626"/>
                <w:sz w:val="18"/>
                <w:szCs w:val="18"/>
              </w:rPr>
              <w:t>that scale across vertical industries and embedded markets. Our customers include retailers, manufacturers, health and life sciences providers, researchers, governments, and education providers. We reduce complexity in the ecosystem with common silicon arc</w:t>
            </w:r>
            <w:r>
              <w:rPr>
                <w:rFonts w:ascii="Arial" w:eastAsia="宋体" w:hAnsi="Arial" w:cs="Arial"/>
                <w:color w:val="262626"/>
                <w:sz w:val="18"/>
                <w:szCs w:val="18"/>
              </w:rPr>
              <w:t>hitectures and software to help enable our customers to create, store, and process data at the edge.</w:t>
            </w:r>
          </w:p>
        </w:tc>
        <w:tc>
          <w:tcPr>
            <w:tcW w:w="0" w:type="auto"/>
            <w:gridSpan w:val="3"/>
            <w:vMerge/>
            <w:shd w:val="clear" w:color="auto" w:fill="auto"/>
            <w:tcMar>
              <w:top w:w="0" w:type="dxa"/>
              <w:left w:w="20" w:type="dxa"/>
              <w:bottom w:w="0" w:type="dxa"/>
              <w:right w:w="20" w:type="dxa"/>
            </w:tcMar>
            <w:vAlign w:val="bottom"/>
          </w:tcPr>
          <w:p w14:paraId="67534745" w14:textId="77777777" w:rsidR="001B77DD" w:rsidRDefault="001B77DD">
            <w:pPr>
              <w:rPr>
                <w:rFonts w:ascii="宋体"/>
              </w:rPr>
            </w:pPr>
          </w:p>
        </w:tc>
      </w:tr>
      <w:tr w:rsidR="001B77DD" w14:paraId="6753474A" w14:textId="77777777">
        <w:trPr>
          <w:trHeight w:val="60"/>
        </w:trPr>
        <w:tc>
          <w:tcPr>
            <w:tcW w:w="0" w:type="auto"/>
            <w:gridSpan w:val="3"/>
            <w:shd w:val="clear" w:color="auto" w:fill="auto"/>
            <w:tcMar>
              <w:top w:w="0" w:type="dxa"/>
              <w:left w:w="20" w:type="dxa"/>
              <w:bottom w:w="0" w:type="dxa"/>
              <w:right w:w="20" w:type="dxa"/>
            </w:tcMar>
            <w:vAlign w:val="bottom"/>
          </w:tcPr>
          <w:p w14:paraId="6753474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748"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749" w14:textId="77777777" w:rsidR="001B77DD" w:rsidRDefault="001B77DD">
            <w:pPr>
              <w:rPr>
                <w:rFonts w:ascii="宋体"/>
              </w:rPr>
            </w:pPr>
          </w:p>
        </w:tc>
      </w:tr>
      <w:tr w:rsidR="001B77DD" w14:paraId="6753474D" w14:textId="77777777">
        <w:trPr>
          <w:trHeight w:val="280"/>
        </w:trPr>
        <w:tc>
          <w:tcPr>
            <w:tcW w:w="0" w:type="auto"/>
            <w:gridSpan w:val="6"/>
            <w:shd w:val="clear" w:color="auto" w:fill="auto"/>
            <w:tcMar>
              <w:top w:w="40" w:type="dxa"/>
              <w:left w:w="20" w:type="dxa"/>
              <w:bottom w:w="40" w:type="dxa"/>
              <w:right w:w="20" w:type="dxa"/>
            </w:tcMar>
            <w:vAlign w:val="bottom"/>
          </w:tcPr>
          <w:p w14:paraId="6753474B" w14:textId="77777777" w:rsidR="001B77DD" w:rsidRDefault="00BF0A28">
            <w:pPr>
              <w:textAlignment w:val="bottom"/>
            </w:pPr>
            <w:r>
              <w:rPr>
                <w:rFonts w:ascii="Arial" w:eastAsia="宋体" w:hAnsi="Arial" w:cs="Arial"/>
                <w:color w:val="0068B5"/>
                <w:sz w:val="20"/>
                <w:szCs w:val="20"/>
              </w:rPr>
              <w:t>Key Developments</w:t>
            </w:r>
          </w:p>
        </w:tc>
        <w:tc>
          <w:tcPr>
            <w:tcW w:w="0" w:type="auto"/>
            <w:gridSpan w:val="3"/>
            <w:vMerge/>
            <w:shd w:val="clear" w:color="auto" w:fill="auto"/>
            <w:tcMar>
              <w:top w:w="0" w:type="dxa"/>
              <w:left w:w="20" w:type="dxa"/>
              <w:bottom w:w="0" w:type="dxa"/>
              <w:right w:w="20" w:type="dxa"/>
            </w:tcMar>
            <w:vAlign w:val="bottom"/>
          </w:tcPr>
          <w:p w14:paraId="6753474C" w14:textId="77777777" w:rsidR="001B77DD" w:rsidRDefault="001B77DD">
            <w:pPr>
              <w:rPr>
                <w:rFonts w:ascii="宋体"/>
              </w:rPr>
            </w:pPr>
          </w:p>
        </w:tc>
      </w:tr>
      <w:tr w:rsidR="001B77DD" w14:paraId="67534754" w14:textId="77777777">
        <w:trPr>
          <w:trHeight w:val="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74E"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74F"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tcPr>
          <w:p w14:paraId="67534750" w14:textId="77777777" w:rsidR="001B77DD" w:rsidRDefault="00BF0A28">
            <w:pPr>
              <w:textAlignment w:val="top"/>
            </w:pPr>
            <w:r>
              <w:rPr>
                <w:rFonts w:ascii="Arial" w:eastAsia="宋体" w:hAnsi="Arial" w:cs="Arial"/>
                <w:b/>
                <w:bCs/>
                <w:i/>
                <w:iCs/>
                <w:color w:val="262626"/>
                <w:sz w:val="18"/>
                <w:szCs w:val="18"/>
              </w:rPr>
              <w:t xml:space="preserve">"The market continues to validate the strategic direction we began several years ago; for operational workloads, compute </w:t>
            </w:r>
            <w:r>
              <w:rPr>
                <w:rFonts w:ascii="Arial" w:eastAsia="宋体" w:hAnsi="Arial" w:cs="Arial"/>
                <w:b/>
                <w:bCs/>
                <w:i/>
                <w:iCs/>
                <w:color w:val="262626"/>
                <w:sz w:val="18"/>
                <w:szCs w:val="18"/>
              </w:rPr>
              <w:t>will move closer to where the data is created and AI inference will be the dominant technology driver."</w:t>
            </w:r>
          </w:p>
          <w:p w14:paraId="67534751" w14:textId="77777777" w:rsidR="001B77DD" w:rsidRDefault="001B77DD">
            <w:pPr>
              <w:textAlignment w:val="top"/>
            </w:pPr>
          </w:p>
          <w:p w14:paraId="67534752" w14:textId="77777777" w:rsidR="001B77DD" w:rsidRDefault="00BF0A28">
            <w:pPr>
              <w:textAlignment w:val="top"/>
            </w:pPr>
            <w:r>
              <w:rPr>
                <w:rFonts w:ascii="Arial" w:eastAsia="宋体" w:hAnsi="Arial" w:cs="Arial"/>
                <w:b/>
                <w:bCs/>
                <w:color w:val="262626"/>
                <w:sz w:val="18"/>
                <w:szCs w:val="18"/>
              </w:rPr>
              <w:t>—Tom Lantzsch,</w:t>
            </w:r>
            <w:r>
              <w:rPr>
                <w:rFonts w:ascii="Arial" w:eastAsia="宋体" w:hAnsi="Arial" w:cs="Arial"/>
                <w:color w:val="262626"/>
                <w:sz w:val="18"/>
                <w:szCs w:val="18"/>
              </w:rPr>
              <w:t xml:space="preserve"> IOTG</w:t>
            </w:r>
          </w:p>
          <w:p w14:paraId="67534753" w14:textId="77777777" w:rsidR="001B77DD" w:rsidRDefault="00BF0A28">
            <w:pPr>
              <w:textAlignment w:val="top"/>
            </w:pPr>
            <w:r>
              <w:rPr>
                <w:rFonts w:ascii="Arial" w:eastAsia="宋体" w:hAnsi="Arial" w:cs="Arial"/>
                <w:color w:val="262626"/>
                <w:sz w:val="18"/>
                <w:szCs w:val="18"/>
              </w:rPr>
              <w:t>General Manager</w:t>
            </w:r>
          </w:p>
        </w:tc>
      </w:tr>
      <w:tr w:rsidR="001B77DD" w14:paraId="67534758" w14:textId="77777777">
        <w:trPr>
          <w:trHeight w:val="700"/>
        </w:trPr>
        <w:tc>
          <w:tcPr>
            <w:tcW w:w="0" w:type="auto"/>
            <w:gridSpan w:val="3"/>
            <w:shd w:val="clear" w:color="auto" w:fill="auto"/>
            <w:tcMar>
              <w:top w:w="40" w:type="dxa"/>
              <w:left w:w="20" w:type="dxa"/>
              <w:bottom w:w="40" w:type="dxa"/>
              <w:right w:w="20" w:type="dxa"/>
            </w:tcMar>
          </w:tcPr>
          <w:p w14:paraId="67534755"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756" w14:textId="77777777" w:rsidR="001B77DD" w:rsidRDefault="00BF0A28">
            <w:pPr>
              <w:textAlignment w:val="top"/>
            </w:pPr>
            <w:r>
              <w:rPr>
                <w:rFonts w:ascii="Arial" w:eastAsia="宋体" w:hAnsi="Arial" w:cs="Arial"/>
                <w:color w:val="262626"/>
                <w:sz w:val="18"/>
                <w:szCs w:val="18"/>
              </w:rPr>
              <w:t>Revenue was up 33%, driven by increased demand for IOTG platform products due to recovery from the economic impa</w:t>
            </w:r>
            <w:r>
              <w:rPr>
                <w:rFonts w:ascii="Arial" w:eastAsia="宋体" w:hAnsi="Arial" w:cs="Arial"/>
                <w:color w:val="262626"/>
                <w:sz w:val="18"/>
                <w:szCs w:val="18"/>
              </w:rPr>
              <w:t xml:space="preserve">cts of COVID-19 across all key market segments. Most notably, we saw strength in our retail, industrial, and healthcare market segments. </w:t>
            </w:r>
          </w:p>
        </w:tc>
        <w:tc>
          <w:tcPr>
            <w:tcW w:w="0" w:type="auto"/>
            <w:gridSpan w:val="3"/>
            <w:vMerge/>
            <w:shd w:val="clear" w:color="auto" w:fill="auto"/>
            <w:tcMar>
              <w:top w:w="40" w:type="dxa"/>
              <w:left w:w="20" w:type="dxa"/>
              <w:bottom w:w="40" w:type="dxa"/>
              <w:right w:w="20" w:type="dxa"/>
            </w:tcMar>
          </w:tcPr>
          <w:p w14:paraId="67534757" w14:textId="77777777" w:rsidR="001B77DD" w:rsidRDefault="001B77DD">
            <w:pPr>
              <w:rPr>
                <w:rFonts w:ascii="宋体"/>
              </w:rPr>
            </w:pPr>
          </w:p>
        </w:tc>
      </w:tr>
      <w:tr w:rsidR="001B77DD" w14:paraId="6753475C" w14:textId="77777777">
        <w:trPr>
          <w:trHeight w:val="1140"/>
        </w:trPr>
        <w:tc>
          <w:tcPr>
            <w:tcW w:w="0" w:type="auto"/>
            <w:gridSpan w:val="3"/>
            <w:shd w:val="clear" w:color="auto" w:fill="auto"/>
            <w:tcMar>
              <w:top w:w="40" w:type="dxa"/>
              <w:left w:w="20" w:type="dxa"/>
              <w:bottom w:w="40" w:type="dxa"/>
              <w:right w:w="20" w:type="dxa"/>
            </w:tcMar>
          </w:tcPr>
          <w:p w14:paraId="67534759"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75A" w14:textId="77777777" w:rsidR="001B77DD" w:rsidRDefault="00BF0A28">
            <w:pPr>
              <w:textAlignment w:val="top"/>
            </w:pPr>
            <w:r>
              <w:rPr>
                <w:rFonts w:ascii="Arial" w:eastAsia="宋体" w:hAnsi="Arial" w:cs="Arial"/>
                <w:color w:val="262626"/>
                <w:sz w:val="18"/>
                <w:szCs w:val="18"/>
              </w:rPr>
              <w:t>We announced enhanced product capabilities, which include the 11th Gen Intel Core processors and 3rd Gen Intel Xeon Scalable processors, both bring new AI and operational technology features to customers. These products are a response to needs across the v</w:t>
            </w:r>
            <w:r>
              <w:rPr>
                <w:rFonts w:ascii="Arial" w:eastAsia="宋体" w:hAnsi="Arial" w:cs="Arial"/>
                <w:color w:val="262626"/>
                <w:sz w:val="18"/>
                <w:szCs w:val="18"/>
              </w:rPr>
              <w:t xml:space="preserve">erticals we serve to reduce edge complexity, add capabilities to developers, lower the cost of ownership, and support a range of environmental conditions. </w:t>
            </w:r>
          </w:p>
        </w:tc>
        <w:tc>
          <w:tcPr>
            <w:tcW w:w="0" w:type="auto"/>
            <w:gridSpan w:val="3"/>
            <w:vMerge/>
            <w:shd w:val="clear" w:color="auto" w:fill="auto"/>
            <w:tcMar>
              <w:top w:w="40" w:type="dxa"/>
              <w:left w:w="20" w:type="dxa"/>
              <w:bottom w:w="40" w:type="dxa"/>
              <w:right w:w="20" w:type="dxa"/>
            </w:tcMar>
          </w:tcPr>
          <w:p w14:paraId="6753475B" w14:textId="77777777" w:rsidR="001B77DD" w:rsidRDefault="001B77DD">
            <w:pPr>
              <w:rPr>
                <w:rFonts w:ascii="宋体"/>
              </w:rPr>
            </w:pPr>
          </w:p>
        </w:tc>
      </w:tr>
      <w:tr w:rsidR="001B77DD" w14:paraId="67534760" w14:textId="77777777">
        <w:trPr>
          <w:trHeight w:val="1320"/>
        </w:trPr>
        <w:tc>
          <w:tcPr>
            <w:tcW w:w="0" w:type="auto"/>
            <w:gridSpan w:val="3"/>
            <w:shd w:val="clear" w:color="auto" w:fill="auto"/>
            <w:tcMar>
              <w:top w:w="40" w:type="dxa"/>
              <w:left w:w="20" w:type="dxa"/>
              <w:bottom w:w="40" w:type="dxa"/>
              <w:right w:w="20" w:type="dxa"/>
            </w:tcMar>
          </w:tcPr>
          <w:p w14:paraId="6753475D"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75E" w14:textId="77777777" w:rsidR="001B77DD" w:rsidRDefault="00BF0A28">
            <w:pPr>
              <w:textAlignment w:val="top"/>
            </w:pPr>
            <w:r>
              <w:rPr>
                <w:rFonts w:ascii="Arial" w:eastAsia="宋体" w:hAnsi="Arial" w:cs="Arial"/>
                <w:color w:val="262626"/>
                <w:sz w:val="18"/>
                <w:szCs w:val="18"/>
              </w:rPr>
              <w:t>We continue to update solutions to improve developers' digital strategies and to accelerate mark</w:t>
            </w:r>
            <w:r>
              <w:rPr>
                <w:rFonts w:ascii="Arial" w:eastAsia="宋体" w:hAnsi="Arial" w:cs="Arial"/>
                <w:color w:val="262626"/>
                <w:sz w:val="18"/>
                <w:szCs w:val="18"/>
              </w:rPr>
              <w:t>et adoption of AI applications at the edge. This includes advancing the OpenVINO toolkit for AI inference model deployment. It is supported by Intel DevCloud for the Edge, which allows users to prototype and experiment with AI workloads on Intel hardware p</w:t>
            </w:r>
            <w:r>
              <w:rPr>
                <w:rFonts w:ascii="Arial" w:eastAsia="宋体" w:hAnsi="Arial" w:cs="Arial"/>
                <w:color w:val="262626"/>
                <w:sz w:val="18"/>
                <w:szCs w:val="18"/>
              </w:rPr>
              <w:t>rior to deployment. In addition, the Intel</w:t>
            </w:r>
            <w:r>
              <w:rPr>
                <w:rFonts w:ascii="Arial" w:eastAsia="宋体" w:hAnsi="Arial" w:cs="Arial"/>
                <w:color w:val="262626"/>
                <w:sz w:val="12"/>
                <w:szCs w:val="12"/>
              </w:rPr>
              <w:t xml:space="preserve">® </w:t>
            </w:r>
            <w:r>
              <w:rPr>
                <w:rFonts w:ascii="Arial" w:eastAsia="宋体" w:hAnsi="Arial" w:cs="Arial"/>
                <w:color w:val="262626"/>
                <w:sz w:val="18"/>
                <w:szCs w:val="18"/>
              </w:rPr>
              <w:t>Edge Software Hub provides access to software packages from Intel and our partners to deliver proven business outcomes.</w:t>
            </w:r>
          </w:p>
        </w:tc>
        <w:tc>
          <w:tcPr>
            <w:tcW w:w="0" w:type="auto"/>
            <w:gridSpan w:val="3"/>
            <w:vMerge/>
            <w:shd w:val="clear" w:color="auto" w:fill="auto"/>
            <w:tcMar>
              <w:top w:w="40" w:type="dxa"/>
              <w:left w:w="20" w:type="dxa"/>
              <w:bottom w:w="40" w:type="dxa"/>
              <w:right w:w="20" w:type="dxa"/>
            </w:tcMar>
          </w:tcPr>
          <w:p w14:paraId="6753475F" w14:textId="77777777" w:rsidR="001B77DD" w:rsidRDefault="001B77DD">
            <w:pPr>
              <w:rPr>
                <w:rFonts w:ascii="宋体"/>
              </w:rPr>
            </w:pPr>
          </w:p>
        </w:tc>
      </w:tr>
      <w:tr w:rsidR="001B77DD" w14:paraId="67534764" w14:textId="77777777">
        <w:trPr>
          <w:trHeight w:val="1140"/>
        </w:trPr>
        <w:tc>
          <w:tcPr>
            <w:tcW w:w="0" w:type="auto"/>
            <w:gridSpan w:val="3"/>
            <w:shd w:val="clear" w:color="auto" w:fill="auto"/>
            <w:tcMar>
              <w:top w:w="40" w:type="dxa"/>
              <w:left w:w="20" w:type="dxa"/>
              <w:bottom w:w="40" w:type="dxa"/>
              <w:right w:w="20" w:type="dxa"/>
            </w:tcMar>
          </w:tcPr>
          <w:p w14:paraId="67534761"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762" w14:textId="77777777" w:rsidR="001B77DD" w:rsidRDefault="00BF0A28">
            <w:pPr>
              <w:textAlignment w:val="top"/>
            </w:pPr>
            <w:r>
              <w:rPr>
                <w:rFonts w:ascii="Arial" w:eastAsia="宋体" w:hAnsi="Arial" w:cs="Arial"/>
                <w:color w:val="262626"/>
                <w:sz w:val="18"/>
                <w:szCs w:val="18"/>
              </w:rPr>
              <w:t>We continue to work with our ecosystem partners to expand the portfolio of Intel</w:t>
            </w:r>
            <w:r>
              <w:rPr>
                <w:rFonts w:ascii="Arial" w:eastAsia="宋体" w:hAnsi="Arial" w:cs="Arial"/>
                <w:color w:val="262626"/>
                <w:sz w:val="11"/>
                <w:szCs w:val="11"/>
              </w:rPr>
              <w:t>®</w:t>
            </w:r>
            <w:r>
              <w:rPr>
                <w:rFonts w:ascii="Arial" w:eastAsia="宋体" w:hAnsi="Arial" w:cs="Arial"/>
                <w:color w:val="262626"/>
                <w:sz w:val="18"/>
                <w:szCs w:val="18"/>
              </w:rPr>
              <w:t xml:space="preserve"> MRS and Intel</w:t>
            </w:r>
            <w:r>
              <w:rPr>
                <w:rFonts w:ascii="Arial" w:eastAsia="宋体" w:hAnsi="Arial" w:cs="Arial"/>
                <w:color w:val="262626"/>
                <w:sz w:val="11"/>
                <w:szCs w:val="11"/>
              </w:rPr>
              <w:t>®</w:t>
            </w:r>
            <w:r>
              <w:rPr>
                <w:rFonts w:ascii="Arial" w:eastAsia="宋体" w:hAnsi="Arial" w:cs="Arial"/>
                <w:color w:val="262626"/>
                <w:sz w:val="18"/>
                <w:szCs w:val="18"/>
              </w:rPr>
              <w:t xml:space="preserve"> IoT RFP Ready Kit products—scalable, end-to-end solutions that provide solid business results today and lay the foundation for the future. Currently, IOTG has approved over 600 Intel MRS and Intel IoT RFP Ready Kit offerings, with approxima</w:t>
            </w:r>
            <w:r>
              <w:rPr>
                <w:rFonts w:ascii="Arial" w:eastAsia="宋体" w:hAnsi="Arial" w:cs="Arial"/>
                <w:color w:val="262626"/>
                <w:sz w:val="18"/>
                <w:szCs w:val="18"/>
              </w:rPr>
              <w:t xml:space="preserve">tely 50,000 new deployments across 160 countries. </w:t>
            </w:r>
          </w:p>
        </w:tc>
        <w:tc>
          <w:tcPr>
            <w:tcW w:w="0" w:type="auto"/>
            <w:gridSpan w:val="3"/>
            <w:vMerge/>
            <w:shd w:val="clear" w:color="auto" w:fill="auto"/>
            <w:tcMar>
              <w:top w:w="40" w:type="dxa"/>
              <w:left w:w="20" w:type="dxa"/>
              <w:bottom w:w="40" w:type="dxa"/>
              <w:right w:w="20" w:type="dxa"/>
            </w:tcMar>
          </w:tcPr>
          <w:p w14:paraId="67534763" w14:textId="77777777" w:rsidR="001B77DD" w:rsidRDefault="001B77DD">
            <w:pPr>
              <w:rPr>
                <w:rFonts w:ascii="宋体"/>
              </w:rPr>
            </w:pPr>
          </w:p>
        </w:tc>
      </w:tr>
    </w:tbl>
    <w:p w14:paraId="67534765"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76F" w14:textId="77777777">
        <w:tc>
          <w:tcPr>
            <w:tcW w:w="50" w:type="pct"/>
            <w:shd w:val="clear" w:color="auto" w:fill="auto"/>
            <w:vAlign w:val="bottom"/>
          </w:tcPr>
          <w:p w14:paraId="67534766" w14:textId="77777777" w:rsidR="001B77DD" w:rsidRDefault="001B77DD">
            <w:pPr>
              <w:rPr>
                <w:rFonts w:ascii="宋体"/>
              </w:rPr>
            </w:pPr>
          </w:p>
        </w:tc>
        <w:tc>
          <w:tcPr>
            <w:tcW w:w="283" w:type="pct"/>
            <w:shd w:val="clear" w:color="auto" w:fill="auto"/>
            <w:vAlign w:val="bottom"/>
          </w:tcPr>
          <w:p w14:paraId="67534767" w14:textId="77777777" w:rsidR="001B77DD" w:rsidRDefault="001B77DD">
            <w:pPr>
              <w:rPr>
                <w:rFonts w:ascii="宋体"/>
              </w:rPr>
            </w:pPr>
          </w:p>
        </w:tc>
        <w:tc>
          <w:tcPr>
            <w:tcW w:w="5" w:type="pct"/>
            <w:shd w:val="clear" w:color="auto" w:fill="auto"/>
            <w:vAlign w:val="bottom"/>
          </w:tcPr>
          <w:p w14:paraId="67534768" w14:textId="77777777" w:rsidR="001B77DD" w:rsidRDefault="001B77DD">
            <w:pPr>
              <w:rPr>
                <w:rFonts w:ascii="宋体"/>
              </w:rPr>
            </w:pPr>
          </w:p>
        </w:tc>
        <w:tc>
          <w:tcPr>
            <w:tcW w:w="50" w:type="pct"/>
            <w:shd w:val="clear" w:color="auto" w:fill="auto"/>
            <w:vAlign w:val="bottom"/>
          </w:tcPr>
          <w:p w14:paraId="67534769" w14:textId="77777777" w:rsidR="001B77DD" w:rsidRDefault="001B77DD">
            <w:pPr>
              <w:rPr>
                <w:rFonts w:ascii="宋体"/>
              </w:rPr>
            </w:pPr>
          </w:p>
        </w:tc>
        <w:tc>
          <w:tcPr>
            <w:tcW w:w="2656" w:type="pct"/>
            <w:shd w:val="clear" w:color="auto" w:fill="auto"/>
            <w:vAlign w:val="bottom"/>
          </w:tcPr>
          <w:p w14:paraId="6753476A" w14:textId="77777777" w:rsidR="001B77DD" w:rsidRDefault="001B77DD">
            <w:pPr>
              <w:rPr>
                <w:rFonts w:ascii="宋体"/>
              </w:rPr>
            </w:pPr>
          </w:p>
        </w:tc>
        <w:tc>
          <w:tcPr>
            <w:tcW w:w="5" w:type="pct"/>
            <w:shd w:val="clear" w:color="auto" w:fill="auto"/>
            <w:vAlign w:val="bottom"/>
          </w:tcPr>
          <w:p w14:paraId="6753476B" w14:textId="77777777" w:rsidR="001B77DD" w:rsidRDefault="001B77DD">
            <w:pPr>
              <w:rPr>
                <w:rFonts w:ascii="宋体"/>
              </w:rPr>
            </w:pPr>
          </w:p>
        </w:tc>
        <w:tc>
          <w:tcPr>
            <w:tcW w:w="50" w:type="pct"/>
            <w:shd w:val="clear" w:color="auto" w:fill="auto"/>
            <w:vAlign w:val="bottom"/>
          </w:tcPr>
          <w:p w14:paraId="6753476C" w14:textId="77777777" w:rsidR="001B77DD" w:rsidRDefault="001B77DD">
            <w:pPr>
              <w:rPr>
                <w:rFonts w:ascii="宋体"/>
              </w:rPr>
            </w:pPr>
          </w:p>
        </w:tc>
        <w:tc>
          <w:tcPr>
            <w:tcW w:w="1894" w:type="pct"/>
            <w:shd w:val="clear" w:color="auto" w:fill="auto"/>
            <w:vAlign w:val="bottom"/>
          </w:tcPr>
          <w:p w14:paraId="6753476D" w14:textId="77777777" w:rsidR="001B77DD" w:rsidRDefault="001B77DD">
            <w:pPr>
              <w:rPr>
                <w:rFonts w:ascii="宋体"/>
              </w:rPr>
            </w:pPr>
          </w:p>
        </w:tc>
        <w:tc>
          <w:tcPr>
            <w:tcW w:w="5" w:type="pct"/>
            <w:shd w:val="clear" w:color="auto" w:fill="auto"/>
            <w:vAlign w:val="bottom"/>
          </w:tcPr>
          <w:p w14:paraId="6753476E" w14:textId="77777777" w:rsidR="001B77DD" w:rsidRDefault="001B77DD">
            <w:pPr>
              <w:rPr>
                <w:rFonts w:ascii="宋体"/>
              </w:rPr>
            </w:pPr>
          </w:p>
        </w:tc>
      </w:tr>
      <w:tr w:rsidR="001B77DD" w14:paraId="6753477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77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54" wp14:editId="67538E55">
                  <wp:extent cx="304800" cy="304800"/>
                  <wp:effectExtent l="0" t="0" r="0" b="0"/>
                  <wp:docPr id="75" name="图片 151"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1"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771"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772" w14:textId="77777777" w:rsidR="001B77DD" w:rsidRDefault="00BF0A28">
            <w:pPr>
              <w:jc w:val="right"/>
              <w:textAlignment w:val="center"/>
            </w:pPr>
            <w:r>
              <w:rPr>
                <w:rFonts w:ascii="Arial" w:eastAsia="宋体" w:hAnsi="Arial" w:cs="Arial"/>
                <w:color w:val="262626"/>
                <w:sz w:val="16"/>
                <w:szCs w:val="16"/>
              </w:rPr>
              <w:t>26</w:t>
            </w:r>
          </w:p>
        </w:tc>
      </w:tr>
    </w:tbl>
    <w:p w14:paraId="67534774" w14:textId="77777777" w:rsidR="001B77DD" w:rsidRDefault="00BF0A28">
      <w:r>
        <w:pict w14:anchorId="67538E56">
          <v:rect id="_x0000_i1052" style="width:415.3pt;height:1.5pt" o:hralign="center" o:hrstd="t" o:hr="t" fillcolor="#a0a0a0" stroked="f"/>
        </w:pict>
      </w:r>
    </w:p>
    <w:p w14:paraId="67534775" w14:textId="77777777" w:rsidR="001B77DD" w:rsidRDefault="00BF0A28">
      <w:pPr>
        <w:jc w:val="right"/>
      </w:pPr>
      <w:hyperlink r:id="rId86" w:anchor="i6c9ced68f6b24d58a3dcf326e8c3c699_16" w:history="1">
        <w:r>
          <w:rPr>
            <w:rStyle w:val="a5"/>
            <w:rFonts w:ascii="Arial" w:eastAsia="宋体" w:hAnsi="Arial" w:cs="Arial"/>
            <w:b/>
            <w:bCs/>
            <w:sz w:val="16"/>
            <w:szCs w:val="16"/>
          </w:rPr>
          <w:t>Table of Contents</w:t>
        </w:r>
      </w:hyperlink>
    </w:p>
    <w:p w14:paraId="67534776" w14:textId="77777777" w:rsidR="001B77DD" w:rsidRDefault="001B77DD">
      <w:pPr>
        <w:jc w:val="right"/>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77A" w14:textId="77777777">
        <w:tc>
          <w:tcPr>
            <w:tcW w:w="20" w:type="dxa"/>
            <w:shd w:val="clear" w:color="auto" w:fill="auto"/>
            <w:vAlign w:val="bottom"/>
          </w:tcPr>
          <w:p w14:paraId="67534777" w14:textId="77777777" w:rsidR="001B77DD" w:rsidRDefault="001B77DD">
            <w:pPr>
              <w:rPr>
                <w:rFonts w:ascii="宋体"/>
              </w:rPr>
            </w:pPr>
          </w:p>
        </w:tc>
        <w:tc>
          <w:tcPr>
            <w:tcW w:w="10940" w:type="dxa"/>
            <w:shd w:val="clear" w:color="auto" w:fill="auto"/>
            <w:vAlign w:val="bottom"/>
          </w:tcPr>
          <w:p w14:paraId="67534778" w14:textId="77777777" w:rsidR="001B77DD" w:rsidRDefault="001B77DD">
            <w:pPr>
              <w:rPr>
                <w:rFonts w:ascii="宋体"/>
              </w:rPr>
            </w:pPr>
          </w:p>
        </w:tc>
        <w:tc>
          <w:tcPr>
            <w:tcW w:w="20" w:type="dxa"/>
            <w:shd w:val="clear" w:color="auto" w:fill="auto"/>
            <w:vAlign w:val="bottom"/>
          </w:tcPr>
          <w:p w14:paraId="67534779" w14:textId="77777777" w:rsidR="001B77DD" w:rsidRDefault="001B77DD">
            <w:pPr>
              <w:rPr>
                <w:rFonts w:ascii="宋体"/>
              </w:rPr>
            </w:pPr>
          </w:p>
        </w:tc>
      </w:tr>
      <w:tr w:rsidR="001B77DD" w14:paraId="6753477C"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77B" w14:textId="77777777" w:rsidR="001B77DD" w:rsidRDefault="00BF0A28">
            <w:pPr>
              <w:textAlignment w:val="bottom"/>
            </w:pPr>
            <w:r>
              <w:rPr>
                <w:rFonts w:ascii="Arial" w:eastAsia="宋体" w:hAnsi="Arial" w:cs="Arial"/>
                <w:color w:val="0068B5"/>
                <w:sz w:val="20"/>
                <w:szCs w:val="20"/>
              </w:rPr>
              <w:t>5-Year Trends</w:t>
            </w:r>
          </w:p>
        </w:tc>
      </w:tr>
    </w:tbl>
    <w:p w14:paraId="6753477D"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Viewer4_files/intc-20211225_g69.jpg"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57" wp14:editId="67538E58">
            <wp:extent cx="304800" cy="304800"/>
            <wp:effectExtent l="0" t="0" r="0" b="0"/>
            <wp:docPr id="59" name="图片 153"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3" descr="IMG_34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w:instrText>
      </w:r>
      <w:r>
        <w:rPr>
          <w:rFonts w:ascii="宋体" w:eastAsia="宋体" w:hAnsi="宋体" w:cs="宋体"/>
        </w:rPr>
        <w:instrText xml:space="preserve">225_g70.jpg"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59" wp14:editId="67538E5A">
            <wp:extent cx="304800" cy="304800"/>
            <wp:effectExtent l="0" t="0" r="0" b="0"/>
            <wp:docPr id="60" name="图片 154"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54" descr="IMG_34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755" w:type="dxa"/>
        <w:tblCellMar>
          <w:top w:w="15" w:type="dxa"/>
          <w:left w:w="15" w:type="dxa"/>
          <w:bottom w:w="15" w:type="dxa"/>
          <w:right w:w="15" w:type="dxa"/>
        </w:tblCellMar>
        <w:tblLook w:val="04A0" w:firstRow="1" w:lastRow="0" w:firstColumn="1" w:lastColumn="0" w:noHBand="0" w:noVBand="1"/>
      </w:tblPr>
      <w:tblGrid>
        <w:gridCol w:w="36"/>
        <w:gridCol w:w="533"/>
        <w:gridCol w:w="36"/>
        <w:gridCol w:w="36"/>
        <w:gridCol w:w="1769"/>
        <w:gridCol w:w="36"/>
        <w:gridCol w:w="36"/>
        <w:gridCol w:w="2544"/>
        <w:gridCol w:w="36"/>
        <w:gridCol w:w="36"/>
        <w:gridCol w:w="723"/>
        <w:gridCol w:w="36"/>
        <w:gridCol w:w="36"/>
        <w:gridCol w:w="1855"/>
        <w:gridCol w:w="36"/>
        <w:gridCol w:w="36"/>
        <w:gridCol w:w="2587"/>
        <w:gridCol w:w="36"/>
        <w:gridCol w:w="36"/>
        <w:gridCol w:w="240"/>
        <w:gridCol w:w="36"/>
      </w:tblGrid>
      <w:tr w:rsidR="001B77DD" w14:paraId="67534793" w14:textId="77777777">
        <w:tc>
          <w:tcPr>
            <w:tcW w:w="20" w:type="dxa"/>
            <w:shd w:val="clear" w:color="auto" w:fill="auto"/>
            <w:vAlign w:val="bottom"/>
          </w:tcPr>
          <w:p w14:paraId="6753477E" w14:textId="77777777" w:rsidR="001B77DD" w:rsidRDefault="001B77DD">
            <w:pPr>
              <w:rPr>
                <w:rFonts w:ascii="宋体"/>
              </w:rPr>
            </w:pPr>
          </w:p>
        </w:tc>
        <w:tc>
          <w:tcPr>
            <w:tcW w:w="545" w:type="dxa"/>
            <w:shd w:val="clear" w:color="auto" w:fill="auto"/>
            <w:vAlign w:val="bottom"/>
          </w:tcPr>
          <w:p w14:paraId="6753477F" w14:textId="77777777" w:rsidR="001B77DD" w:rsidRDefault="001B77DD">
            <w:pPr>
              <w:rPr>
                <w:rFonts w:ascii="宋体"/>
              </w:rPr>
            </w:pPr>
          </w:p>
        </w:tc>
        <w:tc>
          <w:tcPr>
            <w:tcW w:w="20" w:type="dxa"/>
            <w:shd w:val="clear" w:color="auto" w:fill="auto"/>
            <w:vAlign w:val="bottom"/>
          </w:tcPr>
          <w:p w14:paraId="67534780" w14:textId="77777777" w:rsidR="001B77DD" w:rsidRDefault="001B77DD">
            <w:pPr>
              <w:rPr>
                <w:rFonts w:ascii="宋体"/>
              </w:rPr>
            </w:pPr>
          </w:p>
        </w:tc>
        <w:tc>
          <w:tcPr>
            <w:tcW w:w="20" w:type="dxa"/>
            <w:shd w:val="clear" w:color="auto" w:fill="auto"/>
            <w:vAlign w:val="bottom"/>
          </w:tcPr>
          <w:p w14:paraId="67534781" w14:textId="77777777" w:rsidR="001B77DD" w:rsidRDefault="001B77DD">
            <w:pPr>
              <w:rPr>
                <w:rFonts w:ascii="宋体"/>
              </w:rPr>
            </w:pPr>
          </w:p>
        </w:tc>
        <w:tc>
          <w:tcPr>
            <w:tcW w:w="1805" w:type="dxa"/>
            <w:shd w:val="clear" w:color="auto" w:fill="auto"/>
            <w:vAlign w:val="bottom"/>
          </w:tcPr>
          <w:p w14:paraId="67534782" w14:textId="77777777" w:rsidR="001B77DD" w:rsidRDefault="001B77DD">
            <w:pPr>
              <w:rPr>
                <w:rFonts w:ascii="宋体"/>
              </w:rPr>
            </w:pPr>
          </w:p>
        </w:tc>
        <w:tc>
          <w:tcPr>
            <w:tcW w:w="20" w:type="dxa"/>
            <w:shd w:val="clear" w:color="auto" w:fill="auto"/>
            <w:vAlign w:val="bottom"/>
          </w:tcPr>
          <w:p w14:paraId="67534783" w14:textId="77777777" w:rsidR="001B77DD" w:rsidRDefault="001B77DD">
            <w:pPr>
              <w:rPr>
                <w:rFonts w:ascii="宋体"/>
              </w:rPr>
            </w:pPr>
          </w:p>
        </w:tc>
        <w:tc>
          <w:tcPr>
            <w:tcW w:w="20" w:type="dxa"/>
            <w:shd w:val="clear" w:color="auto" w:fill="auto"/>
            <w:vAlign w:val="bottom"/>
          </w:tcPr>
          <w:p w14:paraId="67534784" w14:textId="77777777" w:rsidR="001B77DD" w:rsidRDefault="001B77DD">
            <w:pPr>
              <w:rPr>
                <w:rFonts w:ascii="宋体"/>
              </w:rPr>
            </w:pPr>
          </w:p>
        </w:tc>
        <w:tc>
          <w:tcPr>
            <w:tcW w:w="2600" w:type="dxa"/>
            <w:shd w:val="clear" w:color="auto" w:fill="auto"/>
            <w:vAlign w:val="bottom"/>
          </w:tcPr>
          <w:p w14:paraId="67534785" w14:textId="77777777" w:rsidR="001B77DD" w:rsidRDefault="001B77DD">
            <w:pPr>
              <w:rPr>
                <w:rFonts w:ascii="宋体"/>
              </w:rPr>
            </w:pPr>
          </w:p>
        </w:tc>
        <w:tc>
          <w:tcPr>
            <w:tcW w:w="20" w:type="dxa"/>
            <w:shd w:val="clear" w:color="auto" w:fill="auto"/>
            <w:vAlign w:val="bottom"/>
          </w:tcPr>
          <w:p w14:paraId="67534786" w14:textId="77777777" w:rsidR="001B77DD" w:rsidRDefault="001B77DD">
            <w:pPr>
              <w:rPr>
                <w:rFonts w:ascii="宋体"/>
              </w:rPr>
            </w:pPr>
          </w:p>
        </w:tc>
        <w:tc>
          <w:tcPr>
            <w:tcW w:w="20" w:type="dxa"/>
            <w:shd w:val="clear" w:color="auto" w:fill="auto"/>
            <w:vAlign w:val="bottom"/>
          </w:tcPr>
          <w:p w14:paraId="67534787" w14:textId="77777777" w:rsidR="001B77DD" w:rsidRDefault="001B77DD">
            <w:pPr>
              <w:rPr>
                <w:rFonts w:ascii="宋体"/>
              </w:rPr>
            </w:pPr>
          </w:p>
        </w:tc>
        <w:tc>
          <w:tcPr>
            <w:tcW w:w="740" w:type="dxa"/>
            <w:shd w:val="clear" w:color="auto" w:fill="auto"/>
            <w:vAlign w:val="bottom"/>
          </w:tcPr>
          <w:p w14:paraId="67534788" w14:textId="77777777" w:rsidR="001B77DD" w:rsidRDefault="001B77DD">
            <w:pPr>
              <w:rPr>
                <w:rFonts w:ascii="宋体"/>
              </w:rPr>
            </w:pPr>
          </w:p>
        </w:tc>
        <w:tc>
          <w:tcPr>
            <w:tcW w:w="20" w:type="dxa"/>
            <w:shd w:val="clear" w:color="auto" w:fill="auto"/>
            <w:vAlign w:val="bottom"/>
          </w:tcPr>
          <w:p w14:paraId="67534789" w14:textId="77777777" w:rsidR="001B77DD" w:rsidRDefault="001B77DD">
            <w:pPr>
              <w:rPr>
                <w:rFonts w:ascii="宋体"/>
              </w:rPr>
            </w:pPr>
          </w:p>
        </w:tc>
        <w:tc>
          <w:tcPr>
            <w:tcW w:w="20" w:type="dxa"/>
            <w:shd w:val="clear" w:color="auto" w:fill="auto"/>
            <w:vAlign w:val="bottom"/>
          </w:tcPr>
          <w:p w14:paraId="6753478A" w14:textId="77777777" w:rsidR="001B77DD" w:rsidRDefault="001B77DD">
            <w:pPr>
              <w:rPr>
                <w:rFonts w:ascii="宋体"/>
              </w:rPr>
            </w:pPr>
          </w:p>
        </w:tc>
        <w:tc>
          <w:tcPr>
            <w:tcW w:w="1895" w:type="dxa"/>
            <w:shd w:val="clear" w:color="auto" w:fill="auto"/>
            <w:vAlign w:val="bottom"/>
          </w:tcPr>
          <w:p w14:paraId="6753478B" w14:textId="77777777" w:rsidR="001B77DD" w:rsidRDefault="001B77DD">
            <w:pPr>
              <w:rPr>
                <w:rFonts w:ascii="宋体"/>
              </w:rPr>
            </w:pPr>
          </w:p>
        </w:tc>
        <w:tc>
          <w:tcPr>
            <w:tcW w:w="20" w:type="dxa"/>
            <w:shd w:val="clear" w:color="auto" w:fill="auto"/>
            <w:vAlign w:val="bottom"/>
          </w:tcPr>
          <w:p w14:paraId="6753478C" w14:textId="77777777" w:rsidR="001B77DD" w:rsidRDefault="001B77DD">
            <w:pPr>
              <w:rPr>
                <w:rFonts w:ascii="宋体"/>
              </w:rPr>
            </w:pPr>
          </w:p>
        </w:tc>
        <w:tc>
          <w:tcPr>
            <w:tcW w:w="20" w:type="dxa"/>
            <w:shd w:val="clear" w:color="auto" w:fill="auto"/>
            <w:vAlign w:val="bottom"/>
          </w:tcPr>
          <w:p w14:paraId="6753478D" w14:textId="77777777" w:rsidR="001B77DD" w:rsidRDefault="001B77DD">
            <w:pPr>
              <w:rPr>
                <w:rFonts w:ascii="宋体"/>
              </w:rPr>
            </w:pPr>
          </w:p>
        </w:tc>
        <w:tc>
          <w:tcPr>
            <w:tcW w:w="2645" w:type="dxa"/>
            <w:shd w:val="clear" w:color="auto" w:fill="auto"/>
            <w:vAlign w:val="bottom"/>
          </w:tcPr>
          <w:p w14:paraId="6753478E" w14:textId="77777777" w:rsidR="001B77DD" w:rsidRDefault="001B77DD">
            <w:pPr>
              <w:rPr>
                <w:rFonts w:ascii="宋体"/>
              </w:rPr>
            </w:pPr>
          </w:p>
        </w:tc>
        <w:tc>
          <w:tcPr>
            <w:tcW w:w="20" w:type="dxa"/>
            <w:shd w:val="clear" w:color="auto" w:fill="auto"/>
            <w:vAlign w:val="bottom"/>
          </w:tcPr>
          <w:p w14:paraId="6753478F" w14:textId="77777777" w:rsidR="001B77DD" w:rsidRDefault="001B77DD">
            <w:pPr>
              <w:rPr>
                <w:rFonts w:ascii="宋体"/>
              </w:rPr>
            </w:pPr>
          </w:p>
        </w:tc>
        <w:tc>
          <w:tcPr>
            <w:tcW w:w="20" w:type="dxa"/>
            <w:shd w:val="clear" w:color="auto" w:fill="auto"/>
            <w:vAlign w:val="bottom"/>
          </w:tcPr>
          <w:p w14:paraId="67534790" w14:textId="77777777" w:rsidR="001B77DD" w:rsidRDefault="001B77DD">
            <w:pPr>
              <w:rPr>
                <w:rFonts w:ascii="宋体"/>
              </w:rPr>
            </w:pPr>
          </w:p>
        </w:tc>
        <w:tc>
          <w:tcPr>
            <w:tcW w:w="245" w:type="dxa"/>
            <w:shd w:val="clear" w:color="auto" w:fill="auto"/>
            <w:vAlign w:val="bottom"/>
          </w:tcPr>
          <w:p w14:paraId="67534791" w14:textId="77777777" w:rsidR="001B77DD" w:rsidRDefault="001B77DD">
            <w:pPr>
              <w:rPr>
                <w:rFonts w:ascii="宋体"/>
              </w:rPr>
            </w:pPr>
          </w:p>
        </w:tc>
        <w:tc>
          <w:tcPr>
            <w:tcW w:w="20" w:type="dxa"/>
            <w:shd w:val="clear" w:color="auto" w:fill="auto"/>
            <w:vAlign w:val="bottom"/>
          </w:tcPr>
          <w:p w14:paraId="67534792" w14:textId="77777777" w:rsidR="001B77DD" w:rsidRDefault="001B77DD">
            <w:pPr>
              <w:rPr>
                <w:rFonts w:ascii="宋体"/>
              </w:rPr>
            </w:pPr>
          </w:p>
        </w:tc>
      </w:tr>
      <w:tr w:rsidR="001B77DD" w14:paraId="67534799" w14:textId="77777777">
        <w:trPr>
          <w:trHeight w:val="220"/>
        </w:trPr>
        <w:tc>
          <w:tcPr>
            <w:tcW w:w="0" w:type="auto"/>
            <w:gridSpan w:val="3"/>
            <w:shd w:val="clear" w:color="auto" w:fill="auto"/>
            <w:tcMar>
              <w:top w:w="0" w:type="dxa"/>
              <w:left w:w="20" w:type="dxa"/>
              <w:bottom w:w="0" w:type="dxa"/>
              <w:right w:w="20" w:type="dxa"/>
            </w:tcMar>
            <w:vAlign w:val="bottom"/>
          </w:tcPr>
          <w:p w14:paraId="67534794"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vAlign w:val="bottom"/>
          </w:tcPr>
          <w:p w14:paraId="67534795" w14:textId="77777777" w:rsidR="001B77DD" w:rsidRDefault="00BF0A28">
            <w:pPr>
              <w:jc w:val="center"/>
              <w:textAlignment w:val="bottom"/>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vAlign w:val="bottom"/>
          </w:tcPr>
          <w:p w14:paraId="67534796"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vAlign w:val="bottom"/>
          </w:tcPr>
          <w:p w14:paraId="67534797" w14:textId="77777777" w:rsidR="001B77DD" w:rsidRDefault="00BF0A28">
            <w:pPr>
              <w:jc w:val="cente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vAlign w:val="bottom"/>
          </w:tcPr>
          <w:p w14:paraId="67534798" w14:textId="77777777" w:rsidR="001B77DD" w:rsidRDefault="001B77DD">
            <w:pPr>
              <w:rPr>
                <w:rFonts w:ascii="宋体"/>
              </w:rPr>
            </w:pPr>
          </w:p>
        </w:tc>
      </w:tr>
    </w:tbl>
    <w:p w14:paraId="6753479A" w14:textId="77777777" w:rsidR="001B77DD" w:rsidRDefault="00BF0A28">
      <w:pPr>
        <w:spacing w:before="180" w:after="120"/>
      </w:pPr>
      <w:r>
        <w:rPr>
          <w:rFonts w:ascii="Arial" w:eastAsia="宋体" w:hAnsi="Arial" w:cs="Arial"/>
          <w:color w:val="0068B5"/>
        </w:rPr>
        <w:t>Market and Business Overview</w:t>
      </w:r>
    </w:p>
    <w:p w14:paraId="6753479B" w14:textId="77777777" w:rsidR="001B77DD" w:rsidRDefault="00BF0A28">
      <w:pPr>
        <w:spacing w:after="120"/>
      </w:pPr>
      <w:r>
        <w:rPr>
          <w:rFonts w:ascii="Arial" w:eastAsia="宋体" w:hAnsi="Arial" w:cs="Arial"/>
          <w:color w:val="0068B5"/>
          <w:sz w:val="20"/>
          <w:szCs w:val="20"/>
        </w:rPr>
        <w:t>Market Trends and Strategy</w:t>
      </w:r>
    </w:p>
    <w:p w14:paraId="6753479C" w14:textId="77777777" w:rsidR="001B77DD" w:rsidRDefault="00BF0A28">
      <w:pPr>
        <w:spacing w:after="120"/>
      </w:pPr>
      <w:r>
        <w:rPr>
          <w:rFonts w:ascii="Arial" w:eastAsia="宋体" w:hAnsi="Arial" w:cs="Arial"/>
          <w:color w:val="262626"/>
          <w:sz w:val="18"/>
          <w:szCs w:val="18"/>
        </w:rPr>
        <w:t xml:space="preserve">We are at the center of a global digital transformation. Through our broad portfolio of </w:t>
      </w:r>
      <w:r>
        <w:rPr>
          <w:rFonts w:ascii="Arial" w:eastAsia="宋体" w:hAnsi="Arial" w:cs="Arial"/>
          <w:color w:val="262626"/>
          <w:sz w:val="18"/>
          <w:szCs w:val="18"/>
        </w:rPr>
        <w:t>technology, solutions, and tools, we are transforming the way businesses create products, deliver services, and conduct operations—across schools, hospitals, retailers, governments, utilities, and manufacturers. Driving business benefits requires solving c</w:t>
      </w:r>
      <w:r>
        <w:rPr>
          <w:rFonts w:ascii="Arial" w:eastAsia="宋体" w:hAnsi="Arial" w:cs="Arial"/>
          <w:color w:val="262626"/>
          <w:sz w:val="18"/>
          <w:szCs w:val="18"/>
        </w:rPr>
        <w:t>ustomer challenges in a highly fragmented global market with scalable horizontal technologies. Additionally, it requires building relevant ecosystems and scaling developers specific to diverse verticals. Our vertical market segments include the following:</w:t>
      </w:r>
    </w:p>
    <w:tbl>
      <w:tblPr>
        <w:tblW w:w="4870" w:type="pct"/>
        <w:tblCellMar>
          <w:top w:w="15" w:type="dxa"/>
          <w:left w:w="15" w:type="dxa"/>
          <w:bottom w:w="15" w:type="dxa"/>
          <w:right w:w="15" w:type="dxa"/>
        </w:tblCellMar>
        <w:tblLook w:val="04A0" w:firstRow="1" w:lastRow="0" w:firstColumn="1" w:lastColumn="0" w:noHBand="0" w:noVBand="1"/>
      </w:tblPr>
      <w:tblGrid>
        <w:gridCol w:w="51"/>
        <w:gridCol w:w="1874"/>
        <w:gridCol w:w="36"/>
        <w:gridCol w:w="36"/>
        <w:gridCol w:w="36"/>
        <w:gridCol w:w="36"/>
        <w:gridCol w:w="37"/>
        <w:gridCol w:w="820"/>
        <w:gridCol w:w="37"/>
        <w:gridCol w:w="52"/>
        <w:gridCol w:w="701"/>
        <w:gridCol w:w="37"/>
        <w:gridCol w:w="37"/>
        <w:gridCol w:w="36"/>
        <w:gridCol w:w="36"/>
        <w:gridCol w:w="36"/>
        <w:gridCol w:w="3537"/>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1B77DD" w14:paraId="675347AF" w14:textId="77777777">
        <w:trPr>
          <w:gridAfter w:val="18"/>
        </w:trPr>
        <w:tc>
          <w:tcPr>
            <w:tcW w:w="50" w:type="pct"/>
            <w:shd w:val="clear" w:color="auto" w:fill="auto"/>
            <w:vAlign w:val="bottom"/>
          </w:tcPr>
          <w:p w14:paraId="6753479D" w14:textId="77777777" w:rsidR="001B77DD" w:rsidRDefault="001B77DD">
            <w:pPr>
              <w:rPr>
                <w:rFonts w:ascii="宋体"/>
              </w:rPr>
            </w:pPr>
          </w:p>
        </w:tc>
        <w:tc>
          <w:tcPr>
            <w:tcW w:w="1270" w:type="pct"/>
            <w:shd w:val="clear" w:color="auto" w:fill="auto"/>
            <w:vAlign w:val="bottom"/>
          </w:tcPr>
          <w:p w14:paraId="6753479E" w14:textId="77777777" w:rsidR="001B77DD" w:rsidRDefault="001B77DD">
            <w:pPr>
              <w:rPr>
                <w:rFonts w:ascii="宋体"/>
              </w:rPr>
            </w:pPr>
          </w:p>
        </w:tc>
        <w:tc>
          <w:tcPr>
            <w:tcW w:w="5" w:type="pct"/>
            <w:shd w:val="clear" w:color="auto" w:fill="auto"/>
            <w:vAlign w:val="bottom"/>
          </w:tcPr>
          <w:p w14:paraId="6753479F" w14:textId="77777777" w:rsidR="001B77DD" w:rsidRDefault="001B77DD">
            <w:pPr>
              <w:rPr>
                <w:rFonts w:ascii="宋体"/>
              </w:rPr>
            </w:pPr>
          </w:p>
        </w:tc>
        <w:tc>
          <w:tcPr>
            <w:tcW w:w="5" w:type="pct"/>
            <w:shd w:val="clear" w:color="auto" w:fill="auto"/>
            <w:vAlign w:val="bottom"/>
          </w:tcPr>
          <w:p w14:paraId="675347A0" w14:textId="77777777" w:rsidR="001B77DD" w:rsidRDefault="001B77DD">
            <w:pPr>
              <w:rPr>
                <w:rFonts w:ascii="宋体"/>
              </w:rPr>
            </w:pPr>
          </w:p>
        </w:tc>
        <w:tc>
          <w:tcPr>
            <w:tcW w:w="25" w:type="pct"/>
            <w:shd w:val="clear" w:color="auto" w:fill="auto"/>
            <w:vAlign w:val="bottom"/>
          </w:tcPr>
          <w:p w14:paraId="675347A1" w14:textId="77777777" w:rsidR="001B77DD" w:rsidRDefault="001B77DD">
            <w:pPr>
              <w:rPr>
                <w:rFonts w:ascii="宋体"/>
              </w:rPr>
            </w:pPr>
          </w:p>
        </w:tc>
        <w:tc>
          <w:tcPr>
            <w:tcW w:w="5" w:type="pct"/>
            <w:shd w:val="clear" w:color="auto" w:fill="auto"/>
            <w:vAlign w:val="bottom"/>
          </w:tcPr>
          <w:p w14:paraId="675347A2" w14:textId="77777777" w:rsidR="001B77DD" w:rsidRDefault="001B77DD">
            <w:pPr>
              <w:rPr>
                <w:rFonts w:ascii="宋体"/>
              </w:rPr>
            </w:pPr>
          </w:p>
        </w:tc>
        <w:tc>
          <w:tcPr>
            <w:tcW w:w="50" w:type="pct"/>
            <w:shd w:val="clear" w:color="auto" w:fill="auto"/>
            <w:vAlign w:val="bottom"/>
          </w:tcPr>
          <w:p w14:paraId="675347A3" w14:textId="77777777" w:rsidR="001B77DD" w:rsidRDefault="001B77DD">
            <w:pPr>
              <w:rPr>
                <w:rFonts w:ascii="宋体"/>
              </w:rPr>
            </w:pPr>
          </w:p>
        </w:tc>
        <w:tc>
          <w:tcPr>
            <w:tcW w:w="569" w:type="pct"/>
            <w:shd w:val="clear" w:color="auto" w:fill="auto"/>
            <w:vAlign w:val="bottom"/>
          </w:tcPr>
          <w:p w14:paraId="675347A4" w14:textId="77777777" w:rsidR="001B77DD" w:rsidRDefault="001B77DD">
            <w:pPr>
              <w:rPr>
                <w:rFonts w:ascii="宋体"/>
              </w:rPr>
            </w:pPr>
          </w:p>
        </w:tc>
        <w:tc>
          <w:tcPr>
            <w:tcW w:w="5" w:type="pct"/>
            <w:shd w:val="clear" w:color="auto" w:fill="auto"/>
            <w:vAlign w:val="bottom"/>
          </w:tcPr>
          <w:p w14:paraId="675347A5" w14:textId="77777777" w:rsidR="001B77DD" w:rsidRDefault="001B77DD">
            <w:pPr>
              <w:rPr>
                <w:rFonts w:ascii="宋体"/>
              </w:rPr>
            </w:pPr>
          </w:p>
        </w:tc>
        <w:tc>
          <w:tcPr>
            <w:tcW w:w="50" w:type="pct"/>
            <w:shd w:val="clear" w:color="auto" w:fill="auto"/>
            <w:vAlign w:val="bottom"/>
          </w:tcPr>
          <w:p w14:paraId="675347A6" w14:textId="77777777" w:rsidR="001B77DD" w:rsidRDefault="001B77DD">
            <w:pPr>
              <w:rPr>
                <w:rFonts w:ascii="宋体"/>
              </w:rPr>
            </w:pPr>
          </w:p>
        </w:tc>
        <w:tc>
          <w:tcPr>
            <w:tcW w:w="484" w:type="pct"/>
            <w:shd w:val="clear" w:color="auto" w:fill="auto"/>
            <w:vAlign w:val="bottom"/>
          </w:tcPr>
          <w:p w14:paraId="675347A7" w14:textId="77777777" w:rsidR="001B77DD" w:rsidRDefault="001B77DD">
            <w:pPr>
              <w:rPr>
                <w:rFonts w:ascii="宋体"/>
              </w:rPr>
            </w:pPr>
          </w:p>
        </w:tc>
        <w:tc>
          <w:tcPr>
            <w:tcW w:w="5" w:type="pct"/>
            <w:shd w:val="clear" w:color="auto" w:fill="auto"/>
            <w:vAlign w:val="bottom"/>
          </w:tcPr>
          <w:p w14:paraId="675347A8" w14:textId="77777777" w:rsidR="001B77DD" w:rsidRDefault="001B77DD">
            <w:pPr>
              <w:rPr>
                <w:rFonts w:ascii="宋体"/>
              </w:rPr>
            </w:pPr>
          </w:p>
        </w:tc>
        <w:tc>
          <w:tcPr>
            <w:tcW w:w="5" w:type="pct"/>
            <w:shd w:val="clear" w:color="auto" w:fill="auto"/>
            <w:vAlign w:val="bottom"/>
          </w:tcPr>
          <w:p w14:paraId="675347A9" w14:textId="77777777" w:rsidR="001B77DD" w:rsidRDefault="001B77DD">
            <w:pPr>
              <w:rPr>
                <w:rFonts w:ascii="宋体"/>
              </w:rPr>
            </w:pPr>
          </w:p>
        </w:tc>
        <w:tc>
          <w:tcPr>
            <w:tcW w:w="25" w:type="pct"/>
            <w:shd w:val="clear" w:color="auto" w:fill="auto"/>
            <w:vAlign w:val="bottom"/>
          </w:tcPr>
          <w:p w14:paraId="675347AA" w14:textId="77777777" w:rsidR="001B77DD" w:rsidRDefault="001B77DD">
            <w:pPr>
              <w:rPr>
                <w:rFonts w:ascii="宋体"/>
              </w:rPr>
            </w:pPr>
          </w:p>
        </w:tc>
        <w:tc>
          <w:tcPr>
            <w:tcW w:w="5" w:type="pct"/>
            <w:shd w:val="clear" w:color="auto" w:fill="auto"/>
            <w:vAlign w:val="bottom"/>
          </w:tcPr>
          <w:p w14:paraId="675347AB" w14:textId="77777777" w:rsidR="001B77DD" w:rsidRDefault="001B77DD">
            <w:pPr>
              <w:rPr>
                <w:rFonts w:ascii="宋体"/>
              </w:rPr>
            </w:pPr>
          </w:p>
        </w:tc>
        <w:tc>
          <w:tcPr>
            <w:tcW w:w="50" w:type="pct"/>
            <w:shd w:val="clear" w:color="auto" w:fill="auto"/>
            <w:vAlign w:val="bottom"/>
          </w:tcPr>
          <w:p w14:paraId="675347AC" w14:textId="77777777" w:rsidR="001B77DD" w:rsidRDefault="001B77DD">
            <w:pPr>
              <w:rPr>
                <w:rFonts w:ascii="宋体"/>
              </w:rPr>
            </w:pPr>
          </w:p>
        </w:tc>
        <w:tc>
          <w:tcPr>
            <w:tcW w:w="2385" w:type="pct"/>
            <w:shd w:val="clear" w:color="auto" w:fill="auto"/>
            <w:vAlign w:val="bottom"/>
          </w:tcPr>
          <w:p w14:paraId="675347AD" w14:textId="77777777" w:rsidR="001B77DD" w:rsidRDefault="001B77DD">
            <w:pPr>
              <w:rPr>
                <w:rFonts w:ascii="宋体"/>
              </w:rPr>
            </w:pPr>
          </w:p>
        </w:tc>
        <w:tc>
          <w:tcPr>
            <w:tcW w:w="5" w:type="pct"/>
            <w:shd w:val="clear" w:color="auto" w:fill="auto"/>
            <w:vAlign w:val="bottom"/>
          </w:tcPr>
          <w:p w14:paraId="675347AE" w14:textId="77777777" w:rsidR="001B77DD" w:rsidRDefault="001B77DD">
            <w:pPr>
              <w:rPr>
                <w:rFonts w:ascii="宋体"/>
              </w:rPr>
            </w:pPr>
          </w:p>
        </w:tc>
      </w:tr>
      <w:tr w:rsidR="001B77DD" w14:paraId="675347B3" w14:textId="77777777">
        <w:trPr>
          <w:gridAfter w:val="18"/>
          <w:trHeight w:val="360"/>
        </w:trPr>
        <w:tc>
          <w:tcPr>
            <w:tcW w:w="0" w:type="auto"/>
            <w:gridSpan w:val="3"/>
            <w:vMerge w:val="restart"/>
            <w:shd w:val="clear" w:color="auto" w:fill="auto"/>
            <w:tcMar>
              <w:top w:w="0" w:type="dxa"/>
              <w:left w:w="20" w:type="dxa"/>
              <w:bottom w:w="0" w:type="dxa"/>
              <w:right w:w="20" w:type="dxa"/>
            </w:tcMar>
            <w:vAlign w:val="bottom"/>
          </w:tcPr>
          <w:p w14:paraId="675347B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Viewer4_files/intc-20211225_g71.jpg"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5B" wp14:editId="67538E5C">
                  <wp:extent cx="304800" cy="304800"/>
                  <wp:effectExtent l="0" t="0" r="0" b="0"/>
                  <wp:docPr id="56" name="图片 155"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5" descr="IMG_34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vMerge w:val="restart"/>
            <w:shd w:val="clear" w:color="auto" w:fill="auto"/>
            <w:tcMar>
              <w:top w:w="0" w:type="dxa"/>
              <w:left w:w="20" w:type="dxa"/>
              <w:bottom w:w="0" w:type="dxa"/>
              <w:right w:w="20" w:type="dxa"/>
            </w:tcMar>
            <w:vAlign w:val="bottom"/>
          </w:tcPr>
          <w:p w14:paraId="675347B1" w14:textId="77777777" w:rsidR="001B77DD" w:rsidRDefault="001B77DD">
            <w:pPr>
              <w:rPr>
                <w:rFonts w:ascii="宋体"/>
              </w:rPr>
            </w:pPr>
          </w:p>
        </w:tc>
        <w:tc>
          <w:tcPr>
            <w:tcW w:w="0" w:type="auto"/>
            <w:gridSpan w:val="12"/>
            <w:vMerge w:val="restart"/>
            <w:shd w:val="clear" w:color="auto" w:fill="auto"/>
            <w:tcMar>
              <w:top w:w="40" w:type="dxa"/>
              <w:left w:w="20" w:type="dxa"/>
              <w:bottom w:w="40" w:type="dxa"/>
              <w:right w:w="20" w:type="dxa"/>
            </w:tcMar>
          </w:tcPr>
          <w:p w14:paraId="675347B2" w14:textId="77777777" w:rsidR="001B77DD" w:rsidRDefault="00BF0A28">
            <w:pPr>
              <w:textAlignment w:val="top"/>
            </w:pPr>
            <w:r>
              <w:rPr>
                <w:rFonts w:ascii="Arial" w:eastAsia="宋体" w:hAnsi="Arial" w:cs="Arial"/>
                <w:color w:val="0068B5"/>
                <w:sz w:val="18"/>
                <w:szCs w:val="18"/>
              </w:rPr>
              <w:t>Retail</w:t>
            </w:r>
            <w:r>
              <w:rPr>
                <w:rFonts w:ascii="Arial" w:eastAsia="宋体" w:hAnsi="Arial" w:cs="Arial"/>
                <w:b/>
                <w:bCs/>
                <w:color w:val="262626"/>
                <w:sz w:val="18"/>
                <w:szCs w:val="18"/>
              </w:rPr>
              <w:t>—</w:t>
            </w:r>
            <w:r>
              <w:rPr>
                <w:rFonts w:ascii="Arial" w:eastAsia="宋体" w:hAnsi="Arial" w:cs="Arial"/>
                <w:color w:val="262626"/>
                <w:sz w:val="18"/>
                <w:szCs w:val="18"/>
              </w:rPr>
              <w:t xml:space="preserve">Retailers produce mountains of data that can be used to proactively address evolving customer </w:t>
            </w:r>
            <w:r>
              <w:rPr>
                <w:rFonts w:ascii="Arial" w:eastAsia="宋体" w:hAnsi="Arial" w:cs="Arial"/>
                <w:color w:val="262626"/>
                <w:sz w:val="18"/>
                <w:szCs w:val="18"/>
              </w:rPr>
              <w:t>demands and improve operations. We provide solutions that enable retailers to extract the right insights from their data, in the right place, at the right time, allowing them to use intelligence to transform their businesses and to achieve their full poten</w:t>
            </w:r>
            <w:r>
              <w:rPr>
                <w:rFonts w:ascii="Arial" w:eastAsia="宋体" w:hAnsi="Arial" w:cs="Arial"/>
                <w:color w:val="262626"/>
                <w:sz w:val="18"/>
                <w:szCs w:val="18"/>
              </w:rPr>
              <w:t>tial. The result is greater efficiency, reduced complexity, increased sales, and a more personalized customer experience.</w:t>
            </w:r>
          </w:p>
        </w:tc>
      </w:tr>
      <w:tr w:rsidR="001B77DD" w14:paraId="675347B8" w14:textId="77777777">
        <w:trPr>
          <w:trHeight w:val="580"/>
        </w:trPr>
        <w:tc>
          <w:tcPr>
            <w:tcW w:w="0" w:type="auto"/>
            <w:gridSpan w:val="3"/>
            <w:vMerge/>
            <w:shd w:val="clear" w:color="auto" w:fill="auto"/>
            <w:tcMar>
              <w:top w:w="0" w:type="dxa"/>
              <w:left w:w="20" w:type="dxa"/>
              <w:bottom w:w="0" w:type="dxa"/>
              <w:right w:w="20" w:type="dxa"/>
            </w:tcMar>
            <w:vAlign w:val="bottom"/>
          </w:tcPr>
          <w:p w14:paraId="675347B4"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7B5"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7B6" w14:textId="77777777" w:rsidR="001B77DD" w:rsidRDefault="001B77DD">
            <w:pPr>
              <w:rPr>
                <w:rFonts w:ascii="宋体"/>
              </w:rPr>
            </w:pPr>
          </w:p>
        </w:tc>
        <w:tc>
          <w:tcPr>
            <w:tcW w:w="0" w:type="auto"/>
            <w:gridSpan w:val="18"/>
            <w:shd w:val="clear" w:color="auto" w:fill="auto"/>
            <w:vAlign w:val="bottom"/>
          </w:tcPr>
          <w:p w14:paraId="675347B7" w14:textId="77777777" w:rsidR="001B77DD" w:rsidRDefault="001B77DD">
            <w:pPr>
              <w:rPr>
                <w:rFonts w:ascii="宋体"/>
                <w:vanish/>
              </w:rPr>
            </w:pPr>
          </w:p>
        </w:tc>
      </w:tr>
      <w:tr w:rsidR="001B77DD" w14:paraId="675347BD" w14:textId="77777777">
        <w:trPr>
          <w:trHeight w:val="300"/>
        </w:trPr>
        <w:tc>
          <w:tcPr>
            <w:tcW w:w="0" w:type="auto"/>
            <w:gridSpan w:val="3"/>
            <w:vMerge/>
            <w:shd w:val="clear" w:color="auto" w:fill="auto"/>
            <w:tcMar>
              <w:top w:w="0" w:type="dxa"/>
              <w:left w:w="20" w:type="dxa"/>
              <w:bottom w:w="0" w:type="dxa"/>
              <w:right w:w="20" w:type="dxa"/>
            </w:tcMar>
            <w:vAlign w:val="bottom"/>
          </w:tcPr>
          <w:p w14:paraId="675347B9"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7BA"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7BB" w14:textId="77777777" w:rsidR="001B77DD" w:rsidRDefault="001B77DD">
            <w:pPr>
              <w:rPr>
                <w:rFonts w:ascii="宋体"/>
              </w:rPr>
            </w:pPr>
          </w:p>
        </w:tc>
        <w:tc>
          <w:tcPr>
            <w:tcW w:w="0" w:type="auto"/>
            <w:gridSpan w:val="18"/>
            <w:shd w:val="clear" w:color="auto" w:fill="auto"/>
            <w:vAlign w:val="bottom"/>
          </w:tcPr>
          <w:p w14:paraId="675347BC" w14:textId="77777777" w:rsidR="001B77DD" w:rsidRDefault="001B77DD">
            <w:pPr>
              <w:rPr>
                <w:rFonts w:ascii="宋体"/>
                <w:vanish/>
              </w:rPr>
            </w:pPr>
          </w:p>
        </w:tc>
      </w:tr>
      <w:tr w:rsidR="001B77DD" w14:paraId="675347D4" w14:textId="77777777">
        <w:trPr>
          <w:trHeight w:val="300"/>
        </w:trPr>
        <w:tc>
          <w:tcPr>
            <w:tcW w:w="0" w:type="auto"/>
            <w:gridSpan w:val="3"/>
            <w:vMerge/>
            <w:shd w:val="clear" w:color="auto" w:fill="auto"/>
            <w:tcMar>
              <w:top w:w="0" w:type="dxa"/>
              <w:left w:w="20" w:type="dxa"/>
              <w:bottom w:w="0" w:type="dxa"/>
              <w:right w:w="20" w:type="dxa"/>
            </w:tcMar>
            <w:vAlign w:val="bottom"/>
          </w:tcPr>
          <w:p w14:paraId="675347BE" w14:textId="77777777" w:rsidR="001B77DD" w:rsidRDefault="001B77DD">
            <w:pPr>
              <w:rPr>
                <w:rFonts w:ascii="宋体"/>
              </w:rPr>
            </w:pPr>
          </w:p>
        </w:tc>
        <w:tc>
          <w:tcPr>
            <w:tcW w:w="0" w:type="auto"/>
            <w:gridSpan w:val="3"/>
            <w:vMerge w:val="restart"/>
            <w:shd w:val="clear" w:color="auto" w:fill="auto"/>
            <w:tcMar>
              <w:top w:w="0" w:type="dxa"/>
              <w:left w:w="20" w:type="dxa"/>
              <w:bottom w:w="0" w:type="dxa"/>
              <w:right w:w="20" w:type="dxa"/>
            </w:tcMar>
            <w:vAlign w:val="bottom"/>
          </w:tcPr>
          <w:p w14:paraId="675347BF" w14:textId="77777777" w:rsidR="001B77DD" w:rsidRDefault="001B77DD">
            <w:pPr>
              <w:rPr>
                <w:rFonts w:ascii="宋体"/>
              </w:rPr>
            </w:pPr>
          </w:p>
        </w:tc>
        <w:tc>
          <w:tcPr>
            <w:tcW w:w="0" w:type="auto"/>
            <w:gridSpan w:val="12"/>
            <w:vMerge w:val="restart"/>
            <w:shd w:val="clear" w:color="auto" w:fill="auto"/>
            <w:tcMar>
              <w:top w:w="40" w:type="dxa"/>
              <w:left w:w="20" w:type="dxa"/>
              <w:bottom w:w="40" w:type="dxa"/>
              <w:right w:w="20" w:type="dxa"/>
            </w:tcMar>
          </w:tcPr>
          <w:p w14:paraId="675347C0" w14:textId="77777777" w:rsidR="001B77DD" w:rsidRDefault="00BF0A28">
            <w:pPr>
              <w:textAlignment w:val="top"/>
            </w:pPr>
            <w:r>
              <w:rPr>
                <w:rFonts w:ascii="Arial" w:eastAsia="宋体" w:hAnsi="Arial" w:cs="Arial"/>
                <w:color w:val="0068B5"/>
                <w:sz w:val="18"/>
                <w:szCs w:val="18"/>
              </w:rPr>
              <w:t>Industrial</w:t>
            </w:r>
            <w:r>
              <w:rPr>
                <w:rFonts w:ascii="Arial" w:eastAsia="宋体" w:hAnsi="Arial" w:cs="Arial"/>
                <w:b/>
                <w:bCs/>
                <w:color w:val="262626"/>
                <w:sz w:val="18"/>
                <w:szCs w:val="18"/>
              </w:rPr>
              <w:t>—</w:t>
            </w:r>
            <w:r>
              <w:rPr>
                <w:rFonts w:ascii="Arial" w:eastAsia="宋体" w:hAnsi="Arial" w:cs="Arial"/>
                <w:color w:val="262626"/>
                <w:sz w:val="18"/>
                <w:szCs w:val="18"/>
              </w:rPr>
              <w:t>We are transforming manufacturing today and expanding what is possible for tomorrow's autonomous operations. We are driving the realization of Industry 4.0 and, together with our ecosystem partners, addressing industry challenges like the convergence of in</w:t>
            </w:r>
            <w:r>
              <w:rPr>
                <w:rFonts w:ascii="Arial" w:eastAsia="宋体" w:hAnsi="Arial" w:cs="Arial"/>
                <w:color w:val="262626"/>
                <w:sz w:val="18"/>
                <w:szCs w:val="18"/>
              </w:rPr>
              <w:t xml:space="preserve">formation technology with operational technology, while bringing AI and analytics to operations. This enables customers to make informed decisions that lower maintenance costs, create new service opportunities, and increase productivity. </w:t>
            </w:r>
          </w:p>
          <w:p w14:paraId="675347C1" w14:textId="77777777" w:rsidR="001B77DD" w:rsidRDefault="001B77DD">
            <w:pPr>
              <w:textAlignment w:val="top"/>
            </w:pPr>
          </w:p>
        </w:tc>
        <w:tc>
          <w:tcPr>
            <w:tcW w:w="0" w:type="auto"/>
            <w:shd w:val="clear" w:color="auto" w:fill="auto"/>
            <w:vAlign w:val="bottom"/>
          </w:tcPr>
          <w:p w14:paraId="675347C2" w14:textId="77777777" w:rsidR="001B77DD" w:rsidRDefault="001B77DD">
            <w:pPr>
              <w:rPr>
                <w:rFonts w:ascii="宋体"/>
              </w:rPr>
            </w:pPr>
          </w:p>
        </w:tc>
        <w:tc>
          <w:tcPr>
            <w:tcW w:w="0" w:type="auto"/>
            <w:shd w:val="clear" w:color="auto" w:fill="auto"/>
            <w:vAlign w:val="bottom"/>
          </w:tcPr>
          <w:p w14:paraId="675347C3" w14:textId="77777777" w:rsidR="001B77DD" w:rsidRDefault="001B77DD">
            <w:pPr>
              <w:rPr>
                <w:rFonts w:ascii="宋体"/>
              </w:rPr>
            </w:pPr>
          </w:p>
        </w:tc>
        <w:tc>
          <w:tcPr>
            <w:tcW w:w="0" w:type="auto"/>
            <w:shd w:val="clear" w:color="auto" w:fill="auto"/>
            <w:vAlign w:val="bottom"/>
          </w:tcPr>
          <w:p w14:paraId="675347C4" w14:textId="77777777" w:rsidR="001B77DD" w:rsidRDefault="001B77DD">
            <w:pPr>
              <w:rPr>
                <w:rFonts w:ascii="宋体"/>
              </w:rPr>
            </w:pPr>
          </w:p>
        </w:tc>
        <w:tc>
          <w:tcPr>
            <w:tcW w:w="0" w:type="auto"/>
            <w:shd w:val="clear" w:color="auto" w:fill="auto"/>
            <w:vAlign w:val="bottom"/>
          </w:tcPr>
          <w:p w14:paraId="675347C5" w14:textId="77777777" w:rsidR="001B77DD" w:rsidRDefault="001B77DD">
            <w:pPr>
              <w:rPr>
                <w:rFonts w:ascii="宋体"/>
              </w:rPr>
            </w:pPr>
          </w:p>
        </w:tc>
        <w:tc>
          <w:tcPr>
            <w:tcW w:w="0" w:type="auto"/>
            <w:shd w:val="clear" w:color="auto" w:fill="auto"/>
            <w:vAlign w:val="bottom"/>
          </w:tcPr>
          <w:p w14:paraId="675347C6" w14:textId="77777777" w:rsidR="001B77DD" w:rsidRDefault="001B77DD">
            <w:pPr>
              <w:rPr>
                <w:rFonts w:ascii="宋体"/>
              </w:rPr>
            </w:pPr>
          </w:p>
        </w:tc>
        <w:tc>
          <w:tcPr>
            <w:tcW w:w="0" w:type="auto"/>
            <w:shd w:val="clear" w:color="auto" w:fill="auto"/>
            <w:vAlign w:val="bottom"/>
          </w:tcPr>
          <w:p w14:paraId="675347C7" w14:textId="77777777" w:rsidR="001B77DD" w:rsidRDefault="001B77DD">
            <w:pPr>
              <w:rPr>
                <w:rFonts w:ascii="宋体"/>
              </w:rPr>
            </w:pPr>
          </w:p>
        </w:tc>
        <w:tc>
          <w:tcPr>
            <w:tcW w:w="0" w:type="auto"/>
            <w:shd w:val="clear" w:color="auto" w:fill="auto"/>
            <w:vAlign w:val="bottom"/>
          </w:tcPr>
          <w:p w14:paraId="675347C8" w14:textId="77777777" w:rsidR="001B77DD" w:rsidRDefault="001B77DD">
            <w:pPr>
              <w:rPr>
                <w:rFonts w:ascii="宋体"/>
              </w:rPr>
            </w:pPr>
          </w:p>
        </w:tc>
        <w:tc>
          <w:tcPr>
            <w:tcW w:w="0" w:type="auto"/>
            <w:shd w:val="clear" w:color="auto" w:fill="auto"/>
            <w:vAlign w:val="bottom"/>
          </w:tcPr>
          <w:p w14:paraId="675347C9" w14:textId="77777777" w:rsidR="001B77DD" w:rsidRDefault="001B77DD">
            <w:pPr>
              <w:rPr>
                <w:rFonts w:ascii="宋体"/>
              </w:rPr>
            </w:pPr>
          </w:p>
        </w:tc>
        <w:tc>
          <w:tcPr>
            <w:tcW w:w="0" w:type="auto"/>
            <w:shd w:val="clear" w:color="auto" w:fill="auto"/>
            <w:vAlign w:val="bottom"/>
          </w:tcPr>
          <w:p w14:paraId="675347CA" w14:textId="77777777" w:rsidR="001B77DD" w:rsidRDefault="001B77DD">
            <w:pPr>
              <w:rPr>
                <w:rFonts w:ascii="宋体"/>
              </w:rPr>
            </w:pPr>
          </w:p>
        </w:tc>
        <w:tc>
          <w:tcPr>
            <w:tcW w:w="0" w:type="auto"/>
            <w:shd w:val="clear" w:color="auto" w:fill="auto"/>
            <w:vAlign w:val="bottom"/>
          </w:tcPr>
          <w:p w14:paraId="675347CB" w14:textId="77777777" w:rsidR="001B77DD" w:rsidRDefault="001B77DD">
            <w:pPr>
              <w:rPr>
                <w:rFonts w:ascii="宋体"/>
              </w:rPr>
            </w:pPr>
          </w:p>
        </w:tc>
        <w:tc>
          <w:tcPr>
            <w:tcW w:w="0" w:type="auto"/>
            <w:shd w:val="clear" w:color="auto" w:fill="auto"/>
            <w:vAlign w:val="bottom"/>
          </w:tcPr>
          <w:p w14:paraId="675347CC" w14:textId="77777777" w:rsidR="001B77DD" w:rsidRDefault="001B77DD">
            <w:pPr>
              <w:rPr>
                <w:rFonts w:ascii="宋体"/>
              </w:rPr>
            </w:pPr>
          </w:p>
        </w:tc>
        <w:tc>
          <w:tcPr>
            <w:tcW w:w="0" w:type="auto"/>
            <w:shd w:val="clear" w:color="auto" w:fill="auto"/>
            <w:vAlign w:val="bottom"/>
          </w:tcPr>
          <w:p w14:paraId="675347CD" w14:textId="77777777" w:rsidR="001B77DD" w:rsidRDefault="001B77DD">
            <w:pPr>
              <w:rPr>
                <w:rFonts w:ascii="宋体"/>
              </w:rPr>
            </w:pPr>
          </w:p>
        </w:tc>
        <w:tc>
          <w:tcPr>
            <w:tcW w:w="0" w:type="auto"/>
            <w:shd w:val="clear" w:color="auto" w:fill="auto"/>
            <w:vAlign w:val="bottom"/>
          </w:tcPr>
          <w:p w14:paraId="675347CE" w14:textId="77777777" w:rsidR="001B77DD" w:rsidRDefault="001B77DD">
            <w:pPr>
              <w:rPr>
                <w:rFonts w:ascii="宋体"/>
              </w:rPr>
            </w:pPr>
          </w:p>
        </w:tc>
        <w:tc>
          <w:tcPr>
            <w:tcW w:w="0" w:type="auto"/>
            <w:shd w:val="clear" w:color="auto" w:fill="auto"/>
            <w:vAlign w:val="bottom"/>
          </w:tcPr>
          <w:p w14:paraId="675347CF" w14:textId="77777777" w:rsidR="001B77DD" w:rsidRDefault="001B77DD">
            <w:pPr>
              <w:rPr>
                <w:rFonts w:ascii="宋体"/>
              </w:rPr>
            </w:pPr>
          </w:p>
        </w:tc>
        <w:tc>
          <w:tcPr>
            <w:tcW w:w="0" w:type="auto"/>
            <w:shd w:val="clear" w:color="auto" w:fill="auto"/>
            <w:vAlign w:val="bottom"/>
          </w:tcPr>
          <w:p w14:paraId="675347D0" w14:textId="77777777" w:rsidR="001B77DD" w:rsidRDefault="001B77DD">
            <w:pPr>
              <w:rPr>
                <w:rFonts w:ascii="宋体"/>
              </w:rPr>
            </w:pPr>
          </w:p>
        </w:tc>
        <w:tc>
          <w:tcPr>
            <w:tcW w:w="0" w:type="auto"/>
            <w:shd w:val="clear" w:color="auto" w:fill="auto"/>
            <w:vAlign w:val="bottom"/>
          </w:tcPr>
          <w:p w14:paraId="675347D1" w14:textId="77777777" w:rsidR="001B77DD" w:rsidRDefault="001B77DD">
            <w:pPr>
              <w:rPr>
                <w:rFonts w:ascii="宋体"/>
              </w:rPr>
            </w:pPr>
          </w:p>
        </w:tc>
        <w:tc>
          <w:tcPr>
            <w:tcW w:w="0" w:type="auto"/>
            <w:shd w:val="clear" w:color="auto" w:fill="auto"/>
            <w:vAlign w:val="bottom"/>
          </w:tcPr>
          <w:p w14:paraId="675347D2" w14:textId="77777777" w:rsidR="001B77DD" w:rsidRDefault="001B77DD">
            <w:pPr>
              <w:rPr>
                <w:rFonts w:ascii="宋体"/>
              </w:rPr>
            </w:pPr>
          </w:p>
        </w:tc>
        <w:tc>
          <w:tcPr>
            <w:tcW w:w="0" w:type="auto"/>
            <w:shd w:val="clear" w:color="auto" w:fill="auto"/>
            <w:vAlign w:val="bottom"/>
          </w:tcPr>
          <w:p w14:paraId="675347D3" w14:textId="77777777" w:rsidR="001B77DD" w:rsidRDefault="001B77DD">
            <w:pPr>
              <w:rPr>
                <w:rFonts w:ascii="宋体"/>
              </w:rPr>
            </w:pPr>
          </w:p>
        </w:tc>
      </w:tr>
      <w:tr w:rsidR="001B77DD" w14:paraId="675347D9" w14:textId="77777777">
        <w:trPr>
          <w:trHeight w:val="240"/>
        </w:trPr>
        <w:tc>
          <w:tcPr>
            <w:tcW w:w="0" w:type="auto"/>
            <w:gridSpan w:val="3"/>
            <w:vMerge/>
            <w:shd w:val="clear" w:color="auto" w:fill="auto"/>
            <w:tcMar>
              <w:top w:w="0" w:type="dxa"/>
              <w:left w:w="20" w:type="dxa"/>
              <w:bottom w:w="0" w:type="dxa"/>
              <w:right w:w="20" w:type="dxa"/>
            </w:tcMar>
            <w:vAlign w:val="bottom"/>
          </w:tcPr>
          <w:p w14:paraId="675347D5"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7D6"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7D7" w14:textId="77777777" w:rsidR="001B77DD" w:rsidRDefault="001B77DD">
            <w:pPr>
              <w:rPr>
                <w:rFonts w:ascii="宋体"/>
              </w:rPr>
            </w:pPr>
          </w:p>
        </w:tc>
        <w:tc>
          <w:tcPr>
            <w:tcW w:w="0" w:type="auto"/>
            <w:gridSpan w:val="18"/>
            <w:shd w:val="clear" w:color="auto" w:fill="auto"/>
            <w:vAlign w:val="bottom"/>
          </w:tcPr>
          <w:p w14:paraId="675347D8" w14:textId="77777777" w:rsidR="001B77DD" w:rsidRDefault="001B77DD">
            <w:pPr>
              <w:rPr>
                <w:rFonts w:ascii="宋体"/>
                <w:vanish/>
              </w:rPr>
            </w:pPr>
          </w:p>
        </w:tc>
      </w:tr>
      <w:tr w:rsidR="001B77DD" w14:paraId="675347DE" w14:textId="77777777">
        <w:trPr>
          <w:trHeight w:val="660"/>
        </w:trPr>
        <w:tc>
          <w:tcPr>
            <w:tcW w:w="0" w:type="auto"/>
            <w:gridSpan w:val="3"/>
            <w:vMerge/>
            <w:shd w:val="clear" w:color="auto" w:fill="auto"/>
            <w:tcMar>
              <w:top w:w="0" w:type="dxa"/>
              <w:left w:w="20" w:type="dxa"/>
              <w:bottom w:w="0" w:type="dxa"/>
              <w:right w:w="20" w:type="dxa"/>
            </w:tcMar>
            <w:vAlign w:val="bottom"/>
          </w:tcPr>
          <w:p w14:paraId="675347DA"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7DB"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7DC" w14:textId="77777777" w:rsidR="001B77DD" w:rsidRDefault="001B77DD">
            <w:pPr>
              <w:rPr>
                <w:rFonts w:ascii="宋体"/>
              </w:rPr>
            </w:pPr>
          </w:p>
        </w:tc>
        <w:tc>
          <w:tcPr>
            <w:tcW w:w="0" w:type="auto"/>
            <w:gridSpan w:val="18"/>
            <w:shd w:val="clear" w:color="auto" w:fill="auto"/>
            <w:vAlign w:val="bottom"/>
          </w:tcPr>
          <w:p w14:paraId="675347DD" w14:textId="77777777" w:rsidR="001B77DD" w:rsidRDefault="001B77DD">
            <w:pPr>
              <w:rPr>
                <w:rFonts w:ascii="宋体"/>
                <w:vanish/>
              </w:rPr>
            </w:pPr>
          </w:p>
        </w:tc>
      </w:tr>
      <w:tr w:rsidR="001B77DD" w14:paraId="675347E3" w14:textId="77777777">
        <w:trPr>
          <w:trHeight w:val="240"/>
        </w:trPr>
        <w:tc>
          <w:tcPr>
            <w:tcW w:w="0" w:type="auto"/>
            <w:gridSpan w:val="3"/>
            <w:vMerge/>
            <w:shd w:val="clear" w:color="auto" w:fill="auto"/>
            <w:tcMar>
              <w:top w:w="0" w:type="dxa"/>
              <w:left w:w="20" w:type="dxa"/>
              <w:bottom w:w="0" w:type="dxa"/>
              <w:right w:w="20" w:type="dxa"/>
            </w:tcMar>
            <w:vAlign w:val="bottom"/>
          </w:tcPr>
          <w:p w14:paraId="675347DF"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7E0"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7E1" w14:textId="77777777" w:rsidR="001B77DD" w:rsidRDefault="001B77DD">
            <w:pPr>
              <w:rPr>
                <w:rFonts w:ascii="宋体"/>
              </w:rPr>
            </w:pPr>
          </w:p>
        </w:tc>
        <w:tc>
          <w:tcPr>
            <w:tcW w:w="0" w:type="auto"/>
            <w:gridSpan w:val="18"/>
            <w:shd w:val="clear" w:color="auto" w:fill="auto"/>
            <w:vAlign w:val="bottom"/>
          </w:tcPr>
          <w:p w14:paraId="675347E2" w14:textId="77777777" w:rsidR="001B77DD" w:rsidRDefault="001B77DD">
            <w:pPr>
              <w:rPr>
                <w:rFonts w:ascii="宋体"/>
                <w:vanish/>
              </w:rPr>
            </w:pPr>
          </w:p>
        </w:tc>
      </w:tr>
      <w:tr w:rsidR="001B77DD" w14:paraId="675347F9" w14:textId="77777777">
        <w:trPr>
          <w:trHeight w:val="420"/>
        </w:trPr>
        <w:tc>
          <w:tcPr>
            <w:tcW w:w="0" w:type="auto"/>
            <w:gridSpan w:val="3"/>
            <w:vMerge/>
            <w:shd w:val="clear" w:color="auto" w:fill="auto"/>
            <w:tcMar>
              <w:top w:w="0" w:type="dxa"/>
              <w:left w:w="20" w:type="dxa"/>
              <w:bottom w:w="0" w:type="dxa"/>
              <w:right w:w="20" w:type="dxa"/>
            </w:tcMar>
            <w:vAlign w:val="bottom"/>
          </w:tcPr>
          <w:p w14:paraId="675347E4" w14:textId="77777777" w:rsidR="001B77DD" w:rsidRDefault="001B77DD">
            <w:pPr>
              <w:rPr>
                <w:rFonts w:ascii="宋体"/>
              </w:rPr>
            </w:pPr>
          </w:p>
        </w:tc>
        <w:tc>
          <w:tcPr>
            <w:tcW w:w="0" w:type="auto"/>
            <w:gridSpan w:val="3"/>
            <w:vMerge w:val="restart"/>
            <w:shd w:val="clear" w:color="auto" w:fill="auto"/>
            <w:tcMar>
              <w:top w:w="0" w:type="dxa"/>
              <w:left w:w="20" w:type="dxa"/>
              <w:bottom w:w="0" w:type="dxa"/>
              <w:right w:w="20" w:type="dxa"/>
            </w:tcMar>
            <w:vAlign w:val="bottom"/>
          </w:tcPr>
          <w:p w14:paraId="675347E5" w14:textId="77777777" w:rsidR="001B77DD" w:rsidRDefault="001B77DD">
            <w:pPr>
              <w:rPr>
                <w:rFonts w:ascii="宋体"/>
              </w:rPr>
            </w:pPr>
          </w:p>
        </w:tc>
        <w:tc>
          <w:tcPr>
            <w:tcW w:w="0" w:type="auto"/>
            <w:gridSpan w:val="12"/>
            <w:vMerge w:val="restart"/>
            <w:shd w:val="clear" w:color="auto" w:fill="auto"/>
            <w:tcMar>
              <w:top w:w="40" w:type="dxa"/>
              <w:left w:w="20" w:type="dxa"/>
              <w:bottom w:w="40" w:type="dxa"/>
              <w:right w:w="20" w:type="dxa"/>
            </w:tcMar>
          </w:tcPr>
          <w:p w14:paraId="675347E6" w14:textId="77777777" w:rsidR="001B77DD" w:rsidRDefault="00BF0A28">
            <w:pPr>
              <w:textAlignment w:val="top"/>
            </w:pPr>
            <w:r>
              <w:rPr>
                <w:rFonts w:ascii="Arial" w:eastAsia="宋体" w:hAnsi="Arial" w:cs="Arial"/>
                <w:color w:val="0068B5"/>
                <w:sz w:val="18"/>
                <w:szCs w:val="18"/>
              </w:rPr>
              <w:t>Healthcare</w:t>
            </w:r>
            <w:r>
              <w:rPr>
                <w:rFonts w:ascii="Arial" w:eastAsia="宋体" w:hAnsi="Arial" w:cs="Arial"/>
                <w:b/>
                <w:bCs/>
                <w:color w:val="262626"/>
                <w:sz w:val="18"/>
                <w:szCs w:val="18"/>
              </w:rPr>
              <w:t>—</w:t>
            </w:r>
            <w:r>
              <w:rPr>
                <w:rFonts w:ascii="Arial" w:eastAsia="宋体" w:hAnsi="Arial" w:cs="Arial"/>
                <w:color w:val="262626"/>
                <w:sz w:val="18"/>
                <w:szCs w:val="18"/>
              </w:rPr>
              <w:t xml:space="preserve">We are advancing technologies to enable healthcare providers to focus on patients and their care. Technologies like AI, robotics, and 5G are making healthcare and life sciences more connected, personalized, and </w:t>
            </w:r>
            <w:r>
              <w:rPr>
                <w:rFonts w:ascii="Arial" w:eastAsia="宋体" w:hAnsi="Arial" w:cs="Arial"/>
                <w:color w:val="262626"/>
                <w:sz w:val="18"/>
                <w:szCs w:val="18"/>
              </w:rPr>
              <w:t>intelligent. Our technology innovations give researchers powerful tools to make breakthrough discoveries and solve some of the world's largest healthcare and life science challenges in lab and research environments. By working together with solution provid</w:t>
            </w:r>
            <w:r>
              <w:rPr>
                <w:rFonts w:ascii="Arial" w:eastAsia="宋体" w:hAnsi="Arial" w:cs="Arial"/>
                <w:color w:val="262626"/>
                <w:sz w:val="18"/>
                <w:szCs w:val="18"/>
              </w:rPr>
              <w:t>ers and end users in the healthcare community, we will continue to develop transformative technologies for the future of healthcare and life sciences.</w:t>
            </w:r>
          </w:p>
        </w:tc>
        <w:tc>
          <w:tcPr>
            <w:tcW w:w="0" w:type="auto"/>
            <w:shd w:val="clear" w:color="auto" w:fill="auto"/>
            <w:vAlign w:val="bottom"/>
          </w:tcPr>
          <w:p w14:paraId="675347E7" w14:textId="77777777" w:rsidR="001B77DD" w:rsidRDefault="001B77DD">
            <w:pPr>
              <w:rPr>
                <w:rFonts w:ascii="宋体"/>
              </w:rPr>
            </w:pPr>
          </w:p>
        </w:tc>
        <w:tc>
          <w:tcPr>
            <w:tcW w:w="0" w:type="auto"/>
            <w:shd w:val="clear" w:color="auto" w:fill="auto"/>
            <w:vAlign w:val="bottom"/>
          </w:tcPr>
          <w:p w14:paraId="675347E8" w14:textId="77777777" w:rsidR="001B77DD" w:rsidRDefault="001B77DD">
            <w:pPr>
              <w:rPr>
                <w:rFonts w:ascii="宋体"/>
              </w:rPr>
            </w:pPr>
          </w:p>
        </w:tc>
        <w:tc>
          <w:tcPr>
            <w:tcW w:w="0" w:type="auto"/>
            <w:shd w:val="clear" w:color="auto" w:fill="auto"/>
            <w:vAlign w:val="bottom"/>
          </w:tcPr>
          <w:p w14:paraId="675347E9" w14:textId="77777777" w:rsidR="001B77DD" w:rsidRDefault="001B77DD">
            <w:pPr>
              <w:rPr>
                <w:rFonts w:ascii="宋体"/>
              </w:rPr>
            </w:pPr>
          </w:p>
        </w:tc>
        <w:tc>
          <w:tcPr>
            <w:tcW w:w="0" w:type="auto"/>
            <w:shd w:val="clear" w:color="auto" w:fill="auto"/>
            <w:vAlign w:val="bottom"/>
          </w:tcPr>
          <w:p w14:paraId="675347EA" w14:textId="77777777" w:rsidR="001B77DD" w:rsidRDefault="001B77DD">
            <w:pPr>
              <w:rPr>
                <w:rFonts w:ascii="宋体"/>
              </w:rPr>
            </w:pPr>
          </w:p>
        </w:tc>
        <w:tc>
          <w:tcPr>
            <w:tcW w:w="0" w:type="auto"/>
            <w:shd w:val="clear" w:color="auto" w:fill="auto"/>
            <w:vAlign w:val="bottom"/>
          </w:tcPr>
          <w:p w14:paraId="675347EB" w14:textId="77777777" w:rsidR="001B77DD" w:rsidRDefault="001B77DD">
            <w:pPr>
              <w:rPr>
                <w:rFonts w:ascii="宋体"/>
              </w:rPr>
            </w:pPr>
          </w:p>
        </w:tc>
        <w:tc>
          <w:tcPr>
            <w:tcW w:w="0" w:type="auto"/>
            <w:shd w:val="clear" w:color="auto" w:fill="auto"/>
            <w:vAlign w:val="bottom"/>
          </w:tcPr>
          <w:p w14:paraId="675347EC" w14:textId="77777777" w:rsidR="001B77DD" w:rsidRDefault="001B77DD">
            <w:pPr>
              <w:rPr>
                <w:rFonts w:ascii="宋体"/>
              </w:rPr>
            </w:pPr>
          </w:p>
        </w:tc>
        <w:tc>
          <w:tcPr>
            <w:tcW w:w="0" w:type="auto"/>
            <w:shd w:val="clear" w:color="auto" w:fill="auto"/>
            <w:vAlign w:val="bottom"/>
          </w:tcPr>
          <w:p w14:paraId="675347ED" w14:textId="77777777" w:rsidR="001B77DD" w:rsidRDefault="001B77DD">
            <w:pPr>
              <w:rPr>
                <w:rFonts w:ascii="宋体"/>
              </w:rPr>
            </w:pPr>
          </w:p>
        </w:tc>
        <w:tc>
          <w:tcPr>
            <w:tcW w:w="0" w:type="auto"/>
            <w:shd w:val="clear" w:color="auto" w:fill="auto"/>
            <w:vAlign w:val="bottom"/>
          </w:tcPr>
          <w:p w14:paraId="675347EE" w14:textId="77777777" w:rsidR="001B77DD" w:rsidRDefault="001B77DD">
            <w:pPr>
              <w:rPr>
                <w:rFonts w:ascii="宋体"/>
              </w:rPr>
            </w:pPr>
          </w:p>
        </w:tc>
        <w:tc>
          <w:tcPr>
            <w:tcW w:w="0" w:type="auto"/>
            <w:shd w:val="clear" w:color="auto" w:fill="auto"/>
            <w:vAlign w:val="bottom"/>
          </w:tcPr>
          <w:p w14:paraId="675347EF" w14:textId="77777777" w:rsidR="001B77DD" w:rsidRDefault="001B77DD">
            <w:pPr>
              <w:rPr>
                <w:rFonts w:ascii="宋体"/>
              </w:rPr>
            </w:pPr>
          </w:p>
        </w:tc>
        <w:tc>
          <w:tcPr>
            <w:tcW w:w="0" w:type="auto"/>
            <w:shd w:val="clear" w:color="auto" w:fill="auto"/>
            <w:vAlign w:val="bottom"/>
          </w:tcPr>
          <w:p w14:paraId="675347F0" w14:textId="77777777" w:rsidR="001B77DD" w:rsidRDefault="001B77DD">
            <w:pPr>
              <w:rPr>
                <w:rFonts w:ascii="宋体"/>
              </w:rPr>
            </w:pPr>
          </w:p>
        </w:tc>
        <w:tc>
          <w:tcPr>
            <w:tcW w:w="0" w:type="auto"/>
            <w:shd w:val="clear" w:color="auto" w:fill="auto"/>
            <w:vAlign w:val="bottom"/>
          </w:tcPr>
          <w:p w14:paraId="675347F1" w14:textId="77777777" w:rsidR="001B77DD" w:rsidRDefault="001B77DD">
            <w:pPr>
              <w:rPr>
                <w:rFonts w:ascii="宋体"/>
              </w:rPr>
            </w:pPr>
          </w:p>
        </w:tc>
        <w:tc>
          <w:tcPr>
            <w:tcW w:w="0" w:type="auto"/>
            <w:shd w:val="clear" w:color="auto" w:fill="auto"/>
            <w:vAlign w:val="bottom"/>
          </w:tcPr>
          <w:p w14:paraId="675347F2" w14:textId="77777777" w:rsidR="001B77DD" w:rsidRDefault="001B77DD">
            <w:pPr>
              <w:rPr>
                <w:rFonts w:ascii="宋体"/>
              </w:rPr>
            </w:pPr>
          </w:p>
        </w:tc>
        <w:tc>
          <w:tcPr>
            <w:tcW w:w="0" w:type="auto"/>
            <w:shd w:val="clear" w:color="auto" w:fill="auto"/>
            <w:vAlign w:val="bottom"/>
          </w:tcPr>
          <w:p w14:paraId="675347F3" w14:textId="77777777" w:rsidR="001B77DD" w:rsidRDefault="001B77DD">
            <w:pPr>
              <w:rPr>
                <w:rFonts w:ascii="宋体"/>
              </w:rPr>
            </w:pPr>
          </w:p>
        </w:tc>
        <w:tc>
          <w:tcPr>
            <w:tcW w:w="0" w:type="auto"/>
            <w:shd w:val="clear" w:color="auto" w:fill="auto"/>
            <w:vAlign w:val="bottom"/>
          </w:tcPr>
          <w:p w14:paraId="675347F4" w14:textId="77777777" w:rsidR="001B77DD" w:rsidRDefault="001B77DD">
            <w:pPr>
              <w:rPr>
                <w:rFonts w:ascii="宋体"/>
              </w:rPr>
            </w:pPr>
          </w:p>
        </w:tc>
        <w:tc>
          <w:tcPr>
            <w:tcW w:w="0" w:type="auto"/>
            <w:shd w:val="clear" w:color="auto" w:fill="auto"/>
            <w:vAlign w:val="bottom"/>
          </w:tcPr>
          <w:p w14:paraId="675347F5" w14:textId="77777777" w:rsidR="001B77DD" w:rsidRDefault="001B77DD">
            <w:pPr>
              <w:rPr>
                <w:rFonts w:ascii="宋体"/>
              </w:rPr>
            </w:pPr>
          </w:p>
        </w:tc>
        <w:tc>
          <w:tcPr>
            <w:tcW w:w="0" w:type="auto"/>
            <w:shd w:val="clear" w:color="auto" w:fill="auto"/>
            <w:vAlign w:val="bottom"/>
          </w:tcPr>
          <w:p w14:paraId="675347F6" w14:textId="77777777" w:rsidR="001B77DD" w:rsidRDefault="001B77DD">
            <w:pPr>
              <w:rPr>
                <w:rFonts w:ascii="宋体"/>
              </w:rPr>
            </w:pPr>
          </w:p>
        </w:tc>
        <w:tc>
          <w:tcPr>
            <w:tcW w:w="0" w:type="auto"/>
            <w:shd w:val="clear" w:color="auto" w:fill="auto"/>
            <w:vAlign w:val="bottom"/>
          </w:tcPr>
          <w:p w14:paraId="675347F7" w14:textId="77777777" w:rsidR="001B77DD" w:rsidRDefault="001B77DD">
            <w:pPr>
              <w:rPr>
                <w:rFonts w:ascii="宋体"/>
              </w:rPr>
            </w:pPr>
          </w:p>
        </w:tc>
        <w:tc>
          <w:tcPr>
            <w:tcW w:w="0" w:type="auto"/>
            <w:shd w:val="clear" w:color="auto" w:fill="auto"/>
            <w:vAlign w:val="bottom"/>
          </w:tcPr>
          <w:p w14:paraId="675347F8" w14:textId="77777777" w:rsidR="001B77DD" w:rsidRDefault="001B77DD">
            <w:pPr>
              <w:rPr>
                <w:rFonts w:ascii="宋体"/>
              </w:rPr>
            </w:pPr>
          </w:p>
        </w:tc>
      </w:tr>
      <w:tr w:rsidR="001B77DD" w14:paraId="675347FE" w14:textId="77777777">
        <w:trPr>
          <w:trHeight w:val="360"/>
        </w:trPr>
        <w:tc>
          <w:tcPr>
            <w:tcW w:w="0" w:type="auto"/>
            <w:gridSpan w:val="3"/>
            <w:vMerge/>
            <w:shd w:val="clear" w:color="auto" w:fill="auto"/>
            <w:tcMar>
              <w:top w:w="0" w:type="dxa"/>
              <w:left w:w="20" w:type="dxa"/>
              <w:bottom w:w="0" w:type="dxa"/>
              <w:right w:w="20" w:type="dxa"/>
            </w:tcMar>
            <w:vAlign w:val="bottom"/>
          </w:tcPr>
          <w:p w14:paraId="675347FA"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7FB"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7FC" w14:textId="77777777" w:rsidR="001B77DD" w:rsidRDefault="001B77DD">
            <w:pPr>
              <w:rPr>
                <w:rFonts w:ascii="宋体"/>
              </w:rPr>
            </w:pPr>
          </w:p>
        </w:tc>
        <w:tc>
          <w:tcPr>
            <w:tcW w:w="0" w:type="auto"/>
            <w:gridSpan w:val="18"/>
            <w:shd w:val="clear" w:color="auto" w:fill="auto"/>
            <w:vAlign w:val="bottom"/>
          </w:tcPr>
          <w:p w14:paraId="675347FD" w14:textId="77777777" w:rsidR="001B77DD" w:rsidRDefault="001B77DD">
            <w:pPr>
              <w:rPr>
                <w:rFonts w:ascii="宋体"/>
                <w:vanish/>
              </w:rPr>
            </w:pPr>
          </w:p>
        </w:tc>
      </w:tr>
      <w:tr w:rsidR="001B77DD" w14:paraId="67534803" w14:textId="77777777">
        <w:trPr>
          <w:trHeight w:val="400"/>
        </w:trPr>
        <w:tc>
          <w:tcPr>
            <w:tcW w:w="0" w:type="auto"/>
            <w:gridSpan w:val="3"/>
            <w:vMerge/>
            <w:shd w:val="clear" w:color="auto" w:fill="auto"/>
            <w:tcMar>
              <w:top w:w="0" w:type="dxa"/>
              <w:left w:w="20" w:type="dxa"/>
              <w:bottom w:w="0" w:type="dxa"/>
              <w:right w:w="20" w:type="dxa"/>
            </w:tcMar>
            <w:vAlign w:val="bottom"/>
          </w:tcPr>
          <w:p w14:paraId="675347FF"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800"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801" w14:textId="77777777" w:rsidR="001B77DD" w:rsidRDefault="001B77DD">
            <w:pPr>
              <w:rPr>
                <w:rFonts w:ascii="宋体"/>
              </w:rPr>
            </w:pPr>
          </w:p>
        </w:tc>
        <w:tc>
          <w:tcPr>
            <w:tcW w:w="0" w:type="auto"/>
            <w:gridSpan w:val="18"/>
            <w:shd w:val="clear" w:color="auto" w:fill="auto"/>
            <w:vAlign w:val="bottom"/>
          </w:tcPr>
          <w:p w14:paraId="67534802" w14:textId="77777777" w:rsidR="001B77DD" w:rsidRDefault="001B77DD">
            <w:pPr>
              <w:rPr>
                <w:rFonts w:ascii="宋体"/>
                <w:vanish/>
              </w:rPr>
            </w:pPr>
          </w:p>
        </w:tc>
      </w:tr>
      <w:tr w:rsidR="001B77DD" w14:paraId="67534808" w14:textId="77777777">
        <w:trPr>
          <w:trHeight w:val="240"/>
        </w:trPr>
        <w:tc>
          <w:tcPr>
            <w:tcW w:w="0" w:type="auto"/>
            <w:gridSpan w:val="3"/>
            <w:vMerge/>
            <w:shd w:val="clear" w:color="auto" w:fill="auto"/>
            <w:tcMar>
              <w:top w:w="0" w:type="dxa"/>
              <w:left w:w="20" w:type="dxa"/>
              <w:bottom w:w="0" w:type="dxa"/>
              <w:right w:w="20" w:type="dxa"/>
            </w:tcMar>
            <w:vAlign w:val="bottom"/>
          </w:tcPr>
          <w:p w14:paraId="67534804"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805"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806" w14:textId="77777777" w:rsidR="001B77DD" w:rsidRDefault="001B77DD">
            <w:pPr>
              <w:rPr>
                <w:rFonts w:ascii="宋体"/>
              </w:rPr>
            </w:pPr>
          </w:p>
        </w:tc>
        <w:tc>
          <w:tcPr>
            <w:tcW w:w="0" w:type="auto"/>
            <w:gridSpan w:val="18"/>
            <w:shd w:val="clear" w:color="auto" w:fill="auto"/>
            <w:vAlign w:val="bottom"/>
          </w:tcPr>
          <w:p w14:paraId="67534807" w14:textId="77777777" w:rsidR="001B77DD" w:rsidRDefault="001B77DD">
            <w:pPr>
              <w:rPr>
                <w:rFonts w:ascii="宋体"/>
                <w:vanish/>
              </w:rPr>
            </w:pPr>
          </w:p>
        </w:tc>
      </w:tr>
      <w:tr w:rsidR="001B77DD" w14:paraId="6753480D" w14:textId="77777777">
        <w:trPr>
          <w:trHeight w:val="220"/>
        </w:trPr>
        <w:tc>
          <w:tcPr>
            <w:tcW w:w="0" w:type="auto"/>
            <w:gridSpan w:val="3"/>
            <w:vMerge/>
            <w:shd w:val="clear" w:color="auto" w:fill="auto"/>
            <w:tcMar>
              <w:top w:w="0" w:type="dxa"/>
              <w:left w:w="20" w:type="dxa"/>
              <w:bottom w:w="0" w:type="dxa"/>
              <w:right w:w="20" w:type="dxa"/>
            </w:tcMar>
            <w:vAlign w:val="bottom"/>
          </w:tcPr>
          <w:p w14:paraId="67534809"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80A" w14:textId="77777777" w:rsidR="001B77DD" w:rsidRDefault="001B77DD">
            <w:pPr>
              <w:rPr>
                <w:rFonts w:ascii="宋体"/>
              </w:rPr>
            </w:pPr>
          </w:p>
        </w:tc>
        <w:tc>
          <w:tcPr>
            <w:tcW w:w="0" w:type="auto"/>
            <w:gridSpan w:val="12"/>
            <w:vMerge/>
            <w:shd w:val="clear" w:color="auto" w:fill="auto"/>
            <w:tcMar>
              <w:top w:w="40" w:type="dxa"/>
              <w:left w:w="20" w:type="dxa"/>
              <w:bottom w:w="40" w:type="dxa"/>
              <w:right w:w="20" w:type="dxa"/>
            </w:tcMar>
          </w:tcPr>
          <w:p w14:paraId="6753480B" w14:textId="77777777" w:rsidR="001B77DD" w:rsidRDefault="001B77DD">
            <w:pPr>
              <w:rPr>
                <w:rFonts w:ascii="宋体"/>
              </w:rPr>
            </w:pPr>
          </w:p>
        </w:tc>
        <w:tc>
          <w:tcPr>
            <w:tcW w:w="0" w:type="auto"/>
            <w:gridSpan w:val="18"/>
            <w:shd w:val="clear" w:color="auto" w:fill="auto"/>
            <w:vAlign w:val="bottom"/>
          </w:tcPr>
          <w:p w14:paraId="6753480C" w14:textId="77777777" w:rsidR="001B77DD" w:rsidRDefault="001B77DD">
            <w:pPr>
              <w:rPr>
                <w:rFonts w:ascii="宋体"/>
                <w:vanish/>
              </w:rPr>
            </w:pPr>
          </w:p>
        </w:tc>
      </w:tr>
    </w:tbl>
    <w:p w14:paraId="6753480E" w14:textId="77777777" w:rsidR="001B77DD" w:rsidRDefault="00BF0A28">
      <w:pPr>
        <w:spacing w:after="120"/>
      </w:pPr>
      <w:r>
        <w:rPr>
          <w:rFonts w:ascii="Arial" w:eastAsia="宋体" w:hAnsi="Arial" w:cs="Arial"/>
          <w:color w:val="0068B5"/>
          <w:sz w:val="20"/>
          <w:szCs w:val="20"/>
        </w:rPr>
        <w:t>Products and Competition</w:t>
      </w:r>
    </w:p>
    <w:p w14:paraId="6753480F" w14:textId="77777777" w:rsidR="001B77DD" w:rsidRDefault="00BF0A28">
      <w:pPr>
        <w:spacing w:after="180"/>
      </w:pPr>
      <w:r>
        <w:rPr>
          <w:rFonts w:ascii="Arial" w:eastAsia="宋体" w:hAnsi="Arial" w:cs="Arial"/>
          <w:color w:val="262626"/>
          <w:sz w:val="18"/>
          <w:szCs w:val="18"/>
        </w:rPr>
        <w:t xml:space="preserve">IOTG utilizes Intel's </w:t>
      </w:r>
      <w:r>
        <w:rPr>
          <w:rFonts w:ascii="Arial" w:eastAsia="宋体" w:hAnsi="Arial" w:cs="Arial"/>
          <w:color w:val="262626"/>
          <w:sz w:val="18"/>
          <w:szCs w:val="18"/>
        </w:rPr>
        <w:t>technology portfolio to provide horizontal platforms while making additional investments needed to adapt products to the specific requirements for our vertical segments. We offer end-to-end solutions with our wide spectrum of products, including Intel</w:t>
      </w:r>
      <w:r>
        <w:rPr>
          <w:rFonts w:ascii="Arial" w:eastAsia="宋体" w:hAnsi="Arial" w:cs="Arial"/>
          <w:color w:val="262626"/>
          <w:sz w:val="11"/>
          <w:szCs w:val="11"/>
        </w:rPr>
        <w:t xml:space="preserve"> </w:t>
      </w:r>
      <w:r>
        <w:rPr>
          <w:rFonts w:ascii="Arial" w:eastAsia="宋体" w:hAnsi="Arial" w:cs="Arial"/>
          <w:color w:val="262626"/>
          <w:sz w:val="18"/>
          <w:szCs w:val="18"/>
        </w:rPr>
        <w:t>Atom</w:t>
      </w:r>
      <w:r>
        <w:rPr>
          <w:rFonts w:ascii="Arial" w:eastAsia="宋体" w:hAnsi="Arial" w:cs="Arial"/>
          <w:color w:val="262626"/>
          <w:sz w:val="18"/>
          <w:szCs w:val="18"/>
        </w:rPr>
        <w:t>, Intel Core, Intel Xeon, VPU accelerators, and developer toolkits such as OpenVINO. IOTG product development focuses on addressing the key challenges businesses face, including interoperability, connectivity, safety, and security, to implement transformat</w:t>
      </w:r>
      <w:r>
        <w:rPr>
          <w:rFonts w:ascii="Arial" w:eastAsia="宋体" w:hAnsi="Arial" w:cs="Arial"/>
          <w:color w:val="262626"/>
          <w:sz w:val="18"/>
          <w:szCs w:val="18"/>
        </w:rPr>
        <w:t xml:space="preserve">ive edge solutions. We invest heavily in developing the tools to service operational technology developers and independent software vendors. </w:t>
      </w:r>
    </w:p>
    <w:p w14:paraId="67534810" w14:textId="77777777" w:rsidR="001B77DD" w:rsidRDefault="00BF0A28">
      <w:pPr>
        <w:spacing w:after="180"/>
      </w:pPr>
      <w:r>
        <w:rPr>
          <w:rFonts w:ascii="Arial" w:eastAsia="宋体" w:hAnsi="Arial" w:cs="Arial"/>
          <w:color w:val="262626"/>
          <w:sz w:val="18"/>
          <w:szCs w:val="18"/>
        </w:rPr>
        <w:t>We have a long-standing position as a supplier of components and software for embedded products. As businesses con</w:t>
      </w:r>
      <w:r>
        <w:rPr>
          <w:rFonts w:ascii="Arial" w:eastAsia="宋体" w:hAnsi="Arial" w:cs="Arial"/>
          <w:color w:val="262626"/>
          <w:sz w:val="18"/>
          <w:szCs w:val="18"/>
        </w:rPr>
        <w:t>tinue to create a deluge of data from more and more smart and connected devices across industries, the demand for high-performance computing at the edge has expanded exponentially. The installed base of Intel architecture-based hardware, and applications t</w:t>
      </w:r>
      <w:r>
        <w:rPr>
          <w:rFonts w:ascii="Arial" w:eastAsia="宋体" w:hAnsi="Arial" w:cs="Arial"/>
          <w:color w:val="262626"/>
          <w:sz w:val="18"/>
          <w:szCs w:val="18"/>
        </w:rPr>
        <w:t>hat run natively on them, helps us to offer compelling solutions in these markets. As this marketplace evolves, we face numerous large and small incumbent processor competitors, as well as new entrants that use the ARM architecture. The solutions require a</w:t>
      </w:r>
      <w:r>
        <w:rPr>
          <w:rFonts w:ascii="Arial" w:eastAsia="宋体" w:hAnsi="Arial" w:cs="Arial"/>
          <w:color w:val="262626"/>
          <w:sz w:val="18"/>
          <w:szCs w:val="18"/>
        </w:rPr>
        <w:t xml:space="preserve"> broad range of connectivity solutions and we face competition from semiconductor companies providing traditional wireless solutions such as cellular, Wi-Fi, and Bluetooth, as well as several new entrants who are taking advantage of new focused communicati</w:t>
      </w:r>
      <w:r>
        <w:rPr>
          <w:rFonts w:ascii="Arial" w:eastAsia="宋体" w:hAnsi="Arial" w:cs="Arial"/>
          <w:color w:val="262626"/>
          <w:sz w:val="18"/>
          <w:szCs w:val="18"/>
        </w:rPr>
        <w:t>ons protocols with the goal of expanding into computational silicon. The market is fragmented and complex, requiring interoperability, standard-based approaches, software, developer tools, and the ecosystem working together to accelerate time to value with</w:t>
      </w:r>
      <w:r>
        <w:rPr>
          <w:rFonts w:ascii="Arial" w:eastAsia="宋体" w:hAnsi="Arial" w:cs="Arial"/>
          <w:color w:val="262626"/>
          <w:sz w:val="18"/>
          <w:szCs w:val="18"/>
        </w:rPr>
        <w:t xml:space="preserve"> commercial solutions at scale.</w:t>
      </w:r>
    </w:p>
    <w:p w14:paraId="67534811" w14:textId="77777777" w:rsidR="001B77DD" w:rsidRDefault="001B77DD"/>
    <w:p w14:paraId="67534812" w14:textId="77777777" w:rsidR="001B77DD" w:rsidRDefault="001B77DD"/>
    <w:p w14:paraId="67534813" w14:textId="77777777" w:rsidR="001B77DD" w:rsidRDefault="001B77DD"/>
    <w:p w14:paraId="67534814" w14:textId="77777777" w:rsidR="001B77DD" w:rsidRDefault="001B77DD"/>
    <w:p w14:paraId="67534815" w14:textId="77777777" w:rsidR="001B77DD" w:rsidRDefault="001B77DD">
      <w:pPr>
        <w:spacing w:after="12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81F" w14:textId="77777777">
        <w:tc>
          <w:tcPr>
            <w:tcW w:w="50" w:type="pct"/>
            <w:shd w:val="clear" w:color="auto" w:fill="auto"/>
            <w:vAlign w:val="bottom"/>
          </w:tcPr>
          <w:p w14:paraId="67534816" w14:textId="77777777" w:rsidR="001B77DD" w:rsidRDefault="001B77DD">
            <w:pPr>
              <w:rPr>
                <w:rFonts w:ascii="宋体"/>
              </w:rPr>
            </w:pPr>
          </w:p>
        </w:tc>
        <w:tc>
          <w:tcPr>
            <w:tcW w:w="283" w:type="pct"/>
            <w:shd w:val="clear" w:color="auto" w:fill="auto"/>
            <w:vAlign w:val="bottom"/>
          </w:tcPr>
          <w:p w14:paraId="67534817" w14:textId="77777777" w:rsidR="001B77DD" w:rsidRDefault="001B77DD">
            <w:pPr>
              <w:rPr>
                <w:rFonts w:ascii="宋体"/>
              </w:rPr>
            </w:pPr>
          </w:p>
        </w:tc>
        <w:tc>
          <w:tcPr>
            <w:tcW w:w="5" w:type="pct"/>
            <w:shd w:val="clear" w:color="auto" w:fill="auto"/>
            <w:vAlign w:val="bottom"/>
          </w:tcPr>
          <w:p w14:paraId="67534818" w14:textId="77777777" w:rsidR="001B77DD" w:rsidRDefault="001B77DD">
            <w:pPr>
              <w:rPr>
                <w:rFonts w:ascii="宋体"/>
              </w:rPr>
            </w:pPr>
          </w:p>
        </w:tc>
        <w:tc>
          <w:tcPr>
            <w:tcW w:w="50" w:type="pct"/>
            <w:shd w:val="clear" w:color="auto" w:fill="auto"/>
            <w:vAlign w:val="bottom"/>
          </w:tcPr>
          <w:p w14:paraId="67534819" w14:textId="77777777" w:rsidR="001B77DD" w:rsidRDefault="001B77DD">
            <w:pPr>
              <w:rPr>
                <w:rFonts w:ascii="宋体"/>
              </w:rPr>
            </w:pPr>
          </w:p>
        </w:tc>
        <w:tc>
          <w:tcPr>
            <w:tcW w:w="2656" w:type="pct"/>
            <w:shd w:val="clear" w:color="auto" w:fill="auto"/>
            <w:vAlign w:val="bottom"/>
          </w:tcPr>
          <w:p w14:paraId="6753481A" w14:textId="77777777" w:rsidR="001B77DD" w:rsidRDefault="001B77DD">
            <w:pPr>
              <w:rPr>
                <w:rFonts w:ascii="宋体"/>
              </w:rPr>
            </w:pPr>
          </w:p>
        </w:tc>
        <w:tc>
          <w:tcPr>
            <w:tcW w:w="5" w:type="pct"/>
            <w:shd w:val="clear" w:color="auto" w:fill="auto"/>
            <w:vAlign w:val="bottom"/>
          </w:tcPr>
          <w:p w14:paraId="6753481B" w14:textId="77777777" w:rsidR="001B77DD" w:rsidRDefault="001B77DD">
            <w:pPr>
              <w:rPr>
                <w:rFonts w:ascii="宋体"/>
              </w:rPr>
            </w:pPr>
          </w:p>
        </w:tc>
        <w:tc>
          <w:tcPr>
            <w:tcW w:w="50" w:type="pct"/>
            <w:shd w:val="clear" w:color="auto" w:fill="auto"/>
            <w:vAlign w:val="bottom"/>
          </w:tcPr>
          <w:p w14:paraId="6753481C" w14:textId="77777777" w:rsidR="001B77DD" w:rsidRDefault="001B77DD">
            <w:pPr>
              <w:rPr>
                <w:rFonts w:ascii="宋体"/>
              </w:rPr>
            </w:pPr>
          </w:p>
        </w:tc>
        <w:tc>
          <w:tcPr>
            <w:tcW w:w="1894" w:type="pct"/>
            <w:shd w:val="clear" w:color="auto" w:fill="auto"/>
            <w:vAlign w:val="bottom"/>
          </w:tcPr>
          <w:p w14:paraId="6753481D" w14:textId="77777777" w:rsidR="001B77DD" w:rsidRDefault="001B77DD">
            <w:pPr>
              <w:rPr>
                <w:rFonts w:ascii="宋体"/>
              </w:rPr>
            </w:pPr>
          </w:p>
        </w:tc>
        <w:tc>
          <w:tcPr>
            <w:tcW w:w="5" w:type="pct"/>
            <w:shd w:val="clear" w:color="auto" w:fill="auto"/>
            <w:vAlign w:val="bottom"/>
          </w:tcPr>
          <w:p w14:paraId="6753481E" w14:textId="77777777" w:rsidR="001B77DD" w:rsidRDefault="001B77DD">
            <w:pPr>
              <w:rPr>
                <w:rFonts w:ascii="宋体"/>
              </w:rPr>
            </w:pPr>
          </w:p>
        </w:tc>
      </w:tr>
      <w:tr w:rsidR="001B77DD" w14:paraId="6753482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82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5D" wp14:editId="67538E5E">
                  <wp:extent cx="304800" cy="304800"/>
                  <wp:effectExtent l="0" t="0" r="0" b="0"/>
                  <wp:docPr id="34" name="图片 15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821"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822" w14:textId="77777777" w:rsidR="001B77DD" w:rsidRDefault="00BF0A28">
            <w:pPr>
              <w:jc w:val="right"/>
              <w:textAlignment w:val="center"/>
            </w:pPr>
            <w:r>
              <w:rPr>
                <w:rFonts w:ascii="Arial" w:eastAsia="宋体" w:hAnsi="Arial" w:cs="Arial"/>
                <w:color w:val="262626"/>
                <w:sz w:val="16"/>
                <w:szCs w:val="16"/>
              </w:rPr>
              <w:t>27</w:t>
            </w:r>
          </w:p>
        </w:tc>
      </w:tr>
    </w:tbl>
    <w:p w14:paraId="67534824" w14:textId="77777777" w:rsidR="001B77DD" w:rsidRDefault="00BF0A28">
      <w:r>
        <w:pict w14:anchorId="67538E5F">
          <v:rect id="_x0000_i1053" style="width:415.3pt;height:1.5pt" o:hralign="center" o:hrstd="t" o:hr="t" fillcolor="#a0a0a0" stroked="f"/>
        </w:pict>
      </w:r>
    </w:p>
    <w:p w14:paraId="67534825" w14:textId="77777777" w:rsidR="001B77DD" w:rsidRDefault="00BF0A28">
      <w:pPr>
        <w:jc w:val="right"/>
      </w:pPr>
      <w:hyperlink r:id="rId87" w:anchor="i6c9ced68f6b24d58a3dcf326e8c3c699_16" w:history="1">
        <w:r>
          <w:rPr>
            <w:rStyle w:val="a5"/>
            <w:rFonts w:ascii="Arial" w:eastAsia="宋体" w:hAnsi="Arial" w:cs="Arial"/>
            <w:b/>
            <w:bCs/>
            <w:sz w:val="16"/>
            <w:szCs w:val="16"/>
          </w:rPr>
          <w:t>Table of Contents</w:t>
        </w:r>
      </w:hyperlink>
    </w:p>
    <w:p w14:paraId="67534826" w14:textId="77777777" w:rsidR="001B77DD" w:rsidRDefault="001B77DD">
      <w:pPr>
        <w:jc w:val="right"/>
      </w:pPr>
    </w:p>
    <w:p w14:paraId="67534827" w14:textId="77777777" w:rsidR="001B77DD" w:rsidRDefault="00BF0A28">
      <w:pPr>
        <w:spacing w:after="120"/>
      </w:pPr>
      <w:r>
        <w:rPr>
          <w:rFonts w:ascii="Arial" w:eastAsia="宋体" w:hAnsi="Arial" w:cs="Arial"/>
          <w:color w:val="0068B5"/>
          <w:sz w:val="28"/>
          <w:szCs w:val="28"/>
        </w:rPr>
        <w:t>Mobileye</w:t>
      </w:r>
    </w:p>
    <w:tbl>
      <w:tblPr>
        <w:tblW w:w="10995" w:type="dxa"/>
        <w:tblCellMar>
          <w:top w:w="15" w:type="dxa"/>
          <w:left w:w="15" w:type="dxa"/>
          <w:bottom w:w="15" w:type="dxa"/>
          <w:right w:w="15" w:type="dxa"/>
        </w:tblCellMar>
        <w:tblLook w:val="04A0" w:firstRow="1" w:lastRow="0" w:firstColumn="1" w:lastColumn="0" w:noHBand="0" w:noVBand="1"/>
      </w:tblPr>
      <w:tblGrid>
        <w:gridCol w:w="54"/>
        <w:gridCol w:w="450"/>
        <w:gridCol w:w="53"/>
        <w:gridCol w:w="57"/>
        <w:gridCol w:w="5781"/>
        <w:gridCol w:w="56"/>
        <w:gridCol w:w="80"/>
        <w:gridCol w:w="4384"/>
        <w:gridCol w:w="80"/>
      </w:tblGrid>
      <w:tr w:rsidR="001B77DD" w14:paraId="67534831" w14:textId="77777777">
        <w:tc>
          <w:tcPr>
            <w:tcW w:w="20" w:type="dxa"/>
            <w:shd w:val="clear" w:color="auto" w:fill="auto"/>
            <w:vAlign w:val="bottom"/>
          </w:tcPr>
          <w:p w14:paraId="67534828" w14:textId="77777777" w:rsidR="001B77DD" w:rsidRDefault="001B77DD">
            <w:pPr>
              <w:rPr>
                <w:rFonts w:ascii="宋体"/>
              </w:rPr>
            </w:pPr>
          </w:p>
        </w:tc>
        <w:tc>
          <w:tcPr>
            <w:tcW w:w="545" w:type="dxa"/>
            <w:shd w:val="clear" w:color="auto" w:fill="auto"/>
            <w:vAlign w:val="bottom"/>
          </w:tcPr>
          <w:p w14:paraId="67534829" w14:textId="77777777" w:rsidR="001B77DD" w:rsidRDefault="001B77DD">
            <w:pPr>
              <w:rPr>
                <w:rFonts w:ascii="宋体"/>
              </w:rPr>
            </w:pPr>
          </w:p>
        </w:tc>
        <w:tc>
          <w:tcPr>
            <w:tcW w:w="20" w:type="dxa"/>
            <w:shd w:val="clear" w:color="auto" w:fill="auto"/>
            <w:vAlign w:val="bottom"/>
          </w:tcPr>
          <w:p w14:paraId="6753482A" w14:textId="77777777" w:rsidR="001B77DD" w:rsidRDefault="001B77DD">
            <w:pPr>
              <w:rPr>
                <w:rFonts w:ascii="宋体"/>
              </w:rPr>
            </w:pPr>
          </w:p>
        </w:tc>
        <w:tc>
          <w:tcPr>
            <w:tcW w:w="20" w:type="dxa"/>
            <w:shd w:val="clear" w:color="auto" w:fill="auto"/>
            <w:vAlign w:val="bottom"/>
          </w:tcPr>
          <w:p w14:paraId="6753482B" w14:textId="77777777" w:rsidR="001B77DD" w:rsidRDefault="001B77DD">
            <w:pPr>
              <w:rPr>
                <w:rFonts w:ascii="宋体"/>
              </w:rPr>
            </w:pPr>
          </w:p>
        </w:tc>
        <w:tc>
          <w:tcPr>
            <w:tcW w:w="7805" w:type="dxa"/>
            <w:shd w:val="clear" w:color="auto" w:fill="auto"/>
            <w:vAlign w:val="bottom"/>
          </w:tcPr>
          <w:p w14:paraId="6753482C" w14:textId="77777777" w:rsidR="001B77DD" w:rsidRDefault="001B77DD">
            <w:pPr>
              <w:rPr>
                <w:rFonts w:ascii="宋体"/>
              </w:rPr>
            </w:pPr>
          </w:p>
        </w:tc>
        <w:tc>
          <w:tcPr>
            <w:tcW w:w="20" w:type="dxa"/>
            <w:shd w:val="clear" w:color="auto" w:fill="auto"/>
            <w:vAlign w:val="bottom"/>
          </w:tcPr>
          <w:p w14:paraId="6753482D" w14:textId="77777777" w:rsidR="001B77DD" w:rsidRDefault="001B77DD">
            <w:pPr>
              <w:rPr>
                <w:rFonts w:ascii="宋体"/>
              </w:rPr>
            </w:pPr>
          </w:p>
        </w:tc>
        <w:tc>
          <w:tcPr>
            <w:tcW w:w="20" w:type="dxa"/>
            <w:shd w:val="clear" w:color="auto" w:fill="auto"/>
            <w:vAlign w:val="bottom"/>
          </w:tcPr>
          <w:p w14:paraId="6753482E" w14:textId="77777777" w:rsidR="001B77DD" w:rsidRDefault="001B77DD">
            <w:pPr>
              <w:rPr>
                <w:rFonts w:ascii="宋体"/>
              </w:rPr>
            </w:pPr>
          </w:p>
        </w:tc>
        <w:tc>
          <w:tcPr>
            <w:tcW w:w="2525" w:type="dxa"/>
            <w:shd w:val="clear" w:color="auto" w:fill="auto"/>
            <w:vAlign w:val="bottom"/>
          </w:tcPr>
          <w:p w14:paraId="6753482F" w14:textId="77777777" w:rsidR="001B77DD" w:rsidRDefault="001B77DD">
            <w:pPr>
              <w:rPr>
                <w:rFonts w:ascii="宋体"/>
              </w:rPr>
            </w:pPr>
          </w:p>
        </w:tc>
        <w:tc>
          <w:tcPr>
            <w:tcW w:w="20" w:type="dxa"/>
            <w:shd w:val="clear" w:color="auto" w:fill="auto"/>
            <w:vAlign w:val="bottom"/>
          </w:tcPr>
          <w:p w14:paraId="67534830" w14:textId="77777777" w:rsidR="001B77DD" w:rsidRDefault="001B77DD">
            <w:pPr>
              <w:rPr>
                <w:rFonts w:ascii="宋体"/>
              </w:rPr>
            </w:pPr>
          </w:p>
        </w:tc>
      </w:tr>
      <w:tr w:rsidR="001B77DD" w14:paraId="67534834" w14:textId="77777777">
        <w:trPr>
          <w:trHeight w:val="28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67534832" w14:textId="77777777" w:rsidR="001B77DD" w:rsidRDefault="00BF0A28">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vAlign w:val="bottom"/>
          </w:tcPr>
          <w:p w14:paraId="67534833"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Viewer4_files/intc-20211225_g72.jpg"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60" wp14:editId="67538E61">
                  <wp:extent cx="304800" cy="304800"/>
                  <wp:effectExtent l="0" t="0" r="0" b="0"/>
                  <wp:docPr id="41" name="图片 158"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8" descr="IMG_35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4837" w14:textId="77777777">
        <w:trPr>
          <w:trHeight w:val="1540"/>
        </w:trPr>
        <w:tc>
          <w:tcPr>
            <w:tcW w:w="0" w:type="auto"/>
            <w:gridSpan w:val="6"/>
            <w:tcBorders>
              <w:top w:val="single" w:sz="4" w:space="0" w:color="262626"/>
            </w:tcBorders>
            <w:shd w:val="clear" w:color="auto" w:fill="auto"/>
            <w:tcMar>
              <w:top w:w="40" w:type="dxa"/>
              <w:left w:w="20" w:type="dxa"/>
              <w:bottom w:w="40" w:type="dxa"/>
              <w:right w:w="20" w:type="dxa"/>
            </w:tcMar>
          </w:tcPr>
          <w:p w14:paraId="67534835" w14:textId="77777777" w:rsidR="001B77DD" w:rsidRDefault="00BF0A28">
            <w:pPr>
              <w:textAlignment w:val="top"/>
            </w:pPr>
            <w:r>
              <w:rPr>
                <w:rFonts w:ascii="Arial" w:eastAsia="宋体" w:hAnsi="Arial" w:cs="Arial"/>
                <w:color w:val="262626"/>
                <w:sz w:val="18"/>
                <w:szCs w:val="18"/>
              </w:rPr>
              <w:t xml:space="preserve">Mobileye is a global leader in driving assistance and self-driving solutions. Our product portfolio </w:t>
            </w:r>
            <w:r>
              <w:rPr>
                <w:rFonts w:ascii="Arial" w:eastAsia="宋体" w:hAnsi="Arial" w:cs="Arial"/>
                <w:color w:val="262626"/>
                <w:sz w:val="18"/>
                <w:szCs w:val="18"/>
              </w:rPr>
              <w:t xml:space="preserve">covers the entire stack required for assisted and autonomous driving, including compute platforms, computer vision and machine learning-based sensing, mapping and localization, driving policy, and active sensors in development. Mobileye's unique assets in </w:t>
            </w:r>
            <w:r>
              <w:rPr>
                <w:rFonts w:ascii="Arial" w:eastAsia="宋体" w:hAnsi="Arial" w:cs="Arial"/>
                <w:color w:val="262626"/>
                <w:sz w:val="18"/>
                <w:szCs w:val="18"/>
              </w:rPr>
              <w:t>ADAS allow for building a scalable self-driving stack that meets the requirements for both Robotaxi and consumer level autonomy. Our customers and strategic partners include major global OEMs, Tier 1 automotive system integrators, and public transportation</w:t>
            </w:r>
            <w:r>
              <w:rPr>
                <w:rFonts w:ascii="Arial" w:eastAsia="宋体" w:hAnsi="Arial" w:cs="Arial"/>
                <w:color w:val="262626"/>
                <w:sz w:val="18"/>
                <w:szCs w:val="18"/>
              </w:rPr>
              <w:t xml:space="preserve"> operators.</w:t>
            </w:r>
          </w:p>
        </w:tc>
        <w:tc>
          <w:tcPr>
            <w:tcW w:w="0" w:type="auto"/>
            <w:gridSpan w:val="3"/>
            <w:vMerge/>
            <w:shd w:val="clear" w:color="auto" w:fill="auto"/>
            <w:tcMar>
              <w:top w:w="0" w:type="dxa"/>
              <w:left w:w="20" w:type="dxa"/>
              <w:bottom w:w="0" w:type="dxa"/>
              <w:right w:w="20" w:type="dxa"/>
            </w:tcMar>
            <w:vAlign w:val="bottom"/>
          </w:tcPr>
          <w:p w14:paraId="67534836" w14:textId="77777777" w:rsidR="001B77DD" w:rsidRDefault="001B77DD">
            <w:pPr>
              <w:rPr>
                <w:rFonts w:ascii="宋体"/>
              </w:rPr>
            </w:pPr>
          </w:p>
        </w:tc>
      </w:tr>
      <w:tr w:rsidR="001B77DD" w14:paraId="6753483B" w14:textId="77777777">
        <w:trPr>
          <w:trHeight w:val="60"/>
        </w:trPr>
        <w:tc>
          <w:tcPr>
            <w:tcW w:w="0" w:type="auto"/>
            <w:gridSpan w:val="3"/>
            <w:shd w:val="clear" w:color="auto" w:fill="auto"/>
            <w:tcMar>
              <w:top w:w="0" w:type="dxa"/>
              <w:left w:w="20" w:type="dxa"/>
              <w:bottom w:w="0" w:type="dxa"/>
              <w:right w:w="20" w:type="dxa"/>
            </w:tcMar>
            <w:vAlign w:val="bottom"/>
          </w:tcPr>
          <w:p w14:paraId="6753483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839"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83A" w14:textId="77777777" w:rsidR="001B77DD" w:rsidRDefault="001B77DD">
            <w:pPr>
              <w:rPr>
                <w:rFonts w:ascii="宋体"/>
              </w:rPr>
            </w:pPr>
          </w:p>
        </w:tc>
      </w:tr>
      <w:tr w:rsidR="001B77DD" w14:paraId="6753483E" w14:textId="77777777">
        <w:trPr>
          <w:trHeight w:val="280"/>
        </w:trPr>
        <w:tc>
          <w:tcPr>
            <w:tcW w:w="0" w:type="auto"/>
            <w:gridSpan w:val="6"/>
            <w:shd w:val="clear" w:color="auto" w:fill="auto"/>
            <w:tcMar>
              <w:top w:w="40" w:type="dxa"/>
              <w:left w:w="20" w:type="dxa"/>
              <w:bottom w:w="40" w:type="dxa"/>
              <w:right w:w="20" w:type="dxa"/>
            </w:tcMar>
            <w:vAlign w:val="bottom"/>
          </w:tcPr>
          <w:p w14:paraId="6753483C" w14:textId="77777777" w:rsidR="001B77DD" w:rsidRDefault="00BF0A28">
            <w:pPr>
              <w:textAlignment w:val="bottom"/>
            </w:pPr>
            <w:r>
              <w:rPr>
                <w:rFonts w:ascii="Arial" w:eastAsia="宋体" w:hAnsi="Arial" w:cs="Arial"/>
                <w:color w:val="0068B5"/>
                <w:sz w:val="20"/>
                <w:szCs w:val="20"/>
              </w:rPr>
              <w:t>Key Developments</w:t>
            </w:r>
          </w:p>
        </w:tc>
        <w:tc>
          <w:tcPr>
            <w:tcW w:w="0" w:type="auto"/>
            <w:gridSpan w:val="3"/>
            <w:vMerge/>
            <w:shd w:val="clear" w:color="auto" w:fill="auto"/>
            <w:tcMar>
              <w:top w:w="0" w:type="dxa"/>
              <w:left w:w="20" w:type="dxa"/>
              <w:bottom w:w="0" w:type="dxa"/>
              <w:right w:w="20" w:type="dxa"/>
            </w:tcMar>
            <w:vAlign w:val="bottom"/>
          </w:tcPr>
          <w:p w14:paraId="6753483D" w14:textId="77777777" w:rsidR="001B77DD" w:rsidRDefault="001B77DD">
            <w:pPr>
              <w:rPr>
                <w:rFonts w:ascii="宋体"/>
              </w:rPr>
            </w:pPr>
          </w:p>
        </w:tc>
      </w:tr>
      <w:tr w:rsidR="001B77DD" w14:paraId="67534842" w14:textId="77777777">
        <w:trPr>
          <w:trHeight w:val="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83F"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840"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4841" w14:textId="77777777" w:rsidR="001B77DD" w:rsidRDefault="001B77DD">
            <w:pPr>
              <w:rPr>
                <w:rFonts w:ascii="宋体"/>
              </w:rPr>
            </w:pPr>
          </w:p>
        </w:tc>
      </w:tr>
      <w:tr w:rsidR="001B77DD" w14:paraId="67534848" w14:textId="77777777">
        <w:trPr>
          <w:trHeight w:val="940"/>
        </w:trPr>
        <w:tc>
          <w:tcPr>
            <w:tcW w:w="0" w:type="auto"/>
            <w:gridSpan w:val="3"/>
            <w:shd w:val="clear" w:color="auto" w:fill="auto"/>
            <w:tcMar>
              <w:top w:w="40" w:type="dxa"/>
              <w:left w:w="20" w:type="dxa"/>
              <w:bottom w:w="40" w:type="dxa"/>
              <w:right w:w="20" w:type="dxa"/>
            </w:tcMar>
          </w:tcPr>
          <w:p w14:paraId="67534843"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844" w14:textId="77777777" w:rsidR="001B77DD" w:rsidRDefault="00BF0A28">
            <w:pPr>
              <w:textAlignment w:val="top"/>
            </w:pPr>
            <w:r>
              <w:rPr>
                <w:rFonts w:ascii="Arial" w:eastAsia="宋体" w:hAnsi="Arial" w:cs="Arial"/>
                <w:color w:val="262626"/>
                <w:sz w:val="18"/>
                <w:szCs w:val="18"/>
              </w:rPr>
              <w:t xml:space="preserve">We achieved record revenue in 2021 as global vehicle production improved amid recovery from the economic impacts of COVID-19. Our EyeQ SoC volume grew 42% and we expect to see additional growth in the </w:t>
            </w:r>
            <w:r>
              <w:rPr>
                <w:rFonts w:ascii="Arial" w:eastAsia="宋体" w:hAnsi="Arial" w:cs="Arial"/>
                <w:color w:val="262626"/>
                <w:sz w:val="18"/>
                <w:szCs w:val="18"/>
              </w:rPr>
              <w:t>adoption of enhanced ADAS technologies. We have shipped over 100 million chips to date, including 28 million EyeQ SoCs in 2021.</w:t>
            </w:r>
          </w:p>
        </w:tc>
        <w:tc>
          <w:tcPr>
            <w:tcW w:w="0" w:type="auto"/>
            <w:gridSpan w:val="3"/>
            <w:vMerge w:val="restart"/>
            <w:shd w:val="clear" w:color="auto" w:fill="auto"/>
            <w:tcMar>
              <w:top w:w="40" w:type="dxa"/>
              <w:left w:w="20" w:type="dxa"/>
              <w:bottom w:w="40" w:type="dxa"/>
              <w:right w:w="20" w:type="dxa"/>
            </w:tcMar>
          </w:tcPr>
          <w:p w14:paraId="67534845" w14:textId="77777777" w:rsidR="001B77DD" w:rsidRDefault="00BF0A28">
            <w:pPr>
              <w:textAlignment w:val="top"/>
            </w:pPr>
            <w:r>
              <w:rPr>
                <w:rFonts w:ascii="Arial" w:eastAsia="宋体" w:hAnsi="Arial" w:cs="Arial"/>
                <w:b/>
                <w:bCs/>
                <w:i/>
                <w:iCs/>
                <w:color w:val="262626"/>
                <w:sz w:val="18"/>
                <w:szCs w:val="18"/>
              </w:rPr>
              <w:t xml:space="preserve">"The future of autonomous driving will be driven by the expansion of Robotaxis, followed by the proliferation of consumer level </w:t>
            </w:r>
            <w:r>
              <w:rPr>
                <w:rFonts w:ascii="Arial" w:eastAsia="宋体" w:hAnsi="Arial" w:cs="Arial"/>
                <w:b/>
                <w:bCs/>
                <w:i/>
                <w:iCs/>
                <w:color w:val="262626"/>
                <w:sz w:val="18"/>
                <w:szCs w:val="18"/>
              </w:rPr>
              <w:t>AVs. While it is too early to determine which realm will dominate, Mobileye is uniquely positioned to become a leader in both spaces."</w:t>
            </w:r>
          </w:p>
          <w:p w14:paraId="67534846" w14:textId="77777777" w:rsidR="001B77DD" w:rsidRDefault="001B77DD">
            <w:pPr>
              <w:textAlignment w:val="top"/>
            </w:pPr>
          </w:p>
          <w:p w14:paraId="67534847" w14:textId="77777777" w:rsidR="001B77DD" w:rsidRDefault="00BF0A28">
            <w:pPr>
              <w:spacing w:after="180"/>
              <w:textAlignment w:val="top"/>
            </w:pPr>
            <w:r>
              <w:rPr>
                <w:rFonts w:ascii="Arial" w:eastAsia="宋体" w:hAnsi="Arial" w:cs="Arial"/>
                <w:b/>
                <w:bCs/>
                <w:color w:val="262626"/>
                <w:sz w:val="18"/>
                <w:szCs w:val="18"/>
              </w:rPr>
              <w:t xml:space="preserve">—Prof. Amnon Shashua, </w:t>
            </w:r>
            <w:r>
              <w:rPr>
                <w:rFonts w:ascii="Arial" w:eastAsia="宋体" w:hAnsi="Arial" w:cs="Arial"/>
                <w:color w:val="262626"/>
                <w:sz w:val="18"/>
                <w:szCs w:val="18"/>
              </w:rPr>
              <w:t>President and Chief Executive Officer, Mobileye</w:t>
            </w:r>
          </w:p>
        </w:tc>
      </w:tr>
      <w:tr w:rsidR="001B77DD" w14:paraId="6753484C" w14:textId="77777777">
        <w:trPr>
          <w:trHeight w:val="700"/>
        </w:trPr>
        <w:tc>
          <w:tcPr>
            <w:tcW w:w="0" w:type="auto"/>
            <w:gridSpan w:val="3"/>
            <w:shd w:val="clear" w:color="auto" w:fill="auto"/>
            <w:tcMar>
              <w:top w:w="40" w:type="dxa"/>
              <w:left w:w="20" w:type="dxa"/>
              <w:bottom w:w="40" w:type="dxa"/>
              <w:right w:w="20" w:type="dxa"/>
            </w:tcMar>
          </w:tcPr>
          <w:p w14:paraId="67534849"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84A" w14:textId="77777777" w:rsidR="001B77DD" w:rsidRDefault="00BF0A28">
            <w:pPr>
              <w:textAlignment w:val="top"/>
            </w:pPr>
            <w:r>
              <w:rPr>
                <w:rFonts w:ascii="Arial" w:eastAsia="宋体" w:hAnsi="Arial" w:cs="Arial"/>
                <w:color w:val="262626"/>
                <w:sz w:val="18"/>
                <w:szCs w:val="18"/>
              </w:rPr>
              <w:t xml:space="preserve">We secured a record 41 new ADAS design </w:t>
            </w:r>
            <w:r>
              <w:rPr>
                <w:rFonts w:ascii="Arial" w:eastAsia="宋体" w:hAnsi="Arial" w:cs="Arial"/>
                <w:color w:val="262626"/>
                <w:sz w:val="18"/>
                <w:szCs w:val="18"/>
              </w:rPr>
              <w:t>wins, including deals with major OEMs such as Toyota, VW, BMW, Nissan, Honda, and PSA Group. We are currently active in 71 production programs</w:t>
            </w:r>
            <w:r>
              <w:rPr>
                <w:rFonts w:ascii="Arial" w:eastAsia="宋体" w:hAnsi="Arial" w:cs="Arial"/>
                <w:color w:val="262626"/>
                <w:sz w:val="11"/>
                <w:szCs w:val="11"/>
              </w:rPr>
              <w:t>1</w:t>
            </w:r>
            <w:r>
              <w:rPr>
                <w:rFonts w:ascii="Arial" w:eastAsia="宋体" w:hAnsi="Arial" w:cs="Arial"/>
                <w:color w:val="262626"/>
                <w:sz w:val="18"/>
                <w:szCs w:val="18"/>
              </w:rPr>
              <w:t xml:space="preserve"> across over 30 OEMs.</w:t>
            </w:r>
          </w:p>
        </w:tc>
        <w:tc>
          <w:tcPr>
            <w:tcW w:w="0" w:type="auto"/>
            <w:gridSpan w:val="3"/>
            <w:vMerge/>
            <w:shd w:val="clear" w:color="auto" w:fill="auto"/>
            <w:tcMar>
              <w:top w:w="40" w:type="dxa"/>
              <w:left w:w="20" w:type="dxa"/>
              <w:bottom w:w="40" w:type="dxa"/>
              <w:right w:w="20" w:type="dxa"/>
            </w:tcMar>
          </w:tcPr>
          <w:p w14:paraId="6753484B" w14:textId="77777777" w:rsidR="001B77DD" w:rsidRDefault="001B77DD">
            <w:pPr>
              <w:rPr>
                <w:rFonts w:ascii="宋体"/>
              </w:rPr>
            </w:pPr>
          </w:p>
        </w:tc>
      </w:tr>
      <w:tr w:rsidR="001B77DD" w14:paraId="67534850" w14:textId="77777777">
        <w:trPr>
          <w:trHeight w:val="720"/>
        </w:trPr>
        <w:tc>
          <w:tcPr>
            <w:tcW w:w="0" w:type="auto"/>
            <w:gridSpan w:val="3"/>
            <w:shd w:val="clear" w:color="auto" w:fill="auto"/>
            <w:tcMar>
              <w:top w:w="40" w:type="dxa"/>
              <w:left w:w="20" w:type="dxa"/>
              <w:bottom w:w="40" w:type="dxa"/>
              <w:right w:w="20" w:type="dxa"/>
            </w:tcMar>
          </w:tcPr>
          <w:p w14:paraId="6753484D"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84E" w14:textId="77777777" w:rsidR="001B77DD" w:rsidRDefault="00BF0A28">
            <w:pPr>
              <w:textAlignment w:val="top"/>
            </w:pPr>
            <w:r>
              <w:rPr>
                <w:rFonts w:ascii="Arial" w:eastAsia="宋体" w:hAnsi="Arial" w:cs="Arial"/>
                <w:color w:val="262626"/>
                <w:sz w:val="18"/>
                <w:szCs w:val="18"/>
              </w:rPr>
              <w:t>We launched our SAE L4 SDS, Mobileye Drive™, and secured multiple collaborations for co</w:t>
            </w:r>
            <w:r>
              <w:rPr>
                <w:rFonts w:ascii="Arial" w:eastAsia="宋体" w:hAnsi="Arial" w:cs="Arial"/>
                <w:color w:val="262626"/>
                <w:sz w:val="18"/>
                <w:szCs w:val="18"/>
              </w:rPr>
              <w:t>mmercial use, including with Udelv for autonomous cargo delivery, and with Transdev for self-driving mobility services. We also achieved our first consumer L4 design win with Geely.</w:t>
            </w:r>
          </w:p>
        </w:tc>
        <w:tc>
          <w:tcPr>
            <w:tcW w:w="0" w:type="auto"/>
            <w:gridSpan w:val="3"/>
            <w:vMerge/>
            <w:shd w:val="clear" w:color="auto" w:fill="auto"/>
            <w:tcMar>
              <w:top w:w="40" w:type="dxa"/>
              <w:left w:w="20" w:type="dxa"/>
              <w:bottom w:w="40" w:type="dxa"/>
              <w:right w:w="20" w:type="dxa"/>
            </w:tcMar>
          </w:tcPr>
          <w:p w14:paraId="6753484F" w14:textId="77777777" w:rsidR="001B77DD" w:rsidRDefault="001B77DD">
            <w:pPr>
              <w:rPr>
                <w:rFonts w:ascii="宋体"/>
              </w:rPr>
            </w:pPr>
          </w:p>
        </w:tc>
      </w:tr>
      <w:tr w:rsidR="001B77DD" w14:paraId="67534854" w14:textId="77777777">
        <w:trPr>
          <w:hidden/>
        </w:trPr>
        <w:tc>
          <w:tcPr>
            <w:tcW w:w="0" w:type="auto"/>
            <w:gridSpan w:val="3"/>
            <w:shd w:val="clear" w:color="auto" w:fill="auto"/>
            <w:vAlign w:val="bottom"/>
          </w:tcPr>
          <w:p w14:paraId="67534851" w14:textId="77777777" w:rsidR="001B77DD" w:rsidRDefault="001B77DD">
            <w:pPr>
              <w:rPr>
                <w:rFonts w:ascii="宋体"/>
                <w:vanish/>
              </w:rPr>
            </w:pPr>
          </w:p>
        </w:tc>
        <w:tc>
          <w:tcPr>
            <w:tcW w:w="0" w:type="auto"/>
            <w:gridSpan w:val="3"/>
            <w:shd w:val="clear" w:color="auto" w:fill="auto"/>
            <w:vAlign w:val="bottom"/>
          </w:tcPr>
          <w:p w14:paraId="67534852" w14:textId="77777777" w:rsidR="001B77DD" w:rsidRDefault="001B77DD">
            <w:pPr>
              <w:rPr>
                <w:rFonts w:ascii="宋体"/>
                <w:vanish/>
              </w:rPr>
            </w:pPr>
          </w:p>
        </w:tc>
        <w:tc>
          <w:tcPr>
            <w:tcW w:w="0" w:type="auto"/>
            <w:gridSpan w:val="3"/>
            <w:vMerge/>
            <w:shd w:val="clear" w:color="auto" w:fill="auto"/>
            <w:tcMar>
              <w:top w:w="40" w:type="dxa"/>
              <w:left w:w="20" w:type="dxa"/>
              <w:bottom w:w="40" w:type="dxa"/>
              <w:right w:w="20" w:type="dxa"/>
            </w:tcMar>
          </w:tcPr>
          <w:p w14:paraId="67534853" w14:textId="77777777" w:rsidR="001B77DD" w:rsidRDefault="001B77DD">
            <w:pPr>
              <w:rPr>
                <w:rFonts w:ascii="宋体"/>
              </w:rPr>
            </w:pPr>
          </w:p>
        </w:tc>
      </w:tr>
      <w:tr w:rsidR="001B77DD" w14:paraId="67534858" w14:textId="77777777">
        <w:trPr>
          <w:hidden/>
        </w:trPr>
        <w:tc>
          <w:tcPr>
            <w:tcW w:w="0" w:type="auto"/>
            <w:gridSpan w:val="3"/>
            <w:shd w:val="clear" w:color="auto" w:fill="auto"/>
            <w:vAlign w:val="bottom"/>
          </w:tcPr>
          <w:p w14:paraId="67534855" w14:textId="77777777" w:rsidR="001B77DD" w:rsidRDefault="001B77DD">
            <w:pPr>
              <w:rPr>
                <w:rFonts w:ascii="宋体"/>
                <w:vanish/>
              </w:rPr>
            </w:pPr>
          </w:p>
        </w:tc>
        <w:tc>
          <w:tcPr>
            <w:tcW w:w="0" w:type="auto"/>
            <w:gridSpan w:val="3"/>
            <w:shd w:val="clear" w:color="auto" w:fill="auto"/>
            <w:vAlign w:val="bottom"/>
          </w:tcPr>
          <w:p w14:paraId="67534856" w14:textId="77777777" w:rsidR="001B77DD" w:rsidRDefault="001B77DD">
            <w:pPr>
              <w:rPr>
                <w:rFonts w:ascii="宋体"/>
                <w:vanish/>
              </w:rPr>
            </w:pPr>
          </w:p>
        </w:tc>
        <w:tc>
          <w:tcPr>
            <w:tcW w:w="0" w:type="auto"/>
            <w:gridSpan w:val="3"/>
            <w:vMerge/>
            <w:shd w:val="clear" w:color="auto" w:fill="auto"/>
            <w:tcMar>
              <w:top w:w="40" w:type="dxa"/>
              <w:left w:w="20" w:type="dxa"/>
              <w:bottom w:w="40" w:type="dxa"/>
              <w:right w:w="20" w:type="dxa"/>
            </w:tcMar>
          </w:tcPr>
          <w:p w14:paraId="67534857" w14:textId="77777777" w:rsidR="001B77DD" w:rsidRDefault="001B77DD">
            <w:pPr>
              <w:rPr>
                <w:rFonts w:ascii="宋体"/>
              </w:rPr>
            </w:pPr>
          </w:p>
        </w:tc>
      </w:tr>
      <w:tr w:rsidR="001B77DD" w14:paraId="6753485C" w14:textId="77777777">
        <w:trPr>
          <w:trHeight w:val="900"/>
        </w:trPr>
        <w:tc>
          <w:tcPr>
            <w:tcW w:w="0" w:type="auto"/>
            <w:gridSpan w:val="3"/>
            <w:shd w:val="clear" w:color="auto" w:fill="auto"/>
            <w:tcMar>
              <w:top w:w="40" w:type="dxa"/>
              <w:left w:w="20" w:type="dxa"/>
              <w:bottom w:w="40" w:type="dxa"/>
              <w:right w:w="20" w:type="dxa"/>
            </w:tcMar>
          </w:tcPr>
          <w:p w14:paraId="67534859"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85A" w14:textId="77777777" w:rsidR="001B77DD" w:rsidRDefault="00BF0A28">
            <w:pPr>
              <w:textAlignment w:val="top"/>
            </w:pPr>
            <w:r>
              <w:rPr>
                <w:rFonts w:ascii="Arial" w:eastAsia="宋体" w:hAnsi="Arial" w:cs="Arial"/>
                <w:color w:val="262626"/>
                <w:sz w:val="18"/>
                <w:szCs w:val="18"/>
              </w:rPr>
              <w:t xml:space="preserve">We unveiled the Mobileye Robotaxi, a production-grade self-driving electric vehicle, with mobility rider services and MaaS platform, as well as mobility intelligence, tele-operations and data services by Moovit. Through the partnership with SIXT, Robotaxi </w:t>
            </w:r>
            <w:r>
              <w:rPr>
                <w:rFonts w:ascii="Arial" w:eastAsia="宋体" w:hAnsi="Arial" w:cs="Arial"/>
                <w:color w:val="262626"/>
                <w:sz w:val="18"/>
                <w:szCs w:val="18"/>
              </w:rPr>
              <w:t xml:space="preserve">services will begin in Germany in 2022, along with the already announced Robotaxi services in Tel Aviv. </w:t>
            </w:r>
          </w:p>
        </w:tc>
        <w:tc>
          <w:tcPr>
            <w:tcW w:w="0" w:type="auto"/>
            <w:gridSpan w:val="3"/>
            <w:vMerge/>
            <w:shd w:val="clear" w:color="auto" w:fill="auto"/>
            <w:tcMar>
              <w:top w:w="40" w:type="dxa"/>
              <w:left w:w="20" w:type="dxa"/>
              <w:bottom w:w="40" w:type="dxa"/>
              <w:right w:w="20" w:type="dxa"/>
            </w:tcMar>
          </w:tcPr>
          <w:p w14:paraId="6753485B" w14:textId="77777777" w:rsidR="001B77DD" w:rsidRDefault="001B77DD">
            <w:pPr>
              <w:rPr>
                <w:rFonts w:ascii="宋体"/>
              </w:rPr>
            </w:pPr>
          </w:p>
        </w:tc>
      </w:tr>
      <w:tr w:rsidR="001B77DD" w14:paraId="67534860" w14:textId="77777777">
        <w:trPr>
          <w:hidden/>
        </w:trPr>
        <w:tc>
          <w:tcPr>
            <w:tcW w:w="0" w:type="auto"/>
            <w:gridSpan w:val="3"/>
            <w:shd w:val="clear" w:color="auto" w:fill="auto"/>
            <w:vAlign w:val="bottom"/>
          </w:tcPr>
          <w:p w14:paraId="6753485D" w14:textId="77777777" w:rsidR="001B77DD" w:rsidRDefault="001B77DD">
            <w:pPr>
              <w:rPr>
                <w:rFonts w:ascii="宋体"/>
                <w:vanish/>
              </w:rPr>
            </w:pPr>
          </w:p>
        </w:tc>
        <w:tc>
          <w:tcPr>
            <w:tcW w:w="0" w:type="auto"/>
            <w:gridSpan w:val="3"/>
            <w:shd w:val="clear" w:color="auto" w:fill="auto"/>
            <w:vAlign w:val="bottom"/>
          </w:tcPr>
          <w:p w14:paraId="6753485E" w14:textId="77777777" w:rsidR="001B77DD" w:rsidRDefault="001B77DD">
            <w:pPr>
              <w:rPr>
                <w:rFonts w:ascii="宋体"/>
                <w:vanish/>
              </w:rPr>
            </w:pPr>
          </w:p>
        </w:tc>
        <w:tc>
          <w:tcPr>
            <w:tcW w:w="0" w:type="auto"/>
            <w:gridSpan w:val="3"/>
            <w:vMerge/>
            <w:shd w:val="clear" w:color="auto" w:fill="auto"/>
            <w:tcMar>
              <w:top w:w="40" w:type="dxa"/>
              <w:left w:w="20" w:type="dxa"/>
              <w:bottom w:w="40" w:type="dxa"/>
              <w:right w:w="20" w:type="dxa"/>
            </w:tcMar>
          </w:tcPr>
          <w:p w14:paraId="6753485F" w14:textId="77777777" w:rsidR="001B77DD" w:rsidRDefault="001B77DD">
            <w:pPr>
              <w:rPr>
                <w:rFonts w:ascii="宋体"/>
              </w:rPr>
            </w:pPr>
          </w:p>
        </w:tc>
      </w:tr>
      <w:tr w:rsidR="001B77DD" w14:paraId="67534864" w14:textId="77777777">
        <w:trPr>
          <w:trHeight w:val="720"/>
        </w:trPr>
        <w:tc>
          <w:tcPr>
            <w:tcW w:w="0" w:type="auto"/>
            <w:gridSpan w:val="3"/>
            <w:shd w:val="clear" w:color="auto" w:fill="auto"/>
            <w:tcMar>
              <w:top w:w="40" w:type="dxa"/>
              <w:left w:w="20" w:type="dxa"/>
              <w:bottom w:w="40" w:type="dxa"/>
              <w:right w:w="20" w:type="dxa"/>
            </w:tcMar>
          </w:tcPr>
          <w:p w14:paraId="67534861"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862" w14:textId="77777777" w:rsidR="001B77DD" w:rsidRDefault="00BF0A28">
            <w:pPr>
              <w:textAlignment w:val="top"/>
            </w:pPr>
            <w:r>
              <w:rPr>
                <w:rFonts w:ascii="Arial" w:eastAsia="宋体" w:hAnsi="Arial" w:cs="Arial"/>
                <w:color w:val="262626"/>
                <w:sz w:val="18"/>
                <w:szCs w:val="18"/>
              </w:rPr>
              <w:t xml:space="preserve">In December 2021, we announced our intention to take Mobileye public in the US via an IPO of newly issued Mobileye stock. Intel expects to retain majority ownership of Mobileye following the completion of the IPO. </w:t>
            </w:r>
          </w:p>
        </w:tc>
        <w:tc>
          <w:tcPr>
            <w:tcW w:w="0" w:type="auto"/>
            <w:gridSpan w:val="3"/>
            <w:shd w:val="clear" w:color="auto" w:fill="auto"/>
            <w:tcMar>
              <w:top w:w="0" w:type="dxa"/>
              <w:left w:w="20" w:type="dxa"/>
              <w:bottom w:w="0" w:type="dxa"/>
              <w:right w:w="20" w:type="dxa"/>
            </w:tcMar>
            <w:vAlign w:val="bottom"/>
          </w:tcPr>
          <w:p w14:paraId="67534863" w14:textId="77777777" w:rsidR="001B77DD" w:rsidRDefault="001B77DD">
            <w:pPr>
              <w:rPr>
                <w:rFonts w:ascii="宋体"/>
              </w:rPr>
            </w:pPr>
          </w:p>
        </w:tc>
      </w:tr>
    </w:tbl>
    <w:p w14:paraId="67534865" w14:textId="77777777" w:rsidR="001B77DD" w:rsidRDefault="001B77DD">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869" w14:textId="77777777">
        <w:tc>
          <w:tcPr>
            <w:tcW w:w="20" w:type="dxa"/>
            <w:shd w:val="clear" w:color="auto" w:fill="auto"/>
            <w:vAlign w:val="bottom"/>
          </w:tcPr>
          <w:p w14:paraId="67534866" w14:textId="77777777" w:rsidR="001B77DD" w:rsidRDefault="001B77DD">
            <w:pPr>
              <w:rPr>
                <w:rFonts w:ascii="宋体"/>
              </w:rPr>
            </w:pPr>
          </w:p>
        </w:tc>
        <w:tc>
          <w:tcPr>
            <w:tcW w:w="10940" w:type="dxa"/>
            <w:shd w:val="clear" w:color="auto" w:fill="auto"/>
            <w:vAlign w:val="bottom"/>
          </w:tcPr>
          <w:p w14:paraId="67534867" w14:textId="77777777" w:rsidR="001B77DD" w:rsidRDefault="001B77DD">
            <w:pPr>
              <w:rPr>
                <w:rFonts w:ascii="宋体"/>
              </w:rPr>
            </w:pPr>
          </w:p>
        </w:tc>
        <w:tc>
          <w:tcPr>
            <w:tcW w:w="20" w:type="dxa"/>
            <w:shd w:val="clear" w:color="auto" w:fill="auto"/>
            <w:vAlign w:val="bottom"/>
          </w:tcPr>
          <w:p w14:paraId="67534868" w14:textId="77777777" w:rsidR="001B77DD" w:rsidRDefault="001B77DD">
            <w:pPr>
              <w:rPr>
                <w:rFonts w:ascii="宋体"/>
              </w:rPr>
            </w:pPr>
          </w:p>
        </w:tc>
      </w:tr>
      <w:tr w:rsidR="001B77DD" w14:paraId="6753486B"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86A" w14:textId="77777777" w:rsidR="001B77DD" w:rsidRDefault="00BF0A28">
            <w:pPr>
              <w:spacing w:after="120"/>
              <w:textAlignment w:val="bottom"/>
            </w:pPr>
            <w:r>
              <w:rPr>
                <w:rFonts w:ascii="Arial" w:eastAsia="宋体" w:hAnsi="Arial" w:cs="Arial"/>
                <w:color w:val="0068B5"/>
                <w:sz w:val="20"/>
                <w:szCs w:val="20"/>
              </w:rPr>
              <w:t>5-Year Trends</w:t>
            </w:r>
            <w:r>
              <w:rPr>
                <w:rFonts w:ascii="Arial" w:eastAsia="宋体" w:hAnsi="Arial" w:cs="Arial"/>
                <w:color w:val="0068B5"/>
                <w:sz w:val="13"/>
                <w:szCs w:val="13"/>
              </w:rPr>
              <w:t>2</w:t>
            </w:r>
          </w:p>
        </w:tc>
      </w:tr>
    </w:tbl>
    <w:p w14:paraId="6753486C"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Viewer4_files/intc-20211225_g73.jpg"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62" wp14:editId="67538E63">
            <wp:extent cx="304800" cy="304800"/>
            <wp:effectExtent l="0" t="0" r="0" b="0"/>
            <wp:docPr id="8" name="图片 159"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9" descr="IMG_35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w:instrText>
      </w:r>
      <w:r>
        <w:rPr>
          <w:rFonts w:ascii="宋体" w:eastAsia="宋体" w:hAnsi="宋体" w:cs="宋体"/>
        </w:rPr>
        <w:instrText xml:space="preserve">225_g74.jpg"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64" wp14:editId="67538E65">
            <wp:extent cx="304800" cy="304800"/>
            <wp:effectExtent l="0" t="0" r="0" b="0"/>
            <wp:docPr id="9" name="图片 160"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0" descr="IMG_35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545" w:type="dxa"/>
        <w:tblCellMar>
          <w:top w:w="15" w:type="dxa"/>
          <w:left w:w="15" w:type="dxa"/>
          <w:bottom w:w="15" w:type="dxa"/>
          <w:right w:w="15" w:type="dxa"/>
        </w:tblCellMar>
        <w:tblLook w:val="04A0" w:firstRow="1" w:lastRow="0" w:firstColumn="1" w:lastColumn="0" w:noHBand="0" w:noVBand="1"/>
      </w:tblPr>
      <w:tblGrid>
        <w:gridCol w:w="36"/>
        <w:gridCol w:w="373"/>
        <w:gridCol w:w="36"/>
        <w:gridCol w:w="36"/>
        <w:gridCol w:w="1346"/>
        <w:gridCol w:w="36"/>
        <w:gridCol w:w="36"/>
        <w:gridCol w:w="3184"/>
        <w:gridCol w:w="36"/>
        <w:gridCol w:w="36"/>
        <w:gridCol w:w="623"/>
        <w:gridCol w:w="36"/>
        <w:gridCol w:w="36"/>
        <w:gridCol w:w="624"/>
        <w:gridCol w:w="36"/>
        <w:gridCol w:w="36"/>
        <w:gridCol w:w="3963"/>
        <w:gridCol w:w="36"/>
      </w:tblGrid>
      <w:tr w:rsidR="001B77DD" w14:paraId="6753487F" w14:textId="77777777">
        <w:tc>
          <w:tcPr>
            <w:tcW w:w="20" w:type="dxa"/>
            <w:shd w:val="clear" w:color="auto" w:fill="auto"/>
            <w:vAlign w:val="bottom"/>
          </w:tcPr>
          <w:p w14:paraId="6753486D" w14:textId="77777777" w:rsidR="001B77DD" w:rsidRDefault="001B77DD">
            <w:pPr>
              <w:rPr>
                <w:rFonts w:ascii="宋体"/>
              </w:rPr>
            </w:pPr>
          </w:p>
        </w:tc>
        <w:tc>
          <w:tcPr>
            <w:tcW w:w="380" w:type="dxa"/>
            <w:shd w:val="clear" w:color="auto" w:fill="auto"/>
            <w:vAlign w:val="bottom"/>
          </w:tcPr>
          <w:p w14:paraId="6753486E" w14:textId="77777777" w:rsidR="001B77DD" w:rsidRDefault="001B77DD">
            <w:pPr>
              <w:rPr>
                <w:rFonts w:ascii="宋体"/>
              </w:rPr>
            </w:pPr>
          </w:p>
        </w:tc>
        <w:tc>
          <w:tcPr>
            <w:tcW w:w="20" w:type="dxa"/>
            <w:shd w:val="clear" w:color="auto" w:fill="auto"/>
            <w:vAlign w:val="bottom"/>
          </w:tcPr>
          <w:p w14:paraId="6753486F" w14:textId="77777777" w:rsidR="001B77DD" w:rsidRDefault="001B77DD">
            <w:pPr>
              <w:rPr>
                <w:rFonts w:ascii="宋体"/>
              </w:rPr>
            </w:pPr>
          </w:p>
        </w:tc>
        <w:tc>
          <w:tcPr>
            <w:tcW w:w="20" w:type="dxa"/>
            <w:shd w:val="clear" w:color="auto" w:fill="auto"/>
            <w:vAlign w:val="bottom"/>
          </w:tcPr>
          <w:p w14:paraId="67534870" w14:textId="77777777" w:rsidR="001B77DD" w:rsidRDefault="001B77DD">
            <w:pPr>
              <w:rPr>
                <w:rFonts w:ascii="宋体"/>
              </w:rPr>
            </w:pPr>
          </w:p>
        </w:tc>
        <w:tc>
          <w:tcPr>
            <w:tcW w:w="1370" w:type="dxa"/>
            <w:shd w:val="clear" w:color="auto" w:fill="auto"/>
            <w:vAlign w:val="bottom"/>
          </w:tcPr>
          <w:p w14:paraId="67534871" w14:textId="77777777" w:rsidR="001B77DD" w:rsidRDefault="001B77DD">
            <w:pPr>
              <w:rPr>
                <w:rFonts w:ascii="宋体"/>
              </w:rPr>
            </w:pPr>
          </w:p>
        </w:tc>
        <w:tc>
          <w:tcPr>
            <w:tcW w:w="20" w:type="dxa"/>
            <w:shd w:val="clear" w:color="auto" w:fill="auto"/>
            <w:vAlign w:val="bottom"/>
          </w:tcPr>
          <w:p w14:paraId="67534872" w14:textId="77777777" w:rsidR="001B77DD" w:rsidRDefault="001B77DD">
            <w:pPr>
              <w:rPr>
                <w:rFonts w:ascii="宋体"/>
              </w:rPr>
            </w:pPr>
          </w:p>
        </w:tc>
        <w:tc>
          <w:tcPr>
            <w:tcW w:w="20" w:type="dxa"/>
            <w:shd w:val="clear" w:color="auto" w:fill="auto"/>
            <w:vAlign w:val="bottom"/>
          </w:tcPr>
          <w:p w14:paraId="67534873" w14:textId="77777777" w:rsidR="001B77DD" w:rsidRDefault="001B77DD">
            <w:pPr>
              <w:rPr>
                <w:rFonts w:ascii="宋体"/>
              </w:rPr>
            </w:pPr>
          </w:p>
        </w:tc>
        <w:tc>
          <w:tcPr>
            <w:tcW w:w="3245" w:type="dxa"/>
            <w:shd w:val="clear" w:color="auto" w:fill="auto"/>
            <w:vAlign w:val="bottom"/>
          </w:tcPr>
          <w:p w14:paraId="67534874" w14:textId="77777777" w:rsidR="001B77DD" w:rsidRDefault="001B77DD">
            <w:pPr>
              <w:rPr>
                <w:rFonts w:ascii="宋体"/>
              </w:rPr>
            </w:pPr>
          </w:p>
        </w:tc>
        <w:tc>
          <w:tcPr>
            <w:tcW w:w="20" w:type="dxa"/>
            <w:shd w:val="clear" w:color="auto" w:fill="auto"/>
            <w:vAlign w:val="bottom"/>
          </w:tcPr>
          <w:p w14:paraId="67534875" w14:textId="77777777" w:rsidR="001B77DD" w:rsidRDefault="001B77DD">
            <w:pPr>
              <w:rPr>
                <w:rFonts w:ascii="宋体"/>
              </w:rPr>
            </w:pPr>
          </w:p>
        </w:tc>
        <w:tc>
          <w:tcPr>
            <w:tcW w:w="20" w:type="dxa"/>
            <w:shd w:val="clear" w:color="auto" w:fill="auto"/>
            <w:vAlign w:val="bottom"/>
          </w:tcPr>
          <w:p w14:paraId="67534876" w14:textId="77777777" w:rsidR="001B77DD" w:rsidRDefault="001B77DD">
            <w:pPr>
              <w:rPr>
                <w:rFonts w:ascii="宋体"/>
              </w:rPr>
            </w:pPr>
          </w:p>
        </w:tc>
        <w:tc>
          <w:tcPr>
            <w:tcW w:w="635" w:type="dxa"/>
            <w:shd w:val="clear" w:color="auto" w:fill="auto"/>
            <w:vAlign w:val="bottom"/>
          </w:tcPr>
          <w:p w14:paraId="67534877" w14:textId="77777777" w:rsidR="001B77DD" w:rsidRDefault="001B77DD">
            <w:pPr>
              <w:rPr>
                <w:rFonts w:ascii="宋体"/>
              </w:rPr>
            </w:pPr>
          </w:p>
        </w:tc>
        <w:tc>
          <w:tcPr>
            <w:tcW w:w="20" w:type="dxa"/>
            <w:shd w:val="clear" w:color="auto" w:fill="auto"/>
            <w:vAlign w:val="bottom"/>
          </w:tcPr>
          <w:p w14:paraId="67534878" w14:textId="77777777" w:rsidR="001B77DD" w:rsidRDefault="001B77DD">
            <w:pPr>
              <w:rPr>
                <w:rFonts w:ascii="宋体"/>
              </w:rPr>
            </w:pPr>
          </w:p>
        </w:tc>
        <w:tc>
          <w:tcPr>
            <w:tcW w:w="20" w:type="dxa"/>
            <w:shd w:val="clear" w:color="auto" w:fill="auto"/>
            <w:vAlign w:val="bottom"/>
          </w:tcPr>
          <w:p w14:paraId="67534879" w14:textId="77777777" w:rsidR="001B77DD" w:rsidRDefault="001B77DD">
            <w:pPr>
              <w:rPr>
                <w:rFonts w:ascii="宋体"/>
              </w:rPr>
            </w:pPr>
          </w:p>
        </w:tc>
        <w:tc>
          <w:tcPr>
            <w:tcW w:w="635" w:type="dxa"/>
            <w:shd w:val="clear" w:color="auto" w:fill="auto"/>
            <w:vAlign w:val="bottom"/>
          </w:tcPr>
          <w:p w14:paraId="6753487A" w14:textId="77777777" w:rsidR="001B77DD" w:rsidRDefault="001B77DD">
            <w:pPr>
              <w:rPr>
                <w:rFonts w:ascii="宋体"/>
              </w:rPr>
            </w:pPr>
          </w:p>
        </w:tc>
        <w:tc>
          <w:tcPr>
            <w:tcW w:w="20" w:type="dxa"/>
            <w:shd w:val="clear" w:color="auto" w:fill="auto"/>
            <w:vAlign w:val="bottom"/>
          </w:tcPr>
          <w:p w14:paraId="6753487B" w14:textId="77777777" w:rsidR="001B77DD" w:rsidRDefault="001B77DD">
            <w:pPr>
              <w:rPr>
                <w:rFonts w:ascii="宋体"/>
              </w:rPr>
            </w:pPr>
          </w:p>
        </w:tc>
        <w:tc>
          <w:tcPr>
            <w:tcW w:w="20" w:type="dxa"/>
            <w:shd w:val="clear" w:color="auto" w:fill="auto"/>
            <w:vAlign w:val="bottom"/>
          </w:tcPr>
          <w:p w14:paraId="6753487C" w14:textId="77777777" w:rsidR="001B77DD" w:rsidRDefault="001B77DD">
            <w:pPr>
              <w:rPr>
                <w:rFonts w:ascii="宋体"/>
              </w:rPr>
            </w:pPr>
          </w:p>
        </w:tc>
        <w:tc>
          <w:tcPr>
            <w:tcW w:w="4040" w:type="dxa"/>
            <w:shd w:val="clear" w:color="auto" w:fill="auto"/>
            <w:vAlign w:val="bottom"/>
          </w:tcPr>
          <w:p w14:paraId="6753487D" w14:textId="77777777" w:rsidR="001B77DD" w:rsidRDefault="001B77DD">
            <w:pPr>
              <w:rPr>
                <w:rFonts w:ascii="宋体"/>
              </w:rPr>
            </w:pPr>
          </w:p>
        </w:tc>
        <w:tc>
          <w:tcPr>
            <w:tcW w:w="20" w:type="dxa"/>
            <w:shd w:val="clear" w:color="auto" w:fill="auto"/>
            <w:vAlign w:val="bottom"/>
          </w:tcPr>
          <w:p w14:paraId="6753487E" w14:textId="77777777" w:rsidR="001B77DD" w:rsidRDefault="001B77DD">
            <w:pPr>
              <w:rPr>
                <w:rFonts w:ascii="宋体"/>
              </w:rPr>
            </w:pPr>
          </w:p>
        </w:tc>
      </w:tr>
      <w:tr w:rsidR="001B77DD" w14:paraId="67534884" w14:textId="77777777">
        <w:trPr>
          <w:trHeight w:val="220"/>
        </w:trPr>
        <w:tc>
          <w:tcPr>
            <w:tcW w:w="0" w:type="auto"/>
            <w:gridSpan w:val="3"/>
            <w:shd w:val="clear" w:color="auto" w:fill="auto"/>
            <w:tcMar>
              <w:top w:w="0" w:type="dxa"/>
              <w:left w:w="20" w:type="dxa"/>
              <w:bottom w:w="0" w:type="dxa"/>
              <w:right w:w="20" w:type="dxa"/>
            </w:tcMar>
            <w:vAlign w:val="bottom"/>
          </w:tcPr>
          <w:p w14:paraId="67534880"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vAlign w:val="bottom"/>
          </w:tcPr>
          <w:p w14:paraId="67534881" w14:textId="77777777" w:rsidR="001B77DD" w:rsidRDefault="00BF0A28">
            <w:pPr>
              <w:jc w:val="center"/>
              <w:textAlignment w:val="bottom"/>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vAlign w:val="bottom"/>
          </w:tcPr>
          <w:p w14:paraId="67534882"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vAlign w:val="bottom"/>
          </w:tcPr>
          <w:p w14:paraId="67534883" w14:textId="77777777" w:rsidR="001B77DD" w:rsidRDefault="00BF0A28">
            <w:pPr>
              <w:jc w:val="cente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r>
    </w:tbl>
    <w:p w14:paraId="67534885" w14:textId="77777777" w:rsidR="001B77DD" w:rsidRDefault="00BF0A28">
      <w:pPr>
        <w:spacing w:after="120"/>
      </w:pPr>
      <w:r>
        <w:rPr>
          <w:rFonts w:ascii="Arial" w:eastAsia="宋体" w:hAnsi="Arial" w:cs="Arial"/>
          <w:color w:val="0068B5"/>
        </w:rPr>
        <w:t>Market and Business Overview</w:t>
      </w:r>
    </w:p>
    <w:p w14:paraId="67534886" w14:textId="77777777" w:rsidR="001B77DD" w:rsidRDefault="00BF0A28">
      <w:pPr>
        <w:spacing w:after="60"/>
      </w:pPr>
      <w:r>
        <w:rPr>
          <w:rFonts w:ascii="Arial" w:eastAsia="宋体" w:hAnsi="Arial" w:cs="Arial"/>
          <w:color w:val="0068B5"/>
          <w:sz w:val="20"/>
          <w:szCs w:val="20"/>
        </w:rPr>
        <w:t>Market Trends and Strategy</w:t>
      </w:r>
    </w:p>
    <w:p w14:paraId="67534887" w14:textId="77777777" w:rsidR="001B77DD" w:rsidRDefault="00BF0A28">
      <w:pPr>
        <w:spacing w:after="180"/>
      </w:pPr>
      <w:r>
        <w:rPr>
          <w:rFonts w:ascii="Arial" w:eastAsia="宋体" w:hAnsi="Arial" w:cs="Arial"/>
          <w:color w:val="262626"/>
          <w:sz w:val="18"/>
          <w:szCs w:val="18"/>
        </w:rPr>
        <w:t>While the vehicle industry shows recovery from the COVID-19 pandemic with approximately 2%</w:t>
      </w:r>
      <w:r>
        <w:rPr>
          <w:rFonts w:ascii="Arial" w:eastAsia="宋体" w:hAnsi="Arial" w:cs="Arial"/>
          <w:color w:val="262626"/>
          <w:sz w:val="11"/>
          <w:szCs w:val="11"/>
        </w:rPr>
        <w:t xml:space="preserve">3 </w:t>
      </w:r>
      <w:r>
        <w:rPr>
          <w:rFonts w:ascii="Arial" w:eastAsia="宋体" w:hAnsi="Arial" w:cs="Arial"/>
          <w:color w:val="262626"/>
          <w:sz w:val="18"/>
          <w:szCs w:val="18"/>
        </w:rPr>
        <w:t xml:space="preserve">growth year over year, production is still roughly 15% below 2019 levels. We expect ADAS volume to overcome the COVID-19 effects faster than overall global vehicle production, given the significant growth shown in 2021. We anticipate long-term ADAS growth </w:t>
      </w:r>
      <w:r>
        <w:rPr>
          <w:rFonts w:ascii="Arial" w:eastAsia="宋体" w:hAnsi="Arial" w:cs="Arial"/>
          <w:color w:val="262626"/>
          <w:sz w:val="18"/>
          <w:szCs w:val="18"/>
        </w:rPr>
        <w:t xml:space="preserve">from a strong build-up in L1-L2 ADAS fitment rates, increasing the number of vehicles that will have basic ADAS features from the factory. In addition, we expect increased demand for new generations of cloud-enhanced ADAS as OEMs continue to look to boost </w:t>
      </w:r>
      <w:r>
        <w:rPr>
          <w:rFonts w:ascii="Arial" w:eastAsia="宋体" w:hAnsi="Arial" w:cs="Arial"/>
          <w:color w:val="262626"/>
          <w:sz w:val="18"/>
          <w:szCs w:val="18"/>
        </w:rPr>
        <w:t>current L2 solutions by improving system fidelity, availability, and performance. A crucial building block for L4 autonomy, our REM high-definition maps with constant updates, global coverage, and crowd-based semantics provide a unique value proposition fo</w:t>
      </w:r>
      <w:r>
        <w:rPr>
          <w:rFonts w:ascii="Arial" w:eastAsia="宋体" w:hAnsi="Arial" w:cs="Arial"/>
          <w:color w:val="262626"/>
          <w:sz w:val="18"/>
          <w:szCs w:val="18"/>
        </w:rPr>
        <w:t xml:space="preserve">r enhanced L2 systems. We see great traction from leading OEMs (including VW and Ford, as recently announced) as REM-based enhancements can be achieved based on economical configuration. </w:t>
      </w:r>
    </w:p>
    <w:p w14:paraId="67534888" w14:textId="77777777" w:rsidR="001B77DD" w:rsidRDefault="00BF0A28">
      <w:pPr>
        <w:spacing w:after="60"/>
      </w:pPr>
      <w:r>
        <w:rPr>
          <w:rFonts w:ascii="Arial" w:eastAsia="宋体" w:hAnsi="Arial" w:cs="Arial"/>
          <w:color w:val="262626"/>
          <w:sz w:val="18"/>
          <w:szCs w:val="18"/>
        </w:rPr>
        <w:t>We believe the future of autonomous driving will unfold in two phase</w:t>
      </w:r>
      <w:r>
        <w:rPr>
          <w:rFonts w:ascii="Arial" w:eastAsia="宋体" w:hAnsi="Arial" w:cs="Arial"/>
          <w:color w:val="262626"/>
          <w:sz w:val="18"/>
          <w:szCs w:val="18"/>
        </w:rPr>
        <w:t>s: commercial services like Robotaxi and cargo, followed by series-production passenger car consumer AVs. We expect consumer AVs to materialize only after the Robotaxi industry deploys and matures. The main inhibitors of a mass market product offering of c</w:t>
      </w:r>
      <w:r>
        <w:rPr>
          <w:rFonts w:ascii="Arial" w:eastAsia="宋体" w:hAnsi="Arial" w:cs="Arial"/>
          <w:color w:val="262626"/>
          <w:sz w:val="18"/>
          <w:szCs w:val="18"/>
        </w:rPr>
        <w:t>onsumer AV are the cost of AV technology, ability to scale at a low cost, regulatory framework, public acceptance, and the ability to scale geographically. Thus, we see the Robotaxi phase as a necessary corridor to consumer AV. Because of our scalable appr</w:t>
      </w:r>
      <w:r>
        <w:rPr>
          <w:rFonts w:ascii="Arial" w:eastAsia="宋体" w:hAnsi="Arial" w:cs="Arial"/>
          <w:color w:val="262626"/>
          <w:sz w:val="18"/>
          <w:szCs w:val="18"/>
        </w:rPr>
        <w:t>oach, Mobileye is well-positioned to play a significant role in both the Robotaxi market and the future consumer AV market. This is driven by three elements in our strategy: lean compute enabled by the tight co-design of hardware and software, REM crowdsou</w:t>
      </w:r>
      <w:r>
        <w:rPr>
          <w:rFonts w:ascii="Arial" w:eastAsia="宋体" w:hAnsi="Arial" w:cs="Arial"/>
          <w:color w:val="262626"/>
          <w:sz w:val="18"/>
          <w:szCs w:val="18"/>
        </w:rPr>
        <w:t>rced maps that provide unparalleled global coverage and constant updates, and development of high-resolution imaging radars to reduce the use of costly LiDAR sensors.</w:t>
      </w:r>
    </w:p>
    <w:p w14:paraId="67534889" w14:textId="77777777" w:rsidR="001B77DD" w:rsidRDefault="00BF0A28">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This refers to the total number of production programs with active project managers. In</w:t>
      </w:r>
      <w:r>
        <w:rPr>
          <w:rFonts w:ascii="Arial" w:eastAsia="宋体" w:hAnsi="Arial" w:cs="Arial"/>
          <w:i/>
          <w:iCs/>
          <w:color w:val="262626"/>
          <w:sz w:val="16"/>
          <w:szCs w:val="16"/>
        </w:rPr>
        <w:t xml:space="preserve">tel's definition of program is included in "Key Terms" within the Financial Statements and Supplemental Details. </w:t>
      </w:r>
    </w:p>
    <w:p w14:paraId="6753488A" w14:textId="77777777" w:rsidR="001B77DD" w:rsidRDefault="00BF0A28">
      <w:pPr>
        <w:ind w:hanging="180"/>
      </w:pPr>
      <w:r>
        <w:rPr>
          <w:rFonts w:ascii="Arial" w:eastAsia="宋体" w:hAnsi="Arial" w:cs="Arial"/>
          <w:i/>
          <w:iCs/>
          <w:color w:val="262626"/>
          <w:sz w:val="10"/>
          <w:szCs w:val="10"/>
        </w:rPr>
        <w:t xml:space="preserve">2 </w:t>
      </w:r>
      <w:r>
        <w:rPr>
          <w:rFonts w:ascii="Arial" w:eastAsia="宋体" w:hAnsi="Arial" w:cs="Arial"/>
          <w:i/>
          <w:iCs/>
          <w:color w:val="262626"/>
          <w:sz w:val="16"/>
          <w:szCs w:val="16"/>
        </w:rPr>
        <w:t xml:space="preserve">Mobileye was acquired in Q3 2017; 2017 results do not represent the full year. </w:t>
      </w:r>
    </w:p>
    <w:p w14:paraId="6753488B" w14:textId="77777777" w:rsidR="001B77DD" w:rsidRDefault="00BF0A28">
      <w:pPr>
        <w:ind w:hanging="180"/>
      </w:pPr>
      <w:r>
        <w:rPr>
          <w:rFonts w:ascii="Arial" w:eastAsia="宋体" w:hAnsi="Arial" w:cs="Arial"/>
          <w:i/>
          <w:iCs/>
          <w:color w:val="262626"/>
          <w:sz w:val="10"/>
          <w:szCs w:val="10"/>
        </w:rPr>
        <w:t xml:space="preserve">3 </w:t>
      </w:r>
      <w:r>
        <w:rPr>
          <w:rFonts w:ascii="Arial" w:eastAsia="宋体" w:hAnsi="Arial" w:cs="Arial"/>
          <w:i/>
          <w:iCs/>
          <w:color w:val="262626"/>
          <w:sz w:val="16"/>
          <w:szCs w:val="16"/>
        </w:rPr>
        <w:t>Source: IHS Markit.</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895" w14:textId="77777777">
        <w:tc>
          <w:tcPr>
            <w:tcW w:w="50" w:type="pct"/>
            <w:shd w:val="clear" w:color="auto" w:fill="auto"/>
            <w:vAlign w:val="bottom"/>
          </w:tcPr>
          <w:p w14:paraId="6753488C" w14:textId="77777777" w:rsidR="001B77DD" w:rsidRDefault="001B77DD">
            <w:pPr>
              <w:rPr>
                <w:rFonts w:ascii="宋体"/>
              </w:rPr>
            </w:pPr>
          </w:p>
        </w:tc>
        <w:tc>
          <w:tcPr>
            <w:tcW w:w="283" w:type="pct"/>
            <w:shd w:val="clear" w:color="auto" w:fill="auto"/>
            <w:vAlign w:val="bottom"/>
          </w:tcPr>
          <w:p w14:paraId="6753488D" w14:textId="77777777" w:rsidR="001B77DD" w:rsidRDefault="001B77DD">
            <w:pPr>
              <w:rPr>
                <w:rFonts w:ascii="宋体"/>
              </w:rPr>
            </w:pPr>
          </w:p>
        </w:tc>
        <w:tc>
          <w:tcPr>
            <w:tcW w:w="5" w:type="pct"/>
            <w:shd w:val="clear" w:color="auto" w:fill="auto"/>
            <w:vAlign w:val="bottom"/>
          </w:tcPr>
          <w:p w14:paraId="6753488E" w14:textId="77777777" w:rsidR="001B77DD" w:rsidRDefault="001B77DD">
            <w:pPr>
              <w:rPr>
                <w:rFonts w:ascii="宋体"/>
              </w:rPr>
            </w:pPr>
          </w:p>
        </w:tc>
        <w:tc>
          <w:tcPr>
            <w:tcW w:w="50" w:type="pct"/>
            <w:shd w:val="clear" w:color="auto" w:fill="auto"/>
            <w:vAlign w:val="bottom"/>
          </w:tcPr>
          <w:p w14:paraId="6753488F" w14:textId="77777777" w:rsidR="001B77DD" w:rsidRDefault="001B77DD">
            <w:pPr>
              <w:rPr>
                <w:rFonts w:ascii="宋体"/>
              </w:rPr>
            </w:pPr>
          </w:p>
        </w:tc>
        <w:tc>
          <w:tcPr>
            <w:tcW w:w="2656" w:type="pct"/>
            <w:shd w:val="clear" w:color="auto" w:fill="auto"/>
            <w:vAlign w:val="bottom"/>
          </w:tcPr>
          <w:p w14:paraId="67534890" w14:textId="77777777" w:rsidR="001B77DD" w:rsidRDefault="001B77DD">
            <w:pPr>
              <w:rPr>
                <w:rFonts w:ascii="宋体"/>
              </w:rPr>
            </w:pPr>
          </w:p>
        </w:tc>
        <w:tc>
          <w:tcPr>
            <w:tcW w:w="5" w:type="pct"/>
            <w:shd w:val="clear" w:color="auto" w:fill="auto"/>
            <w:vAlign w:val="bottom"/>
          </w:tcPr>
          <w:p w14:paraId="67534891" w14:textId="77777777" w:rsidR="001B77DD" w:rsidRDefault="001B77DD">
            <w:pPr>
              <w:rPr>
                <w:rFonts w:ascii="宋体"/>
              </w:rPr>
            </w:pPr>
          </w:p>
        </w:tc>
        <w:tc>
          <w:tcPr>
            <w:tcW w:w="50" w:type="pct"/>
            <w:shd w:val="clear" w:color="auto" w:fill="auto"/>
            <w:vAlign w:val="bottom"/>
          </w:tcPr>
          <w:p w14:paraId="67534892" w14:textId="77777777" w:rsidR="001B77DD" w:rsidRDefault="001B77DD">
            <w:pPr>
              <w:rPr>
                <w:rFonts w:ascii="宋体"/>
              </w:rPr>
            </w:pPr>
          </w:p>
        </w:tc>
        <w:tc>
          <w:tcPr>
            <w:tcW w:w="1894" w:type="pct"/>
            <w:shd w:val="clear" w:color="auto" w:fill="auto"/>
            <w:vAlign w:val="bottom"/>
          </w:tcPr>
          <w:p w14:paraId="67534893" w14:textId="77777777" w:rsidR="001B77DD" w:rsidRDefault="001B77DD">
            <w:pPr>
              <w:rPr>
                <w:rFonts w:ascii="宋体"/>
              </w:rPr>
            </w:pPr>
          </w:p>
        </w:tc>
        <w:tc>
          <w:tcPr>
            <w:tcW w:w="5" w:type="pct"/>
            <w:shd w:val="clear" w:color="auto" w:fill="auto"/>
            <w:vAlign w:val="bottom"/>
          </w:tcPr>
          <w:p w14:paraId="67534894" w14:textId="77777777" w:rsidR="001B77DD" w:rsidRDefault="001B77DD">
            <w:pPr>
              <w:rPr>
                <w:rFonts w:ascii="宋体"/>
              </w:rPr>
            </w:pPr>
          </w:p>
        </w:tc>
      </w:tr>
      <w:tr w:rsidR="001B77DD" w14:paraId="6753489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896"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66" wp14:editId="67538E67">
                  <wp:extent cx="304800" cy="304800"/>
                  <wp:effectExtent l="0" t="0" r="0" b="0"/>
                  <wp:docPr id="13" name="图片 161"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1"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897"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898" w14:textId="77777777" w:rsidR="001B77DD" w:rsidRDefault="00BF0A28">
            <w:pPr>
              <w:jc w:val="right"/>
              <w:textAlignment w:val="center"/>
            </w:pPr>
            <w:r>
              <w:rPr>
                <w:rFonts w:ascii="Arial" w:eastAsia="宋体" w:hAnsi="Arial" w:cs="Arial"/>
                <w:color w:val="262626"/>
                <w:sz w:val="16"/>
                <w:szCs w:val="16"/>
              </w:rPr>
              <w:t>28</w:t>
            </w:r>
          </w:p>
        </w:tc>
      </w:tr>
    </w:tbl>
    <w:p w14:paraId="6753489A" w14:textId="77777777" w:rsidR="001B77DD" w:rsidRDefault="00BF0A28">
      <w:r>
        <w:pict w14:anchorId="67538E68">
          <v:rect id="_x0000_i1054" style="width:415.3pt;height:1.5pt" o:hralign="center" o:hrstd="t" o:hr="t" fillcolor="#a0a0a0" stroked="f"/>
        </w:pict>
      </w:r>
    </w:p>
    <w:p w14:paraId="6753489B" w14:textId="77777777" w:rsidR="001B77DD" w:rsidRDefault="00BF0A28">
      <w:pPr>
        <w:jc w:val="right"/>
      </w:pPr>
      <w:hyperlink r:id="rId88" w:anchor="i6c9ced68f6b24d58a3dcf326e8c3c699_16" w:history="1">
        <w:r>
          <w:rPr>
            <w:rStyle w:val="a5"/>
            <w:rFonts w:ascii="Arial" w:eastAsia="宋体" w:hAnsi="Arial" w:cs="Arial"/>
            <w:b/>
            <w:bCs/>
            <w:sz w:val="16"/>
            <w:szCs w:val="16"/>
          </w:rPr>
          <w:t>Table of Contents</w:t>
        </w:r>
      </w:hyperlink>
    </w:p>
    <w:p w14:paraId="6753489C" w14:textId="77777777" w:rsidR="001B77DD" w:rsidRDefault="001B77DD">
      <w:pPr>
        <w:jc w:val="right"/>
      </w:pPr>
    </w:p>
    <w:p w14:paraId="6753489D" w14:textId="77777777" w:rsidR="001B77DD" w:rsidRDefault="00BF0A28">
      <w:pPr>
        <w:spacing w:after="180"/>
      </w:pPr>
      <w:r>
        <w:rPr>
          <w:rFonts w:ascii="Arial" w:eastAsia="宋体" w:hAnsi="Arial" w:cs="Arial"/>
          <w:color w:val="262626"/>
          <w:sz w:val="18"/>
          <w:szCs w:val="18"/>
        </w:rPr>
        <w:t>In Robotaxi, Mobileye is active via two major business models: First, we are positi</w:t>
      </w:r>
      <w:r>
        <w:rPr>
          <w:rFonts w:ascii="Arial" w:eastAsia="宋体" w:hAnsi="Arial" w:cs="Arial"/>
          <w:color w:val="262626"/>
          <w:sz w:val="18"/>
          <w:szCs w:val="18"/>
        </w:rPr>
        <w:t>oning ourselves to be an end-to-end service provider together with Moovit's complementary go-to-market assets and service layers. Second, we are also engaging with various public transportation operators, goods delivery, and mobility providers via a Vehicl</w:t>
      </w:r>
      <w:r>
        <w:rPr>
          <w:rFonts w:ascii="Arial" w:eastAsia="宋体" w:hAnsi="Arial" w:cs="Arial"/>
          <w:color w:val="262626"/>
          <w:sz w:val="18"/>
          <w:szCs w:val="18"/>
        </w:rPr>
        <w:t xml:space="preserve">e-as-a-Service business model in which we provide a fully integrated self-driving platform. </w:t>
      </w:r>
    </w:p>
    <w:p w14:paraId="6753489E" w14:textId="77777777" w:rsidR="001B77DD" w:rsidRDefault="00BF0A28">
      <w:pPr>
        <w:spacing w:after="180"/>
      </w:pPr>
      <w:r>
        <w:rPr>
          <w:rFonts w:ascii="Arial" w:eastAsia="宋体" w:hAnsi="Arial" w:cs="Arial"/>
          <w:color w:val="262626"/>
          <w:sz w:val="18"/>
          <w:szCs w:val="18"/>
        </w:rPr>
        <w:t>Regulatory approval and framework are a prerequisite for AV proliferation. In 2021, Germany became the first country in the world to allow autonomous vehicles onto</w:t>
      </w:r>
      <w:r>
        <w:rPr>
          <w:rFonts w:ascii="Arial" w:eastAsia="宋体" w:hAnsi="Arial" w:cs="Arial"/>
          <w:color w:val="262626"/>
          <w:sz w:val="18"/>
          <w:szCs w:val="18"/>
        </w:rPr>
        <w:t xml:space="preserve"> public roads without requiring a human backup safety driver behind the wheel. We anticipate one or more additional countries will soon provide similar regulation, enabling regular deployment and operation of MaaS fleets with self-driving vehicles starting</w:t>
      </w:r>
      <w:r>
        <w:rPr>
          <w:rFonts w:ascii="Arial" w:eastAsia="宋体" w:hAnsi="Arial" w:cs="Arial"/>
          <w:color w:val="262626"/>
          <w:sz w:val="18"/>
          <w:szCs w:val="18"/>
        </w:rPr>
        <w:t xml:space="preserve"> in 2022.</w:t>
      </w:r>
    </w:p>
    <w:p w14:paraId="6753489F" w14:textId="77777777" w:rsidR="001B77DD" w:rsidRDefault="00BF0A28">
      <w:pPr>
        <w:spacing w:after="120"/>
      </w:pPr>
      <w:r>
        <w:rPr>
          <w:rFonts w:ascii="Arial" w:eastAsia="宋体" w:hAnsi="Arial" w:cs="Arial"/>
          <w:color w:val="0068B5"/>
          <w:sz w:val="20"/>
          <w:szCs w:val="20"/>
        </w:rPr>
        <w:t>Products and Competition</w:t>
      </w:r>
    </w:p>
    <w:p w14:paraId="675348A0" w14:textId="77777777" w:rsidR="001B77DD" w:rsidRDefault="00BF0A28">
      <w:pPr>
        <w:spacing w:after="180"/>
      </w:pPr>
      <w:r>
        <w:rPr>
          <w:rFonts w:ascii="Arial" w:eastAsia="宋体" w:hAnsi="Arial" w:cs="Arial"/>
          <w:color w:val="262626"/>
          <w:sz w:val="18"/>
          <w:szCs w:val="18"/>
        </w:rPr>
        <w:t xml:space="preserve">Our offering for ADAS and AV is propelled by our computer vision, AI expertise, and software assets, deployed on our EyeQ SoC family. The tight co-design of hardware and software gives the EyeQ SoC the ability to support </w:t>
      </w:r>
      <w:r>
        <w:rPr>
          <w:rFonts w:ascii="Arial" w:eastAsia="宋体" w:hAnsi="Arial" w:cs="Arial"/>
          <w:color w:val="262626"/>
          <w:sz w:val="18"/>
          <w:szCs w:val="18"/>
        </w:rPr>
        <w:t>complex and computationally intense tasks and sets it apart from competition because it is purpose-fit for high-compute, low-power, automotive-compliant mission profiles. Our 5th Gen EyeQ5 SoC is designed to act as the core building block of central comput</w:t>
      </w:r>
      <w:r>
        <w:rPr>
          <w:rFonts w:ascii="Arial" w:eastAsia="宋体" w:hAnsi="Arial" w:cs="Arial"/>
          <w:color w:val="262626"/>
          <w:sz w:val="18"/>
          <w:szCs w:val="18"/>
        </w:rPr>
        <w:t>e for fully autonomous driving vehicles. We have been able to achieve power, performance, and cost targets by employing proprietary computational cores that are optimized for a wide variety of computer vision, signal processing, and machine learning tasks,</w:t>
      </w:r>
      <w:r>
        <w:rPr>
          <w:rFonts w:ascii="Arial" w:eastAsia="宋体" w:hAnsi="Arial" w:cs="Arial"/>
          <w:color w:val="262626"/>
          <w:sz w:val="18"/>
          <w:szCs w:val="18"/>
        </w:rPr>
        <w:t xml:space="preserve"> including deep neural networks. Starting with EyeQ5, we are supporting an automotive-grade standard operating system and providing a complete software development kit to allow customers to differentiate their solutions by deploying their algorithms on Eye</w:t>
      </w:r>
      <w:r>
        <w:rPr>
          <w:rFonts w:ascii="Arial" w:eastAsia="宋体" w:hAnsi="Arial" w:cs="Arial"/>
          <w:color w:val="262626"/>
          <w:sz w:val="18"/>
          <w:szCs w:val="18"/>
        </w:rPr>
        <w:t>Q5. The EyeQ5 SoC is already available for commercial vehicles and is already operational in our autonomous test vehicles.</w:t>
      </w:r>
    </w:p>
    <w:p w14:paraId="675348A1" w14:textId="77777777" w:rsidR="001B77DD" w:rsidRDefault="00BF0A28">
      <w:pPr>
        <w:spacing w:after="180"/>
      </w:pPr>
      <w:r>
        <w:rPr>
          <w:rFonts w:ascii="Arial" w:eastAsia="宋体" w:hAnsi="Arial" w:cs="Arial"/>
          <w:color w:val="262626"/>
          <w:sz w:val="18"/>
          <w:szCs w:val="18"/>
        </w:rPr>
        <w:t>EyeQ5 serves as the computational foundation for our scalable camera-only surround sensing system. The system consists of multiple in</w:t>
      </w:r>
      <w:r>
        <w:rPr>
          <w:rFonts w:ascii="Arial" w:eastAsia="宋体" w:hAnsi="Arial" w:cs="Arial"/>
          <w:color w:val="262626"/>
          <w:sz w:val="18"/>
          <w:szCs w:val="18"/>
        </w:rPr>
        <w:t>dependent computer vision engines and deep networks for algorithmic redundancy. The result is a robust and comprehensive model of the environment that allows end-to-end autonomous driving. The surround computer vision system is the backbone of Mobileye's A</w:t>
      </w:r>
      <w:r>
        <w:rPr>
          <w:rFonts w:ascii="Arial" w:eastAsia="宋体" w:hAnsi="Arial" w:cs="Arial"/>
          <w:color w:val="262626"/>
          <w:sz w:val="18"/>
          <w:szCs w:val="18"/>
        </w:rPr>
        <w:t>V architecture and the flagship offering for next-generation ADAS.</w:t>
      </w:r>
    </w:p>
    <w:p w14:paraId="675348A2" w14:textId="77777777" w:rsidR="001B77DD" w:rsidRDefault="00BF0A28">
      <w:pPr>
        <w:spacing w:after="180"/>
      </w:pPr>
      <w:r>
        <w:rPr>
          <w:rFonts w:ascii="Arial" w:eastAsia="宋体" w:hAnsi="Arial" w:cs="Arial"/>
          <w:color w:val="262626"/>
          <w:sz w:val="18"/>
          <w:szCs w:val="18"/>
        </w:rPr>
        <w:t xml:space="preserve">We recently introduced EyeQ6L and EyeQ6H, which are designed to provide a scalable solution from entry level ADAS to L2+ and L4 systems. The EyeQ6 platform opens Mobileye to host and </w:t>
      </w:r>
      <w:r>
        <w:rPr>
          <w:rFonts w:ascii="Arial" w:eastAsia="宋体" w:hAnsi="Arial" w:cs="Arial"/>
          <w:color w:val="262626"/>
          <w:sz w:val="18"/>
          <w:szCs w:val="18"/>
        </w:rPr>
        <w:t>process parking and DMS data. EyeQ6L is expected to be deployed in 2023, while EyeQ6H will start production in 2024.</w:t>
      </w:r>
    </w:p>
    <w:p w14:paraId="675348A3" w14:textId="77777777" w:rsidR="001B77DD" w:rsidRDefault="00BF0A28">
      <w:pPr>
        <w:spacing w:after="180"/>
      </w:pPr>
      <w:r>
        <w:rPr>
          <w:rFonts w:ascii="Arial" w:eastAsia="宋体" w:hAnsi="Arial" w:cs="Arial"/>
          <w:color w:val="262626"/>
          <w:sz w:val="18"/>
          <w:szCs w:val="18"/>
        </w:rPr>
        <w:t>We also introduced the EyeQ® Ultra™, our most advanced, highest performing SoC purpose-built for autonomous driving. EyeQ Ultra maximizes b</w:t>
      </w:r>
      <w:r>
        <w:rPr>
          <w:rFonts w:ascii="Arial" w:eastAsia="宋体" w:hAnsi="Arial" w:cs="Arial"/>
          <w:color w:val="262626"/>
          <w:sz w:val="18"/>
          <w:szCs w:val="18"/>
        </w:rPr>
        <w:t>oth performance and efficiency at 176 tera operations per second. This efficiently designed SoC builds on six generations of proven EyeQ architecture and four classes of proprietary accelerator cores to deliver the power and performance needed for AVs. The</w:t>
      </w:r>
      <w:r>
        <w:rPr>
          <w:rFonts w:ascii="Arial" w:eastAsia="宋体" w:hAnsi="Arial" w:cs="Arial"/>
          <w:color w:val="262626"/>
          <w:sz w:val="18"/>
          <w:szCs w:val="18"/>
        </w:rPr>
        <w:t xml:space="preserve"> first silicon for the EyeQ Ultra SoC is expected at the end of 2023, with full automotive-grade production in 2025.</w:t>
      </w:r>
    </w:p>
    <w:p w14:paraId="675348A4" w14:textId="77777777" w:rsidR="001B77DD" w:rsidRDefault="00BF0A28">
      <w:pPr>
        <w:spacing w:after="180"/>
      </w:pPr>
      <w:r>
        <w:rPr>
          <w:rFonts w:ascii="Arial" w:eastAsia="宋体" w:hAnsi="Arial" w:cs="Arial"/>
          <w:color w:val="262626"/>
          <w:sz w:val="18"/>
          <w:szCs w:val="18"/>
        </w:rPr>
        <w:t>The next significant building block in our complete offering is REM mapping technology, which compiles crowdsourced mapping data from EyeQ</w:t>
      </w:r>
      <w:r>
        <w:rPr>
          <w:rFonts w:ascii="Arial" w:eastAsia="宋体" w:hAnsi="Arial" w:cs="Arial"/>
          <w:color w:val="262626"/>
          <w:sz w:val="11"/>
          <w:szCs w:val="11"/>
        </w:rPr>
        <w:t xml:space="preserve"> </w:t>
      </w:r>
      <w:r>
        <w:rPr>
          <w:rFonts w:ascii="Arial" w:eastAsia="宋体" w:hAnsi="Arial" w:cs="Arial"/>
          <w:color w:val="262626"/>
          <w:sz w:val="18"/>
          <w:szCs w:val="18"/>
        </w:rPr>
        <w:t>SoC-equipped vehicles. Together with our OEM partners, we are utilizing our strong presence in ADAS to gain crowd knowledge that is required for building AV maps. After five years of intense development, the REM technology is fully functional for L2/L2+ ap</w:t>
      </w:r>
      <w:r>
        <w:rPr>
          <w:rFonts w:ascii="Arial" w:eastAsia="宋体" w:hAnsi="Arial" w:cs="Arial"/>
          <w:color w:val="262626"/>
          <w:sz w:val="18"/>
          <w:szCs w:val="18"/>
        </w:rPr>
        <w:t>plications and provides a variety of advanced features, including predictive adaptive cruise control, lane-level localization in all weather and road conditions, hands-free driving application, and real-time alerts. REM also provides intelligent speed adap</w:t>
      </w:r>
      <w:r>
        <w:rPr>
          <w:rFonts w:ascii="Arial" w:eastAsia="宋体" w:hAnsi="Arial" w:cs="Arial"/>
          <w:color w:val="262626"/>
          <w:sz w:val="18"/>
          <w:szCs w:val="18"/>
        </w:rPr>
        <w:t>tation functionality for regulation required by GSR and EUNCAP starting in 2022. REM technology is one of our key differentiators.</w:t>
      </w:r>
    </w:p>
    <w:p w14:paraId="675348A5" w14:textId="77777777" w:rsidR="001B77DD" w:rsidRDefault="00BF0A28">
      <w:pPr>
        <w:spacing w:after="180"/>
      </w:pPr>
      <w:r>
        <w:rPr>
          <w:rFonts w:ascii="Arial" w:eastAsia="宋体" w:hAnsi="Arial" w:cs="Arial"/>
          <w:color w:val="262626"/>
          <w:sz w:val="18"/>
          <w:szCs w:val="18"/>
        </w:rPr>
        <w:t>The third building block in our full stack offering is our unique formal model for AV safety (RSS). At its core, RSS is a pra</w:t>
      </w:r>
      <w:r>
        <w:rPr>
          <w:rFonts w:ascii="Arial" w:eastAsia="宋体" w:hAnsi="Arial" w:cs="Arial"/>
          <w:color w:val="262626"/>
          <w:sz w:val="18"/>
          <w:szCs w:val="18"/>
        </w:rPr>
        <w:t>gmatic method to design and then efficiently validate the safety of an AV, serving as the governing safety layer for the decision-making system. RSS formalizes human decision making for safe driving. It acknowledges the need to balance safety with useful d</w:t>
      </w:r>
      <w:r>
        <w:rPr>
          <w:rFonts w:ascii="Arial" w:eastAsia="宋体" w:hAnsi="Arial" w:cs="Arial"/>
          <w:color w:val="262626"/>
          <w:sz w:val="18"/>
          <w:szCs w:val="18"/>
        </w:rPr>
        <w:t xml:space="preserve">riving by making plausible worst-case scenario assumptions for other road users. By using induction and analytical calculations, the RSS model allows for a lean driving policy with high computational efficiency. </w:t>
      </w:r>
    </w:p>
    <w:p w14:paraId="675348A6" w14:textId="77777777" w:rsidR="001B77DD" w:rsidRDefault="00BF0A28">
      <w:pPr>
        <w:spacing w:after="180"/>
      </w:pPr>
      <w:r>
        <w:rPr>
          <w:rFonts w:ascii="Arial" w:eastAsia="宋体" w:hAnsi="Arial" w:cs="Arial"/>
          <w:color w:val="262626"/>
          <w:sz w:val="18"/>
          <w:szCs w:val="18"/>
        </w:rPr>
        <w:t>The fourth building block is True Redundanc</w:t>
      </w:r>
      <w:r>
        <w:rPr>
          <w:rFonts w:ascii="Arial" w:eastAsia="宋体" w:hAnsi="Arial" w:cs="Arial"/>
          <w:color w:val="262626"/>
          <w:sz w:val="18"/>
          <w:szCs w:val="18"/>
        </w:rPr>
        <w:t>y™, which manifests our approach to AV sensing. True Redundancy combines two independent perception sub-systems—one powered by cameras, and another by radar and LiDAR—and supports full end-to-end autonomous capabilities. Our Level 4 self-driving system, Mo</w:t>
      </w:r>
      <w:r>
        <w:rPr>
          <w:rFonts w:ascii="Arial" w:eastAsia="宋体" w:hAnsi="Arial" w:cs="Arial"/>
          <w:color w:val="262626"/>
          <w:sz w:val="18"/>
          <w:szCs w:val="18"/>
        </w:rPr>
        <w:t>bileye Drive, incorporates both systems.</w:t>
      </w:r>
    </w:p>
    <w:p w14:paraId="675348A7" w14:textId="77777777" w:rsidR="001B77DD" w:rsidRDefault="00BF0A28">
      <w:pPr>
        <w:spacing w:after="180"/>
      </w:pPr>
      <w:r>
        <w:rPr>
          <w:rFonts w:ascii="Arial" w:eastAsia="宋体" w:hAnsi="Arial" w:cs="Arial"/>
          <w:color w:val="262626"/>
          <w:sz w:val="18"/>
          <w:szCs w:val="18"/>
        </w:rPr>
        <w:t>Our last building block is active sensors development. Mobileye and Intel's combined competencies put us in a unique position to advance with the development of a software-defined imaging radar designed to deliver r</w:t>
      </w:r>
      <w:r>
        <w:rPr>
          <w:rFonts w:ascii="Arial" w:eastAsia="宋体" w:hAnsi="Arial" w:cs="Arial"/>
          <w:color w:val="262626"/>
          <w:sz w:val="18"/>
          <w:szCs w:val="18"/>
        </w:rPr>
        <w:t>ich point cloud modeling capabilities to enable sensing-state and driving decisions solely on radar. Our imaging radars would replace most of the field of view covered by today's costly LiDARs. LiDAR would be retained only for the front-facing field of vie</w:t>
      </w:r>
      <w:r>
        <w:rPr>
          <w:rFonts w:ascii="Arial" w:eastAsia="宋体" w:hAnsi="Arial" w:cs="Arial"/>
          <w:color w:val="262626"/>
          <w:sz w:val="18"/>
          <w:szCs w:val="18"/>
        </w:rPr>
        <w:t>w, where it would operate in three-way redundancy with cameras and radar, enabling a major cost reduction for the entire sensor configuration. The proof of concept and modelling using this new radar technology has already been demonstrated. We are also dev</w:t>
      </w:r>
      <w:r>
        <w:rPr>
          <w:rFonts w:ascii="Arial" w:eastAsia="宋体" w:hAnsi="Arial" w:cs="Arial"/>
          <w:color w:val="262626"/>
          <w:sz w:val="18"/>
          <w:szCs w:val="18"/>
        </w:rPr>
        <w:t>eloping a unique Frequency-Modulated Continuous Wave LiDAR designed to provide high point density with relative speed measurement and superior immunity for additional safety in time-critical decisions.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8B1" w14:textId="77777777">
        <w:tc>
          <w:tcPr>
            <w:tcW w:w="50" w:type="pct"/>
            <w:shd w:val="clear" w:color="auto" w:fill="auto"/>
            <w:vAlign w:val="bottom"/>
          </w:tcPr>
          <w:p w14:paraId="675348A8" w14:textId="77777777" w:rsidR="001B77DD" w:rsidRDefault="001B77DD">
            <w:pPr>
              <w:rPr>
                <w:rFonts w:ascii="宋体"/>
              </w:rPr>
            </w:pPr>
          </w:p>
        </w:tc>
        <w:tc>
          <w:tcPr>
            <w:tcW w:w="283" w:type="pct"/>
            <w:shd w:val="clear" w:color="auto" w:fill="auto"/>
            <w:vAlign w:val="bottom"/>
          </w:tcPr>
          <w:p w14:paraId="675348A9" w14:textId="77777777" w:rsidR="001B77DD" w:rsidRDefault="001B77DD">
            <w:pPr>
              <w:rPr>
                <w:rFonts w:ascii="宋体"/>
              </w:rPr>
            </w:pPr>
          </w:p>
        </w:tc>
        <w:tc>
          <w:tcPr>
            <w:tcW w:w="5" w:type="pct"/>
            <w:shd w:val="clear" w:color="auto" w:fill="auto"/>
            <w:vAlign w:val="bottom"/>
          </w:tcPr>
          <w:p w14:paraId="675348AA" w14:textId="77777777" w:rsidR="001B77DD" w:rsidRDefault="001B77DD">
            <w:pPr>
              <w:rPr>
                <w:rFonts w:ascii="宋体"/>
              </w:rPr>
            </w:pPr>
          </w:p>
        </w:tc>
        <w:tc>
          <w:tcPr>
            <w:tcW w:w="50" w:type="pct"/>
            <w:shd w:val="clear" w:color="auto" w:fill="auto"/>
            <w:vAlign w:val="bottom"/>
          </w:tcPr>
          <w:p w14:paraId="675348AB" w14:textId="77777777" w:rsidR="001B77DD" w:rsidRDefault="001B77DD">
            <w:pPr>
              <w:rPr>
                <w:rFonts w:ascii="宋体"/>
              </w:rPr>
            </w:pPr>
          </w:p>
        </w:tc>
        <w:tc>
          <w:tcPr>
            <w:tcW w:w="2656" w:type="pct"/>
            <w:shd w:val="clear" w:color="auto" w:fill="auto"/>
            <w:vAlign w:val="bottom"/>
          </w:tcPr>
          <w:p w14:paraId="675348AC" w14:textId="77777777" w:rsidR="001B77DD" w:rsidRDefault="001B77DD">
            <w:pPr>
              <w:rPr>
                <w:rFonts w:ascii="宋体"/>
              </w:rPr>
            </w:pPr>
          </w:p>
        </w:tc>
        <w:tc>
          <w:tcPr>
            <w:tcW w:w="5" w:type="pct"/>
            <w:shd w:val="clear" w:color="auto" w:fill="auto"/>
            <w:vAlign w:val="bottom"/>
          </w:tcPr>
          <w:p w14:paraId="675348AD" w14:textId="77777777" w:rsidR="001B77DD" w:rsidRDefault="001B77DD">
            <w:pPr>
              <w:rPr>
                <w:rFonts w:ascii="宋体"/>
              </w:rPr>
            </w:pPr>
          </w:p>
        </w:tc>
        <w:tc>
          <w:tcPr>
            <w:tcW w:w="50" w:type="pct"/>
            <w:shd w:val="clear" w:color="auto" w:fill="auto"/>
            <w:vAlign w:val="bottom"/>
          </w:tcPr>
          <w:p w14:paraId="675348AE" w14:textId="77777777" w:rsidR="001B77DD" w:rsidRDefault="001B77DD">
            <w:pPr>
              <w:rPr>
                <w:rFonts w:ascii="宋体"/>
              </w:rPr>
            </w:pPr>
          </w:p>
        </w:tc>
        <w:tc>
          <w:tcPr>
            <w:tcW w:w="1894" w:type="pct"/>
            <w:shd w:val="clear" w:color="auto" w:fill="auto"/>
            <w:vAlign w:val="bottom"/>
          </w:tcPr>
          <w:p w14:paraId="675348AF" w14:textId="77777777" w:rsidR="001B77DD" w:rsidRDefault="001B77DD">
            <w:pPr>
              <w:rPr>
                <w:rFonts w:ascii="宋体"/>
              </w:rPr>
            </w:pPr>
          </w:p>
        </w:tc>
        <w:tc>
          <w:tcPr>
            <w:tcW w:w="5" w:type="pct"/>
            <w:shd w:val="clear" w:color="auto" w:fill="auto"/>
            <w:vAlign w:val="bottom"/>
          </w:tcPr>
          <w:p w14:paraId="675348B0" w14:textId="77777777" w:rsidR="001B77DD" w:rsidRDefault="001B77DD">
            <w:pPr>
              <w:rPr>
                <w:rFonts w:ascii="宋体"/>
              </w:rPr>
            </w:pPr>
          </w:p>
        </w:tc>
      </w:tr>
      <w:tr w:rsidR="001B77DD" w14:paraId="675348B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8B2"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69" wp14:editId="67538E6A">
                  <wp:extent cx="304800" cy="304800"/>
                  <wp:effectExtent l="0" t="0" r="0" b="0"/>
                  <wp:docPr id="31" name="图片 16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8B3"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8B4" w14:textId="77777777" w:rsidR="001B77DD" w:rsidRDefault="00BF0A28">
            <w:pPr>
              <w:jc w:val="right"/>
              <w:textAlignment w:val="center"/>
            </w:pPr>
            <w:r>
              <w:rPr>
                <w:rFonts w:ascii="Arial" w:eastAsia="宋体" w:hAnsi="Arial" w:cs="Arial"/>
                <w:color w:val="262626"/>
                <w:sz w:val="16"/>
                <w:szCs w:val="16"/>
              </w:rPr>
              <w:t>29</w:t>
            </w:r>
          </w:p>
        </w:tc>
      </w:tr>
    </w:tbl>
    <w:p w14:paraId="675348B6" w14:textId="77777777" w:rsidR="001B77DD" w:rsidRDefault="00BF0A28">
      <w:r>
        <w:pict w14:anchorId="67538E6B">
          <v:rect id="_x0000_i1055" style="width:415.3pt;height:1.5pt" o:hralign="center" o:hrstd="t" o:hr="t" fillcolor="#a0a0a0" stroked="f"/>
        </w:pict>
      </w:r>
    </w:p>
    <w:p w14:paraId="675348B7" w14:textId="77777777" w:rsidR="001B77DD" w:rsidRDefault="00BF0A28">
      <w:pPr>
        <w:jc w:val="right"/>
      </w:pPr>
      <w:hyperlink r:id="rId89" w:anchor="i6c9ced68f6b24d58a3dcf326e8c3c699_16" w:history="1">
        <w:r>
          <w:rPr>
            <w:rStyle w:val="a5"/>
            <w:rFonts w:ascii="Arial" w:eastAsia="宋体" w:hAnsi="Arial" w:cs="Arial"/>
            <w:b/>
            <w:bCs/>
            <w:sz w:val="16"/>
            <w:szCs w:val="16"/>
          </w:rPr>
          <w:t>Table of Contents</w:t>
        </w:r>
      </w:hyperlink>
    </w:p>
    <w:p w14:paraId="675348B8" w14:textId="77777777" w:rsidR="001B77DD" w:rsidRDefault="001B77DD">
      <w:pPr>
        <w:jc w:val="right"/>
      </w:pPr>
    </w:p>
    <w:p w14:paraId="675348B9" w14:textId="77777777" w:rsidR="001B77DD" w:rsidRDefault="00BF0A28">
      <w:pPr>
        <w:spacing w:after="120"/>
      </w:pPr>
      <w:r>
        <w:rPr>
          <w:rFonts w:ascii="Arial" w:eastAsia="宋体" w:hAnsi="Arial" w:cs="Arial"/>
          <w:color w:val="0068B5"/>
        </w:rPr>
        <w:t>Financial Performance</w:t>
      </w:r>
    </w:p>
    <w:tbl>
      <w:tblPr>
        <w:tblW w:w="10680" w:type="dxa"/>
        <w:tblCellMar>
          <w:top w:w="15" w:type="dxa"/>
          <w:left w:w="15" w:type="dxa"/>
          <w:bottom w:w="15" w:type="dxa"/>
          <w:right w:w="15" w:type="dxa"/>
        </w:tblCellMar>
        <w:tblLook w:val="04A0" w:firstRow="1" w:lastRow="0" w:firstColumn="1" w:lastColumn="0" w:noHBand="0" w:noVBand="1"/>
      </w:tblPr>
      <w:tblGrid>
        <w:gridCol w:w="36"/>
        <w:gridCol w:w="123"/>
        <w:gridCol w:w="36"/>
        <w:gridCol w:w="36"/>
        <w:gridCol w:w="4748"/>
        <w:gridCol w:w="36"/>
        <w:gridCol w:w="36"/>
        <w:gridCol w:w="565"/>
        <w:gridCol w:w="36"/>
        <w:gridCol w:w="36"/>
        <w:gridCol w:w="4495"/>
        <w:gridCol w:w="36"/>
        <w:gridCol w:w="36"/>
        <w:gridCol w:w="389"/>
        <w:gridCol w:w="36"/>
      </w:tblGrid>
      <w:tr w:rsidR="001B77DD" w14:paraId="675348C9" w14:textId="77777777">
        <w:tc>
          <w:tcPr>
            <w:tcW w:w="20" w:type="dxa"/>
            <w:shd w:val="clear" w:color="auto" w:fill="auto"/>
            <w:vAlign w:val="bottom"/>
          </w:tcPr>
          <w:p w14:paraId="675348BA" w14:textId="77777777" w:rsidR="001B77DD" w:rsidRDefault="001B77DD">
            <w:pPr>
              <w:rPr>
                <w:rFonts w:ascii="宋体"/>
              </w:rPr>
            </w:pPr>
          </w:p>
        </w:tc>
        <w:tc>
          <w:tcPr>
            <w:tcW w:w="125" w:type="dxa"/>
            <w:shd w:val="clear" w:color="auto" w:fill="auto"/>
            <w:vAlign w:val="bottom"/>
          </w:tcPr>
          <w:p w14:paraId="675348BB" w14:textId="77777777" w:rsidR="001B77DD" w:rsidRDefault="001B77DD">
            <w:pPr>
              <w:rPr>
                <w:rFonts w:ascii="宋体"/>
              </w:rPr>
            </w:pPr>
          </w:p>
        </w:tc>
        <w:tc>
          <w:tcPr>
            <w:tcW w:w="20" w:type="dxa"/>
            <w:shd w:val="clear" w:color="auto" w:fill="auto"/>
            <w:vAlign w:val="bottom"/>
          </w:tcPr>
          <w:p w14:paraId="675348BC" w14:textId="77777777" w:rsidR="001B77DD" w:rsidRDefault="001B77DD">
            <w:pPr>
              <w:rPr>
                <w:rFonts w:ascii="宋体"/>
              </w:rPr>
            </w:pPr>
          </w:p>
        </w:tc>
        <w:tc>
          <w:tcPr>
            <w:tcW w:w="20" w:type="dxa"/>
            <w:shd w:val="clear" w:color="auto" w:fill="auto"/>
            <w:vAlign w:val="bottom"/>
          </w:tcPr>
          <w:p w14:paraId="675348BD" w14:textId="77777777" w:rsidR="001B77DD" w:rsidRDefault="001B77DD">
            <w:pPr>
              <w:rPr>
                <w:rFonts w:ascii="宋体"/>
              </w:rPr>
            </w:pPr>
          </w:p>
        </w:tc>
        <w:tc>
          <w:tcPr>
            <w:tcW w:w="4820" w:type="dxa"/>
            <w:shd w:val="clear" w:color="auto" w:fill="auto"/>
            <w:vAlign w:val="bottom"/>
          </w:tcPr>
          <w:p w14:paraId="675348BE" w14:textId="77777777" w:rsidR="001B77DD" w:rsidRDefault="001B77DD">
            <w:pPr>
              <w:rPr>
                <w:rFonts w:ascii="宋体"/>
              </w:rPr>
            </w:pPr>
          </w:p>
        </w:tc>
        <w:tc>
          <w:tcPr>
            <w:tcW w:w="20" w:type="dxa"/>
            <w:shd w:val="clear" w:color="auto" w:fill="auto"/>
            <w:vAlign w:val="bottom"/>
          </w:tcPr>
          <w:p w14:paraId="675348BF" w14:textId="77777777" w:rsidR="001B77DD" w:rsidRDefault="001B77DD">
            <w:pPr>
              <w:rPr>
                <w:rFonts w:ascii="宋体"/>
              </w:rPr>
            </w:pPr>
          </w:p>
        </w:tc>
        <w:tc>
          <w:tcPr>
            <w:tcW w:w="20" w:type="dxa"/>
            <w:shd w:val="clear" w:color="auto" w:fill="auto"/>
            <w:vAlign w:val="bottom"/>
          </w:tcPr>
          <w:p w14:paraId="675348C0" w14:textId="77777777" w:rsidR="001B77DD" w:rsidRDefault="001B77DD">
            <w:pPr>
              <w:rPr>
                <w:rFonts w:ascii="宋体"/>
              </w:rPr>
            </w:pPr>
          </w:p>
        </w:tc>
        <w:tc>
          <w:tcPr>
            <w:tcW w:w="575" w:type="dxa"/>
            <w:shd w:val="clear" w:color="auto" w:fill="auto"/>
            <w:vAlign w:val="bottom"/>
          </w:tcPr>
          <w:p w14:paraId="675348C1" w14:textId="77777777" w:rsidR="001B77DD" w:rsidRDefault="001B77DD">
            <w:pPr>
              <w:rPr>
                <w:rFonts w:ascii="宋体"/>
              </w:rPr>
            </w:pPr>
          </w:p>
        </w:tc>
        <w:tc>
          <w:tcPr>
            <w:tcW w:w="20" w:type="dxa"/>
            <w:shd w:val="clear" w:color="auto" w:fill="auto"/>
            <w:vAlign w:val="bottom"/>
          </w:tcPr>
          <w:p w14:paraId="675348C2" w14:textId="77777777" w:rsidR="001B77DD" w:rsidRDefault="001B77DD">
            <w:pPr>
              <w:rPr>
                <w:rFonts w:ascii="宋体"/>
              </w:rPr>
            </w:pPr>
          </w:p>
        </w:tc>
        <w:tc>
          <w:tcPr>
            <w:tcW w:w="20" w:type="dxa"/>
            <w:shd w:val="clear" w:color="auto" w:fill="auto"/>
            <w:vAlign w:val="bottom"/>
          </w:tcPr>
          <w:p w14:paraId="675348C3" w14:textId="77777777" w:rsidR="001B77DD" w:rsidRDefault="001B77DD">
            <w:pPr>
              <w:rPr>
                <w:rFonts w:ascii="宋体"/>
              </w:rPr>
            </w:pPr>
          </w:p>
        </w:tc>
        <w:tc>
          <w:tcPr>
            <w:tcW w:w="4565" w:type="dxa"/>
            <w:shd w:val="clear" w:color="auto" w:fill="auto"/>
            <w:vAlign w:val="bottom"/>
          </w:tcPr>
          <w:p w14:paraId="675348C4" w14:textId="77777777" w:rsidR="001B77DD" w:rsidRDefault="001B77DD">
            <w:pPr>
              <w:rPr>
                <w:rFonts w:ascii="宋体"/>
              </w:rPr>
            </w:pPr>
          </w:p>
        </w:tc>
        <w:tc>
          <w:tcPr>
            <w:tcW w:w="20" w:type="dxa"/>
            <w:shd w:val="clear" w:color="auto" w:fill="auto"/>
            <w:vAlign w:val="bottom"/>
          </w:tcPr>
          <w:p w14:paraId="675348C5" w14:textId="77777777" w:rsidR="001B77DD" w:rsidRDefault="001B77DD">
            <w:pPr>
              <w:rPr>
                <w:rFonts w:ascii="宋体"/>
              </w:rPr>
            </w:pPr>
          </w:p>
        </w:tc>
        <w:tc>
          <w:tcPr>
            <w:tcW w:w="20" w:type="dxa"/>
            <w:shd w:val="clear" w:color="auto" w:fill="auto"/>
            <w:vAlign w:val="bottom"/>
          </w:tcPr>
          <w:p w14:paraId="675348C6" w14:textId="77777777" w:rsidR="001B77DD" w:rsidRDefault="001B77DD">
            <w:pPr>
              <w:rPr>
                <w:rFonts w:ascii="宋体"/>
              </w:rPr>
            </w:pPr>
          </w:p>
        </w:tc>
        <w:tc>
          <w:tcPr>
            <w:tcW w:w="395" w:type="dxa"/>
            <w:shd w:val="clear" w:color="auto" w:fill="auto"/>
            <w:vAlign w:val="bottom"/>
          </w:tcPr>
          <w:p w14:paraId="675348C7" w14:textId="77777777" w:rsidR="001B77DD" w:rsidRDefault="001B77DD">
            <w:pPr>
              <w:rPr>
                <w:rFonts w:ascii="宋体"/>
              </w:rPr>
            </w:pPr>
          </w:p>
        </w:tc>
        <w:tc>
          <w:tcPr>
            <w:tcW w:w="20" w:type="dxa"/>
            <w:shd w:val="clear" w:color="auto" w:fill="auto"/>
            <w:vAlign w:val="bottom"/>
          </w:tcPr>
          <w:p w14:paraId="675348C8" w14:textId="77777777" w:rsidR="001B77DD" w:rsidRDefault="001B77DD">
            <w:pPr>
              <w:rPr>
                <w:rFonts w:ascii="宋体"/>
              </w:rPr>
            </w:pPr>
          </w:p>
        </w:tc>
      </w:tr>
      <w:tr w:rsidR="001B77DD" w14:paraId="675348CF" w14:textId="77777777">
        <w:trPr>
          <w:trHeight w:val="280"/>
        </w:trPr>
        <w:tc>
          <w:tcPr>
            <w:tcW w:w="0" w:type="auto"/>
            <w:gridSpan w:val="3"/>
            <w:shd w:val="clear" w:color="auto" w:fill="auto"/>
            <w:tcMar>
              <w:top w:w="0" w:type="dxa"/>
              <w:left w:w="20" w:type="dxa"/>
              <w:bottom w:w="0" w:type="dxa"/>
              <w:right w:w="20" w:type="dxa"/>
            </w:tcMar>
            <w:vAlign w:val="bottom"/>
          </w:tcPr>
          <w:p w14:paraId="675348CA"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8CB" w14:textId="77777777" w:rsidR="001B77DD" w:rsidRDefault="00BF0A28">
            <w:pPr>
              <w:jc w:val="center"/>
              <w:textAlignment w:val="bottom"/>
            </w:pPr>
            <w:r>
              <w:rPr>
                <w:rFonts w:ascii="Arial" w:eastAsia="宋体" w:hAnsi="Arial" w:cs="Arial"/>
                <w:color w:val="0068B5"/>
                <w:sz w:val="20"/>
                <w:szCs w:val="20"/>
              </w:rPr>
              <w:t>Internet of Things Revenue $B</w:t>
            </w:r>
          </w:p>
        </w:tc>
        <w:tc>
          <w:tcPr>
            <w:tcW w:w="0" w:type="auto"/>
            <w:gridSpan w:val="3"/>
            <w:shd w:val="clear" w:color="auto" w:fill="auto"/>
            <w:tcMar>
              <w:top w:w="0" w:type="dxa"/>
              <w:left w:w="20" w:type="dxa"/>
              <w:bottom w:w="0" w:type="dxa"/>
              <w:right w:w="20" w:type="dxa"/>
            </w:tcMar>
            <w:vAlign w:val="bottom"/>
          </w:tcPr>
          <w:p w14:paraId="675348CC"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8CD" w14:textId="77777777" w:rsidR="001B77DD" w:rsidRDefault="00BF0A28">
            <w:pPr>
              <w:jc w:val="center"/>
              <w:textAlignment w:val="bottom"/>
            </w:pPr>
            <w:r>
              <w:rPr>
                <w:rFonts w:ascii="Arial" w:eastAsia="宋体" w:hAnsi="Arial" w:cs="Arial"/>
                <w:color w:val="0068B5"/>
                <w:sz w:val="20"/>
                <w:szCs w:val="20"/>
              </w:rPr>
              <w:t>Internet of Things Op Income $B</w:t>
            </w:r>
          </w:p>
        </w:tc>
        <w:tc>
          <w:tcPr>
            <w:tcW w:w="0" w:type="auto"/>
            <w:gridSpan w:val="3"/>
            <w:shd w:val="clear" w:color="auto" w:fill="auto"/>
            <w:tcMar>
              <w:top w:w="0" w:type="dxa"/>
              <w:left w:w="20" w:type="dxa"/>
              <w:bottom w:w="0" w:type="dxa"/>
              <w:right w:w="20" w:type="dxa"/>
            </w:tcMar>
            <w:vAlign w:val="bottom"/>
          </w:tcPr>
          <w:p w14:paraId="675348CE" w14:textId="77777777" w:rsidR="001B77DD" w:rsidRDefault="001B77DD">
            <w:pPr>
              <w:rPr>
                <w:rFonts w:ascii="宋体"/>
              </w:rPr>
            </w:pPr>
          </w:p>
        </w:tc>
      </w:tr>
    </w:tbl>
    <w:p w14:paraId="675348D0"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Viewer4_files/intc-20211225_g75.jpg"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6C" wp14:editId="67538E6D">
            <wp:extent cx="304800" cy="304800"/>
            <wp:effectExtent l="0" t="0" r="0" b="0"/>
            <wp:docPr id="70" name="图片 165"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5" descr="IMG_3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w:instrText>
      </w:r>
      <w:r>
        <w:rPr>
          <w:rFonts w:ascii="宋体" w:eastAsia="宋体" w:hAnsi="宋体" w:cs="宋体"/>
        </w:rPr>
        <w:instrText xml:space="preserve">line XBRL Viewer4_files/intc-20211225_g76.jpg"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6E" wp14:editId="67538E6F">
            <wp:extent cx="304800" cy="304800"/>
            <wp:effectExtent l="0" t="0" r="0" b="0"/>
            <wp:docPr id="72" name="图片 166"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66" descr="IMG_3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740" w:type="dxa"/>
        <w:tblCellMar>
          <w:top w:w="15" w:type="dxa"/>
          <w:left w:w="15" w:type="dxa"/>
          <w:bottom w:w="15" w:type="dxa"/>
          <w:right w:w="15" w:type="dxa"/>
        </w:tblCellMar>
        <w:tblLook w:val="04A0" w:firstRow="1" w:lastRow="0" w:firstColumn="1" w:lastColumn="0" w:noHBand="0" w:noVBand="1"/>
      </w:tblPr>
      <w:tblGrid>
        <w:gridCol w:w="36"/>
        <w:gridCol w:w="1298"/>
        <w:gridCol w:w="36"/>
        <w:gridCol w:w="36"/>
        <w:gridCol w:w="3868"/>
        <w:gridCol w:w="36"/>
        <w:gridCol w:w="36"/>
        <w:gridCol w:w="5358"/>
        <w:gridCol w:w="36"/>
      </w:tblGrid>
      <w:tr w:rsidR="001B77DD" w14:paraId="675348DA" w14:textId="77777777">
        <w:tc>
          <w:tcPr>
            <w:tcW w:w="20" w:type="dxa"/>
            <w:shd w:val="clear" w:color="auto" w:fill="auto"/>
            <w:vAlign w:val="bottom"/>
          </w:tcPr>
          <w:p w14:paraId="675348D1" w14:textId="77777777" w:rsidR="001B77DD" w:rsidRDefault="001B77DD">
            <w:pPr>
              <w:rPr>
                <w:rFonts w:ascii="宋体"/>
              </w:rPr>
            </w:pPr>
          </w:p>
        </w:tc>
        <w:tc>
          <w:tcPr>
            <w:tcW w:w="1310" w:type="dxa"/>
            <w:shd w:val="clear" w:color="auto" w:fill="auto"/>
            <w:vAlign w:val="bottom"/>
          </w:tcPr>
          <w:p w14:paraId="675348D2" w14:textId="77777777" w:rsidR="001B77DD" w:rsidRDefault="001B77DD">
            <w:pPr>
              <w:rPr>
                <w:rFonts w:ascii="宋体"/>
              </w:rPr>
            </w:pPr>
          </w:p>
        </w:tc>
        <w:tc>
          <w:tcPr>
            <w:tcW w:w="20" w:type="dxa"/>
            <w:shd w:val="clear" w:color="auto" w:fill="auto"/>
            <w:vAlign w:val="bottom"/>
          </w:tcPr>
          <w:p w14:paraId="675348D3" w14:textId="77777777" w:rsidR="001B77DD" w:rsidRDefault="001B77DD">
            <w:pPr>
              <w:rPr>
                <w:rFonts w:ascii="宋体"/>
              </w:rPr>
            </w:pPr>
          </w:p>
        </w:tc>
        <w:tc>
          <w:tcPr>
            <w:tcW w:w="20" w:type="dxa"/>
            <w:shd w:val="clear" w:color="auto" w:fill="auto"/>
            <w:vAlign w:val="bottom"/>
          </w:tcPr>
          <w:p w14:paraId="675348D4" w14:textId="77777777" w:rsidR="001B77DD" w:rsidRDefault="001B77DD">
            <w:pPr>
              <w:rPr>
                <w:rFonts w:ascii="宋体"/>
              </w:rPr>
            </w:pPr>
          </w:p>
        </w:tc>
        <w:tc>
          <w:tcPr>
            <w:tcW w:w="3905" w:type="dxa"/>
            <w:shd w:val="clear" w:color="auto" w:fill="auto"/>
            <w:vAlign w:val="bottom"/>
          </w:tcPr>
          <w:p w14:paraId="675348D5" w14:textId="77777777" w:rsidR="001B77DD" w:rsidRDefault="001B77DD">
            <w:pPr>
              <w:rPr>
                <w:rFonts w:ascii="宋体"/>
              </w:rPr>
            </w:pPr>
          </w:p>
        </w:tc>
        <w:tc>
          <w:tcPr>
            <w:tcW w:w="20" w:type="dxa"/>
            <w:shd w:val="clear" w:color="auto" w:fill="auto"/>
            <w:vAlign w:val="bottom"/>
          </w:tcPr>
          <w:p w14:paraId="675348D6" w14:textId="77777777" w:rsidR="001B77DD" w:rsidRDefault="001B77DD">
            <w:pPr>
              <w:rPr>
                <w:rFonts w:ascii="宋体"/>
              </w:rPr>
            </w:pPr>
          </w:p>
        </w:tc>
        <w:tc>
          <w:tcPr>
            <w:tcW w:w="20" w:type="dxa"/>
            <w:shd w:val="clear" w:color="auto" w:fill="auto"/>
            <w:vAlign w:val="bottom"/>
          </w:tcPr>
          <w:p w14:paraId="675348D7" w14:textId="77777777" w:rsidR="001B77DD" w:rsidRDefault="001B77DD">
            <w:pPr>
              <w:rPr>
                <w:rFonts w:ascii="宋体"/>
              </w:rPr>
            </w:pPr>
          </w:p>
        </w:tc>
        <w:tc>
          <w:tcPr>
            <w:tcW w:w="5405" w:type="dxa"/>
            <w:shd w:val="clear" w:color="auto" w:fill="auto"/>
            <w:vAlign w:val="bottom"/>
          </w:tcPr>
          <w:p w14:paraId="675348D8" w14:textId="77777777" w:rsidR="001B77DD" w:rsidRDefault="001B77DD">
            <w:pPr>
              <w:rPr>
                <w:rFonts w:ascii="宋体"/>
              </w:rPr>
            </w:pPr>
          </w:p>
        </w:tc>
        <w:tc>
          <w:tcPr>
            <w:tcW w:w="20" w:type="dxa"/>
            <w:shd w:val="clear" w:color="auto" w:fill="auto"/>
            <w:vAlign w:val="bottom"/>
          </w:tcPr>
          <w:p w14:paraId="675348D9" w14:textId="77777777" w:rsidR="001B77DD" w:rsidRDefault="001B77DD">
            <w:pPr>
              <w:rPr>
                <w:rFonts w:ascii="宋体"/>
              </w:rPr>
            </w:pPr>
          </w:p>
        </w:tc>
      </w:tr>
      <w:tr w:rsidR="001B77DD" w14:paraId="675348DD" w14:textId="77777777">
        <w:trPr>
          <w:trHeight w:val="280"/>
        </w:trPr>
        <w:tc>
          <w:tcPr>
            <w:tcW w:w="0" w:type="auto"/>
            <w:gridSpan w:val="6"/>
            <w:shd w:val="clear" w:color="auto" w:fill="auto"/>
            <w:tcMar>
              <w:top w:w="40" w:type="dxa"/>
              <w:left w:w="20" w:type="dxa"/>
              <w:bottom w:w="40" w:type="dxa"/>
              <w:right w:w="20" w:type="dxa"/>
            </w:tcMar>
            <w:vAlign w:val="center"/>
          </w:tcPr>
          <w:p w14:paraId="675348DB" w14:textId="77777777" w:rsidR="001B77DD" w:rsidRDefault="00BF0A28">
            <w:pPr>
              <w:jc w:val="right"/>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IOTG </w:t>
            </w:r>
          </w:p>
        </w:tc>
        <w:tc>
          <w:tcPr>
            <w:tcW w:w="0" w:type="auto"/>
            <w:gridSpan w:val="3"/>
            <w:shd w:val="clear" w:color="auto" w:fill="auto"/>
            <w:tcMar>
              <w:top w:w="40" w:type="dxa"/>
              <w:left w:w="20" w:type="dxa"/>
              <w:bottom w:w="40" w:type="dxa"/>
              <w:right w:w="20" w:type="dxa"/>
            </w:tcMar>
            <w:vAlign w:val="center"/>
          </w:tcPr>
          <w:p w14:paraId="675348DC" w14:textId="77777777" w:rsidR="001B77DD" w:rsidRDefault="00BF0A28">
            <w:pPr>
              <w:textAlignment w:val="center"/>
            </w:pPr>
            <w:r>
              <w:rPr>
                <w:rFonts w:ascii="Arial" w:eastAsia="宋体" w:hAnsi="Arial" w:cs="Arial"/>
                <w:color w:val="00A3F6"/>
                <w:sz w:val="16"/>
                <w:szCs w:val="16"/>
              </w:rPr>
              <w:t>■</w:t>
            </w:r>
            <w:r>
              <w:rPr>
                <w:rFonts w:ascii="Arial" w:eastAsia="宋体" w:hAnsi="Arial" w:cs="Arial"/>
                <w:color w:val="262626"/>
                <w:sz w:val="16"/>
                <w:szCs w:val="16"/>
              </w:rPr>
              <w:t xml:space="preserve"> Mobileye</w:t>
            </w:r>
          </w:p>
        </w:tc>
      </w:tr>
    </w:tbl>
    <w:p w14:paraId="675348DE"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8E2" w14:textId="77777777">
        <w:tc>
          <w:tcPr>
            <w:tcW w:w="50" w:type="pct"/>
            <w:shd w:val="clear" w:color="auto" w:fill="auto"/>
            <w:vAlign w:val="bottom"/>
          </w:tcPr>
          <w:p w14:paraId="675348DF" w14:textId="77777777" w:rsidR="001B77DD" w:rsidRDefault="001B77DD">
            <w:pPr>
              <w:rPr>
                <w:rFonts w:ascii="宋体"/>
              </w:rPr>
            </w:pPr>
          </w:p>
        </w:tc>
        <w:tc>
          <w:tcPr>
            <w:tcW w:w="4945" w:type="pct"/>
            <w:shd w:val="clear" w:color="auto" w:fill="auto"/>
            <w:vAlign w:val="bottom"/>
          </w:tcPr>
          <w:p w14:paraId="675348E0" w14:textId="77777777" w:rsidR="001B77DD" w:rsidRDefault="001B77DD">
            <w:pPr>
              <w:rPr>
                <w:rFonts w:ascii="宋体"/>
              </w:rPr>
            </w:pPr>
          </w:p>
        </w:tc>
        <w:tc>
          <w:tcPr>
            <w:tcW w:w="5" w:type="pct"/>
            <w:shd w:val="clear" w:color="auto" w:fill="auto"/>
            <w:vAlign w:val="bottom"/>
          </w:tcPr>
          <w:p w14:paraId="675348E1" w14:textId="77777777" w:rsidR="001B77DD" w:rsidRDefault="001B77DD">
            <w:pPr>
              <w:rPr>
                <w:rFonts w:ascii="宋体"/>
              </w:rPr>
            </w:pPr>
          </w:p>
        </w:tc>
      </w:tr>
      <w:tr w:rsidR="001B77DD" w14:paraId="675348E4"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8E3" w14:textId="77777777" w:rsidR="001B77DD" w:rsidRDefault="00BF0A28">
            <w:pPr>
              <w:textAlignment w:val="bottom"/>
            </w:pPr>
            <w:r>
              <w:rPr>
                <w:rFonts w:ascii="Arial" w:eastAsia="宋体" w:hAnsi="Arial" w:cs="Arial"/>
                <w:color w:val="0068B5"/>
                <w:sz w:val="20"/>
                <w:szCs w:val="20"/>
              </w:rPr>
              <w:t>Revenue Summary</w:t>
            </w:r>
          </w:p>
        </w:tc>
      </w:tr>
    </w:tbl>
    <w:p w14:paraId="675348E5" w14:textId="77777777" w:rsidR="001B77DD" w:rsidRDefault="00BF0A28">
      <w:pPr>
        <w:spacing w:after="120"/>
      </w:pPr>
      <w:r>
        <w:rPr>
          <w:rFonts w:ascii="Arial" w:eastAsia="宋体" w:hAnsi="Arial" w:cs="Arial"/>
          <w:color w:val="0068B5"/>
          <w:sz w:val="20"/>
          <w:szCs w:val="20"/>
        </w:rPr>
        <w:t>2021 vs. 2020</w:t>
      </w:r>
    </w:p>
    <w:p w14:paraId="675348E6" w14:textId="77777777" w:rsidR="001B77DD" w:rsidRDefault="00BF0A28">
      <w:pPr>
        <w:spacing w:after="180"/>
      </w:pPr>
      <w:r>
        <w:rPr>
          <w:rFonts w:ascii="Arial" w:eastAsia="宋体" w:hAnsi="Arial" w:cs="Arial"/>
          <w:color w:val="262626"/>
          <w:sz w:val="18"/>
          <w:szCs w:val="18"/>
        </w:rPr>
        <w:t xml:space="preserve">IOTG revenue increased $991 million, primarily driven by $1.1 billion related to higher demand for IOTG </w:t>
      </w:r>
      <w:r>
        <w:rPr>
          <w:rFonts w:ascii="Arial" w:eastAsia="宋体" w:hAnsi="Arial" w:cs="Arial"/>
          <w:color w:val="262626"/>
          <w:sz w:val="18"/>
          <w:szCs w:val="18"/>
        </w:rPr>
        <w:t>platform products amid recovery from the economic impacts of COVID-19, partially offset by $115 million due to lower ASPs.</w:t>
      </w:r>
    </w:p>
    <w:p w14:paraId="675348E7" w14:textId="77777777" w:rsidR="001B77DD" w:rsidRDefault="00BF0A28">
      <w:pPr>
        <w:spacing w:after="180"/>
      </w:pPr>
      <w:r>
        <w:rPr>
          <w:rFonts w:ascii="Arial" w:eastAsia="宋体" w:hAnsi="Arial" w:cs="Arial"/>
          <w:color w:val="262626"/>
          <w:sz w:val="18"/>
          <w:szCs w:val="18"/>
        </w:rPr>
        <w:t>Mobileye revenue increased $419 million, driven by improvement in global vehicle production, recovery from the economic impacts of CO</w:t>
      </w:r>
      <w:r>
        <w:rPr>
          <w:rFonts w:ascii="Arial" w:eastAsia="宋体" w:hAnsi="Arial" w:cs="Arial"/>
          <w:color w:val="262626"/>
          <w:sz w:val="18"/>
          <w:szCs w:val="18"/>
        </w:rPr>
        <w:t>VID-19, and increasing adoption of ADAS compared to 2020.</w:t>
      </w:r>
    </w:p>
    <w:p w14:paraId="675348E8" w14:textId="77777777" w:rsidR="001B77DD" w:rsidRDefault="00BF0A28">
      <w:pPr>
        <w:spacing w:after="120"/>
      </w:pPr>
      <w:r>
        <w:rPr>
          <w:rFonts w:ascii="Arial" w:eastAsia="宋体" w:hAnsi="Arial" w:cs="Arial"/>
          <w:color w:val="0068B5"/>
          <w:sz w:val="20"/>
          <w:szCs w:val="20"/>
        </w:rPr>
        <w:t>2020 vs. 2019</w:t>
      </w:r>
    </w:p>
    <w:p w14:paraId="675348E9" w14:textId="77777777" w:rsidR="001B77DD" w:rsidRDefault="00BF0A28">
      <w:pPr>
        <w:spacing w:after="180"/>
      </w:pPr>
      <w:r>
        <w:rPr>
          <w:rFonts w:ascii="Arial" w:eastAsia="宋体" w:hAnsi="Arial" w:cs="Arial"/>
          <w:color w:val="262626"/>
          <w:sz w:val="18"/>
          <w:szCs w:val="18"/>
        </w:rPr>
        <w:t>IOTG revenue decreased $814 million, or 21%, primarily driven by the economic impacts of COVID-19 with $470 million in lower ASPs driven by weaker core mix and $265 million driven by w</w:t>
      </w:r>
      <w:r>
        <w:rPr>
          <w:rFonts w:ascii="Arial" w:eastAsia="宋体" w:hAnsi="Arial" w:cs="Arial"/>
          <w:color w:val="262626"/>
          <w:sz w:val="18"/>
          <w:szCs w:val="18"/>
        </w:rPr>
        <w:t>eaker demand for IOTG platform products. Revenue was also negatively affected by considerations related to the US government Entity List.</w:t>
      </w:r>
    </w:p>
    <w:p w14:paraId="675348EA" w14:textId="77777777" w:rsidR="001B77DD" w:rsidRDefault="00BF0A28">
      <w:pPr>
        <w:spacing w:after="180"/>
      </w:pPr>
      <w:r>
        <w:rPr>
          <w:rFonts w:ascii="Arial" w:eastAsia="宋体" w:hAnsi="Arial" w:cs="Arial"/>
          <w:color w:val="262626"/>
          <w:sz w:val="18"/>
          <w:szCs w:val="18"/>
        </w:rPr>
        <w:t xml:space="preserve">Mobileye revenue was $967 million, up $88 million, driven by higher demand from improved global vehicle production in </w:t>
      </w:r>
      <w:r>
        <w:rPr>
          <w:rFonts w:ascii="Arial" w:eastAsia="宋体" w:hAnsi="Arial" w:cs="Arial"/>
          <w:color w:val="262626"/>
          <w:sz w:val="18"/>
          <w:szCs w:val="18"/>
        </w:rPr>
        <w:t>the second half of 2020, offsetting the decline in production experienced in the first half of the year due to the effects of the COVID-19 pandemic.</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8EE" w14:textId="77777777">
        <w:tc>
          <w:tcPr>
            <w:tcW w:w="50" w:type="pct"/>
            <w:shd w:val="clear" w:color="auto" w:fill="auto"/>
            <w:vAlign w:val="bottom"/>
          </w:tcPr>
          <w:p w14:paraId="675348EB" w14:textId="77777777" w:rsidR="001B77DD" w:rsidRDefault="001B77DD">
            <w:pPr>
              <w:rPr>
                <w:rFonts w:ascii="宋体"/>
              </w:rPr>
            </w:pPr>
          </w:p>
        </w:tc>
        <w:tc>
          <w:tcPr>
            <w:tcW w:w="4945" w:type="pct"/>
            <w:shd w:val="clear" w:color="auto" w:fill="auto"/>
            <w:vAlign w:val="bottom"/>
          </w:tcPr>
          <w:p w14:paraId="675348EC" w14:textId="77777777" w:rsidR="001B77DD" w:rsidRDefault="001B77DD">
            <w:pPr>
              <w:rPr>
                <w:rFonts w:ascii="宋体"/>
              </w:rPr>
            </w:pPr>
          </w:p>
        </w:tc>
        <w:tc>
          <w:tcPr>
            <w:tcW w:w="5" w:type="pct"/>
            <w:shd w:val="clear" w:color="auto" w:fill="auto"/>
            <w:vAlign w:val="bottom"/>
          </w:tcPr>
          <w:p w14:paraId="675348ED" w14:textId="77777777" w:rsidR="001B77DD" w:rsidRDefault="001B77DD">
            <w:pPr>
              <w:rPr>
                <w:rFonts w:ascii="宋体"/>
              </w:rPr>
            </w:pPr>
          </w:p>
        </w:tc>
      </w:tr>
      <w:tr w:rsidR="001B77DD" w14:paraId="675348F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8EF" w14:textId="77777777" w:rsidR="001B77DD" w:rsidRDefault="00BF0A28">
            <w:pPr>
              <w:textAlignment w:val="bottom"/>
            </w:pPr>
            <w:r>
              <w:rPr>
                <w:rFonts w:ascii="Arial" w:eastAsia="宋体" w:hAnsi="Arial" w:cs="Arial"/>
                <w:color w:val="0068B5"/>
                <w:sz w:val="20"/>
                <w:szCs w:val="20"/>
              </w:rPr>
              <w:t>Operating Income Summary</w:t>
            </w:r>
          </w:p>
        </w:tc>
      </w:tr>
    </w:tbl>
    <w:p w14:paraId="675348F1" w14:textId="77777777" w:rsidR="001B77DD" w:rsidRDefault="00BF0A28">
      <w:pPr>
        <w:spacing w:after="120"/>
      </w:pPr>
      <w:r>
        <w:rPr>
          <w:rFonts w:ascii="Arial" w:eastAsia="宋体" w:hAnsi="Arial" w:cs="Arial"/>
          <w:color w:val="0068B5"/>
          <w:sz w:val="20"/>
          <w:szCs w:val="20"/>
        </w:rPr>
        <w:t>2021 vs. 2020</w:t>
      </w:r>
    </w:p>
    <w:p w14:paraId="675348F2" w14:textId="77777777" w:rsidR="001B77DD" w:rsidRDefault="00BF0A28">
      <w:pPr>
        <w:spacing w:after="180"/>
      </w:pPr>
      <w:r>
        <w:rPr>
          <w:rFonts w:ascii="Arial" w:eastAsia="宋体" w:hAnsi="Arial" w:cs="Arial"/>
          <w:color w:val="262626"/>
          <w:sz w:val="18"/>
          <w:szCs w:val="18"/>
        </w:rPr>
        <w:t xml:space="preserve">IOTG operating income increased $548 million, </w:t>
      </w:r>
      <w:r>
        <w:rPr>
          <w:rFonts w:ascii="Arial" w:eastAsia="宋体" w:hAnsi="Arial" w:cs="Arial"/>
          <w:color w:val="262626"/>
          <w:sz w:val="18"/>
          <w:szCs w:val="18"/>
        </w:rPr>
        <w:t>primarily due to higher platform revenue.</w:t>
      </w:r>
    </w:p>
    <w:p w14:paraId="675348F3" w14:textId="77777777" w:rsidR="001B77DD" w:rsidRDefault="00BF0A28">
      <w:pPr>
        <w:spacing w:after="180"/>
      </w:pPr>
      <w:r>
        <w:rPr>
          <w:rFonts w:ascii="Arial" w:eastAsia="宋体" w:hAnsi="Arial" w:cs="Arial"/>
          <w:color w:val="262626"/>
          <w:sz w:val="18"/>
          <w:szCs w:val="18"/>
        </w:rPr>
        <w:t>Mobileye operating income increased $219 million, due to higher revenue driven by improvement in global vehicle production, recovery from the economic impacts of COVID-19, and increasing adoption of ADAS compared t</w:t>
      </w:r>
      <w:r>
        <w:rPr>
          <w:rFonts w:ascii="Arial" w:eastAsia="宋体" w:hAnsi="Arial" w:cs="Arial"/>
          <w:color w:val="262626"/>
          <w:sz w:val="18"/>
          <w:szCs w:val="18"/>
        </w:rPr>
        <w:t>o 2020.</w:t>
      </w:r>
    </w:p>
    <w:p w14:paraId="675348F4" w14:textId="77777777" w:rsidR="001B77DD" w:rsidRDefault="00BF0A28">
      <w:pPr>
        <w:spacing w:after="120"/>
      </w:pPr>
      <w:r>
        <w:rPr>
          <w:rFonts w:ascii="Arial" w:eastAsia="宋体" w:hAnsi="Arial" w:cs="Arial"/>
          <w:color w:val="0068B5"/>
          <w:sz w:val="20"/>
          <w:szCs w:val="20"/>
        </w:rPr>
        <w:t>2020 vs. 2019</w:t>
      </w:r>
    </w:p>
    <w:p w14:paraId="675348F5" w14:textId="77777777" w:rsidR="001B77DD" w:rsidRDefault="00BF0A28">
      <w:pPr>
        <w:spacing w:after="180"/>
      </w:pPr>
      <w:r>
        <w:rPr>
          <w:rFonts w:ascii="Arial" w:eastAsia="宋体" w:hAnsi="Arial" w:cs="Arial"/>
          <w:color w:val="262626"/>
          <w:sz w:val="18"/>
          <w:szCs w:val="18"/>
        </w:rPr>
        <w:t>IOTG operating income decreased $600 million, primarily due to lower platform revenue.</w:t>
      </w:r>
    </w:p>
    <w:p w14:paraId="675348F6" w14:textId="77777777" w:rsidR="001B77DD" w:rsidRDefault="00BF0A28">
      <w:r>
        <w:rPr>
          <w:rFonts w:ascii="Arial" w:eastAsia="宋体" w:hAnsi="Arial" w:cs="Arial"/>
          <w:color w:val="262626"/>
          <w:sz w:val="18"/>
          <w:szCs w:val="18"/>
        </w:rPr>
        <w:t>Mobileye operating income was $241 million, down $4 million, due to higher spending primarily driven by the Moovit acquisition, partially offset by</w:t>
      </w:r>
      <w:r>
        <w:rPr>
          <w:rFonts w:ascii="Arial" w:eastAsia="宋体" w:hAnsi="Arial" w:cs="Arial"/>
          <w:color w:val="262626"/>
          <w:sz w:val="18"/>
          <w:szCs w:val="18"/>
        </w:rPr>
        <w:t xml:space="preserve"> growth in revenue.</w:t>
      </w:r>
    </w:p>
    <w:p w14:paraId="675348F7" w14:textId="77777777" w:rsidR="001B77DD" w:rsidRDefault="001B77DD"/>
    <w:p w14:paraId="675348F8" w14:textId="77777777" w:rsidR="001B77DD" w:rsidRDefault="001B77DD"/>
    <w:p w14:paraId="675348F9" w14:textId="77777777" w:rsidR="001B77DD" w:rsidRDefault="001B77DD"/>
    <w:p w14:paraId="675348FA" w14:textId="77777777" w:rsidR="001B77DD" w:rsidRDefault="001B77DD"/>
    <w:p w14:paraId="675348FB" w14:textId="77777777" w:rsidR="001B77DD" w:rsidRDefault="001B77DD"/>
    <w:p w14:paraId="675348FC" w14:textId="77777777" w:rsidR="001B77DD" w:rsidRDefault="001B77DD"/>
    <w:p w14:paraId="675348FD" w14:textId="77777777" w:rsidR="001B77DD" w:rsidRDefault="001B77DD"/>
    <w:p w14:paraId="675348FE" w14:textId="77777777" w:rsidR="001B77DD" w:rsidRDefault="001B77DD"/>
    <w:p w14:paraId="675348FF" w14:textId="77777777" w:rsidR="001B77DD" w:rsidRDefault="001B77DD"/>
    <w:p w14:paraId="67534900" w14:textId="77777777" w:rsidR="001B77DD" w:rsidRDefault="001B77DD"/>
    <w:p w14:paraId="67534901" w14:textId="77777777" w:rsidR="001B77DD" w:rsidRDefault="001B77DD"/>
    <w:p w14:paraId="67534902" w14:textId="77777777" w:rsidR="001B77DD" w:rsidRDefault="001B77DD"/>
    <w:p w14:paraId="67534903"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90D" w14:textId="77777777">
        <w:tc>
          <w:tcPr>
            <w:tcW w:w="50" w:type="pct"/>
            <w:shd w:val="clear" w:color="auto" w:fill="auto"/>
            <w:vAlign w:val="bottom"/>
          </w:tcPr>
          <w:p w14:paraId="67534904" w14:textId="77777777" w:rsidR="001B77DD" w:rsidRDefault="001B77DD">
            <w:pPr>
              <w:rPr>
                <w:rFonts w:ascii="宋体"/>
              </w:rPr>
            </w:pPr>
          </w:p>
        </w:tc>
        <w:tc>
          <w:tcPr>
            <w:tcW w:w="283" w:type="pct"/>
            <w:shd w:val="clear" w:color="auto" w:fill="auto"/>
            <w:vAlign w:val="bottom"/>
          </w:tcPr>
          <w:p w14:paraId="67534905" w14:textId="77777777" w:rsidR="001B77DD" w:rsidRDefault="001B77DD">
            <w:pPr>
              <w:rPr>
                <w:rFonts w:ascii="宋体"/>
              </w:rPr>
            </w:pPr>
          </w:p>
        </w:tc>
        <w:tc>
          <w:tcPr>
            <w:tcW w:w="5" w:type="pct"/>
            <w:shd w:val="clear" w:color="auto" w:fill="auto"/>
            <w:vAlign w:val="bottom"/>
          </w:tcPr>
          <w:p w14:paraId="67534906" w14:textId="77777777" w:rsidR="001B77DD" w:rsidRDefault="001B77DD">
            <w:pPr>
              <w:rPr>
                <w:rFonts w:ascii="宋体"/>
              </w:rPr>
            </w:pPr>
          </w:p>
        </w:tc>
        <w:tc>
          <w:tcPr>
            <w:tcW w:w="50" w:type="pct"/>
            <w:shd w:val="clear" w:color="auto" w:fill="auto"/>
            <w:vAlign w:val="bottom"/>
          </w:tcPr>
          <w:p w14:paraId="67534907" w14:textId="77777777" w:rsidR="001B77DD" w:rsidRDefault="001B77DD">
            <w:pPr>
              <w:rPr>
                <w:rFonts w:ascii="宋体"/>
              </w:rPr>
            </w:pPr>
          </w:p>
        </w:tc>
        <w:tc>
          <w:tcPr>
            <w:tcW w:w="2656" w:type="pct"/>
            <w:shd w:val="clear" w:color="auto" w:fill="auto"/>
            <w:vAlign w:val="bottom"/>
          </w:tcPr>
          <w:p w14:paraId="67534908" w14:textId="77777777" w:rsidR="001B77DD" w:rsidRDefault="001B77DD">
            <w:pPr>
              <w:rPr>
                <w:rFonts w:ascii="宋体"/>
              </w:rPr>
            </w:pPr>
          </w:p>
        </w:tc>
        <w:tc>
          <w:tcPr>
            <w:tcW w:w="5" w:type="pct"/>
            <w:shd w:val="clear" w:color="auto" w:fill="auto"/>
            <w:vAlign w:val="bottom"/>
          </w:tcPr>
          <w:p w14:paraId="67534909" w14:textId="77777777" w:rsidR="001B77DD" w:rsidRDefault="001B77DD">
            <w:pPr>
              <w:rPr>
                <w:rFonts w:ascii="宋体"/>
              </w:rPr>
            </w:pPr>
          </w:p>
        </w:tc>
        <w:tc>
          <w:tcPr>
            <w:tcW w:w="50" w:type="pct"/>
            <w:shd w:val="clear" w:color="auto" w:fill="auto"/>
            <w:vAlign w:val="bottom"/>
          </w:tcPr>
          <w:p w14:paraId="6753490A" w14:textId="77777777" w:rsidR="001B77DD" w:rsidRDefault="001B77DD">
            <w:pPr>
              <w:rPr>
                <w:rFonts w:ascii="宋体"/>
              </w:rPr>
            </w:pPr>
          </w:p>
        </w:tc>
        <w:tc>
          <w:tcPr>
            <w:tcW w:w="1894" w:type="pct"/>
            <w:shd w:val="clear" w:color="auto" w:fill="auto"/>
            <w:vAlign w:val="bottom"/>
          </w:tcPr>
          <w:p w14:paraId="6753490B" w14:textId="77777777" w:rsidR="001B77DD" w:rsidRDefault="001B77DD">
            <w:pPr>
              <w:rPr>
                <w:rFonts w:ascii="宋体"/>
              </w:rPr>
            </w:pPr>
          </w:p>
        </w:tc>
        <w:tc>
          <w:tcPr>
            <w:tcW w:w="5" w:type="pct"/>
            <w:shd w:val="clear" w:color="auto" w:fill="auto"/>
            <w:vAlign w:val="bottom"/>
          </w:tcPr>
          <w:p w14:paraId="6753490C" w14:textId="77777777" w:rsidR="001B77DD" w:rsidRDefault="001B77DD">
            <w:pPr>
              <w:rPr>
                <w:rFonts w:ascii="宋体"/>
              </w:rPr>
            </w:pPr>
          </w:p>
        </w:tc>
      </w:tr>
      <w:tr w:rsidR="001B77DD" w14:paraId="6753491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90E"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70" wp14:editId="67538E71">
                  <wp:extent cx="304800" cy="304800"/>
                  <wp:effectExtent l="0" t="0" r="0" b="0"/>
                  <wp:docPr id="63" name="图片 16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6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90F"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910" w14:textId="77777777" w:rsidR="001B77DD" w:rsidRDefault="00BF0A28">
            <w:pPr>
              <w:jc w:val="right"/>
              <w:textAlignment w:val="center"/>
            </w:pPr>
            <w:r>
              <w:rPr>
                <w:rFonts w:ascii="Arial" w:eastAsia="宋体" w:hAnsi="Arial" w:cs="Arial"/>
                <w:color w:val="262626"/>
                <w:sz w:val="16"/>
                <w:szCs w:val="16"/>
              </w:rPr>
              <w:t>30</w:t>
            </w:r>
          </w:p>
        </w:tc>
      </w:tr>
    </w:tbl>
    <w:p w14:paraId="67534912" w14:textId="77777777" w:rsidR="001B77DD" w:rsidRDefault="00BF0A28">
      <w:r>
        <w:pict w14:anchorId="67538E72">
          <v:rect id="_x0000_i1056" style="width:415.3pt;height:1.5pt" o:hralign="center" o:hrstd="t" o:hr="t" fillcolor="#a0a0a0" stroked="f"/>
        </w:pict>
      </w:r>
    </w:p>
    <w:p w14:paraId="67534913" w14:textId="77777777" w:rsidR="001B77DD" w:rsidRDefault="001B77DD"/>
    <w:p w14:paraId="67534914"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Viewer4_files/intc-20211225_g77.jpg"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73" wp14:editId="67538E74">
            <wp:extent cx="304800" cy="304800"/>
            <wp:effectExtent l="0" t="0" r="0" b="0"/>
            <wp:docPr id="33" name="图片 169"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9" descr="IMG_3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51"/>
        <w:gridCol w:w="429"/>
        <w:gridCol w:w="51"/>
        <w:gridCol w:w="55"/>
        <w:gridCol w:w="5761"/>
        <w:gridCol w:w="54"/>
        <w:gridCol w:w="73"/>
        <w:gridCol w:w="4433"/>
        <w:gridCol w:w="73"/>
      </w:tblGrid>
      <w:tr w:rsidR="001B77DD" w14:paraId="6753491E" w14:textId="77777777">
        <w:tc>
          <w:tcPr>
            <w:tcW w:w="20" w:type="dxa"/>
            <w:shd w:val="clear" w:color="auto" w:fill="auto"/>
            <w:vAlign w:val="bottom"/>
          </w:tcPr>
          <w:p w14:paraId="67534915" w14:textId="77777777" w:rsidR="001B77DD" w:rsidRDefault="001B77DD">
            <w:pPr>
              <w:rPr>
                <w:rFonts w:ascii="宋体"/>
              </w:rPr>
            </w:pPr>
          </w:p>
        </w:tc>
        <w:tc>
          <w:tcPr>
            <w:tcW w:w="545" w:type="dxa"/>
            <w:shd w:val="clear" w:color="auto" w:fill="auto"/>
            <w:vAlign w:val="bottom"/>
          </w:tcPr>
          <w:p w14:paraId="67534916" w14:textId="77777777" w:rsidR="001B77DD" w:rsidRDefault="001B77DD">
            <w:pPr>
              <w:rPr>
                <w:rFonts w:ascii="宋体"/>
              </w:rPr>
            </w:pPr>
          </w:p>
        </w:tc>
        <w:tc>
          <w:tcPr>
            <w:tcW w:w="20" w:type="dxa"/>
            <w:shd w:val="clear" w:color="auto" w:fill="auto"/>
            <w:vAlign w:val="bottom"/>
          </w:tcPr>
          <w:p w14:paraId="67534917" w14:textId="77777777" w:rsidR="001B77DD" w:rsidRDefault="001B77DD">
            <w:pPr>
              <w:rPr>
                <w:rFonts w:ascii="宋体"/>
              </w:rPr>
            </w:pPr>
          </w:p>
        </w:tc>
        <w:tc>
          <w:tcPr>
            <w:tcW w:w="20" w:type="dxa"/>
            <w:shd w:val="clear" w:color="auto" w:fill="auto"/>
            <w:vAlign w:val="bottom"/>
          </w:tcPr>
          <w:p w14:paraId="67534918" w14:textId="77777777" w:rsidR="001B77DD" w:rsidRDefault="001B77DD">
            <w:pPr>
              <w:rPr>
                <w:rFonts w:ascii="宋体"/>
              </w:rPr>
            </w:pPr>
          </w:p>
        </w:tc>
        <w:tc>
          <w:tcPr>
            <w:tcW w:w="7805" w:type="dxa"/>
            <w:shd w:val="clear" w:color="auto" w:fill="auto"/>
            <w:vAlign w:val="bottom"/>
          </w:tcPr>
          <w:p w14:paraId="67534919" w14:textId="77777777" w:rsidR="001B77DD" w:rsidRDefault="001B77DD">
            <w:pPr>
              <w:rPr>
                <w:rFonts w:ascii="宋体"/>
              </w:rPr>
            </w:pPr>
          </w:p>
        </w:tc>
        <w:tc>
          <w:tcPr>
            <w:tcW w:w="20" w:type="dxa"/>
            <w:shd w:val="clear" w:color="auto" w:fill="auto"/>
            <w:vAlign w:val="bottom"/>
          </w:tcPr>
          <w:p w14:paraId="6753491A" w14:textId="77777777" w:rsidR="001B77DD" w:rsidRDefault="001B77DD">
            <w:pPr>
              <w:rPr>
                <w:rFonts w:ascii="宋体"/>
              </w:rPr>
            </w:pPr>
          </w:p>
        </w:tc>
        <w:tc>
          <w:tcPr>
            <w:tcW w:w="20" w:type="dxa"/>
            <w:shd w:val="clear" w:color="auto" w:fill="auto"/>
            <w:vAlign w:val="bottom"/>
          </w:tcPr>
          <w:p w14:paraId="6753491B" w14:textId="77777777" w:rsidR="001B77DD" w:rsidRDefault="001B77DD">
            <w:pPr>
              <w:rPr>
                <w:rFonts w:ascii="宋体"/>
              </w:rPr>
            </w:pPr>
          </w:p>
        </w:tc>
        <w:tc>
          <w:tcPr>
            <w:tcW w:w="2510" w:type="dxa"/>
            <w:shd w:val="clear" w:color="auto" w:fill="auto"/>
            <w:vAlign w:val="bottom"/>
          </w:tcPr>
          <w:p w14:paraId="6753491C" w14:textId="77777777" w:rsidR="001B77DD" w:rsidRDefault="001B77DD">
            <w:pPr>
              <w:rPr>
                <w:rFonts w:ascii="宋体"/>
              </w:rPr>
            </w:pPr>
          </w:p>
        </w:tc>
        <w:tc>
          <w:tcPr>
            <w:tcW w:w="20" w:type="dxa"/>
            <w:shd w:val="clear" w:color="auto" w:fill="auto"/>
            <w:vAlign w:val="bottom"/>
          </w:tcPr>
          <w:p w14:paraId="6753491D" w14:textId="77777777" w:rsidR="001B77DD" w:rsidRDefault="001B77DD">
            <w:pPr>
              <w:rPr>
                <w:rFonts w:ascii="宋体"/>
              </w:rPr>
            </w:pPr>
          </w:p>
        </w:tc>
      </w:tr>
      <w:tr w:rsidR="001B77DD" w14:paraId="67534921" w14:textId="77777777">
        <w:trPr>
          <w:trHeight w:val="240"/>
        </w:trPr>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6753491F" w14:textId="77777777" w:rsidR="001B77DD" w:rsidRDefault="00BF0A28">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vAlign w:val="bottom"/>
          </w:tcPr>
          <w:p w14:paraId="67534920" w14:textId="77777777" w:rsidR="001B77DD" w:rsidRDefault="00BF0A28">
            <w:pPr>
              <w:spacing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Viewer4_files/intc-20211225_g78.jpg"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75" wp14:editId="67538E76">
                  <wp:extent cx="304800" cy="304800"/>
                  <wp:effectExtent l="0" t="0" r="0" b="0"/>
                  <wp:docPr id="88" name="图片 170"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0" descr="IMG_3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4924" w14:textId="77777777">
        <w:trPr>
          <w:trHeight w:val="1380"/>
        </w:trPr>
        <w:tc>
          <w:tcPr>
            <w:tcW w:w="0" w:type="auto"/>
            <w:gridSpan w:val="6"/>
            <w:tcBorders>
              <w:top w:val="single" w:sz="4" w:space="0" w:color="262626"/>
            </w:tcBorders>
            <w:shd w:val="clear" w:color="auto" w:fill="auto"/>
            <w:tcMar>
              <w:top w:w="40" w:type="dxa"/>
              <w:left w:w="20" w:type="dxa"/>
              <w:bottom w:w="40" w:type="dxa"/>
              <w:right w:w="20" w:type="dxa"/>
            </w:tcMar>
          </w:tcPr>
          <w:p w14:paraId="67534922" w14:textId="77777777" w:rsidR="001B77DD" w:rsidRDefault="00BF0A28">
            <w:pPr>
              <w:textAlignment w:val="top"/>
            </w:pPr>
            <w:r>
              <w:rPr>
                <w:rFonts w:ascii="Arial" w:eastAsia="宋体" w:hAnsi="Arial" w:cs="Arial"/>
                <w:color w:val="262626"/>
                <w:sz w:val="18"/>
                <w:szCs w:val="18"/>
              </w:rPr>
              <w:t xml:space="preserve">NSG provides next-generation memory and storage products based on innovative Intel 3D NAND technology. NSG is disrupting the memory and storage hierarchy with new tiers that balance capacity, performance, and cost. Our products are available in innovative </w:t>
            </w:r>
            <w:r>
              <w:rPr>
                <w:rFonts w:ascii="Arial" w:eastAsia="宋体" w:hAnsi="Arial" w:cs="Arial"/>
                <w:color w:val="262626"/>
                <w:sz w:val="18"/>
                <w:szCs w:val="18"/>
              </w:rPr>
              <w:t>form factors and densities to address the memory and storage challenges our customers face in a rapidly evolving technological landscape. Our customers include enterprise and cloud-based data centers, and users of business and consumer desktops and laptops</w:t>
            </w:r>
            <w:r>
              <w:rPr>
                <w:rFonts w:ascii="Arial" w:eastAsia="宋体" w:hAnsi="Arial" w:cs="Arial"/>
                <w:color w:val="262626"/>
                <w:sz w:val="18"/>
                <w:szCs w:val="18"/>
              </w:rPr>
              <w:t xml:space="preserve">. </w:t>
            </w:r>
          </w:p>
        </w:tc>
        <w:tc>
          <w:tcPr>
            <w:tcW w:w="0" w:type="auto"/>
            <w:gridSpan w:val="3"/>
            <w:vMerge/>
            <w:shd w:val="clear" w:color="auto" w:fill="auto"/>
            <w:tcMar>
              <w:top w:w="0" w:type="dxa"/>
              <w:left w:w="20" w:type="dxa"/>
              <w:bottom w:w="0" w:type="dxa"/>
              <w:right w:w="20" w:type="dxa"/>
            </w:tcMar>
            <w:vAlign w:val="bottom"/>
          </w:tcPr>
          <w:p w14:paraId="67534923" w14:textId="77777777" w:rsidR="001B77DD" w:rsidRDefault="001B77DD">
            <w:pPr>
              <w:rPr>
                <w:rFonts w:ascii="宋体"/>
              </w:rPr>
            </w:pPr>
          </w:p>
        </w:tc>
      </w:tr>
      <w:tr w:rsidR="001B77DD" w14:paraId="67534928" w14:textId="77777777">
        <w:trPr>
          <w:hidden/>
        </w:trPr>
        <w:tc>
          <w:tcPr>
            <w:tcW w:w="0" w:type="auto"/>
            <w:gridSpan w:val="3"/>
            <w:shd w:val="clear" w:color="auto" w:fill="auto"/>
            <w:vAlign w:val="bottom"/>
          </w:tcPr>
          <w:p w14:paraId="67534925" w14:textId="77777777" w:rsidR="001B77DD" w:rsidRDefault="001B77DD">
            <w:pPr>
              <w:rPr>
                <w:rFonts w:ascii="宋体"/>
                <w:vanish/>
              </w:rPr>
            </w:pPr>
          </w:p>
        </w:tc>
        <w:tc>
          <w:tcPr>
            <w:tcW w:w="0" w:type="auto"/>
            <w:gridSpan w:val="3"/>
            <w:shd w:val="clear" w:color="auto" w:fill="auto"/>
            <w:vAlign w:val="bottom"/>
          </w:tcPr>
          <w:p w14:paraId="67534926"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927" w14:textId="77777777" w:rsidR="001B77DD" w:rsidRDefault="001B77DD">
            <w:pPr>
              <w:rPr>
                <w:rFonts w:ascii="宋体"/>
              </w:rPr>
            </w:pPr>
          </w:p>
        </w:tc>
      </w:tr>
      <w:tr w:rsidR="001B77DD" w14:paraId="6753492B" w14:textId="77777777">
        <w:trPr>
          <w:trHeight w:val="240"/>
        </w:trPr>
        <w:tc>
          <w:tcPr>
            <w:tcW w:w="0" w:type="auto"/>
            <w:gridSpan w:val="6"/>
            <w:shd w:val="clear" w:color="auto" w:fill="auto"/>
            <w:tcMar>
              <w:top w:w="40" w:type="dxa"/>
              <w:left w:w="20" w:type="dxa"/>
              <w:bottom w:w="40" w:type="dxa"/>
              <w:right w:w="20" w:type="dxa"/>
            </w:tcMar>
            <w:vAlign w:val="bottom"/>
          </w:tcPr>
          <w:p w14:paraId="67534929" w14:textId="77777777" w:rsidR="001B77DD" w:rsidRDefault="00BF0A28">
            <w:pPr>
              <w:textAlignment w:val="bottom"/>
            </w:pPr>
            <w:r>
              <w:rPr>
                <w:rFonts w:ascii="Arial" w:eastAsia="宋体" w:hAnsi="Arial" w:cs="Arial"/>
                <w:color w:val="0068B5"/>
                <w:sz w:val="20"/>
                <w:szCs w:val="20"/>
              </w:rPr>
              <w:t>Key Developments</w:t>
            </w:r>
          </w:p>
        </w:tc>
        <w:tc>
          <w:tcPr>
            <w:tcW w:w="0" w:type="auto"/>
            <w:gridSpan w:val="3"/>
            <w:vMerge/>
            <w:shd w:val="clear" w:color="auto" w:fill="auto"/>
            <w:tcMar>
              <w:top w:w="0" w:type="dxa"/>
              <w:left w:w="20" w:type="dxa"/>
              <w:bottom w:w="0" w:type="dxa"/>
              <w:right w:w="20" w:type="dxa"/>
            </w:tcMar>
            <w:vAlign w:val="bottom"/>
          </w:tcPr>
          <w:p w14:paraId="6753492A" w14:textId="77777777" w:rsidR="001B77DD" w:rsidRDefault="001B77DD">
            <w:pPr>
              <w:rPr>
                <w:rFonts w:ascii="宋体"/>
              </w:rPr>
            </w:pPr>
          </w:p>
        </w:tc>
      </w:tr>
      <w:tr w:rsidR="001B77DD" w14:paraId="67534931" w14:textId="77777777">
        <w:trPr>
          <w:trHeight w:val="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92C"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492D"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tcPr>
          <w:p w14:paraId="6753492E" w14:textId="77777777" w:rsidR="001B77DD" w:rsidRDefault="00BF0A28">
            <w:pPr>
              <w:textAlignment w:val="top"/>
            </w:pPr>
            <w:r>
              <w:rPr>
                <w:rFonts w:ascii="Arial" w:eastAsia="宋体" w:hAnsi="Arial" w:cs="Arial"/>
                <w:b/>
                <w:bCs/>
                <w:i/>
                <w:iCs/>
                <w:color w:val="262626"/>
                <w:sz w:val="18"/>
                <w:szCs w:val="18"/>
              </w:rPr>
              <w:t xml:space="preserve">"Storage technologies help drive the computing experience. Put simply, in today’s data-driven world, advances in both data center and client computing need to be matched by cutting-edge innovation in the </w:t>
            </w:r>
            <w:r>
              <w:rPr>
                <w:rFonts w:ascii="Arial" w:eastAsia="宋体" w:hAnsi="Arial" w:cs="Arial"/>
                <w:b/>
                <w:bCs/>
                <w:i/>
                <w:iCs/>
                <w:color w:val="262626"/>
                <w:sz w:val="18"/>
                <w:szCs w:val="18"/>
              </w:rPr>
              <w:t>memory-and-storage space."</w:t>
            </w:r>
          </w:p>
          <w:p w14:paraId="6753492F" w14:textId="77777777" w:rsidR="001B77DD" w:rsidRDefault="001B77DD">
            <w:pPr>
              <w:textAlignment w:val="top"/>
            </w:pPr>
          </w:p>
          <w:p w14:paraId="67534930" w14:textId="77777777" w:rsidR="001B77DD" w:rsidRDefault="00BF0A28">
            <w:pPr>
              <w:spacing w:after="180"/>
              <w:textAlignment w:val="top"/>
            </w:pPr>
            <w:r>
              <w:rPr>
                <w:rFonts w:ascii="Arial" w:eastAsia="宋体" w:hAnsi="Arial" w:cs="Arial"/>
                <w:b/>
                <w:bCs/>
                <w:color w:val="262626"/>
                <w:sz w:val="18"/>
                <w:szCs w:val="18"/>
              </w:rPr>
              <w:t xml:space="preserve">—Rob Crooke, </w:t>
            </w:r>
            <w:r>
              <w:rPr>
                <w:rFonts w:ascii="Arial" w:eastAsia="宋体" w:hAnsi="Arial" w:cs="Arial"/>
                <w:color w:val="262626"/>
                <w:sz w:val="18"/>
                <w:szCs w:val="18"/>
              </w:rPr>
              <w:t>NSG General Manager</w:t>
            </w:r>
          </w:p>
        </w:tc>
      </w:tr>
      <w:tr w:rsidR="001B77DD" w14:paraId="67534935" w14:textId="77777777">
        <w:trPr>
          <w:trHeight w:val="700"/>
        </w:trPr>
        <w:tc>
          <w:tcPr>
            <w:tcW w:w="0" w:type="auto"/>
            <w:gridSpan w:val="3"/>
            <w:shd w:val="clear" w:color="auto" w:fill="auto"/>
            <w:tcMar>
              <w:top w:w="40" w:type="dxa"/>
              <w:left w:w="20" w:type="dxa"/>
              <w:bottom w:w="40" w:type="dxa"/>
              <w:right w:w="20" w:type="dxa"/>
            </w:tcMar>
          </w:tcPr>
          <w:p w14:paraId="67534932"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933" w14:textId="77777777" w:rsidR="001B77DD" w:rsidRDefault="00BF0A28">
            <w:pPr>
              <w:textAlignment w:val="top"/>
            </w:pPr>
            <w:r>
              <w:rPr>
                <w:rFonts w:ascii="Arial" w:eastAsia="宋体" w:hAnsi="Arial" w:cs="Arial"/>
                <w:color w:val="262626"/>
                <w:sz w:val="18"/>
                <w:szCs w:val="18"/>
              </w:rPr>
              <w:t xml:space="preserve">Revenue was lower in 2021, driven by market softness and pricing pressure. NAND profitability improved due to the absence of depreciation expense from NAND property, plant and equipment that was held for sale throughout 2021. </w:t>
            </w:r>
          </w:p>
        </w:tc>
        <w:tc>
          <w:tcPr>
            <w:tcW w:w="0" w:type="auto"/>
            <w:gridSpan w:val="3"/>
            <w:vMerge/>
            <w:shd w:val="clear" w:color="auto" w:fill="auto"/>
            <w:tcMar>
              <w:top w:w="40" w:type="dxa"/>
              <w:left w:w="20" w:type="dxa"/>
              <w:bottom w:w="40" w:type="dxa"/>
              <w:right w:w="20" w:type="dxa"/>
            </w:tcMar>
          </w:tcPr>
          <w:p w14:paraId="67534934" w14:textId="77777777" w:rsidR="001B77DD" w:rsidRDefault="001B77DD">
            <w:pPr>
              <w:rPr>
                <w:rFonts w:ascii="宋体"/>
              </w:rPr>
            </w:pPr>
          </w:p>
        </w:tc>
      </w:tr>
      <w:tr w:rsidR="001B77DD" w14:paraId="67534939" w14:textId="77777777">
        <w:trPr>
          <w:trHeight w:val="1360"/>
        </w:trPr>
        <w:tc>
          <w:tcPr>
            <w:tcW w:w="0" w:type="auto"/>
            <w:gridSpan w:val="3"/>
            <w:shd w:val="clear" w:color="auto" w:fill="auto"/>
            <w:tcMar>
              <w:top w:w="40" w:type="dxa"/>
              <w:left w:w="20" w:type="dxa"/>
              <w:bottom w:w="40" w:type="dxa"/>
              <w:right w:w="20" w:type="dxa"/>
            </w:tcMar>
          </w:tcPr>
          <w:p w14:paraId="67534936"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937" w14:textId="77777777" w:rsidR="001B77DD" w:rsidRDefault="00BF0A28">
            <w:pPr>
              <w:spacing w:after="180"/>
              <w:textAlignment w:val="top"/>
            </w:pPr>
            <w:r>
              <w:rPr>
                <w:rFonts w:ascii="Arial" w:eastAsia="宋体" w:hAnsi="Arial" w:cs="Arial"/>
                <w:color w:val="262626"/>
                <w:sz w:val="18"/>
                <w:szCs w:val="18"/>
              </w:rPr>
              <w:t xml:space="preserve">We launched the </w:t>
            </w:r>
            <w:r>
              <w:rPr>
                <w:rFonts w:ascii="Arial" w:eastAsia="宋体" w:hAnsi="Arial" w:cs="Arial"/>
                <w:color w:val="262626"/>
                <w:sz w:val="18"/>
                <w:szCs w:val="18"/>
              </w:rPr>
              <w:t>Intel</w:t>
            </w:r>
            <w:r>
              <w:rPr>
                <w:rFonts w:ascii="Arial" w:eastAsia="宋体" w:hAnsi="Arial" w:cs="Arial"/>
                <w:color w:val="262626"/>
                <w:sz w:val="11"/>
                <w:szCs w:val="11"/>
              </w:rPr>
              <w:t>®</w:t>
            </w:r>
            <w:r>
              <w:rPr>
                <w:rFonts w:ascii="Arial" w:eastAsia="宋体" w:hAnsi="Arial" w:cs="Arial"/>
                <w:color w:val="262626"/>
                <w:sz w:val="18"/>
                <w:szCs w:val="18"/>
              </w:rPr>
              <w:t xml:space="preserve"> SSD D5-P5316, our first 144-layer QLC NAND SSD for the Data Center, which is available up to 30.72TB in both the U.2 and efficient E1.L form factors. An upgrade of our SATA drive, the Intel</w:t>
            </w:r>
            <w:r>
              <w:rPr>
                <w:rFonts w:ascii="Arial" w:eastAsia="宋体" w:hAnsi="Arial" w:cs="Arial"/>
                <w:color w:val="262626"/>
                <w:sz w:val="11"/>
                <w:szCs w:val="11"/>
              </w:rPr>
              <w:t>®</w:t>
            </w:r>
            <w:r>
              <w:rPr>
                <w:rFonts w:ascii="Arial" w:eastAsia="宋体" w:hAnsi="Arial" w:cs="Arial"/>
                <w:color w:val="262626"/>
                <w:sz w:val="18"/>
                <w:szCs w:val="18"/>
              </w:rPr>
              <w:t xml:space="preserve"> SSD D3-S4520 and D3-S4620, also launched with Intel’s late</w:t>
            </w:r>
            <w:r>
              <w:rPr>
                <w:rFonts w:ascii="Arial" w:eastAsia="宋体" w:hAnsi="Arial" w:cs="Arial"/>
                <w:color w:val="262626"/>
                <w:sz w:val="18"/>
                <w:szCs w:val="18"/>
              </w:rPr>
              <w:t>st-gen 144-layer TLC NAND and is available in 2.5” and M.2 form factors up to 7.68TB capacity. For our consumer market, the Intel</w:t>
            </w:r>
            <w:r>
              <w:rPr>
                <w:rFonts w:ascii="Arial" w:eastAsia="宋体" w:hAnsi="Arial" w:cs="Arial"/>
                <w:color w:val="262626"/>
                <w:sz w:val="11"/>
                <w:szCs w:val="11"/>
              </w:rPr>
              <w:t>®</w:t>
            </w:r>
            <w:r>
              <w:rPr>
                <w:rFonts w:ascii="Arial" w:eastAsia="宋体" w:hAnsi="Arial" w:cs="Arial"/>
                <w:color w:val="262626"/>
                <w:sz w:val="18"/>
                <w:szCs w:val="18"/>
              </w:rPr>
              <w:t xml:space="preserve"> SSD 670p with 144-layer QLC NAND launched with improved performance, storage responsiveness, and endurance with high capacity</w:t>
            </w:r>
            <w:r>
              <w:rPr>
                <w:rFonts w:ascii="Arial" w:eastAsia="宋体" w:hAnsi="Arial" w:cs="Arial"/>
                <w:color w:val="262626"/>
                <w:sz w:val="18"/>
                <w:szCs w:val="18"/>
              </w:rPr>
              <w:t xml:space="preserve"> (up to 2TB).</w:t>
            </w:r>
          </w:p>
        </w:tc>
        <w:tc>
          <w:tcPr>
            <w:tcW w:w="0" w:type="auto"/>
            <w:gridSpan w:val="3"/>
            <w:vMerge/>
            <w:shd w:val="clear" w:color="auto" w:fill="auto"/>
            <w:tcMar>
              <w:top w:w="40" w:type="dxa"/>
              <w:left w:w="20" w:type="dxa"/>
              <w:bottom w:w="40" w:type="dxa"/>
              <w:right w:w="20" w:type="dxa"/>
            </w:tcMar>
          </w:tcPr>
          <w:p w14:paraId="67534938" w14:textId="77777777" w:rsidR="001B77DD" w:rsidRDefault="001B77DD">
            <w:pPr>
              <w:rPr>
                <w:rFonts w:ascii="宋体"/>
              </w:rPr>
            </w:pPr>
          </w:p>
        </w:tc>
      </w:tr>
      <w:tr w:rsidR="001B77DD" w14:paraId="6753493D" w14:textId="77777777">
        <w:trPr>
          <w:trHeight w:val="1320"/>
        </w:trPr>
        <w:tc>
          <w:tcPr>
            <w:tcW w:w="0" w:type="auto"/>
            <w:gridSpan w:val="3"/>
            <w:shd w:val="clear" w:color="auto" w:fill="auto"/>
            <w:tcMar>
              <w:top w:w="40" w:type="dxa"/>
              <w:left w:w="20" w:type="dxa"/>
              <w:bottom w:w="40" w:type="dxa"/>
              <w:right w:w="20" w:type="dxa"/>
            </w:tcMar>
          </w:tcPr>
          <w:p w14:paraId="6753493A"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93B" w14:textId="77777777" w:rsidR="001B77DD" w:rsidRDefault="00BF0A28">
            <w:pPr>
              <w:spacing w:after="180"/>
              <w:textAlignment w:val="top"/>
            </w:pPr>
            <w:r>
              <w:rPr>
                <w:rFonts w:ascii="Arial" w:eastAsia="宋体" w:hAnsi="Arial" w:cs="Arial"/>
                <w:color w:val="262626"/>
                <w:sz w:val="18"/>
                <w:szCs w:val="18"/>
              </w:rPr>
              <w:t xml:space="preserve">In October 2020, we signed an agreement with SK hynix to divest our NAND memory business. The NAND memory business makes up our NSG segment. The transaction will occur over two closings, the first of which was completed on </w:t>
            </w:r>
            <w:r>
              <w:rPr>
                <w:rFonts w:ascii="Arial" w:eastAsia="宋体" w:hAnsi="Arial" w:cs="Arial"/>
                <w:color w:val="262626"/>
                <w:sz w:val="18"/>
                <w:szCs w:val="18"/>
              </w:rPr>
              <w:t>December 29, 2021, subsequent to our fiscal 2021 year-end. We will fully deconsolidate our ongoing interests in the NAND OpCo Business in the first quarter of 2022. Refer to "Note 10 : Acquisitions and Divestitures" within Notes to Consolidated Financial S</w:t>
            </w:r>
            <w:r>
              <w:rPr>
                <w:rFonts w:ascii="Arial" w:eastAsia="宋体" w:hAnsi="Arial" w:cs="Arial"/>
                <w:color w:val="262626"/>
                <w:sz w:val="18"/>
                <w:szCs w:val="18"/>
              </w:rPr>
              <w:t>tatements for further information on the divestiture.</w:t>
            </w:r>
          </w:p>
        </w:tc>
        <w:tc>
          <w:tcPr>
            <w:tcW w:w="0" w:type="auto"/>
            <w:gridSpan w:val="3"/>
            <w:vMerge/>
            <w:shd w:val="clear" w:color="auto" w:fill="auto"/>
            <w:tcMar>
              <w:top w:w="40" w:type="dxa"/>
              <w:left w:w="20" w:type="dxa"/>
              <w:bottom w:w="40" w:type="dxa"/>
              <w:right w:w="20" w:type="dxa"/>
            </w:tcMar>
          </w:tcPr>
          <w:p w14:paraId="6753493C" w14:textId="77777777" w:rsidR="001B77DD" w:rsidRDefault="001B77DD">
            <w:pPr>
              <w:rPr>
                <w:rFonts w:ascii="宋体"/>
              </w:rPr>
            </w:pPr>
          </w:p>
        </w:tc>
      </w:tr>
    </w:tbl>
    <w:p w14:paraId="6753493E" w14:textId="77777777" w:rsidR="001B77DD" w:rsidRDefault="001B77DD">
      <w:pPr>
        <w:rPr>
          <w:vanish/>
        </w:rPr>
      </w:pPr>
    </w:p>
    <w:tbl>
      <w:tblPr>
        <w:tblW w:w="10980" w:type="dxa"/>
        <w:tblInd w:w="-705"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942" w14:textId="77777777">
        <w:tc>
          <w:tcPr>
            <w:tcW w:w="20" w:type="dxa"/>
            <w:shd w:val="clear" w:color="auto" w:fill="auto"/>
            <w:vAlign w:val="bottom"/>
          </w:tcPr>
          <w:p w14:paraId="6753493F" w14:textId="77777777" w:rsidR="001B77DD" w:rsidRDefault="001B77DD">
            <w:pPr>
              <w:rPr>
                <w:rFonts w:ascii="宋体"/>
              </w:rPr>
            </w:pPr>
          </w:p>
        </w:tc>
        <w:tc>
          <w:tcPr>
            <w:tcW w:w="10940" w:type="dxa"/>
            <w:shd w:val="clear" w:color="auto" w:fill="auto"/>
            <w:vAlign w:val="bottom"/>
          </w:tcPr>
          <w:p w14:paraId="67534940" w14:textId="77777777" w:rsidR="001B77DD" w:rsidRDefault="001B77DD">
            <w:pPr>
              <w:rPr>
                <w:rFonts w:ascii="宋体"/>
              </w:rPr>
            </w:pPr>
          </w:p>
        </w:tc>
        <w:tc>
          <w:tcPr>
            <w:tcW w:w="20" w:type="dxa"/>
            <w:shd w:val="clear" w:color="auto" w:fill="auto"/>
            <w:vAlign w:val="bottom"/>
          </w:tcPr>
          <w:p w14:paraId="67534941" w14:textId="77777777" w:rsidR="001B77DD" w:rsidRDefault="001B77DD">
            <w:pPr>
              <w:rPr>
                <w:rFonts w:ascii="宋体"/>
              </w:rPr>
            </w:pPr>
          </w:p>
        </w:tc>
      </w:tr>
      <w:tr w:rsidR="001B77DD" w14:paraId="67534944" w14:textId="77777777">
        <w:trPr>
          <w:trHeight w:val="24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943" w14:textId="77777777" w:rsidR="001B77DD" w:rsidRDefault="00BF0A28">
            <w:pPr>
              <w:textAlignment w:val="bottom"/>
            </w:pPr>
            <w:r>
              <w:rPr>
                <w:rFonts w:ascii="Arial" w:eastAsia="宋体" w:hAnsi="Arial" w:cs="Arial"/>
                <w:color w:val="0068B5"/>
                <w:sz w:val="20"/>
                <w:szCs w:val="20"/>
              </w:rPr>
              <w:t>5-Year Trends</w:t>
            </w:r>
          </w:p>
        </w:tc>
      </w:tr>
    </w:tbl>
    <w:p w14:paraId="67534945"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Viewer4_files/intc-20211225_g79.jpg"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77" wp14:editId="67538E78">
            <wp:extent cx="304800" cy="304800"/>
            <wp:effectExtent l="0" t="0" r="0" b="0"/>
            <wp:docPr id="23" name="图片 171"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1" descr="IMG_3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w:instrText>
      </w:r>
      <w:r>
        <w:rPr>
          <w:rFonts w:ascii="宋体" w:eastAsia="宋体" w:hAnsi="宋体" w:cs="宋体"/>
        </w:rPr>
        <w:instrText xml:space="preserve">225_g80.jpg"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79" wp14:editId="67538E7A">
            <wp:extent cx="304800" cy="304800"/>
            <wp:effectExtent l="0" t="0" r="0" b="0"/>
            <wp:docPr id="30" name="图片 172"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2" descr="IMG_3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1205" w:type="dxa"/>
        <w:tblCellMar>
          <w:top w:w="15" w:type="dxa"/>
          <w:left w:w="15" w:type="dxa"/>
          <w:bottom w:w="15" w:type="dxa"/>
          <w:right w:w="15" w:type="dxa"/>
        </w:tblCellMar>
        <w:tblLook w:val="04A0" w:firstRow="1" w:lastRow="0" w:firstColumn="1" w:lastColumn="0" w:noHBand="0" w:noVBand="1"/>
      </w:tblPr>
      <w:tblGrid>
        <w:gridCol w:w="36"/>
        <w:gridCol w:w="902"/>
        <w:gridCol w:w="36"/>
        <w:gridCol w:w="36"/>
        <w:gridCol w:w="1303"/>
        <w:gridCol w:w="36"/>
        <w:gridCol w:w="36"/>
        <w:gridCol w:w="2923"/>
        <w:gridCol w:w="36"/>
        <w:gridCol w:w="36"/>
        <w:gridCol w:w="1065"/>
        <w:gridCol w:w="36"/>
        <w:gridCol w:w="36"/>
        <w:gridCol w:w="4324"/>
        <w:gridCol w:w="36"/>
        <w:gridCol w:w="36"/>
        <w:gridCol w:w="256"/>
        <w:gridCol w:w="36"/>
      </w:tblGrid>
      <w:tr w:rsidR="001B77DD" w14:paraId="67534958" w14:textId="77777777">
        <w:tc>
          <w:tcPr>
            <w:tcW w:w="20" w:type="dxa"/>
            <w:shd w:val="clear" w:color="auto" w:fill="auto"/>
            <w:vAlign w:val="bottom"/>
          </w:tcPr>
          <w:p w14:paraId="67534946" w14:textId="77777777" w:rsidR="001B77DD" w:rsidRDefault="001B77DD">
            <w:pPr>
              <w:rPr>
                <w:rFonts w:ascii="宋体"/>
              </w:rPr>
            </w:pPr>
          </w:p>
        </w:tc>
        <w:tc>
          <w:tcPr>
            <w:tcW w:w="920" w:type="dxa"/>
            <w:shd w:val="clear" w:color="auto" w:fill="auto"/>
            <w:vAlign w:val="bottom"/>
          </w:tcPr>
          <w:p w14:paraId="67534947" w14:textId="77777777" w:rsidR="001B77DD" w:rsidRDefault="001B77DD">
            <w:pPr>
              <w:rPr>
                <w:rFonts w:ascii="宋体"/>
              </w:rPr>
            </w:pPr>
          </w:p>
        </w:tc>
        <w:tc>
          <w:tcPr>
            <w:tcW w:w="20" w:type="dxa"/>
            <w:shd w:val="clear" w:color="auto" w:fill="auto"/>
            <w:vAlign w:val="bottom"/>
          </w:tcPr>
          <w:p w14:paraId="67534948" w14:textId="77777777" w:rsidR="001B77DD" w:rsidRDefault="001B77DD">
            <w:pPr>
              <w:rPr>
                <w:rFonts w:ascii="宋体"/>
              </w:rPr>
            </w:pPr>
          </w:p>
        </w:tc>
        <w:tc>
          <w:tcPr>
            <w:tcW w:w="20" w:type="dxa"/>
            <w:shd w:val="clear" w:color="auto" w:fill="auto"/>
            <w:vAlign w:val="bottom"/>
          </w:tcPr>
          <w:p w14:paraId="67534949" w14:textId="77777777" w:rsidR="001B77DD" w:rsidRDefault="001B77DD">
            <w:pPr>
              <w:rPr>
                <w:rFonts w:ascii="宋体"/>
              </w:rPr>
            </w:pPr>
          </w:p>
        </w:tc>
        <w:tc>
          <w:tcPr>
            <w:tcW w:w="1325" w:type="dxa"/>
            <w:shd w:val="clear" w:color="auto" w:fill="auto"/>
            <w:vAlign w:val="bottom"/>
          </w:tcPr>
          <w:p w14:paraId="6753494A" w14:textId="77777777" w:rsidR="001B77DD" w:rsidRDefault="001B77DD">
            <w:pPr>
              <w:rPr>
                <w:rFonts w:ascii="宋体"/>
              </w:rPr>
            </w:pPr>
          </w:p>
        </w:tc>
        <w:tc>
          <w:tcPr>
            <w:tcW w:w="20" w:type="dxa"/>
            <w:shd w:val="clear" w:color="auto" w:fill="auto"/>
            <w:vAlign w:val="bottom"/>
          </w:tcPr>
          <w:p w14:paraId="6753494B" w14:textId="77777777" w:rsidR="001B77DD" w:rsidRDefault="001B77DD">
            <w:pPr>
              <w:rPr>
                <w:rFonts w:ascii="宋体"/>
              </w:rPr>
            </w:pPr>
          </w:p>
        </w:tc>
        <w:tc>
          <w:tcPr>
            <w:tcW w:w="20" w:type="dxa"/>
            <w:shd w:val="clear" w:color="auto" w:fill="auto"/>
            <w:vAlign w:val="bottom"/>
          </w:tcPr>
          <w:p w14:paraId="6753494C" w14:textId="77777777" w:rsidR="001B77DD" w:rsidRDefault="001B77DD">
            <w:pPr>
              <w:rPr>
                <w:rFonts w:ascii="宋体"/>
              </w:rPr>
            </w:pPr>
          </w:p>
        </w:tc>
        <w:tc>
          <w:tcPr>
            <w:tcW w:w="2975" w:type="dxa"/>
            <w:shd w:val="clear" w:color="auto" w:fill="auto"/>
            <w:vAlign w:val="bottom"/>
          </w:tcPr>
          <w:p w14:paraId="6753494D" w14:textId="77777777" w:rsidR="001B77DD" w:rsidRDefault="001B77DD">
            <w:pPr>
              <w:rPr>
                <w:rFonts w:ascii="宋体"/>
              </w:rPr>
            </w:pPr>
          </w:p>
        </w:tc>
        <w:tc>
          <w:tcPr>
            <w:tcW w:w="20" w:type="dxa"/>
            <w:shd w:val="clear" w:color="auto" w:fill="auto"/>
            <w:vAlign w:val="bottom"/>
          </w:tcPr>
          <w:p w14:paraId="6753494E" w14:textId="77777777" w:rsidR="001B77DD" w:rsidRDefault="001B77DD">
            <w:pPr>
              <w:rPr>
                <w:rFonts w:ascii="宋体"/>
              </w:rPr>
            </w:pPr>
          </w:p>
        </w:tc>
        <w:tc>
          <w:tcPr>
            <w:tcW w:w="20" w:type="dxa"/>
            <w:shd w:val="clear" w:color="auto" w:fill="auto"/>
            <w:vAlign w:val="bottom"/>
          </w:tcPr>
          <w:p w14:paraId="6753494F" w14:textId="77777777" w:rsidR="001B77DD" w:rsidRDefault="001B77DD">
            <w:pPr>
              <w:rPr>
                <w:rFonts w:ascii="宋体"/>
              </w:rPr>
            </w:pPr>
          </w:p>
        </w:tc>
        <w:tc>
          <w:tcPr>
            <w:tcW w:w="1085" w:type="dxa"/>
            <w:shd w:val="clear" w:color="auto" w:fill="auto"/>
            <w:vAlign w:val="bottom"/>
          </w:tcPr>
          <w:p w14:paraId="67534950" w14:textId="77777777" w:rsidR="001B77DD" w:rsidRDefault="001B77DD">
            <w:pPr>
              <w:rPr>
                <w:rFonts w:ascii="宋体"/>
              </w:rPr>
            </w:pPr>
          </w:p>
        </w:tc>
        <w:tc>
          <w:tcPr>
            <w:tcW w:w="20" w:type="dxa"/>
            <w:shd w:val="clear" w:color="auto" w:fill="auto"/>
            <w:vAlign w:val="bottom"/>
          </w:tcPr>
          <w:p w14:paraId="67534951" w14:textId="77777777" w:rsidR="001B77DD" w:rsidRDefault="001B77DD">
            <w:pPr>
              <w:rPr>
                <w:rFonts w:ascii="宋体"/>
              </w:rPr>
            </w:pPr>
          </w:p>
        </w:tc>
        <w:tc>
          <w:tcPr>
            <w:tcW w:w="20" w:type="dxa"/>
            <w:shd w:val="clear" w:color="auto" w:fill="auto"/>
            <w:vAlign w:val="bottom"/>
          </w:tcPr>
          <w:p w14:paraId="67534952" w14:textId="77777777" w:rsidR="001B77DD" w:rsidRDefault="001B77DD">
            <w:pPr>
              <w:rPr>
                <w:rFonts w:ascii="宋体"/>
              </w:rPr>
            </w:pPr>
          </w:p>
        </w:tc>
        <w:tc>
          <w:tcPr>
            <w:tcW w:w="4400" w:type="dxa"/>
            <w:shd w:val="clear" w:color="auto" w:fill="auto"/>
            <w:vAlign w:val="bottom"/>
          </w:tcPr>
          <w:p w14:paraId="67534953" w14:textId="77777777" w:rsidR="001B77DD" w:rsidRDefault="001B77DD">
            <w:pPr>
              <w:rPr>
                <w:rFonts w:ascii="宋体"/>
              </w:rPr>
            </w:pPr>
          </w:p>
        </w:tc>
        <w:tc>
          <w:tcPr>
            <w:tcW w:w="20" w:type="dxa"/>
            <w:shd w:val="clear" w:color="auto" w:fill="auto"/>
            <w:vAlign w:val="bottom"/>
          </w:tcPr>
          <w:p w14:paraId="67534954" w14:textId="77777777" w:rsidR="001B77DD" w:rsidRDefault="001B77DD">
            <w:pPr>
              <w:rPr>
                <w:rFonts w:ascii="宋体"/>
              </w:rPr>
            </w:pPr>
          </w:p>
        </w:tc>
        <w:tc>
          <w:tcPr>
            <w:tcW w:w="20" w:type="dxa"/>
            <w:shd w:val="clear" w:color="auto" w:fill="auto"/>
            <w:vAlign w:val="bottom"/>
          </w:tcPr>
          <w:p w14:paraId="67534955" w14:textId="77777777" w:rsidR="001B77DD" w:rsidRDefault="001B77DD">
            <w:pPr>
              <w:rPr>
                <w:rFonts w:ascii="宋体"/>
              </w:rPr>
            </w:pPr>
          </w:p>
        </w:tc>
        <w:tc>
          <w:tcPr>
            <w:tcW w:w="260" w:type="dxa"/>
            <w:shd w:val="clear" w:color="auto" w:fill="auto"/>
            <w:vAlign w:val="bottom"/>
          </w:tcPr>
          <w:p w14:paraId="67534956" w14:textId="77777777" w:rsidR="001B77DD" w:rsidRDefault="001B77DD">
            <w:pPr>
              <w:rPr>
                <w:rFonts w:ascii="宋体"/>
              </w:rPr>
            </w:pPr>
          </w:p>
        </w:tc>
        <w:tc>
          <w:tcPr>
            <w:tcW w:w="20" w:type="dxa"/>
            <w:shd w:val="clear" w:color="auto" w:fill="auto"/>
            <w:vAlign w:val="bottom"/>
          </w:tcPr>
          <w:p w14:paraId="67534957" w14:textId="77777777" w:rsidR="001B77DD" w:rsidRDefault="001B77DD">
            <w:pPr>
              <w:rPr>
                <w:rFonts w:ascii="宋体"/>
              </w:rPr>
            </w:pPr>
          </w:p>
        </w:tc>
      </w:tr>
      <w:tr w:rsidR="001B77DD" w14:paraId="6753495E" w14:textId="77777777">
        <w:trPr>
          <w:trHeight w:val="240"/>
        </w:trPr>
        <w:tc>
          <w:tcPr>
            <w:tcW w:w="0" w:type="auto"/>
            <w:gridSpan w:val="3"/>
            <w:shd w:val="clear" w:color="auto" w:fill="auto"/>
            <w:tcMar>
              <w:top w:w="0" w:type="dxa"/>
              <w:left w:w="20" w:type="dxa"/>
              <w:bottom w:w="0" w:type="dxa"/>
              <w:right w:w="20" w:type="dxa"/>
            </w:tcMar>
            <w:vAlign w:val="bottom"/>
          </w:tcPr>
          <w:p w14:paraId="67534959"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tcPr>
          <w:p w14:paraId="6753495A" w14:textId="77777777" w:rsidR="001B77DD" w:rsidRDefault="00BF0A28">
            <w:pPr>
              <w:jc w:val="center"/>
              <w:textAlignment w:val="top"/>
            </w:pPr>
            <w:r>
              <w:rPr>
                <w:rFonts w:ascii="Arial" w:eastAsia="宋体" w:hAnsi="Arial" w:cs="Arial"/>
                <w:color w:val="004A86"/>
                <w:sz w:val="16"/>
                <w:szCs w:val="16"/>
              </w:rPr>
              <w:t>■</w:t>
            </w:r>
            <w:r>
              <w:rPr>
                <w:rFonts w:ascii="Arial" w:eastAsia="宋体" w:hAnsi="Arial" w:cs="Arial"/>
                <w:color w:val="262626"/>
                <w:sz w:val="16"/>
                <w:szCs w:val="16"/>
              </w:rPr>
              <w:t xml:space="preserve"> Revenue $B</w:t>
            </w:r>
          </w:p>
        </w:tc>
        <w:tc>
          <w:tcPr>
            <w:tcW w:w="0" w:type="auto"/>
            <w:gridSpan w:val="3"/>
            <w:shd w:val="clear" w:color="auto" w:fill="auto"/>
            <w:tcMar>
              <w:top w:w="0" w:type="dxa"/>
              <w:left w:w="20" w:type="dxa"/>
              <w:bottom w:w="0" w:type="dxa"/>
              <w:right w:w="20" w:type="dxa"/>
            </w:tcMar>
            <w:vAlign w:val="bottom"/>
          </w:tcPr>
          <w:p w14:paraId="6753495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95C" w14:textId="77777777" w:rsidR="001B77DD" w:rsidRDefault="00BF0A28">
            <w:pPr>
              <w:jc w:val="center"/>
              <w:textAlignment w:val="top"/>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vAlign w:val="bottom"/>
          </w:tcPr>
          <w:p w14:paraId="6753495D" w14:textId="77777777" w:rsidR="001B77DD" w:rsidRDefault="001B77DD">
            <w:pPr>
              <w:rPr>
                <w:rFonts w:ascii="宋体"/>
              </w:rPr>
            </w:pPr>
          </w:p>
        </w:tc>
      </w:tr>
    </w:tbl>
    <w:p w14:paraId="6753495F"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969" w14:textId="77777777">
        <w:tc>
          <w:tcPr>
            <w:tcW w:w="50" w:type="pct"/>
            <w:shd w:val="clear" w:color="auto" w:fill="auto"/>
            <w:vAlign w:val="bottom"/>
          </w:tcPr>
          <w:p w14:paraId="67534960" w14:textId="77777777" w:rsidR="001B77DD" w:rsidRDefault="001B77DD">
            <w:pPr>
              <w:rPr>
                <w:rFonts w:ascii="宋体"/>
              </w:rPr>
            </w:pPr>
          </w:p>
        </w:tc>
        <w:tc>
          <w:tcPr>
            <w:tcW w:w="283" w:type="pct"/>
            <w:shd w:val="clear" w:color="auto" w:fill="auto"/>
            <w:vAlign w:val="bottom"/>
          </w:tcPr>
          <w:p w14:paraId="67534961" w14:textId="77777777" w:rsidR="001B77DD" w:rsidRDefault="001B77DD">
            <w:pPr>
              <w:rPr>
                <w:rFonts w:ascii="宋体"/>
              </w:rPr>
            </w:pPr>
          </w:p>
        </w:tc>
        <w:tc>
          <w:tcPr>
            <w:tcW w:w="5" w:type="pct"/>
            <w:shd w:val="clear" w:color="auto" w:fill="auto"/>
            <w:vAlign w:val="bottom"/>
          </w:tcPr>
          <w:p w14:paraId="67534962" w14:textId="77777777" w:rsidR="001B77DD" w:rsidRDefault="001B77DD">
            <w:pPr>
              <w:rPr>
                <w:rFonts w:ascii="宋体"/>
              </w:rPr>
            </w:pPr>
          </w:p>
        </w:tc>
        <w:tc>
          <w:tcPr>
            <w:tcW w:w="50" w:type="pct"/>
            <w:shd w:val="clear" w:color="auto" w:fill="auto"/>
            <w:vAlign w:val="bottom"/>
          </w:tcPr>
          <w:p w14:paraId="67534963" w14:textId="77777777" w:rsidR="001B77DD" w:rsidRDefault="001B77DD">
            <w:pPr>
              <w:rPr>
                <w:rFonts w:ascii="宋体"/>
              </w:rPr>
            </w:pPr>
          </w:p>
        </w:tc>
        <w:tc>
          <w:tcPr>
            <w:tcW w:w="2656" w:type="pct"/>
            <w:shd w:val="clear" w:color="auto" w:fill="auto"/>
            <w:vAlign w:val="bottom"/>
          </w:tcPr>
          <w:p w14:paraId="67534964" w14:textId="77777777" w:rsidR="001B77DD" w:rsidRDefault="001B77DD">
            <w:pPr>
              <w:rPr>
                <w:rFonts w:ascii="宋体"/>
              </w:rPr>
            </w:pPr>
          </w:p>
        </w:tc>
        <w:tc>
          <w:tcPr>
            <w:tcW w:w="5" w:type="pct"/>
            <w:shd w:val="clear" w:color="auto" w:fill="auto"/>
            <w:vAlign w:val="bottom"/>
          </w:tcPr>
          <w:p w14:paraId="67534965" w14:textId="77777777" w:rsidR="001B77DD" w:rsidRDefault="001B77DD">
            <w:pPr>
              <w:rPr>
                <w:rFonts w:ascii="宋体"/>
              </w:rPr>
            </w:pPr>
          </w:p>
        </w:tc>
        <w:tc>
          <w:tcPr>
            <w:tcW w:w="50" w:type="pct"/>
            <w:shd w:val="clear" w:color="auto" w:fill="auto"/>
            <w:vAlign w:val="bottom"/>
          </w:tcPr>
          <w:p w14:paraId="67534966" w14:textId="77777777" w:rsidR="001B77DD" w:rsidRDefault="001B77DD">
            <w:pPr>
              <w:rPr>
                <w:rFonts w:ascii="宋体"/>
              </w:rPr>
            </w:pPr>
          </w:p>
        </w:tc>
        <w:tc>
          <w:tcPr>
            <w:tcW w:w="1894" w:type="pct"/>
            <w:shd w:val="clear" w:color="auto" w:fill="auto"/>
            <w:vAlign w:val="bottom"/>
          </w:tcPr>
          <w:p w14:paraId="67534967" w14:textId="77777777" w:rsidR="001B77DD" w:rsidRDefault="001B77DD">
            <w:pPr>
              <w:rPr>
                <w:rFonts w:ascii="宋体"/>
              </w:rPr>
            </w:pPr>
          </w:p>
        </w:tc>
        <w:tc>
          <w:tcPr>
            <w:tcW w:w="5" w:type="pct"/>
            <w:shd w:val="clear" w:color="auto" w:fill="auto"/>
            <w:vAlign w:val="bottom"/>
          </w:tcPr>
          <w:p w14:paraId="67534968" w14:textId="77777777" w:rsidR="001B77DD" w:rsidRDefault="001B77DD">
            <w:pPr>
              <w:rPr>
                <w:rFonts w:ascii="宋体"/>
              </w:rPr>
            </w:pPr>
          </w:p>
        </w:tc>
      </w:tr>
      <w:tr w:rsidR="001B77DD" w14:paraId="6753496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96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7B" wp14:editId="67538E7C">
                  <wp:extent cx="304800" cy="304800"/>
                  <wp:effectExtent l="0" t="0" r="0" b="0"/>
                  <wp:docPr id="86" name="图片 17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7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96B"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96C" w14:textId="77777777" w:rsidR="001B77DD" w:rsidRDefault="00BF0A28">
            <w:pPr>
              <w:jc w:val="right"/>
              <w:textAlignment w:val="center"/>
            </w:pPr>
            <w:r>
              <w:rPr>
                <w:rFonts w:ascii="Arial" w:eastAsia="宋体" w:hAnsi="Arial" w:cs="Arial"/>
                <w:color w:val="262626"/>
                <w:sz w:val="16"/>
                <w:szCs w:val="16"/>
              </w:rPr>
              <w:t>31</w:t>
            </w:r>
          </w:p>
        </w:tc>
      </w:tr>
    </w:tbl>
    <w:p w14:paraId="6753496E" w14:textId="77777777" w:rsidR="001B77DD" w:rsidRDefault="00BF0A28">
      <w:r>
        <w:pict w14:anchorId="67538E7D">
          <v:rect id="_x0000_i1057" style="width:415.3pt;height:1.5pt" o:hralign="center" o:hrstd="t" o:hr="t" fillcolor="#a0a0a0" stroked="f"/>
        </w:pict>
      </w:r>
    </w:p>
    <w:p w14:paraId="6753496F" w14:textId="77777777" w:rsidR="001B77DD" w:rsidRDefault="00BF0A28">
      <w:pPr>
        <w:jc w:val="right"/>
      </w:pPr>
      <w:hyperlink r:id="rId90" w:anchor="i6c9ced68f6b24d58a3dcf326e8c3c699_16" w:history="1">
        <w:r>
          <w:rPr>
            <w:rStyle w:val="a5"/>
            <w:rFonts w:ascii="Arial" w:eastAsia="宋体" w:hAnsi="Arial" w:cs="Arial"/>
            <w:b/>
            <w:bCs/>
            <w:sz w:val="16"/>
            <w:szCs w:val="16"/>
          </w:rPr>
          <w:t>Table of Contents</w:t>
        </w:r>
      </w:hyperlink>
    </w:p>
    <w:p w14:paraId="67534970" w14:textId="77777777" w:rsidR="001B77DD" w:rsidRDefault="001B77DD">
      <w:pPr>
        <w:jc w:val="right"/>
      </w:pPr>
    </w:p>
    <w:p w14:paraId="67534971" w14:textId="77777777" w:rsidR="001B77DD" w:rsidRDefault="00BF0A28">
      <w:pPr>
        <w:spacing w:after="120"/>
      </w:pPr>
      <w:r>
        <w:rPr>
          <w:rFonts w:ascii="Arial" w:eastAsia="宋体" w:hAnsi="Arial" w:cs="Arial"/>
          <w:color w:val="0068B5"/>
        </w:rPr>
        <w:t>Market and Business Overview</w:t>
      </w:r>
    </w:p>
    <w:p w14:paraId="67534972" w14:textId="77777777" w:rsidR="001B77DD" w:rsidRDefault="00BF0A28">
      <w:pPr>
        <w:spacing w:after="120"/>
      </w:pPr>
      <w:r>
        <w:rPr>
          <w:rFonts w:ascii="Arial" w:eastAsia="宋体" w:hAnsi="Arial" w:cs="Arial"/>
          <w:color w:val="0068B5"/>
          <w:sz w:val="20"/>
          <w:szCs w:val="20"/>
        </w:rPr>
        <w:t>Market Trends and Strategy</w:t>
      </w:r>
    </w:p>
    <w:p w14:paraId="67534973" w14:textId="77777777" w:rsidR="001B77DD" w:rsidRDefault="00BF0A28">
      <w:pPr>
        <w:spacing w:after="180"/>
      </w:pPr>
      <w:r>
        <w:rPr>
          <w:rFonts w:ascii="Arial" w:eastAsia="宋体" w:hAnsi="Arial" w:cs="Arial"/>
          <w:color w:val="262626"/>
          <w:sz w:val="18"/>
          <w:szCs w:val="18"/>
        </w:rPr>
        <w:t>The combination of ever-exp</w:t>
      </w:r>
      <w:r>
        <w:rPr>
          <w:rFonts w:ascii="Arial" w:eastAsia="宋体" w:hAnsi="Arial" w:cs="Arial"/>
          <w:color w:val="262626"/>
          <w:sz w:val="18"/>
          <w:szCs w:val="18"/>
        </w:rPr>
        <w:t>loding growth in data and the desire to analyze data for actionable insights requires our customers to balance performance, real-time access, and cost. Our 3D NAND TLC and QLC technology innovations enable our customers to have access to efficient, cost-ef</w:t>
      </w:r>
      <w:r>
        <w:rPr>
          <w:rFonts w:ascii="Arial" w:eastAsia="宋体" w:hAnsi="Arial" w:cs="Arial"/>
          <w:color w:val="262626"/>
          <w:sz w:val="18"/>
          <w:szCs w:val="18"/>
        </w:rPr>
        <w:t>fective capacity storage.</w:t>
      </w:r>
    </w:p>
    <w:p w14:paraId="67534974" w14:textId="77777777" w:rsidR="001B77DD" w:rsidRDefault="00BF0A28">
      <w:pPr>
        <w:spacing w:after="180"/>
      </w:pPr>
      <w:r>
        <w:rPr>
          <w:rFonts w:ascii="Arial" w:eastAsia="宋体" w:hAnsi="Arial" w:cs="Arial"/>
          <w:color w:val="262626"/>
          <w:sz w:val="18"/>
          <w:szCs w:val="18"/>
        </w:rPr>
        <w:t>In October of 2020, we signed an agreement with SK hynix to divest our NAND memory business, including our NAND memory fabrication facility in Dalian, China and certain related equipment and tangible assets (the Fab Assets), our N</w:t>
      </w:r>
      <w:r>
        <w:rPr>
          <w:rFonts w:ascii="Arial" w:eastAsia="宋体" w:hAnsi="Arial" w:cs="Arial"/>
          <w:color w:val="262626"/>
          <w:sz w:val="18"/>
          <w:szCs w:val="18"/>
        </w:rPr>
        <w:t>AND SSD Business (the NAND SSD Business), and our NAND memory technology and manufacturing business (the NAND OpCo Business). The first closing was completed on December 29, 2021, subsequent to our fiscal 2021 year-end. At first closing, we sold to SK hyni</w:t>
      </w:r>
      <w:r>
        <w:rPr>
          <w:rFonts w:ascii="Arial" w:eastAsia="宋体" w:hAnsi="Arial" w:cs="Arial"/>
          <w:color w:val="262626"/>
          <w:sz w:val="18"/>
          <w:szCs w:val="18"/>
        </w:rPr>
        <w:t xml:space="preserve">x the Fab Assets and the NAND SSD Business. In connection with the first closing, we and certain affiliates of SK hynix also entered into a NAND wafer manufacturing and sale agreement, pursuant to which we will manufacture and sell to SK hynix NAND memory </w:t>
      </w:r>
      <w:r>
        <w:rPr>
          <w:rFonts w:ascii="Arial" w:eastAsia="宋体" w:hAnsi="Arial" w:cs="Arial"/>
          <w:color w:val="262626"/>
          <w:sz w:val="18"/>
          <w:szCs w:val="18"/>
        </w:rPr>
        <w:t>wafers to be manufactured using the Fab Assets in Dalian, China until the second closing.</w:t>
      </w:r>
    </w:p>
    <w:p w14:paraId="67534975" w14:textId="77777777" w:rsidR="001B77DD" w:rsidRDefault="00BF0A28">
      <w:pPr>
        <w:spacing w:after="60"/>
      </w:pPr>
      <w:r>
        <w:rPr>
          <w:rFonts w:ascii="Arial" w:eastAsia="宋体" w:hAnsi="Arial" w:cs="Arial"/>
          <w:color w:val="0068B5"/>
          <w:sz w:val="20"/>
          <w:szCs w:val="20"/>
        </w:rPr>
        <w:t>Products and Competitiveness</w:t>
      </w:r>
    </w:p>
    <w:p w14:paraId="67534976" w14:textId="77777777" w:rsidR="001B77DD" w:rsidRDefault="00BF0A28">
      <w:pPr>
        <w:spacing w:after="180"/>
      </w:pPr>
      <w:r>
        <w:rPr>
          <w:rFonts w:ascii="Arial" w:eastAsia="宋体" w:hAnsi="Arial" w:cs="Arial"/>
          <w:color w:val="262626"/>
          <w:sz w:val="18"/>
          <w:szCs w:val="18"/>
        </w:rPr>
        <w:t xml:space="preserve">We compete against other providers of NAND products. We offer 96-layer and 64-layer TLC NAND high-capacity SSDs, and 144-layer QLC NAND high-capacity SSDs. We focus our efforts primarily on incorporating NAND into solution products. </w:t>
      </w:r>
    </w:p>
    <w:p w14:paraId="67534977" w14:textId="77777777" w:rsidR="001B77DD" w:rsidRDefault="00BF0A28">
      <w:pPr>
        <w:spacing w:after="180"/>
      </w:pPr>
      <w:r>
        <w:rPr>
          <w:rFonts w:ascii="Arial" w:eastAsia="宋体" w:hAnsi="Arial" w:cs="Arial"/>
          <w:color w:val="262626"/>
          <w:sz w:val="18"/>
          <w:szCs w:val="18"/>
        </w:rPr>
        <w:t>The acceleration in da</w:t>
      </w:r>
      <w:r>
        <w:rPr>
          <w:rFonts w:ascii="Arial" w:eastAsia="宋体" w:hAnsi="Arial" w:cs="Arial"/>
          <w:color w:val="262626"/>
          <w:sz w:val="18"/>
          <w:szCs w:val="18"/>
        </w:rPr>
        <w:t xml:space="preserve">ta growth across our customer base requires significant innovation in storage technology. Our storage roadmap led the way in re-imagining usages and architecting innovative solutions that have disrupted the industry with 96-layer and 144-layer 3D NAND TLC </w:t>
      </w:r>
      <w:r>
        <w:rPr>
          <w:rFonts w:ascii="Arial" w:eastAsia="宋体" w:hAnsi="Arial" w:cs="Arial"/>
          <w:color w:val="262626"/>
          <w:sz w:val="18"/>
          <w:szCs w:val="18"/>
        </w:rPr>
        <w:t xml:space="preserve">and QLC solutions. We launched four new products with multiple densities to keep up with the evolving business needs of our customers. </w:t>
      </w:r>
    </w:p>
    <w:p w14:paraId="67534978"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Viewer4_files/intc-20211225_g81.jp</w:instrText>
      </w:r>
      <w:r>
        <w:rPr>
          <w:rFonts w:ascii="宋体" w:eastAsia="宋体" w:hAnsi="宋体" w:cs="宋体"/>
        </w:rPr>
        <w:instrText xml:space="preserve">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7E" wp14:editId="67538E7F">
            <wp:extent cx="304800" cy="304800"/>
            <wp:effectExtent l="0" t="0" r="0" b="0"/>
            <wp:docPr id="65" name="图片 175"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75" descr="IMG_3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4979" w14:textId="77777777" w:rsidR="001B77DD" w:rsidRDefault="001B77DD">
      <w:pPr>
        <w:jc w:val="center"/>
      </w:pPr>
    </w:p>
    <w:p w14:paraId="6753497A" w14:textId="77777777" w:rsidR="001B77DD" w:rsidRDefault="001B77DD">
      <w:pPr>
        <w:jc w:val="center"/>
      </w:pPr>
    </w:p>
    <w:p w14:paraId="6753497B" w14:textId="77777777" w:rsidR="001B77DD" w:rsidRDefault="001B77DD">
      <w:pPr>
        <w:jc w:val="center"/>
      </w:pPr>
    </w:p>
    <w:p w14:paraId="6753497C" w14:textId="77777777" w:rsidR="001B77DD" w:rsidRDefault="001B77DD">
      <w:pPr>
        <w:jc w:val="center"/>
      </w:pPr>
    </w:p>
    <w:p w14:paraId="6753497D" w14:textId="77777777" w:rsidR="001B77DD" w:rsidRDefault="001B77DD">
      <w:pPr>
        <w:jc w:val="center"/>
      </w:pPr>
    </w:p>
    <w:p w14:paraId="6753497E" w14:textId="77777777" w:rsidR="001B77DD" w:rsidRDefault="001B77DD">
      <w:pPr>
        <w:jc w:val="center"/>
      </w:pPr>
    </w:p>
    <w:p w14:paraId="6753497F" w14:textId="77777777" w:rsidR="001B77DD" w:rsidRDefault="001B77DD">
      <w:pPr>
        <w:jc w:val="center"/>
      </w:pPr>
    </w:p>
    <w:p w14:paraId="67534980" w14:textId="77777777" w:rsidR="001B77DD" w:rsidRDefault="001B77DD">
      <w:pPr>
        <w:jc w:val="center"/>
      </w:pPr>
    </w:p>
    <w:p w14:paraId="67534981" w14:textId="77777777" w:rsidR="001B77DD" w:rsidRDefault="001B77DD">
      <w:pPr>
        <w:jc w:val="center"/>
      </w:pPr>
    </w:p>
    <w:p w14:paraId="67534982" w14:textId="77777777" w:rsidR="001B77DD" w:rsidRDefault="001B77DD">
      <w:pPr>
        <w:jc w:val="center"/>
      </w:pPr>
    </w:p>
    <w:p w14:paraId="67534983" w14:textId="77777777" w:rsidR="001B77DD" w:rsidRDefault="001B77DD">
      <w:pPr>
        <w:jc w:val="center"/>
      </w:pPr>
    </w:p>
    <w:p w14:paraId="67534984" w14:textId="77777777" w:rsidR="001B77DD" w:rsidRDefault="001B77DD">
      <w:pPr>
        <w:jc w:val="center"/>
      </w:pPr>
    </w:p>
    <w:p w14:paraId="67534985" w14:textId="77777777" w:rsidR="001B77DD" w:rsidRDefault="001B77DD">
      <w:pPr>
        <w:jc w:val="center"/>
      </w:pPr>
    </w:p>
    <w:p w14:paraId="67534986" w14:textId="77777777" w:rsidR="001B77DD" w:rsidRDefault="001B77DD">
      <w:pPr>
        <w:jc w:val="center"/>
      </w:pPr>
    </w:p>
    <w:p w14:paraId="67534987" w14:textId="77777777" w:rsidR="001B77DD" w:rsidRDefault="001B77DD">
      <w:pPr>
        <w:jc w:val="center"/>
      </w:pPr>
    </w:p>
    <w:p w14:paraId="67534988" w14:textId="77777777" w:rsidR="001B77DD" w:rsidRDefault="001B77DD">
      <w:pPr>
        <w:jc w:val="center"/>
      </w:pPr>
    </w:p>
    <w:p w14:paraId="67534989" w14:textId="77777777" w:rsidR="001B77DD" w:rsidRDefault="001B77DD">
      <w:pPr>
        <w:jc w:val="center"/>
      </w:pPr>
    </w:p>
    <w:p w14:paraId="6753498A" w14:textId="77777777" w:rsidR="001B77DD" w:rsidRDefault="001B77DD">
      <w:pPr>
        <w:jc w:val="center"/>
      </w:pPr>
    </w:p>
    <w:p w14:paraId="6753498B" w14:textId="77777777" w:rsidR="001B77DD" w:rsidRDefault="001B77DD">
      <w:pPr>
        <w:jc w:val="center"/>
      </w:pPr>
    </w:p>
    <w:p w14:paraId="6753498C" w14:textId="77777777" w:rsidR="001B77DD" w:rsidRDefault="001B77DD">
      <w:pPr>
        <w:jc w:val="center"/>
      </w:pPr>
    </w:p>
    <w:p w14:paraId="6753498D" w14:textId="77777777" w:rsidR="001B77DD" w:rsidRDefault="001B77DD">
      <w:pPr>
        <w:jc w:val="center"/>
      </w:pPr>
    </w:p>
    <w:p w14:paraId="6753498E" w14:textId="77777777" w:rsidR="001B77DD" w:rsidRDefault="001B77DD">
      <w:pPr>
        <w:jc w:val="center"/>
      </w:pPr>
    </w:p>
    <w:p w14:paraId="6753498F" w14:textId="77777777" w:rsidR="001B77DD" w:rsidRDefault="001B77DD">
      <w:pPr>
        <w:jc w:val="center"/>
      </w:pPr>
    </w:p>
    <w:p w14:paraId="67534990" w14:textId="77777777" w:rsidR="001B77DD" w:rsidRDefault="001B77DD">
      <w:pPr>
        <w:jc w:val="center"/>
      </w:pPr>
    </w:p>
    <w:p w14:paraId="67534991" w14:textId="77777777" w:rsidR="001B77DD" w:rsidRDefault="001B77DD"/>
    <w:p w14:paraId="67534992" w14:textId="77777777" w:rsidR="001B77DD" w:rsidRDefault="001B77DD">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99C" w14:textId="77777777">
        <w:tc>
          <w:tcPr>
            <w:tcW w:w="50" w:type="pct"/>
            <w:shd w:val="clear" w:color="auto" w:fill="auto"/>
            <w:vAlign w:val="bottom"/>
          </w:tcPr>
          <w:p w14:paraId="67534993" w14:textId="77777777" w:rsidR="001B77DD" w:rsidRDefault="001B77DD">
            <w:pPr>
              <w:rPr>
                <w:rFonts w:ascii="宋体"/>
              </w:rPr>
            </w:pPr>
          </w:p>
        </w:tc>
        <w:tc>
          <w:tcPr>
            <w:tcW w:w="283" w:type="pct"/>
            <w:shd w:val="clear" w:color="auto" w:fill="auto"/>
            <w:vAlign w:val="bottom"/>
          </w:tcPr>
          <w:p w14:paraId="67534994" w14:textId="77777777" w:rsidR="001B77DD" w:rsidRDefault="001B77DD">
            <w:pPr>
              <w:rPr>
                <w:rFonts w:ascii="宋体"/>
              </w:rPr>
            </w:pPr>
          </w:p>
        </w:tc>
        <w:tc>
          <w:tcPr>
            <w:tcW w:w="5" w:type="pct"/>
            <w:shd w:val="clear" w:color="auto" w:fill="auto"/>
            <w:vAlign w:val="bottom"/>
          </w:tcPr>
          <w:p w14:paraId="67534995" w14:textId="77777777" w:rsidR="001B77DD" w:rsidRDefault="001B77DD">
            <w:pPr>
              <w:rPr>
                <w:rFonts w:ascii="宋体"/>
              </w:rPr>
            </w:pPr>
          </w:p>
        </w:tc>
        <w:tc>
          <w:tcPr>
            <w:tcW w:w="50" w:type="pct"/>
            <w:shd w:val="clear" w:color="auto" w:fill="auto"/>
            <w:vAlign w:val="bottom"/>
          </w:tcPr>
          <w:p w14:paraId="67534996" w14:textId="77777777" w:rsidR="001B77DD" w:rsidRDefault="001B77DD">
            <w:pPr>
              <w:rPr>
                <w:rFonts w:ascii="宋体"/>
              </w:rPr>
            </w:pPr>
          </w:p>
        </w:tc>
        <w:tc>
          <w:tcPr>
            <w:tcW w:w="2656" w:type="pct"/>
            <w:shd w:val="clear" w:color="auto" w:fill="auto"/>
            <w:vAlign w:val="bottom"/>
          </w:tcPr>
          <w:p w14:paraId="67534997" w14:textId="77777777" w:rsidR="001B77DD" w:rsidRDefault="001B77DD">
            <w:pPr>
              <w:rPr>
                <w:rFonts w:ascii="宋体"/>
              </w:rPr>
            </w:pPr>
          </w:p>
        </w:tc>
        <w:tc>
          <w:tcPr>
            <w:tcW w:w="5" w:type="pct"/>
            <w:shd w:val="clear" w:color="auto" w:fill="auto"/>
            <w:vAlign w:val="bottom"/>
          </w:tcPr>
          <w:p w14:paraId="67534998" w14:textId="77777777" w:rsidR="001B77DD" w:rsidRDefault="001B77DD">
            <w:pPr>
              <w:rPr>
                <w:rFonts w:ascii="宋体"/>
              </w:rPr>
            </w:pPr>
          </w:p>
        </w:tc>
        <w:tc>
          <w:tcPr>
            <w:tcW w:w="50" w:type="pct"/>
            <w:shd w:val="clear" w:color="auto" w:fill="auto"/>
            <w:vAlign w:val="bottom"/>
          </w:tcPr>
          <w:p w14:paraId="67534999" w14:textId="77777777" w:rsidR="001B77DD" w:rsidRDefault="001B77DD">
            <w:pPr>
              <w:rPr>
                <w:rFonts w:ascii="宋体"/>
              </w:rPr>
            </w:pPr>
          </w:p>
        </w:tc>
        <w:tc>
          <w:tcPr>
            <w:tcW w:w="1894" w:type="pct"/>
            <w:shd w:val="clear" w:color="auto" w:fill="auto"/>
            <w:vAlign w:val="bottom"/>
          </w:tcPr>
          <w:p w14:paraId="6753499A" w14:textId="77777777" w:rsidR="001B77DD" w:rsidRDefault="001B77DD">
            <w:pPr>
              <w:rPr>
                <w:rFonts w:ascii="宋体"/>
              </w:rPr>
            </w:pPr>
          </w:p>
        </w:tc>
        <w:tc>
          <w:tcPr>
            <w:tcW w:w="5" w:type="pct"/>
            <w:shd w:val="clear" w:color="auto" w:fill="auto"/>
            <w:vAlign w:val="bottom"/>
          </w:tcPr>
          <w:p w14:paraId="6753499B" w14:textId="77777777" w:rsidR="001B77DD" w:rsidRDefault="001B77DD">
            <w:pPr>
              <w:rPr>
                <w:rFonts w:ascii="宋体"/>
              </w:rPr>
            </w:pPr>
          </w:p>
        </w:tc>
      </w:tr>
      <w:tr w:rsidR="001B77DD" w14:paraId="675349A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99D"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80" wp14:editId="67538E81">
                  <wp:extent cx="304800" cy="304800"/>
                  <wp:effectExtent l="0" t="0" r="0" b="0"/>
                  <wp:docPr id="69" name="图片 17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99E"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99F" w14:textId="77777777" w:rsidR="001B77DD" w:rsidRDefault="00BF0A28">
            <w:pPr>
              <w:jc w:val="right"/>
              <w:textAlignment w:val="center"/>
            </w:pPr>
            <w:r>
              <w:rPr>
                <w:rFonts w:ascii="Arial" w:eastAsia="宋体" w:hAnsi="Arial" w:cs="Arial"/>
                <w:color w:val="262626"/>
                <w:sz w:val="16"/>
                <w:szCs w:val="16"/>
              </w:rPr>
              <w:t>32</w:t>
            </w:r>
          </w:p>
        </w:tc>
      </w:tr>
    </w:tbl>
    <w:p w14:paraId="675349A1" w14:textId="77777777" w:rsidR="001B77DD" w:rsidRDefault="00BF0A28">
      <w:r>
        <w:pict w14:anchorId="67538E82">
          <v:rect id="_x0000_i1058" style="width:415.3pt;height:1.5pt" o:hralign="center" o:hrstd="t" o:hr="t" fillcolor="#a0a0a0" stroked="f"/>
        </w:pict>
      </w:r>
    </w:p>
    <w:p w14:paraId="675349A2" w14:textId="77777777" w:rsidR="001B77DD" w:rsidRDefault="00BF0A28">
      <w:pPr>
        <w:jc w:val="right"/>
      </w:pPr>
      <w:hyperlink r:id="rId91" w:anchor="i6c9ced68f6b24d58a3dcf326e8c3c699_16" w:history="1">
        <w:r>
          <w:rPr>
            <w:rStyle w:val="a5"/>
            <w:rFonts w:ascii="Arial" w:eastAsia="宋体" w:hAnsi="Arial" w:cs="Arial"/>
            <w:b/>
            <w:bCs/>
            <w:sz w:val="16"/>
            <w:szCs w:val="16"/>
          </w:rPr>
          <w:t>Table of Contents</w:t>
        </w:r>
      </w:hyperlink>
    </w:p>
    <w:p w14:paraId="675349A3" w14:textId="77777777" w:rsidR="001B77DD" w:rsidRDefault="001B77DD">
      <w:pPr>
        <w:jc w:val="right"/>
      </w:pPr>
    </w:p>
    <w:p w14:paraId="675349A4" w14:textId="77777777" w:rsidR="001B77DD" w:rsidRDefault="00BF0A28">
      <w:pPr>
        <w:spacing w:after="180"/>
      </w:pPr>
      <w:r>
        <w:rPr>
          <w:rFonts w:ascii="Arial" w:eastAsia="宋体" w:hAnsi="Arial" w:cs="Arial"/>
          <w:color w:val="0068B5"/>
        </w:rPr>
        <w:t>Financial Performance</w:t>
      </w:r>
    </w:p>
    <w:tbl>
      <w:tblPr>
        <w:tblW w:w="10980" w:type="dxa"/>
        <w:tblCellMar>
          <w:top w:w="15" w:type="dxa"/>
          <w:left w:w="15" w:type="dxa"/>
          <w:bottom w:w="15" w:type="dxa"/>
          <w:right w:w="15" w:type="dxa"/>
        </w:tblCellMar>
        <w:tblLook w:val="04A0" w:firstRow="1" w:lastRow="0" w:firstColumn="1" w:lastColumn="0" w:noHBand="0" w:noVBand="1"/>
      </w:tblPr>
      <w:tblGrid>
        <w:gridCol w:w="37"/>
        <w:gridCol w:w="123"/>
        <w:gridCol w:w="36"/>
        <w:gridCol w:w="36"/>
        <w:gridCol w:w="4748"/>
        <w:gridCol w:w="36"/>
        <w:gridCol w:w="36"/>
        <w:gridCol w:w="860"/>
        <w:gridCol w:w="36"/>
        <w:gridCol w:w="36"/>
        <w:gridCol w:w="4499"/>
        <w:gridCol w:w="36"/>
        <w:gridCol w:w="36"/>
        <w:gridCol w:w="389"/>
        <w:gridCol w:w="36"/>
      </w:tblGrid>
      <w:tr w:rsidR="001B77DD" w14:paraId="675349B4" w14:textId="77777777">
        <w:tc>
          <w:tcPr>
            <w:tcW w:w="20" w:type="dxa"/>
            <w:shd w:val="clear" w:color="auto" w:fill="auto"/>
            <w:vAlign w:val="bottom"/>
          </w:tcPr>
          <w:p w14:paraId="675349A5" w14:textId="77777777" w:rsidR="001B77DD" w:rsidRDefault="001B77DD">
            <w:pPr>
              <w:rPr>
                <w:rFonts w:ascii="宋体"/>
              </w:rPr>
            </w:pPr>
          </w:p>
        </w:tc>
        <w:tc>
          <w:tcPr>
            <w:tcW w:w="125" w:type="dxa"/>
            <w:shd w:val="clear" w:color="auto" w:fill="auto"/>
            <w:vAlign w:val="bottom"/>
          </w:tcPr>
          <w:p w14:paraId="675349A6" w14:textId="77777777" w:rsidR="001B77DD" w:rsidRDefault="001B77DD">
            <w:pPr>
              <w:rPr>
                <w:rFonts w:ascii="宋体"/>
              </w:rPr>
            </w:pPr>
          </w:p>
        </w:tc>
        <w:tc>
          <w:tcPr>
            <w:tcW w:w="20" w:type="dxa"/>
            <w:shd w:val="clear" w:color="auto" w:fill="auto"/>
            <w:vAlign w:val="bottom"/>
          </w:tcPr>
          <w:p w14:paraId="675349A7" w14:textId="77777777" w:rsidR="001B77DD" w:rsidRDefault="001B77DD">
            <w:pPr>
              <w:rPr>
                <w:rFonts w:ascii="宋体"/>
              </w:rPr>
            </w:pPr>
          </w:p>
        </w:tc>
        <w:tc>
          <w:tcPr>
            <w:tcW w:w="20" w:type="dxa"/>
            <w:shd w:val="clear" w:color="auto" w:fill="auto"/>
            <w:vAlign w:val="bottom"/>
          </w:tcPr>
          <w:p w14:paraId="675349A8" w14:textId="77777777" w:rsidR="001B77DD" w:rsidRDefault="001B77DD">
            <w:pPr>
              <w:rPr>
                <w:rFonts w:ascii="宋体"/>
              </w:rPr>
            </w:pPr>
          </w:p>
        </w:tc>
        <w:tc>
          <w:tcPr>
            <w:tcW w:w="4820" w:type="dxa"/>
            <w:shd w:val="clear" w:color="auto" w:fill="auto"/>
            <w:vAlign w:val="bottom"/>
          </w:tcPr>
          <w:p w14:paraId="675349A9" w14:textId="77777777" w:rsidR="001B77DD" w:rsidRDefault="001B77DD">
            <w:pPr>
              <w:rPr>
                <w:rFonts w:ascii="宋体"/>
              </w:rPr>
            </w:pPr>
          </w:p>
        </w:tc>
        <w:tc>
          <w:tcPr>
            <w:tcW w:w="20" w:type="dxa"/>
            <w:shd w:val="clear" w:color="auto" w:fill="auto"/>
            <w:vAlign w:val="bottom"/>
          </w:tcPr>
          <w:p w14:paraId="675349AA" w14:textId="77777777" w:rsidR="001B77DD" w:rsidRDefault="001B77DD">
            <w:pPr>
              <w:rPr>
                <w:rFonts w:ascii="宋体"/>
              </w:rPr>
            </w:pPr>
          </w:p>
        </w:tc>
        <w:tc>
          <w:tcPr>
            <w:tcW w:w="20" w:type="dxa"/>
            <w:shd w:val="clear" w:color="auto" w:fill="auto"/>
            <w:vAlign w:val="bottom"/>
          </w:tcPr>
          <w:p w14:paraId="675349AB" w14:textId="77777777" w:rsidR="001B77DD" w:rsidRDefault="001B77DD">
            <w:pPr>
              <w:rPr>
                <w:rFonts w:ascii="宋体"/>
              </w:rPr>
            </w:pPr>
          </w:p>
        </w:tc>
        <w:tc>
          <w:tcPr>
            <w:tcW w:w="875" w:type="dxa"/>
            <w:shd w:val="clear" w:color="auto" w:fill="auto"/>
            <w:vAlign w:val="bottom"/>
          </w:tcPr>
          <w:p w14:paraId="675349AC" w14:textId="77777777" w:rsidR="001B77DD" w:rsidRDefault="001B77DD">
            <w:pPr>
              <w:rPr>
                <w:rFonts w:ascii="宋体"/>
              </w:rPr>
            </w:pPr>
          </w:p>
        </w:tc>
        <w:tc>
          <w:tcPr>
            <w:tcW w:w="20" w:type="dxa"/>
            <w:shd w:val="clear" w:color="auto" w:fill="auto"/>
            <w:vAlign w:val="bottom"/>
          </w:tcPr>
          <w:p w14:paraId="675349AD" w14:textId="77777777" w:rsidR="001B77DD" w:rsidRDefault="001B77DD">
            <w:pPr>
              <w:rPr>
                <w:rFonts w:ascii="宋体"/>
              </w:rPr>
            </w:pPr>
          </w:p>
        </w:tc>
        <w:tc>
          <w:tcPr>
            <w:tcW w:w="20" w:type="dxa"/>
            <w:shd w:val="clear" w:color="auto" w:fill="auto"/>
            <w:vAlign w:val="bottom"/>
          </w:tcPr>
          <w:p w14:paraId="675349AE" w14:textId="77777777" w:rsidR="001B77DD" w:rsidRDefault="001B77DD">
            <w:pPr>
              <w:rPr>
                <w:rFonts w:ascii="宋体"/>
              </w:rPr>
            </w:pPr>
          </w:p>
        </w:tc>
        <w:tc>
          <w:tcPr>
            <w:tcW w:w="4565" w:type="dxa"/>
            <w:shd w:val="clear" w:color="auto" w:fill="auto"/>
            <w:vAlign w:val="bottom"/>
          </w:tcPr>
          <w:p w14:paraId="675349AF" w14:textId="77777777" w:rsidR="001B77DD" w:rsidRDefault="001B77DD">
            <w:pPr>
              <w:rPr>
                <w:rFonts w:ascii="宋体"/>
              </w:rPr>
            </w:pPr>
          </w:p>
        </w:tc>
        <w:tc>
          <w:tcPr>
            <w:tcW w:w="20" w:type="dxa"/>
            <w:shd w:val="clear" w:color="auto" w:fill="auto"/>
            <w:vAlign w:val="bottom"/>
          </w:tcPr>
          <w:p w14:paraId="675349B0" w14:textId="77777777" w:rsidR="001B77DD" w:rsidRDefault="001B77DD">
            <w:pPr>
              <w:rPr>
                <w:rFonts w:ascii="宋体"/>
              </w:rPr>
            </w:pPr>
          </w:p>
        </w:tc>
        <w:tc>
          <w:tcPr>
            <w:tcW w:w="20" w:type="dxa"/>
            <w:shd w:val="clear" w:color="auto" w:fill="auto"/>
            <w:vAlign w:val="bottom"/>
          </w:tcPr>
          <w:p w14:paraId="675349B1" w14:textId="77777777" w:rsidR="001B77DD" w:rsidRDefault="001B77DD">
            <w:pPr>
              <w:rPr>
                <w:rFonts w:ascii="宋体"/>
              </w:rPr>
            </w:pPr>
          </w:p>
        </w:tc>
        <w:tc>
          <w:tcPr>
            <w:tcW w:w="395" w:type="dxa"/>
            <w:shd w:val="clear" w:color="auto" w:fill="auto"/>
            <w:vAlign w:val="bottom"/>
          </w:tcPr>
          <w:p w14:paraId="675349B2" w14:textId="77777777" w:rsidR="001B77DD" w:rsidRDefault="001B77DD">
            <w:pPr>
              <w:rPr>
                <w:rFonts w:ascii="宋体"/>
              </w:rPr>
            </w:pPr>
          </w:p>
        </w:tc>
        <w:tc>
          <w:tcPr>
            <w:tcW w:w="20" w:type="dxa"/>
            <w:shd w:val="clear" w:color="auto" w:fill="auto"/>
            <w:vAlign w:val="bottom"/>
          </w:tcPr>
          <w:p w14:paraId="675349B3" w14:textId="77777777" w:rsidR="001B77DD" w:rsidRDefault="001B77DD">
            <w:pPr>
              <w:rPr>
                <w:rFonts w:ascii="宋体"/>
              </w:rPr>
            </w:pPr>
          </w:p>
        </w:tc>
      </w:tr>
      <w:tr w:rsidR="001B77DD" w14:paraId="675349BA" w14:textId="77777777">
        <w:trPr>
          <w:trHeight w:val="280"/>
        </w:trPr>
        <w:tc>
          <w:tcPr>
            <w:tcW w:w="0" w:type="auto"/>
            <w:gridSpan w:val="3"/>
            <w:shd w:val="clear" w:color="auto" w:fill="auto"/>
            <w:tcMar>
              <w:top w:w="0" w:type="dxa"/>
              <w:left w:w="20" w:type="dxa"/>
              <w:bottom w:w="0" w:type="dxa"/>
              <w:right w:w="20" w:type="dxa"/>
            </w:tcMar>
            <w:vAlign w:val="bottom"/>
          </w:tcPr>
          <w:p w14:paraId="675349B5"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9B6" w14:textId="77777777" w:rsidR="001B77DD" w:rsidRDefault="00BF0A28">
            <w:pPr>
              <w:jc w:val="center"/>
              <w:textAlignment w:val="bottom"/>
            </w:pPr>
            <w:r>
              <w:rPr>
                <w:rFonts w:ascii="Arial" w:eastAsia="宋体" w:hAnsi="Arial" w:cs="Arial"/>
                <w:color w:val="0068B5"/>
                <w:sz w:val="20"/>
                <w:szCs w:val="20"/>
              </w:rPr>
              <w:t>NSG Revenue $B</w:t>
            </w:r>
          </w:p>
        </w:tc>
        <w:tc>
          <w:tcPr>
            <w:tcW w:w="0" w:type="auto"/>
            <w:gridSpan w:val="3"/>
            <w:shd w:val="clear" w:color="auto" w:fill="auto"/>
            <w:tcMar>
              <w:top w:w="0" w:type="dxa"/>
              <w:left w:w="20" w:type="dxa"/>
              <w:bottom w:w="0" w:type="dxa"/>
              <w:right w:w="20" w:type="dxa"/>
            </w:tcMar>
            <w:vAlign w:val="bottom"/>
          </w:tcPr>
          <w:p w14:paraId="675349B7"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9B8" w14:textId="77777777" w:rsidR="001B77DD" w:rsidRDefault="00BF0A28">
            <w:pPr>
              <w:jc w:val="center"/>
              <w:textAlignment w:val="bottom"/>
            </w:pPr>
            <w:r>
              <w:rPr>
                <w:rFonts w:ascii="Arial" w:eastAsia="宋体" w:hAnsi="Arial" w:cs="Arial"/>
                <w:color w:val="0068B5"/>
                <w:sz w:val="20"/>
                <w:szCs w:val="20"/>
              </w:rPr>
              <w:t>NSG Operating Income $B</w:t>
            </w:r>
          </w:p>
        </w:tc>
        <w:tc>
          <w:tcPr>
            <w:tcW w:w="0" w:type="auto"/>
            <w:gridSpan w:val="3"/>
            <w:shd w:val="clear" w:color="auto" w:fill="auto"/>
            <w:tcMar>
              <w:top w:w="0" w:type="dxa"/>
              <w:left w:w="20" w:type="dxa"/>
              <w:bottom w:w="0" w:type="dxa"/>
              <w:right w:w="20" w:type="dxa"/>
            </w:tcMar>
            <w:vAlign w:val="bottom"/>
          </w:tcPr>
          <w:p w14:paraId="675349B9" w14:textId="77777777" w:rsidR="001B77DD" w:rsidRDefault="001B77DD">
            <w:pPr>
              <w:rPr>
                <w:rFonts w:ascii="宋体"/>
              </w:rPr>
            </w:pPr>
          </w:p>
        </w:tc>
      </w:tr>
    </w:tbl>
    <w:p w14:paraId="675349BB" w14:textId="77777777" w:rsidR="001B77DD" w:rsidRDefault="00BF0A2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Viewer4_files/intc-20211225_g82.jpg"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83" wp14:editId="67538E84">
            <wp:extent cx="304800" cy="304800"/>
            <wp:effectExtent l="0" t="0" r="0" b="0"/>
            <wp:docPr id="83" name="图片 178"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78" descr="IMG_3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w:instrText>
      </w:r>
      <w:r>
        <w:rPr>
          <w:rFonts w:ascii="宋体" w:eastAsia="宋体" w:hAnsi="宋体" w:cs="宋体"/>
        </w:rPr>
        <w:instrText xml:space="preserve">225_g83.jpg"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85" wp14:editId="67538E86">
            <wp:extent cx="304800" cy="304800"/>
            <wp:effectExtent l="0" t="0" r="0" b="0"/>
            <wp:docPr id="84" name="图片 179"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9" descr="IMG_3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9BF" w14:textId="77777777">
        <w:tc>
          <w:tcPr>
            <w:tcW w:w="50" w:type="pct"/>
            <w:shd w:val="clear" w:color="auto" w:fill="auto"/>
            <w:vAlign w:val="bottom"/>
          </w:tcPr>
          <w:p w14:paraId="675349BC" w14:textId="77777777" w:rsidR="001B77DD" w:rsidRDefault="001B77DD">
            <w:pPr>
              <w:rPr>
                <w:rFonts w:ascii="宋体"/>
              </w:rPr>
            </w:pPr>
          </w:p>
        </w:tc>
        <w:tc>
          <w:tcPr>
            <w:tcW w:w="4945" w:type="pct"/>
            <w:shd w:val="clear" w:color="auto" w:fill="auto"/>
            <w:vAlign w:val="bottom"/>
          </w:tcPr>
          <w:p w14:paraId="675349BD" w14:textId="77777777" w:rsidR="001B77DD" w:rsidRDefault="001B77DD">
            <w:pPr>
              <w:rPr>
                <w:rFonts w:ascii="宋体"/>
              </w:rPr>
            </w:pPr>
          </w:p>
        </w:tc>
        <w:tc>
          <w:tcPr>
            <w:tcW w:w="5" w:type="pct"/>
            <w:shd w:val="clear" w:color="auto" w:fill="auto"/>
            <w:vAlign w:val="bottom"/>
          </w:tcPr>
          <w:p w14:paraId="675349BE" w14:textId="77777777" w:rsidR="001B77DD" w:rsidRDefault="001B77DD">
            <w:pPr>
              <w:rPr>
                <w:rFonts w:ascii="宋体"/>
              </w:rPr>
            </w:pPr>
          </w:p>
        </w:tc>
      </w:tr>
      <w:tr w:rsidR="001B77DD" w14:paraId="675349C1"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9C0" w14:textId="77777777" w:rsidR="001B77DD" w:rsidRDefault="00BF0A28">
            <w:pPr>
              <w:textAlignment w:val="bottom"/>
            </w:pPr>
            <w:r>
              <w:rPr>
                <w:rFonts w:ascii="Arial" w:eastAsia="宋体" w:hAnsi="Arial" w:cs="Arial"/>
                <w:color w:val="0068B5"/>
                <w:sz w:val="20"/>
                <w:szCs w:val="20"/>
              </w:rPr>
              <w:t>Revenue Summary</w:t>
            </w:r>
          </w:p>
        </w:tc>
      </w:tr>
    </w:tbl>
    <w:p w14:paraId="675349C2" w14:textId="77777777" w:rsidR="001B77DD" w:rsidRDefault="00BF0A28">
      <w:pPr>
        <w:spacing w:after="120"/>
      </w:pPr>
      <w:r>
        <w:rPr>
          <w:rFonts w:ascii="Arial" w:eastAsia="宋体" w:hAnsi="Arial" w:cs="Arial"/>
          <w:color w:val="0068B5"/>
          <w:sz w:val="20"/>
          <w:szCs w:val="20"/>
        </w:rPr>
        <w:t>2021 vs. 2020</w:t>
      </w:r>
    </w:p>
    <w:p w14:paraId="675349C3" w14:textId="77777777" w:rsidR="001B77DD" w:rsidRDefault="00BF0A28">
      <w:pPr>
        <w:spacing w:after="180"/>
      </w:pPr>
      <w:r>
        <w:rPr>
          <w:rFonts w:ascii="Arial" w:eastAsia="宋体" w:hAnsi="Arial" w:cs="Arial"/>
          <w:color w:val="262626"/>
          <w:sz w:val="18"/>
          <w:szCs w:val="18"/>
        </w:rPr>
        <w:t xml:space="preserve">Revenue decreased $1.1 billion, driven by $712 million lower ASPs due to market softness and pricing pressure and $392 million due to the transfer of the Intel Optane memory </w:t>
      </w:r>
      <w:r>
        <w:rPr>
          <w:rFonts w:ascii="Arial" w:eastAsia="宋体" w:hAnsi="Arial" w:cs="Arial"/>
          <w:color w:val="262626"/>
          <w:sz w:val="18"/>
          <w:szCs w:val="18"/>
        </w:rPr>
        <w:t>business to DCG.</w:t>
      </w:r>
    </w:p>
    <w:p w14:paraId="675349C4" w14:textId="77777777" w:rsidR="001B77DD" w:rsidRDefault="00BF0A28">
      <w:pPr>
        <w:spacing w:after="120"/>
      </w:pPr>
      <w:r>
        <w:rPr>
          <w:rFonts w:ascii="Arial" w:eastAsia="宋体" w:hAnsi="Arial" w:cs="Arial"/>
          <w:color w:val="0068B5"/>
          <w:sz w:val="20"/>
          <w:szCs w:val="20"/>
        </w:rPr>
        <w:t>2020 vs. 2019</w:t>
      </w:r>
    </w:p>
    <w:p w14:paraId="675349C5" w14:textId="77777777" w:rsidR="001B77DD" w:rsidRDefault="00BF0A28">
      <w:pPr>
        <w:spacing w:after="180"/>
      </w:pPr>
      <w:r>
        <w:rPr>
          <w:rFonts w:ascii="Arial" w:eastAsia="宋体" w:hAnsi="Arial" w:cs="Arial"/>
          <w:color w:val="262626"/>
          <w:sz w:val="18"/>
          <w:szCs w:val="18"/>
        </w:rPr>
        <w:t>Revenue increased $996 million, driven by $716 million higher ASP from improved NAND pricing and $280 million from improved overall demand.</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9C9" w14:textId="77777777">
        <w:tc>
          <w:tcPr>
            <w:tcW w:w="50" w:type="pct"/>
            <w:shd w:val="clear" w:color="auto" w:fill="auto"/>
            <w:vAlign w:val="bottom"/>
          </w:tcPr>
          <w:p w14:paraId="675349C6" w14:textId="77777777" w:rsidR="001B77DD" w:rsidRDefault="001B77DD">
            <w:pPr>
              <w:rPr>
                <w:rFonts w:ascii="宋体"/>
              </w:rPr>
            </w:pPr>
          </w:p>
        </w:tc>
        <w:tc>
          <w:tcPr>
            <w:tcW w:w="4945" w:type="pct"/>
            <w:shd w:val="clear" w:color="auto" w:fill="auto"/>
            <w:vAlign w:val="bottom"/>
          </w:tcPr>
          <w:p w14:paraId="675349C7" w14:textId="77777777" w:rsidR="001B77DD" w:rsidRDefault="001B77DD">
            <w:pPr>
              <w:rPr>
                <w:rFonts w:ascii="宋体"/>
              </w:rPr>
            </w:pPr>
          </w:p>
        </w:tc>
        <w:tc>
          <w:tcPr>
            <w:tcW w:w="5" w:type="pct"/>
            <w:shd w:val="clear" w:color="auto" w:fill="auto"/>
            <w:vAlign w:val="bottom"/>
          </w:tcPr>
          <w:p w14:paraId="675349C8" w14:textId="77777777" w:rsidR="001B77DD" w:rsidRDefault="001B77DD">
            <w:pPr>
              <w:rPr>
                <w:rFonts w:ascii="宋体"/>
              </w:rPr>
            </w:pPr>
          </w:p>
        </w:tc>
      </w:tr>
      <w:tr w:rsidR="001B77DD" w14:paraId="675349C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9CA" w14:textId="77777777" w:rsidR="001B77DD" w:rsidRDefault="00BF0A28">
            <w:pPr>
              <w:textAlignment w:val="bottom"/>
            </w:pPr>
            <w:r>
              <w:rPr>
                <w:rFonts w:ascii="Arial" w:eastAsia="宋体" w:hAnsi="Arial" w:cs="Arial"/>
                <w:color w:val="0068B5"/>
                <w:sz w:val="20"/>
                <w:szCs w:val="20"/>
              </w:rPr>
              <w:t>Operating Income Summary</w:t>
            </w:r>
          </w:p>
        </w:tc>
      </w:tr>
    </w:tbl>
    <w:p w14:paraId="675349CC" w14:textId="77777777" w:rsidR="001B77DD" w:rsidRDefault="00BF0A28">
      <w:pPr>
        <w:spacing w:after="120"/>
      </w:pPr>
      <w:r>
        <w:rPr>
          <w:rFonts w:ascii="Arial" w:eastAsia="宋体" w:hAnsi="Arial" w:cs="Arial"/>
          <w:color w:val="0068B5"/>
          <w:sz w:val="20"/>
          <w:szCs w:val="20"/>
        </w:rPr>
        <w:t>2021 vs. 2020</w:t>
      </w:r>
    </w:p>
    <w:p w14:paraId="675349CD" w14:textId="77777777" w:rsidR="001B77DD" w:rsidRDefault="00BF0A28">
      <w:pPr>
        <w:spacing w:after="180"/>
      </w:pPr>
      <w:r>
        <w:rPr>
          <w:rFonts w:ascii="Arial" w:eastAsia="宋体" w:hAnsi="Arial" w:cs="Arial"/>
          <w:color w:val="262626"/>
          <w:sz w:val="18"/>
          <w:szCs w:val="18"/>
        </w:rPr>
        <w:t>NSG had an operating profit of $1.4 billion, up from an operating profit of $361 million in 2020. The operating profit was driven by $1.4 billion of improvements in unit cost, primarily driven by the absence of depreciation expense from NAND property, plan</w:t>
      </w:r>
      <w:r>
        <w:rPr>
          <w:rFonts w:ascii="Arial" w:eastAsia="宋体" w:hAnsi="Arial" w:cs="Arial"/>
          <w:color w:val="262626"/>
          <w:sz w:val="18"/>
          <w:szCs w:val="18"/>
        </w:rPr>
        <w:t>t and equipment that was held for sale, $366 million of lower period charges, and $220 million of lower operating expenses, partially offset by $929 million of lower revenue primarily on ASP decline. Operating income also benefited from the transfer of the</w:t>
      </w:r>
      <w:r>
        <w:rPr>
          <w:rFonts w:ascii="Arial" w:eastAsia="宋体" w:hAnsi="Arial" w:cs="Arial"/>
          <w:color w:val="262626"/>
          <w:sz w:val="18"/>
          <w:szCs w:val="18"/>
        </w:rPr>
        <w:t xml:space="preserve"> Intel Optane memory business from 2021 NSG results (a loss of $576 million in 2020). </w:t>
      </w:r>
    </w:p>
    <w:p w14:paraId="675349CE" w14:textId="77777777" w:rsidR="001B77DD" w:rsidRDefault="00BF0A28">
      <w:pPr>
        <w:spacing w:after="120"/>
      </w:pPr>
      <w:r>
        <w:rPr>
          <w:rFonts w:ascii="Arial" w:eastAsia="宋体" w:hAnsi="Arial" w:cs="Arial"/>
          <w:color w:val="0068B5"/>
          <w:sz w:val="20"/>
          <w:szCs w:val="20"/>
        </w:rPr>
        <w:t>2020 vs. 2019</w:t>
      </w:r>
    </w:p>
    <w:p w14:paraId="675349CF" w14:textId="77777777" w:rsidR="001B77DD" w:rsidRDefault="00BF0A28">
      <w:pPr>
        <w:spacing w:after="180"/>
      </w:pPr>
      <w:r>
        <w:rPr>
          <w:rFonts w:ascii="Arial" w:eastAsia="宋体" w:hAnsi="Arial" w:cs="Arial"/>
          <w:color w:val="262626"/>
          <w:sz w:val="18"/>
          <w:szCs w:val="18"/>
        </w:rPr>
        <w:t>NSG had an operating profit of $361 million, up from an operating loss of $1.2 billion in 2019. The operating profit was driven by $716 million higher ASPs</w:t>
      </w:r>
      <w:r>
        <w:rPr>
          <w:rFonts w:ascii="Arial" w:eastAsia="宋体" w:hAnsi="Arial" w:cs="Arial"/>
          <w:color w:val="262626"/>
          <w:sz w:val="18"/>
          <w:szCs w:val="18"/>
        </w:rPr>
        <w:t xml:space="preserve"> from market pricing recovery and $741 million due to continued improvements in unit cost. </w:t>
      </w:r>
    </w:p>
    <w:p w14:paraId="675349D0" w14:textId="77777777" w:rsidR="001B77DD" w:rsidRDefault="001B77DD">
      <w:pPr>
        <w:spacing w:after="180"/>
      </w:pPr>
    </w:p>
    <w:p w14:paraId="675349D1" w14:textId="77777777" w:rsidR="001B77DD" w:rsidRDefault="001B77DD">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9DB" w14:textId="77777777">
        <w:tc>
          <w:tcPr>
            <w:tcW w:w="50" w:type="pct"/>
            <w:shd w:val="clear" w:color="auto" w:fill="auto"/>
            <w:vAlign w:val="bottom"/>
          </w:tcPr>
          <w:p w14:paraId="675349D2" w14:textId="77777777" w:rsidR="001B77DD" w:rsidRDefault="001B77DD">
            <w:pPr>
              <w:rPr>
                <w:rFonts w:ascii="宋体"/>
              </w:rPr>
            </w:pPr>
          </w:p>
        </w:tc>
        <w:tc>
          <w:tcPr>
            <w:tcW w:w="283" w:type="pct"/>
            <w:shd w:val="clear" w:color="auto" w:fill="auto"/>
            <w:vAlign w:val="bottom"/>
          </w:tcPr>
          <w:p w14:paraId="675349D3" w14:textId="77777777" w:rsidR="001B77DD" w:rsidRDefault="001B77DD">
            <w:pPr>
              <w:rPr>
                <w:rFonts w:ascii="宋体"/>
              </w:rPr>
            </w:pPr>
          </w:p>
        </w:tc>
        <w:tc>
          <w:tcPr>
            <w:tcW w:w="5" w:type="pct"/>
            <w:shd w:val="clear" w:color="auto" w:fill="auto"/>
            <w:vAlign w:val="bottom"/>
          </w:tcPr>
          <w:p w14:paraId="675349D4" w14:textId="77777777" w:rsidR="001B77DD" w:rsidRDefault="001B77DD">
            <w:pPr>
              <w:rPr>
                <w:rFonts w:ascii="宋体"/>
              </w:rPr>
            </w:pPr>
          </w:p>
        </w:tc>
        <w:tc>
          <w:tcPr>
            <w:tcW w:w="50" w:type="pct"/>
            <w:shd w:val="clear" w:color="auto" w:fill="auto"/>
            <w:vAlign w:val="bottom"/>
          </w:tcPr>
          <w:p w14:paraId="675349D5" w14:textId="77777777" w:rsidR="001B77DD" w:rsidRDefault="001B77DD">
            <w:pPr>
              <w:rPr>
                <w:rFonts w:ascii="宋体"/>
              </w:rPr>
            </w:pPr>
          </w:p>
        </w:tc>
        <w:tc>
          <w:tcPr>
            <w:tcW w:w="2656" w:type="pct"/>
            <w:shd w:val="clear" w:color="auto" w:fill="auto"/>
            <w:vAlign w:val="bottom"/>
          </w:tcPr>
          <w:p w14:paraId="675349D6" w14:textId="77777777" w:rsidR="001B77DD" w:rsidRDefault="001B77DD">
            <w:pPr>
              <w:rPr>
                <w:rFonts w:ascii="宋体"/>
              </w:rPr>
            </w:pPr>
          </w:p>
        </w:tc>
        <w:tc>
          <w:tcPr>
            <w:tcW w:w="5" w:type="pct"/>
            <w:shd w:val="clear" w:color="auto" w:fill="auto"/>
            <w:vAlign w:val="bottom"/>
          </w:tcPr>
          <w:p w14:paraId="675349D7" w14:textId="77777777" w:rsidR="001B77DD" w:rsidRDefault="001B77DD">
            <w:pPr>
              <w:rPr>
                <w:rFonts w:ascii="宋体"/>
              </w:rPr>
            </w:pPr>
          </w:p>
        </w:tc>
        <w:tc>
          <w:tcPr>
            <w:tcW w:w="50" w:type="pct"/>
            <w:shd w:val="clear" w:color="auto" w:fill="auto"/>
            <w:vAlign w:val="bottom"/>
          </w:tcPr>
          <w:p w14:paraId="675349D8" w14:textId="77777777" w:rsidR="001B77DD" w:rsidRDefault="001B77DD">
            <w:pPr>
              <w:rPr>
                <w:rFonts w:ascii="宋体"/>
              </w:rPr>
            </w:pPr>
          </w:p>
        </w:tc>
        <w:tc>
          <w:tcPr>
            <w:tcW w:w="1894" w:type="pct"/>
            <w:shd w:val="clear" w:color="auto" w:fill="auto"/>
            <w:vAlign w:val="bottom"/>
          </w:tcPr>
          <w:p w14:paraId="675349D9" w14:textId="77777777" w:rsidR="001B77DD" w:rsidRDefault="001B77DD">
            <w:pPr>
              <w:rPr>
                <w:rFonts w:ascii="宋体"/>
              </w:rPr>
            </w:pPr>
          </w:p>
        </w:tc>
        <w:tc>
          <w:tcPr>
            <w:tcW w:w="5" w:type="pct"/>
            <w:shd w:val="clear" w:color="auto" w:fill="auto"/>
            <w:vAlign w:val="bottom"/>
          </w:tcPr>
          <w:p w14:paraId="675349DA" w14:textId="77777777" w:rsidR="001B77DD" w:rsidRDefault="001B77DD">
            <w:pPr>
              <w:rPr>
                <w:rFonts w:ascii="宋体"/>
              </w:rPr>
            </w:pPr>
          </w:p>
        </w:tc>
      </w:tr>
      <w:tr w:rsidR="001B77DD" w14:paraId="675349D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9D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87" wp14:editId="67538E88">
                  <wp:extent cx="304800" cy="304800"/>
                  <wp:effectExtent l="0" t="0" r="0" b="0"/>
                  <wp:docPr id="97" name="图片 18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8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9DD"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9DE" w14:textId="77777777" w:rsidR="001B77DD" w:rsidRDefault="00BF0A28">
            <w:pPr>
              <w:jc w:val="right"/>
              <w:textAlignment w:val="center"/>
            </w:pPr>
            <w:r>
              <w:rPr>
                <w:rFonts w:ascii="Arial" w:eastAsia="宋体" w:hAnsi="Arial" w:cs="Arial"/>
                <w:color w:val="262626"/>
                <w:sz w:val="16"/>
                <w:szCs w:val="16"/>
              </w:rPr>
              <w:t>33</w:t>
            </w:r>
          </w:p>
        </w:tc>
      </w:tr>
    </w:tbl>
    <w:p w14:paraId="675349E0" w14:textId="77777777" w:rsidR="001B77DD" w:rsidRDefault="00BF0A28">
      <w:r>
        <w:pict w14:anchorId="67538E89">
          <v:rect id="_x0000_i1059" style="width:415.3pt;height:1.5pt" o:hralign="center" o:hrstd="t" o:hr="t" fillcolor="#a0a0a0" stroked="f"/>
        </w:pict>
      </w:r>
    </w:p>
    <w:p w14:paraId="675349E1" w14:textId="77777777" w:rsidR="001B77DD" w:rsidRDefault="001B77DD"/>
    <w:p w14:paraId="675349E2" w14:textId="77777777" w:rsidR="001B77DD" w:rsidRDefault="00BF0A28">
      <w:pPr>
        <w:ind w:hanging="63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Viewer4_files/intc-20211225_g84.jpg"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8A" wp14:editId="67538E8B">
            <wp:extent cx="304800" cy="304800"/>
            <wp:effectExtent l="0" t="0" r="0" b="0"/>
            <wp:docPr id="87" name="图片 182"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82" descr="IMG_3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95" w:type="dxa"/>
        <w:tblInd w:w="-705" w:type="dxa"/>
        <w:tblCellMar>
          <w:top w:w="15" w:type="dxa"/>
          <w:left w:w="15" w:type="dxa"/>
          <w:bottom w:w="15" w:type="dxa"/>
          <w:right w:w="15" w:type="dxa"/>
        </w:tblCellMar>
        <w:tblLook w:val="04A0" w:firstRow="1" w:lastRow="0" w:firstColumn="1" w:lastColumn="0" w:noHBand="0" w:noVBand="1"/>
      </w:tblPr>
      <w:tblGrid>
        <w:gridCol w:w="36"/>
        <w:gridCol w:w="56"/>
        <w:gridCol w:w="528"/>
        <w:gridCol w:w="55"/>
        <w:gridCol w:w="57"/>
        <w:gridCol w:w="6863"/>
        <w:gridCol w:w="57"/>
        <w:gridCol w:w="63"/>
        <w:gridCol w:w="3217"/>
        <w:gridCol w:w="63"/>
      </w:tblGrid>
      <w:tr w:rsidR="001B77DD" w14:paraId="675349ED" w14:textId="77777777">
        <w:trPr>
          <w:hidden/>
        </w:trPr>
        <w:tc>
          <w:tcPr>
            <w:tcW w:w="0" w:type="auto"/>
            <w:shd w:val="clear" w:color="auto" w:fill="auto"/>
            <w:vAlign w:val="bottom"/>
          </w:tcPr>
          <w:p w14:paraId="675349E3" w14:textId="77777777" w:rsidR="001B77DD" w:rsidRDefault="001B77DD">
            <w:pPr>
              <w:rPr>
                <w:rFonts w:ascii="宋体"/>
                <w:vanish/>
              </w:rPr>
            </w:pPr>
          </w:p>
        </w:tc>
        <w:tc>
          <w:tcPr>
            <w:tcW w:w="20" w:type="dxa"/>
            <w:shd w:val="clear" w:color="auto" w:fill="auto"/>
            <w:vAlign w:val="bottom"/>
          </w:tcPr>
          <w:p w14:paraId="675349E4" w14:textId="77777777" w:rsidR="001B77DD" w:rsidRDefault="001B77DD">
            <w:pPr>
              <w:rPr>
                <w:rFonts w:ascii="宋体"/>
              </w:rPr>
            </w:pPr>
          </w:p>
        </w:tc>
        <w:tc>
          <w:tcPr>
            <w:tcW w:w="545" w:type="dxa"/>
            <w:shd w:val="clear" w:color="auto" w:fill="auto"/>
            <w:vAlign w:val="bottom"/>
          </w:tcPr>
          <w:p w14:paraId="675349E5" w14:textId="77777777" w:rsidR="001B77DD" w:rsidRDefault="001B77DD">
            <w:pPr>
              <w:rPr>
                <w:rFonts w:ascii="宋体"/>
              </w:rPr>
            </w:pPr>
          </w:p>
        </w:tc>
        <w:tc>
          <w:tcPr>
            <w:tcW w:w="20" w:type="dxa"/>
            <w:shd w:val="clear" w:color="auto" w:fill="auto"/>
            <w:vAlign w:val="bottom"/>
          </w:tcPr>
          <w:p w14:paraId="675349E6" w14:textId="77777777" w:rsidR="001B77DD" w:rsidRDefault="001B77DD">
            <w:pPr>
              <w:rPr>
                <w:rFonts w:ascii="宋体"/>
              </w:rPr>
            </w:pPr>
          </w:p>
        </w:tc>
        <w:tc>
          <w:tcPr>
            <w:tcW w:w="20" w:type="dxa"/>
            <w:shd w:val="clear" w:color="auto" w:fill="auto"/>
            <w:vAlign w:val="bottom"/>
          </w:tcPr>
          <w:p w14:paraId="675349E7" w14:textId="77777777" w:rsidR="001B77DD" w:rsidRDefault="001B77DD">
            <w:pPr>
              <w:rPr>
                <w:rFonts w:ascii="宋体"/>
              </w:rPr>
            </w:pPr>
          </w:p>
        </w:tc>
        <w:tc>
          <w:tcPr>
            <w:tcW w:w="7805" w:type="dxa"/>
            <w:shd w:val="clear" w:color="auto" w:fill="auto"/>
            <w:vAlign w:val="bottom"/>
          </w:tcPr>
          <w:p w14:paraId="675349E8" w14:textId="77777777" w:rsidR="001B77DD" w:rsidRDefault="001B77DD">
            <w:pPr>
              <w:rPr>
                <w:rFonts w:ascii="宋体"/>
              </w:rPr>
            </w:pPr>
          </w:p>
        </w:tc>
        <w:tc>
          <w:tcPr>
            <w:tcW w:w="20" w:type="dxa"/>
            <w:shd w:val="clear" w:color="auto" w:fill="auto"/>
            <w:vAlign w:val="bottom"/>
          </w:tcPr>
          <w:p w14:paraId="675349E9" w14:textId="77777777" w:rsidR="001B77DD" w:rsidRDefault="001B77DD">
            <w:pPr>
              <w:rPr>
                <w:rFonts w:ascii="宋体"/>
              </w:rPr>
            </w:pPr>
          </w:p>
        </w:tc>
        <w:tc>
          <w:tcPr>
            <w:tcW w:w="20" w:type="dxa"/>
            <w:shd w:val="clear" w:color="auto" w:fill="auto"/>
            <w:vAlign w:val="bottom"/>
          </w:tcPr>
          <w:p w14:paraId="675349EA" w14:textId="77777777" w:rsidR="001B77DD" w:rsidRDefault="001B77DD">
            <w:pPr>
              <w:rPr>
                <w:rFonts w:ascii="宋体"/>
              </w:rPr>
            </w:pPr>
          </w:p>
        </w:tc>
        <w:tc>
          <w:tcPr>
            <w:tcW w:w="2525" w:type="dxa"/>
            <w:shd w:val="clear" w:color="auto" w:fill="auto"/>
            <w:vAlign w:val="bottom"/>
          </w:tcPr>
          <w:p w14:paraId="675349EB" w14:textId="77777777" w:rsidR="001B77DD" w:rsidRDefault="001B77DD">
            <w:pPr>
              <w:rPr>
                <w:rFonts w:ascii="宋体"/>
              </w:rPr>
            </w:pPr>
          </w:p>
        </w:tc>
        <w:tc>
          <w:tcPr>
            <w:tcW w:w="20" w:type="dxa"/>
            <w:shd w:val="clear" w:color="auto" w:fill="auto"/>
            <w:vAlign w:val="bottom"/>
          </w:tcPr>
          <w:p w14:paraId="675349EC" w14:textId="77777777" w:rsidR="001B77DD" w:rsidRDefault="001B77DD">
            <w:pPr>
              <w:rPr>
                <w:rFonts w:ascii="宋体"/>
              </w:rPr>
            </w:pPr>
          </w:p>
        </w:tc>
      </w:tr>
      <w:tr w:rsidR="001B77DD" w14:paraId="675349F1" w14:textId="77777777">
        <w:trPr>
          <w:trHeight w:val="280"/>
          <w:hidden/>
        </w:trPr>
        <w:tc>
          <w:tcPr>
            <w:tcW w:w="0" w:type="auto"/>
            <w:shd w:val="clear" w:color="auto" w:fill="auto"/>
            <w:vAlign w:val="bottom"/>
          </w:tcPr>
          <w:p w14:paraId="675349EE" w14:textId="77777777" w:rsidR="001B77DD" w:rsidRDefault="001B77DD">
            <w:pPr>
              <w:rPr>
                <w:rFonts w:ascii="宋体"/>
                <w:vanish/>
              </w:rPr>
            </w:pPr>
          </w:p>
        </w:tc>
        <w:tc>
          <w:tcPr>
            <w:tcW w:w="0" w:type="auto"/>
            <w:gridSpan w:val="6"/>
            <w:tcBorders>
              <w:bottom w:val="single" w:sz="4" w:space="0" w:color="262626"/>
            </w:tcBorders>
            <w:shd w:val="clear" w:color="auto" w:fill="auto"/>
            <w:tcMar>
              <w:top w:w="40" w:type="dxa"/>
              <w:left w:w="20" w:type="dxa"/>
              <w:bottom w:w="40" w:type="dxa"/>
              <w:right w:w="20" w:type="dxa"/>
            </w:tcMar>
            <w:vAlign w:val="bottom"/>
          </w:tcPr>
          <w:p w14:paraId="675349EF" w14:textId="77777777" w:rsidR="001B77DD" w:rsidRDefault="00BF0A28">
            <w:pPr>
              <w:textAlignment w:val="bottom"/>
            </w:pPr>
            <w:r>
              <w:rPr>
                <w:rFonts w:ascii="Arial" w:eastAsia="宋体" w:hAnsi="Arial" w:cs="Arial"/>
                <w:color w:val="0068B5"/>
                <w:sz w:val="20"/>
                <w:szCs w:val="20"/>
              </w:rPr>
              <w:t>Overview</w:t>
            </w:r>
          </w:p>
        </w:tc>
        <w:tc>
          <w:tcPr>
            <w:tcW w:w="0" w:type="auto"/>
            <w:gridSpan w:val="3"/>
            <w:vMerge w:val="restart"/>
            <w:shd w:val="clear" w:color="auto" w:fill="auto"/>
            <w:tcMar>
              <w:top w:w="0" w:type="dxa"/>
              <w:left w:w="20" w:type="dxa"/>
              <w:bottom w:w="0" w:type="dxa"/>
              <w:right w:w="20" w:type="dxa"/>
            </w:tcMar>
            <w:vAlign w:val="bottom"/>
          </w:tcPr>
          <w:p w14:paraId="675349F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Viewer4_files/intc-20211225_g85.jpg"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8C" wp14:editId="67538E8D">
                  <wp:extent cx="304800" cy="304800"/>
                  <wp:effectExtent l="0" t="0" r="0" b="0"/>
                  <wp:docPr id="103" name="图片 183"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3" descr="IMG_3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49F5" w14:textId="77777777">
        <w:trPr>
          <w:trHeight w:val="1180"/>
          <w:hidden/>
        </w:trPr>
        <w:tc>
          <w:tcPr>
            <w:tcW w:w="0" w:type="auto"/>
            <w:shd w:val="clear" w:color="auto" w:fill="auto"/>
            <w:vAlign w:val="bottom"/>
          </w:tcPr>
          <w:p w14:paraId="675349F2" w14:textId="77777777" w:rsidR="001B77DD" w:rsidRDefault="001B77DD">
            <w:pPr>
              <w:rPr>
                <w:rFonts w:ascii="宋体"/>
                <w:vanish/>
              </w:rPr>
            </w:pPr>
          </w:p>
        </w:tc>
        <w:tc>
          <w:tcPr>
            <w:tcW w:w="0" w:type="auto"/>
            <w:gridSpan w:val="6"/>
            <w:tcBorders>
              <w:top w:val="single" w:sz="4" w:space="0" w:color="262626"/>
            </w:tcBorders>
            <w:shd w:val="clear" w:color="auto" w:fill="auto"/>
            <w:tcMar>
              <w:top w:w="40" w:type="dxa"/>
              <w:left w:w="20" w:type="dxa"/>
              <w:bottom w:w="40" w:type="dxa"/>
              <w:right w:w="20" w:type="dxa"/>
            </w:tcMar>
          </w:tcPr>
          <w:p w14:paraId="675349F3" w14:textId="77777777" w:rsidR="001B77DD" w:rsidRDefault="00BF0A28">
            <w:pPr>
              <w:spacing w:after="240"/>
              <w:textAlignment w:val="top"/>
            </w:pPr>
            <w:r>
              <w:rPr>
                <w:rFonts w:ascii="Arial" w:eastAsia="宋体" w:hAnsi="Arial" w:cs="Arial"/>
                <w:color w:val="262626"/>
                <w:sz w:val="18"/>
                <w:szCs w:val="18"/>
              </w:rPr>
              <w:t xml:space="preserve">PSG offers programmable semiconductors, primarily FPGAs, structured ASICs, and related products, for a </w:t>
            </w:r>
            <w:r>
              <w:rPr>
                <w:rFonts w:ascii="Arial" w:eastAsia="宋体" w:hAnsi="Arial" w:cs="Arial"/>
                <w:color w:val="262626"/>
                <w:sz w:val="18"/>
                <w:szCs w:val="18"/>
              </w:rPr>
              <w:t>broad range of applications across our embedded, communications, and cloud and enterprise market segments. Our product portfolio delivers FPGA acceleration in tandem with Intel microprocessors, which enables us to combine the benefits of our broad portfoli</w:t>
            </w:r>
            <w:r>
              <w:rPr>
                <w:rFonts w:ascii="Arial" w:eastAsia="宋体" w:hAnsi="Arial" w:cs="Arial"/>
                <w:color w:val="262626"/>
                <w:sz w:val="18"/>
                <w:szCs w:val="18"/>
              </w:rPr>
              <w:t>o of technologies to allow more flexibility for systems to operate with increased efficiency and higher performance.</w:t>
            </w:r>
            <w:r>
              <w:rPr>
                <w:rFonts w:ascii="Arial" w:eastAsia="宋体" w:hAnsi="Arial" w:cs="Arial"/>
                <w:color w:val="262626"/>
                <w:sz w:val="18"/>
                <w:szCs w:val="18"/>
              </w:rPr>
              <w:br/>
            </w:r>
          </w:p>
        </w:tc>
        <w:tc>
          <w:tcPr>
            <w:tcW w:w="0" w:type="auto"/>
            <w:gridSpan w:val="3"/>
            <w:vMerge/>
            <w:shd w:val="clear" w:color="auto" w:fill="auto"/>
            <w:tcMar>
              <w:top w:w="0" w:type="dxa"/>
              <w:left w:w="20" w:type="dxa"/>
              <w:bottom w:w="0" w:type="dxa"/>
              <w:right w:w="20" w:type="dxa"/>
            </w:tcMar>
            <w:vAlign w:val="bottom"/>
          </w:tcPr>
          <w:p w14:paraId="675349F4" w14:textId="77777777" w:rsidR="001B77DD" w:rsidRDefault="001B77DD">
            <w:pPr>
              <w:rPr>
                <w:rFonts w:ascii="宋体"/>
              </w:rPr>
            </w:pPr>
          </w:p>
        </w:tc>
      </w:tr>
      <w:tr w:rsidR="001B77DD" w14:paraId="675349FA" w14:textId="77777777">
        <w:trPr>
          <w:hidden/>
        </w:trPr>
        <w:tc>
          <w:tcPr>
            <w:tcW w:w="0" w:type="auto"/>
            <w:shd w:val="clear" w:color="auto" w:fill="auto"/>
            <w:vAlign w:val="bottom"/>
          </w:tcPr>
          <w:p w14:paraId="675349F6" w14:textId="77777777" w:rsidR="001B77DD" w:rsidRDefault="001B77DD">
            <w:pPr>
              <w:rPr>
                <w:rFonts w:ascii="宋体"/>
                <w:vanish/>
              </w:rPr>
            </w:pPr>
          </w:p>
        </w:tc>
        <w:tc>
          <w:tcPr>
            <w:tcW w:w="0" w:type="auto"/>
            <w:gridSpan w:val="3"/>
            <w:shd w:val="clear" w:color="auto" w:fill="auto"/>
            <w:vAlign w:val="bottom"/>
          </w:tcPr>
          <w:p w14:paraId="675349F7" w14:textId="77777777" w:rsidR="001B77DD" w:rsidRDefault="001B77DD">
            <w:pPr>
              <w:rPr>
                <w:rFonts w:ascii="宋体"/>
                <w:vanish/>
              </w:rPr>
            </w:pPr>
          </w:p>
        </w:tc>
        <w:tc>
          <w:tcPr>
            <w:tcW w:w="0" w:type="auto"/>
            <w:gridSpan w:val="3"/>
            <w:shd w:val="clear" w:color="auto" w:fill="auto"/>
            <w:vAlign w:val="bottom"/>
          </w:tcPr>
          <w:p w14:paraId="675349F8"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9F9" w14:textId="77777777" w:rsidR="001B77DD" w:rsidRDefault="001B77DD">
            <w:pPr>
              <w:rPr>
                <w:rFonts w:ascii="宋体"/>
              </w:rPr>
            </w:pPr>
          </w:p>
        </w:tc>
      </w:tr>
      <w:tr w:rsidR="001B77DD" w14:paraId="675349FE" w14:textId="77777777">
        <w:trPr>
          <w:trHeight w:val="280"/>
          <w:hidden/>
        </w:trPr>
        <w:tc>
          <w:tcPr>
            <w:tcW w:w="0" w:type="auto"/>
            <w:shd w:val="clear" w:color="auto" w:fill="auto"/>
            <w:vAlign w:val="bottom"/>
          </w:tcPr>
          <w:p w14:paraId="675349FB" w14:textId="77777777" w:rsidR="001B77DD" w:rsidRDefault="001B77DD">
            <w:pPr>
              <w:rPr>
                <w:rFonts w:ascii="宋体"/>
                <w:vanish/>
              </w:rPr>
            </w:pPr>
          </w:p>
        </w:tc>
        <w:tc>
          <w:tcPr>
            <w:tcW w:w="0" w:type="auto"/>
            <w:gridSpan w:val="6"/>
            <w:shd w:val="clear" w:color="auto" w:fill="auto"/>
            <w:tcMar>
              <w:top w:w="40" w:type="dxa"/>
              <w:left w:w="20" w:type="dxa"/>
              <w:bottom w:w="40" w:type="dxa"/>
              <w:right w:w="20" w:type="dxa"/>
            </w:tcMar>
            <w:vAlign w:val="bottom"/>
          </w:tcPr>
          <w:p w14:paraId="675349FC" w14:textId="77777777" w:rsidR="001B77DD" w:rsidRDefault="00BF0A28">
            <w:pPr>
              <w:textAlignment w:val="bottom"/>
            </w:pPr>
            <w:r>
              <w:rPr>
                <w:rFonts w:ascii="Arial" w:eastAsia="宋体" w:hAnsi="Arial" w:cs="Arial"/>
                <w:color w:val="0068B5"/>
                <w:sz w:val="20"/>
                <w:szCs w:val="20"/>
              </w:rPr>
              <w:t>Key Developments</w:t>
            </w:r>
          </w:p>
        </w:tc>
        <w:tc>
          <w:tcPr>
            <w:tcW w:w="0" w:type="auto"/>
            <w:gridSpan w:val="3"/>
            <w:vMerge/>
            <w:shd w:val="clear" w:color="auto" w:fill="auto"/>
            <w:tcMar>
              <w:top w:w="0" w:type="dxa"/>
              <w:left w:w="20" w:type="dxa"/>
              <w:bottom w:w="0" w:type="dxa"/>
              <w:right w:w="20" w:type="dxa"/>
            </w:tcMar>
            <w:vAlign w:val="bottom"/>
          </w:tcPr>
          <w:p w14:paraId="675349FD" w14:textId="77777777" w:rsidR="001B77DD" w:rsidRDefault="001B77DD">
            <w:pPr>
              <w:rPr>
                <w:rFonts w:ascii="宋体"/>
              </w:rPr>
            </w:pPr>
          </w:p>
        </w:tc>
      </w:tr>
      <w:tr w:rsidR="001B77DD" w14:paraId="67534A03" w14:textId="77777777">
        <w:trPr>
          <w:hidden/>
        </w:trPr>
        <w:tc>
          <w:tcPr>
            <w:tcW w:w="0" w:type="auto"/>
            <w:shd w:val="clear" w:color="auto" w:fill="auto"/>
            <w:vAlign w:val="bottom"/>
          </w:tcPr>
          <w:p w14:paraId="675349FF" w14:textId="77777777" w:rsidR="001B77DD" w:rsidRDefault="001B77DD">
            <w:pPr>
              <w:rPr>
                <w:rFonts w:ascii="宋体"/>
                <w:vanish/>
              </w:rPr>
            </w:pPr>
          </w:p>
        </w:tc>
        <w:tc>
          <w:tcPr>
            <w:tcW w:w="0" w:type="auto"/>
            <w:gridSpan w:val="3"/>
            <w:shd w:val="clear" w:color="auto" w:fill="auto"/>
            <w:vAlign w:val="bottom"/>
          </w:tcPr>
          <w:p w14:paraId="67534A00" w14:textId="77777777" w:rsidR="001B77DD" w:rsidRDefault="001B77DD">
            <w:pPr>
              <w:rPr>
                <w:rFonts w:ascii="宋体"/>
                <w:vanish/>
              </w:rPr>
            </w:pPr>
          </w:p>
        </w:tc>
        <w:tc>
          <w:tcPr>
            <w:tcW w:w="0" w:type="auto"/>
            <w:gridSpan w:val="3"/>
            <w:shd w:val="clear" w:color="auto" w:fill="auto"/>
            <w:vAlign w:val="bottom"/>
          </w:tcPr>
          <w:p w14:paraId="67534A01" w14:textId="77777777" w:rsidR="001B77DD" w:rsidRDefault="001B77DD">
            <w:pPr>
              <w:rPr>
                <w:rFonts w:ascii="宋体"/>
                <w:vanish/>
              </w:rPr>
            </w:pPr>
          </w:p>
        </w:tc>
        <w:tc>
          <w:tcPr>
            <w:tcW w:w="0" w:type="auto"/>
            <w:gridSpan w:val="3"/>
            <w:vMerge/>
            <w:shd w:val="clear" w:color="auto" w:fill="auto"/>
            <w:tcMar>
              <w:top w:w="0" w:type="dxa"/>
              <w:left w:w="20" w:type="dxa"/>
              <w:bottom w:w="0" w:type="dxa"/>
              <w:right w:w="20" w:type="dxa"/>
            </w:tcMar>
            <w:vAlign w:val="bottom"/>
          </w:tcPr>
          <w:p w14:paraId="67534A02" w14:textId="77777777" w:rsidR="001B77DD" w:rsidRDefault="001B77DD">
            <w:pPr>
              <w:rPr>
                <w:rFonts w:ascii="宋体"/>
              </w:rPr>
            </w:pPr>
          </w:p>
        </w:tc>
      </w:tr>
      <w:tr w:rsidR="001B77DD" w14:paraId="67534A0A" w14:textId="77777777">
        <w:trPr>
          <w:trHeight w:val="660"/>
          <w:hidden/>
        </w:trPr>
        <w:tc>
          <w:tcPr>
            <w:tcW w:w="0" w:type="auto"/>
            <w:shd w:val="clear" w:color="auto" w:fill="auto"/>
            <w:vAlign w:val="bottom"/>
          </w:tcPr>
          <w:p w14:paraId="67534A04" w14:textId="77777777" w:rsidR="001B77DD" w:rsidRDefault="001B77DD">
            <w:pPr>
              <w:rPr>
                <w:rFonts w:ascii="宋体"/>
                <w:vanish/>
              </w:rPr>
            </w:pPr>
          </w:p>
        </w:tc>
        <w:tc>
          <w:tcPr>
            <w:tcW w:w="0" w:type="auto"/>
            <w:gridSpan w:val="3"/>
            <w:tcBorders>
              <w:top w:val="single" w:sz="4" w:space="0" w:color="262626"/>
            </w:tcBorders>
            <w:shd w:val="clear" w:color="auto" w:fill="auto"/>
            <w:tcMar>
              <w:top w:w="40" w:type="dxa"/>
              <w:left w:w="20" w:type="dxa"/>
              <w:bottom w:w="40" w:type="dxa"/>
              <w:right w:w="20" w:type="dxa"/>
            </w:tcMar>
          </w:tcPr>
          <w:p w14:paraId="67534A05" w14:textId="77777777" w:rsidR="001B77DD" w:rsidRDefault="00BF0A28">
            <w:pPr>
              <w:jc w:val="center"/>
              <w:textAlignment w:val="top"/>
            </w:pPr>
            <w:r>
              <w:rPr>
                <w:rFonts w:ascii="Arial" w:eastAsia="宋体" w:hAnsi="Arial" w:cs="Arial"/>
                <w:color w:val="0068B5"/>
                <w:sz w:val="12"/>
                <w:szCs w:val="12"/>
              </w:rPr>
              <w:t>■</w:t>
            </w:r>
          </w:p>
        </w:tc>
        <w:tc>
          <w:tcPr>
            <w:tcW w:w="0" w:type="auto"/>
            <w:gridSpan w:val="3"/>
            <w:tcBorders>
              <w:top w:val="single" w:sz="4" w:space="0" w:color="262626"/>
            </w:tcBorders>
            <w:shd w:val="clear" w:color="auto" w:fill="auto"/>
            <w:tcMar>
              <w:top w:w="40" w:type="dxa"/>
              <w:left w:w="20" w:type="dxa"/>
              <w:bottom w:w="40" w:type="dxa"/>
              <w:right w:w="20" w:type="dxa"/>
            </w:tcMar>
          </w:tcPr>
          <w:p w14:paraId="67534A06" w14:textId="77777777" w:rsidR="001B77DD" w:rsidRDefault="00BF0A28">
            <w:pPr>
              <w:textAlignment w:val="top"/>
            </w:pPr>
            <w:r>
              <w:rPr>
                <w:rFonts w:ascii="Arial" w:eastAsia="宋体" w:hAnsi="Arial" w:cs="Arial"/>
                <w:color w:val="262626"/>
                <w:sz w:val="18"/>
                <w:szCs w:val="18"/>
              </w:rPr>
              <w:t xml:space="preserve">Revenue was up 4% year over year, driven by recovery in the embedded and communications market </w:t>
            </w:r>
            <w:r>
              <w:rPr>
                <w:rFonts w:ascii="Arial" w:eastAsia="宋体" w:hAnsi="Arial" w:cs="Arial"/>
                <w:color w:val="262626"/>
                <w:sz w:val="18"/>
                <w:szCs w:val="18"/>
              </w:rPr>
              <w:t>segments from COVID-19 lows. Revenue was limited by ongoing industry component, substrate, and foundry capacity shortages.</w:t>
            </w:r>
          </w:p>
        </w:tc>
        <w:tc>
          <w:tcPr>
            <w:tcW w:w="0" w:type="auto"/>
            <w:gridSpan w:val="3"/>
            <w:vMerge w:val="restart"/>
            <w:shd w:val="clear" w:color="auto" w:fill="auto"/>
            <w:tcMar>
              <w:top w:w="40" w:type="dxa"/>
              <w:left w:w="20" w:type="dxa"/>
              <w:bottom w:w="40" w:type="dxa"/>
              <w:right w:w="20" w:type="dxa"/>
            </w:tcMar>
          </w:tcPr>
          <w:p w14:paraId="67534A07" w14:textId="77777777" w:rsidR="001B77DD" w:rsidRDefault="00BF0A28">
            <w:pPr>
              <w:textAlignment w:val="top"/>
            </w:pPr>
            <w:r>
              <w:rPr>
                <w:rFonts w:ascii="Arial" w:eastAsia="宋体" w:hAnsi="Arial" w:cs="Arial"/>
                <w:b/>
                <w:bCs/>
                <w:i/>
                <w:iCs/>
                <w:color w:val="262626"/>
                <w:sz w:val="18"/>
                <w:szCs w:val="18"/>
              </w:rPr>
              <w:t>"Intel FPGAs and Structured ASICs, unleashed with software, platform and workload innovations, are accelerating a smart and connected</w:t>
            </w:r>
            <w:r>
              <w:rPr>
                <w:rFonts w:ascii="Arial" w:eastAsia="宋体" w:hAnsi="Arial" w:cs="Arial"/>
                <w:b/>
                <w:bCs/>
                <w:i/>
                <w:iCs/>
                <w:color w:val="262626"/>
                <w:sz w:val="18"/>
                <w:szCs w:val="18"/>
              </w:rPr>
              <w:t xml:space="preserve"> world."</w:t>
            </w:r>
          </w:p>
          <w:p w14:paraId="67534A08" w14:textId="77777777" w:rsidR="001B77DD" w:rsidRDefault="001B77DD">
            <w:pPr>
              <w:textAlignment w:val="top"/>
            </w:pPr>
          </w:p>
          <w:p w14:paraId="67534A09" w14:textId="77777777" w:rsidR="001B77DD" w:rsidRDefault="00BF0A28">
            <w:pPr>
              <w:spacing w:after="180"/>
              <w:textAlignment w:val="top"/>
            </w:pPr>
            <w:r>
              <w:rPr>
                <w:rFonts w:ascii="Arial" w:eastAsia="宋体" w:hAnsi="Arial" w:cs="Arial"/>
                <w:b/>
                <w:bCs/>
                <w:color w:val="262626"/>
                <w:sz w:val="18"/>
                <w:szCs w:val="18"/>
              </w:rPr>
              <w:t>—Shannon Poulin,</w:t>
            </w:r>
            <w:r>
              <w:rPr>
                <w:rFonts w:ascii="Arial" w:eastAsia="宋体" w:hAnsi="Arial" w:cs="Arial"/>
                <w:color w:val="262626"/>
                <w:sz w:val="18"/>
                <w:szCs w:val="18"/>
              </w:rPr>
              <w:t xml:space="preserve"> PSG General Manager</w:t>
            </w:r>
          </w:p>
        </w:tc>
      </w:tr>
      <w:tr w:rsidR="001B77DD" w14:paraId="67534A0F" w14:textId="77777777">
        <w:trPr>
          <w:trHeight w:val="900"/>
          <w:hidden/>
        </w:trPr>
        <w:tc>
          <w:tcPr>
            <w:tcW w:w="0" w:type="auto"/>
            <w:shd w:val="clear" w:color="auto" w:fill="auto"/>
            <w:vAlign w:val="bottom"/>
          </w:tcPr>
          <w:p w14:paraId="67534A0B"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4A0C"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A0D" w14:textId="77777777" w:rsidR="001B77DD" w:rsidRDefault="00BF0A28">
            <w:pPr>
              <w:textAlignment w:val="top"/>
            </w:pPr>
            <w:r>
              <w:rPr>
                <w:rFonts w:ascii="Arial" w:eastAsia="宋体" w:hAnsi="Arial" w:cs="Arial"/>
                <w:color w:val="000000"/>
                <w:sz w:val="18"/>
                <w:szCs w:val="18"/>
              </w:rPr>
              <w:t>We are shipping our Intel</w:t>
            </w:r>
            <w:r>
              <w:rPr>
                <w:rFonts w:ascii="Arial" w:eastAsia="宋体" w:hAnsi="Arial" w:cs="Arial"/>
                <w:color w:val="000000"/>
                <w:sz w:val="11"/>
                <w:szCs w:val="11"/>
              </w:rPr>
              <w:t>®</w:t>
            </w:r>
            <w:r>
              <w:rPr>
                <w:rFonts w:ascii="Arial" w:eastAsia="宋体" w:hAnsi="Arial" w:cs="Arial"/>
                <w:color w:val="000000"/>
                <w:sz w:val="18"/>
                <w:szCs w:val="18"/>
              </w:rPr>
              <w:t xml:space="preserve"> Agilex™ FPGA family, featuring industry-leading FPGA fabric performance, power efficiency, and transceiver performance. </w:t>
            </w:r>
            <w:r>
              <w:rPr>
                <w:rFonts w:ascii="Arial" w:eastAsia="宋体" w:hAnsi="Arial" w:cs="Arial"/>
                <w:color w:val="262626"/>
                <w:sz w:val="18"/>
                <w:szCs w:val="18"/>
              </w:rPr>
              <w:t>We released our Intel</w:t>
            </w:r>
            <w:r>
              <w:rPr>
                <w:rFonts w:ascii="Arial" w:eastAsia="宋体" w:hAnsi="Arial" w:cs="Arial"/>
                <w:color w:val="262626"/>
                <w:sz w:val="11"/>
                <w:szCs w:val="11"/>
              </w:rPr>
              <w:t>®</w:t>
            </w:r>
            <w:r>
              <w:rPr>
                <w:rFonts w:ascii="Arial" w:eastAsia="宋体" w:hAnsi="Arial" w:cs="Arial"/>
                <w:color w:val="262626"/>
                <w:sz w:val="18"/>
                <w:szCs w:val="18"/>
              </w:rPr>
              <w:t xml:space="preserve"> eASIC™ N5X device family (Diamond Mesa) for low-latency 5G network acceleration, cloud acceleration, and storage</w:t>
            </w:r>
            <w:r>
              <w:rPr>
                <w:rFonts w:ascii="Arial" w:eastAsia="宋体" w:hAnsi="Arial" w:cs="Arial"/>
                <w:color w:val="262626"/>
                <w:sz w:val="18"/>
                <w:szCs w:val="18"/>
              </w:rPr>
              <w:t xml:space="preserve">, AI, and edge applications. </w:t>
            </w:r>
          </w:p>
        </w:tc>
        <w:tc>
          <w:tcPr>
            <w:tcW w:w="0" w:type="auto"/>
            <w:gridSpan w:val="3"/>
            <w:vMerge/>
            <w:shd w:val="clear" w:color="auto" w:fill="auto"/>
            <w:tcMar>
              <w:top w:w="40" w:type="dxa"/>
              <w:left w:w="20" w:type="dxa"/>
              <w:bottom w:w="40" w:type="dxa"/>
              <w:right w:w="20" w:type="dxa"/>
            </w:tcMar>
          </w:tcPr>
          <w:p w14:paraId="67534A0E" w14:textId="77777777" w:rsidR="001B77DD" w:rsidRDefault="001B77DD">
            <w:pPr>
              <w:rPr>
                <w:rFonts w:ascii="宋体"/>
              </w:rPr>
            </w:pPr>
          </w:p>
        </w:tc>
      </w:tr>
      <w:tr w:rsidR="001B77DD" w14:paraId="67534A14" w14:textId="77777777">
        <w:trPr>
          <w:trHeight w:val="720"/>
          <w:hidden/>
        </w:trPr>
        <w:tc>
          <w:tcPr>
            <w:tcW w:w="0" w:type="auto"/>
            <w:shd w:val="clear" w:color="auto" w:fill="auto"/>
            <w:vAlign w:val="bottom"/>
          </w:tcPr>
          <w:p w14:paraId="67534A10"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4A11"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A12" w14:textId="77777777" w:rsidR="001B77DD" w:rsidRDefault="00BF0A28">
            <w:pPr>
              <w:textAlignment w:val="top"/>
            </w:pPr>
            <w:r>
              <w:rPr>
                <w:rFonts w:ascii="Arial" w:eastAsia="宋体" w:hAnsi="Arial" w:cs="Arial"/>
                <w:color w:val="262626"/>
                <w:sz w:val="18"/>
                <w:szCs w:val="18"/>
              </w:rPr>
              <w:t xml:space="preserve">We announced Arrow Creek, an FPGA-based Acceleration Development Platform SmartNIC adapter for high-performance 100G networking acceleration, and RedHat support for our Intel Open FPGA Stack scalable, </w:t>
            </w:r>
            <w:r>
              <w:rPr>
                <w:rFonts w:ascii="Arial" w:eastAsia="宋体" w:hAnsi="Arial" w:cs="Arial"/>
                <w:color w:val="262626"/>
                <w:sz w:val="18"/>
                <w:szCs w:val="18"/>
              </w:rPr>
              <w:t>source-accessible FPGA hardware and software infrastructure.</w:t>
            </w:r>
          </w:p>
        </w:tc>
        <w:tc>
          <w:tcPr>
            <w:tcW w:w="0" w:type="auto"/>
            <w:gridSpan w:val="3"/>
            <w:vMerge/>
            <w:shd w:val="clear" w:color="auto" w:fill="auto"/>
            <w:tcMar>
              <w:top w:w="40" w:type="dxa"/>
              <w:left w:w="20" w:type="dxa"/>
              <w:bottom w:w="40" w:type="dxa"/>
              <w:right w:w="20" w:type="dxa"/>
            </w:tcMar>
          </w:tcPr>
          <w:p w14:paraId="67534A13" w14:textId="77777777" w:rsidR="001B77DD" w:rsidRDefault="001B77DD">
            <w:pPr>
              <w:rPr>
                <w:rFonts w:ascii="宋体"/>
              </w:rPr>
            </w:pPr>
          </w:p>
        </w:tc>
      </w:tr>
      <w:tr w:rsidR="001B77DD" w14:paraId="67534A19" w14:textId="77777777">
        <w:trPr>
          <w:trHeight w:val="720"/>
          <w:hidden/>
        </w:trPr>
        <w:tc>
          <w:tcPr>
            <w:tcW w:w="0" w:type="auto"/>
            <w:shd w:val="clear" w:color="auto" w:fill="auto"/>
            <w:vAlign w:val="bottom"/>
          </w:tcPr>
          <w:p w14:paraId="67534A15"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tcPr>
          <w:p w14:paraId="67534A16" w14:textId="77777777" w:rsidR="001B77DD" w:rsidRDefault="00BF0A28">
            <w:pPr>
              <w:jc w:val="center"/>
              <w:textAlignment w:val="top"/>
            </w:pPr>
            <w:r>
              <w:rPr>
                <w:rFonts w:ascii="Arial" w:eastAsia="宋体" w:hAnsi="Arial" w:cs="Arial"/>
                <w:color w:val="0068B5"/>
                <w:sz w:val="12"/>
                <w:szCs w:val="12"/>
              </w:rPr>
              <w:t>■</w:t>
            </w:r>
          </w:p>
        </w:tc>
        <w:tc>
          <w:tcPr>
            <w:tcW w:w="0" w:type="auto"/>
            <w:gridSpan w:val="3"/>
            <w:shd w:val="clear" w:color="auto" w:fill="auto"/>
            <w:tcMar>
              <w:top w:w="40" w:type="dxa"/>
              <w:left w:w="20" w:type="dxa"/>
              <w:bottom w:w="40" w:type="dxa"/>
              <w:right w:w="20" w:type="dxa"/>
            </w:tcMar>
          </w:tcPr>
          <w:p w14:paraId="67534A17" w14:textId="77777777" w:rsidR="001B77DD" w:rsidRDefault="00BF0A28">
            <w:pPr>
              <w:textAlignment w:val="top"/>
            </w:pPr>
            <w:r>
              <w:rPr>
                <w:rFonts w:ascii="Arial" w:eastAsia="宋体" w:hAnsi="Arial" w:cs="Arial"/>
                <w:color w:val="262626"/>
                <w:sz w:val="18"/>
                <w:szCs w:val="18"/>
              </w:rPr>
              <w:t>We announced that Intel</w:t>
            </w:r>
            <w:r>
              <w:rPr>
                <w:rFonts w:ascii="Arial" w:eastAsia="宋体" w:hAnsi="Arial" w:cs="Arial"/>
                <w:color w:val="262626"/>
                <w:sz w:val="11"/>
                <w:szCs w:val="11"/>
              </w:rPr>
              <w:t>®</w:t>
            </w:r>
            <w:r>
              <w:rPr>
                <w:rFonts w:ascii="Arial" w:eastAsia="宋体" w:hAnsi="Arial" w:cs="Arial"/>
                <w:color w:val="262626"/>
                <w:sz w:val="18"/>
                <w:szCs w:val="18"/>
              </w:rPr>
              <w:t xml:space="preserve"> FPGA-based IPU platforms are currently deployed at multiple cloud service providers. We also announced Oak Springs Canyon, an IPU platform built with the Intel</w:t>
            </w:r>
            <w:r>
              <w:rPr>
                <w:rFonts w:ascii="Arial" w:eastAsia="宋体" w:hAnsi="Arial" w:cs="Arial"/>
                <w:color w:val="262626"/>
                <w:sz w:val="11"/>
                <w:szCs w:val="11"/>
              </w:rPr>
              <w:t>®</w:t>
            </w:r>
            <w:r>
              <w:rPr>
                <w:rFonts w:ascii="Arial" w:eastAsia="宋体" w:hAnsi="Arial" w:cs="Arial"/>
                <w:color w:val="262626"/>
                <w:sz w:val="18"/>
                <w:szCs w:val="18"/>
              </w:rPr>
              <w:t xml:space="preserve"> Xeon</w:t>
            </w:r>
            <w:r>
              <w:rPr>
                <w:rFonts w:ascii="Arial" w:eastAsia="宋体" w:hAnsi="Arial" w:cs="Arial"/>
                <w:color w:val="262626"/>
                <w:sz w:val="11"/>
                <w:szCs w:val="11"/>
              </w:rPr>
              <w:t>®</w:t>
            </w:r>
            <w:r>
              <w:rPr>
                <w:rFonts w:ascii="Arial" w:eastAsia="宋体" w:hAnsi="Arial" w:cs="Arial"/>
                <w:color w:val="262626"/>
                <w:sz w:val="18"/>
                <w:szCs w:val="18"/>
              </w:rPr>
              <w:t xml:space="preserve"> D processor and the Intel Agilex FPGA.</w:t>
            </w:r>
          </w:p>
        </w:tc>
        <w:tc>
          <w:tcPr>
            <w:tcW w:w="0" w:type="auto"/>
            <w:gridSpan w:val="3"/>
            <w:vMerge/>
            <w:shd w:val="clear" w:color="auto" w:fill="auto"/>
            <w:tcMar>
              <w:top w:w="40" w:type="dxa"/>
              <w:left w:w="20" w:type="dxa"/>
              <w:bottom w:w="40" w:type="dxa"/>
              <w:right w:w="20" w:type="dxa"/>
            </w:tcMar>
          </w:tcPr>
          <w:p w14:paraId="67534A18" w14:textId="77777777" w:rsidR="001B77DD" w:rsidRDefault="001B77DD">
            <w:pPr>
              <w:rPr>
                <w:rFonts w:ascii="宋体"/>
              </w:rPr>
            </w:pPr>
          </w:p>
        </w:tc>
      </w:tr>
      <w:tr w:rsidR="001B77DD" w14:paraId="67534A1E" w14:textId="77777777">
        <w:trPr>
          <w:hidden/>
        </w:trPr>
        <w:tc>
          <w:tcPr>
            <w:tcW w:w="0" w:type="auto"/>
            <w:shd w:val="clear" w:color="auto" w:fill="auto"/>
            <w:vAlign w:val="bottom"/>
          </w:tcPr>
          <w:p w14:paraId="67534A1A" w14:textId="77777777" w:rsidR="001B77DD" w:rsidRDefault="001B77DD">
            <w:pPr>
              <w:rPr>
                <w:rFonts w:ascii="宋体"/>
                <w:vanish/>
              </w:rPr>
            </w:pPr>
          </w:p>
        </w:tc>
        <w:tc>
          <w:tcPr>
            <w:tcW w:w="0" w:type="auto"/>
            <w:gridSpan w:val="3"/>
            <w:shd w:val="clear" w:color="auto" w:fill="auto"/>
            <w:vAlign w:val="bottom"/>
          </w:tcPr>
          <w:p w14:paraId="67534A1B" w14:textId="77777777" w:rsidR="001B77DD" w:rsidRDefault="001B77DD">
            <w:pPr>
              <w:rPr>
                <w:rFonts w:ascii="宋体"/>
                <w:vanish/>
              </w:rPr>
            </w:pPr>
          </w:p>
        </w:tc>
        <w:tc>
          <w:tcPr>
            <w:tcW w:w="0" w:type="auto"/>
            <w:gridSpan w:val="3"/>
            <w:shd w:val="clear" w:color="auto" w:fill="auto"/>
            <w:vAlign w:val="bottom"/>
          </w:tcPr>
          <w:p w14:paraId="67534A1C" w14:textId="77777777" w:rsidR="001B77DD" w:rsidRDefault="001B77DD">
            <w:pPr>
              <w:rPr>
                <w:rFonts w:ascii="宋体"/>
                <w:vanish/>
              </w:rPr>
            </w:pPr>
          </w:p>
        </w:tc>
        <w:tc>
          <w:tcPr>
            <w:tcW w:w="0" w:type="auto"/>
            <w:gridSpan w:val="3"/>
            <w:vMerge/>
            <w:shd w:val="clear" w:color="auto" w:fill="auto"/>
            <w:tcMar>
              <w:top w:w="40" w:type="dxa"/>
              <w:left w:w="20" w:type="dxa"/>
              <w:bottom w:w="40" w:type="dxa"/>
              <w:right w:w="20" w:type="dxa"/>
            </w:tcMar>
          </w:tcPr>
          <w:p w14:paraId="67534A1D" w14:textId="77777777" w:rsidR="001B77DD" w:rsidRDefault="001B77DD">
            <w:pPr>
              <w:rPr>
                <w:rFonts w:ascii="宋体"/>
              </w:rPr>
            </w:pPr>
          </w:p>
        </w:tc>
      </w:tr>
    </w:tbl>
    <w:p w14:paraId="67534A1F" w14:textId="77777777" w:rsidR="001B77DD" w:rsidRDefault="001B77DD">
      <w:pPr>
        <w:rPr>
          <w:vanish/>
        </w:rPr>
      </w:pPr>
    </w:p>
    <w:tbl>
      <w:tblPr>
        <w:tblW w:w="10980" w:type="dxa"/>
        <w:tblInd w:w="-705"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A23" w14:textId="77777777">
        <w:tc>
          <w:tcPr>
            <w:tcW w:w="20" w:type="dxa"/>
            <w:shd w:val="clear" w:color="auto" w:fill="auto"/>
            <w:vAlign w:val="bottom"/>
          </w:tcPr>
          <w:p w14:paraId="67534A20" w14:textId="77777777" w:rsidR="001B77DD" w:rsidRDefault="001B77DD">
            <w:pPr>
              <w:rPr>
                <w:rFonts w:ascii="宋体"/>
              </w:rPr>
            </w:pPr>
          </w:p>
        </w:tc>
        <w:tc>
          <w:tcPr>
            <w:tcW w:w="10940" w:type="dxa"/>
            <w:shd w:val="clear" w:color="auto" w:fill="auto"/>
            <w:vAlign w:val="bottom"/>
          </w:tcPr>
          <w:p w14:paraId="67534A21" w14:textId="77777777" w:rsidR="001B77DD" w:rsidRDefault="001B77DD">
            <w:pPr>
              <w:rPr>
                <w:rFonts w:ascii="宋体"/>
              </w:rPr>
            </w:pPr>
          </w:p>
        </w:tc>
        <w:tc>
          <w:tcPr>
            <w:tcW w:w="20" w:type="dxa"/>
            <w:shd w:val="clear" w:color="auto" w:fill="auto"/>
            <w:vAlign w:val="bottom"/>
          </w:tcPr>
          <w:p w14:paraId="67534A22" w14:textId="77777777" w:rsidR="001B77DD" w:rsidRDefault="001B77DD">
            <w:pPr>
              <w:rPr>
                <w:rFonts w:ascii="宋体"/>
              </w:rPr>
            </w:pPr>
          </w:p>
        </w:tc>
      </w:tr>
      <w:tr w:rsidR="001B77DD" w14:paraId="67534A25"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A24" w14:textId="77777777" w:rsidR="001B77DD" w:rsidRDefault="00BF0A28">
            <w:pPr>
              <w:textAlignment w:val="bottom"/>
            </w:pPr>
            <w:r>
              <w:rPr>
                <w:rFonts w:ascii="Arial" w:eastAsia="宋体" w:hAnsi="Arial" w:cs="Arial"/>
                <w:color w:val="0068B5"/>
                <w:sz w:val="20"/>
                <w:szCs w:val="20"/>
              </w:rPr>
              <w:t>5-Year Trends</w:t>
            </w:r>
          </w:p>
        </w:tc>
      </w:tr>
    </w:tbl>
    <w:p w14:paraId="67534A26" w14:textId="77777777" w:rsidR="001B77DD" w:rsidRDefault="00BF0A2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Viewer4_files/intc-20211225_g86.jpg"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8E" wp14:editId="67538E8F">
            <wp:extent cx="304800" cy="304800"/>
            <wp:effectExtent l="0" t="0" r="0" b="0"/>
            <wp:docPr id="92" name="图片 184"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84" descr="IMG_3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w:instrText>
      </w:r>
      <w:r>
        <w:rPr>
          <w:rFonts w:ascii="宋体" w:eastAsia="宋体" w:hAnsi="宋体" w:cs="宋体"/>
        </w:rPr>
        <w:instrText xml:space="preserve">225_g87.jpg"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90" wp14:editId="67538E91">
            <wp:extent cx="304800" cy="304800"/>
            <wp:effectExtent l="0" t="0" r="0" b="0"/>
            <wp:docPr id="93" name="图片 185"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85" descr="IMG_3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20" w:type="dxa"/>
        <w:tblCellMar>
          <w:top w:w="15" w:type="dxa"/>
          <w:left w:w="15" w:type="dxa"/>
          <w:bottom w:w="15" w:type="dxa"/>
          <w:right w:w="15" w:type="dxa"/>
        </w:tblCellMar>
        <w:tblLook w:val="04A0" w:firstRow="1" w:lastRow="0" w:firstColumn="1" w:lastColumn="0" w:noHBand="0" w:noVBand="1"/>
      </w:tblPr>
      <w:tblGrid>
        <w:gridCol w:w="36"/>
        <w:gridCol w:w="548"/>
        <w:gridCol w:w="36"/>
        <w:gridCol w:w="36"/>
        <w:gridCol w:w="1299"/>
        <w:gridCol w:w="36"/>
        <w:gridCol w:w="36"/>
        <w:gridCol w:w="2825"/>
        <w:gridCol w:w="36"/>
        <w:gridCol w:w="36"/>
        <w:gridCol w:w="1295"/>
        <w:gridCol w:w="36"/>
        <w:gridCol w:w="36"/>
        <w:gridCol w:w="1489"/>
        <w:gridCol w:w="36"/>
        <w:gridCol w:w="36"/>
        <w:gridCol w:w="2705"/>
        <w:gridCol w:w="36"/>
        <w:gridCol w:w="36"/>
        <w:gridCol w:w="255"/>
        <w:gridCol w:w="36"/>
      </w:tblGrid>
      <w:tr w:rsidR="001B77DD" w14:paraId="67534A3C" w14:textId="77777777">
        <w:tc>
          <w:tcPr>
            <w:tcW w:w="20" w:type="dxa"/>
            <w:shd w:val="clear" w:color="auto" w:fill="auto"/>
            <w:vAlign w:val="bottom"/>
          </w:tcPr>
          <w:p w14:paraId="67534A27" w14:textId="77777777" w:rsidR="001B77DD" w:rsidRDefault="001B77DD">
            <w:pPr>
              <w:rPr>
                <w:rFonts w:ascii="宋体"/>
              </w:rPr>
            </w:pPr>
          </w:p>
        </w:tc>
        <w:tc>
          <w:tcPr>
            <w:tcW w:w="560" w:type="dxa"/>
            <w:shd w:val="clear" w:color="auto" w:fill="auto"/>
            <w:vAlign w:val="bottom"/>
          </w:tcPr>
          <w:p w14:paraId="67534A28" w14:textId="77777777" w:rsidR="001B77DD" w:rsidRDefault="001B77DD">
            <w:pPr>
              <w:rPr>
                <w:rFonts w:ascii="宋体"/>
              </w:rPr>
            </w:pPr>
          </w:p>
        </w:tc>
        <w:tc>
          <w:tcPr>
            <w:tcW w:w="20" w:type="dxa"/>
            <w:shd w:val="clear" w:color="auto" w:fill="auto"/>
            <w:vAlign w:val="bottom"/>
          </w:tcPr>
          <w:p w14:paraId="67534A29" w14:textId="77777777" w:rsidR="001B77DD" w:rsidRDefault="001B77DD">
            <w:pPr>
              <w:rPr>
                <w:rFonts w:ascii="宋体"/>
              </w:rPr>
            </w:pPr>
          </w:p>
        </w:tc>
        <w:tc>
          <w:tcPr>
            <w:tcW w:w="20" w:type="dxa"/>
            <w:shd w:val="clear" w:color="auto" w:fill="auto"/>
            <w:vAlign w:val="bottom"/>
          </w:tcPr>
          <w:p w14:paraId="67534A2A" w14:textId="77777777" w:rsidR="001B77DD" w:rsidRDefault="001B77DD">
            <w:pPr>
              <w:rPr>
                <w:rFonts w:ascii="宋体"/>
              </w:rPr>
            </w:pPr>
          </w:p>
        </w:tc>
        <w:tc>
          <w:tcPr>
            <w:tcW w:w="1325" w:type="dxa"/>
            <w:shd w:val="clear" w:color="auto" w:fill="auto"/>
            <w:vAlign w:val="bottom"/>
          </w:tcPr>
          <w:p w14:paraId="67534A2B" w14:textId="77777777" w:rsidR="001B77DD" w:rsidRDefault="001B77DD">
            <w:pPr>
              <w:rPr>
                <w:rFonts w:ascii="宋体"/>
              </w:rPr>
            </w:pPr>
          </w:p>
        </w:tc>
        <w:tc>
          <w:tcPr>
            <w:tcW w:w="20" w:type="dxa"/>
            <w:shd w:val="clear" w:color="auto" w:fill="auto"/>
            <w:vAlign w:val="bottom"/>
          </w:tcPr>
          <w:p w14:paraId="67534A2C" w14:textId="77777777" w:rsidR="001B77DD" w:rsidRDefault="001B77DD">
            <w:pPr>
              <w:rPr>
                <w:rFonts w:ascii="宋体"/>
              </w:rPr>
            </w:pPr>
          </w:p>
        </w:tc>
        <w:tc>
          <w:tcPr>
            <w:tcW w:w="20" w:type="dxa"/>
            <w:shd w:val="clear" w:color="auto" w:fill="auto"/>
            <w:vAlign w:val="bottom"/>
          </w:tcPr>
          <w:p w14:paraId="67534A2D" w14:textId="77777777" w:rsidR="001B77DD" w:rsidRDefault="001B77DD">
            <w:pPr>
              <w:rPr>
                <w:rFonts w:ascii="宋体"/>
              </w:rPr>
            </w:pPr>
          </w:p>
        </w:tc>
        <w:tc>
          <w:tcPr>
            <w:tcW w:w="2885" w:type="dxa"/>
            <w:shd w:val="clear" w:color="auto" w:fill="auto"/>
            <w:vAlign w:val="bottom"/>
          </w:tcPr>
          <w:p w14:paraId="67534A2E" w14:textId="77777777" w:rsidR="001B77DD" w:rsidRDefault="001B77DD">
            <w:pPr>
              <w:rPr>
                <w:rFonts w:ascii="宋体"/>
              </w:rPr>
            </w:pPr>
          </w:p>
        </w:tc>
        <w:tc>
          <w:tcPr>
            <w:tcW w:w="20" w:type="dxa"/>
            <w:shd w:val="clear" w:color="auto" w:fill="auto"/>
            <w:vAlign w:val="bottom"/>
          </w:tcPr>
          <w:p w14:paraId="67534A2F" w14:textId="77777777" w:rsidR="001B77DD" w:rsidRDefault="001B77DD">
            <w:pPr>
              <w:rPr>
                <w:rFonts w:ascii="宋体"/>
              </w:rPr>
            </w:pPr>
          </w:p>
        </w:tc>
        <w:tc>
          <w:tcPr>
            <w:tcW w:w="20" w:type="dxa"/>
            <w:shd w:val="clear" w:color="auto" w:fill="auto"/>
            <w:vAlign w:val="bottom"/>
          </w:tcPr>
          <w:p w14:paraId="67534A30" w14:textId="77777777" w:rsidR="001B77DD" w:rsidRDefault="001B77DD">
            <w:pPr>
              <w:rPr>
                <w:rFonts w:ascii="宋体"/>
              </w:rPr>
            </w:pPr>
          </w:p>
        </w:tc>
        <w:tc>
          <w:tcPr>
            <w:tcW w:w="1325" w:type="dxa"/>
            <w:shd w:val="clear" w:color="auto" w:fill="auto"/>
            <w:vAlign w:val="bottom"/>
          </w:tcPr>
          <w:p w14:paraId="67534A31" w14:textId="77777777" w:rsidR="001B77DD" w:rsidRDefault="001B77DD">
            <w:pPr>
              <w:rPr>
                <w:rFonts w:ascii="宋体"/>
              </w:rPr>
            </w:pPr>
          </w:p>
        </w:tc>
        <w:tc>
          <w:tcPr>
            <w:tcW w:w="20" w:type="dxa"/>
            <w:shd w:val="clear" w:color="auto" w:fill="auto"/>
            <w:vAlign w:val="bottom"/>
          </w:tcPr>
          <w:p w14:paraId="67534A32" w14:textId="77777777" w:rsidR="001B77DD" w:rsidRDefault="001B77DD">
            <w:pPr>
              <w:rPr>
                <w:rFonts w:ascii="宋体"/>
              </w:rPr>
            </w:pPr>
          </w:p>
        </w:tc>
        <w:tc>
          <w:tcPr>
            <w:tcW w:w="20" w:type="dxa"/>
            <w:shd w:val="clear" w:color="auto" w:fill="auto"/>
            <w:vAlign w:val="bottom"/>
          </w:tcPr>
          <w:p w14:paraId="67534A33" w14:textId="77777777" w:rsidR="001B77DD" w:rsidRDefault="001B77DD">
            <w:pPr>
              <w:rPr>
                <w:rFonts w:ascii="宋体"/>
              </w:rPr>
            </w:pPr>
          </w:p>
        </w:tc>
        <w:tc>
          <w:tcPr>
            <w:tcW w:w="1520" w:type="dxa"/>
            <w:shd w:val="clear" w:color="auto" w:fill="auto"/>
            <w:vAlign w:val="bottom"/>
          </w:tcPr>
          <w:p w14:paraId="67534A34" w14:textId="77777777" w:rsidR="001B77DD" w:rsidRDefault="001B77DD">
            <w:pPr>
              <w:rPr>
                <w:rFonts w:ascii="宋体"/>
              </w:rPr>
            </w:pPr>
          </w:p>
        </w:tc>
        <w:tc>
          <w:tcPr>
            <w:tcW w:w="20" w:type="dxa"/>
            <w:shd w:val="clear" w:color="auto" w:fill="auto"/>
            <w:vAlign w:val="bottom"/>
          </w:tcPr>
          <w:p w14:paraId="67534A35" w14:textId="77777777" w:rsidR="001B77DD" w:rsidRDefault="001B77DD">
            <w:pPr>
              <w:rPr>
                <w:rFonts w:ascii="宋体"/>
              </w:rPr>
            </w:pPr>
          </w:p>
        </w:tc>
        <w:tc>
          <w:tcPr>
            <w:tcW w:w="20" w:type="dxa"/>
            <w:shd w:val="clear" w:color="auto" w:fill="auto"/>
            <w:vAlign w:val="bottom"/>
          </w:tcPr>
          <w:p w14:paraId="67534A36" w14:textId="77777777" w:rsidR="001B77DD" w:rsidRDefault="001B77DD">
            <w:pPr>
              <w:rPr>
                <w:rFonts w:ascii="宋体"/>
              </w:rPr>
            </w:pPr>
          </w:p>
        </w:tc>
        <w:tc>
          <w:tcPr>
            <w:tcW w:w="2765" w:type="dxa"/>
            <w:shd w:val="clear" w:color="auto" w:fill="auto"/>
            <w:vAlign w:val="bottom"/>
          </w:tcPr>
          <w:p w14:paraId="67534A37" w14:textId="77777777" w:rsidR="001B77DD" w:rsidRDefault="001B77DD">
            <w:pPr>
              <w:rPr>
                <w:rFonts w:ascii="宋体"/>
              </w:rPr>
            </w:pPr>
          </w:p>
        </w:tc>
        <w:tc>
          <w:tcPr>
            <w:tcW w:w="20" w:type="dxa"/>
            <w:shd w:val="clear" w:color="auto" w:fill="auto"/>
            <w:vAlign w:val="bottom"/>
          </w:tcPr>
          <w:p w14:paraId="67534A38" w14:textId="77777777" w:rsidR="001B77DD" w:rsidRDefault="001B77DD">
            <w:pPr>
              <w:rPr>
                <w:rFonts w:ascii="宋体"/>
              </w:rPr>
            </w:pPr>
          </w:p>
        </w:tc>
        <w:tc>
          <w:tcPr>
            <w:tcW w:w="20" w:type="dxa"/>
            <w:shd w:val="clear" w:color="auto" w:fill="auto"/>
            <w:vAlign w:val="bottom"/>
          </w:tcPr>
          <w:p w14:paraId="67534A39" w14:textId="77777777" w:rsidR="001B77DD" w:rsidRDefault="001B77DD">
            <w:pPr>
              <w:rPr>
                <w:rFonts w:ascii="宋体"/>
              </w:rPr>
            </w:pPr>
          </w:p>
        </w:tc>
        <w:tc>
          <w:tcPr>
            <w:tcW w:w="260" w:type="dxa"/>
            <w:shd w:val="clear" w:color="auto" w:fill="auto"/>
            <w:vAlign w:val="bottom"/>
          </w:tcPr>
          <w:p w14:paraId="67534A3A" w14:textId="77777777" w:rsidR="001B77DD" w:rsidRDefault="001B77DD">
            <w:pPr>
              <w:rPr>
                <w:rFonts w:ascii="宋体"/>
              </w:rPr>
            </w:pPr>
          </w:p>
        </w:tc>
        <w:tc>
          <w:tcPr>
            <w:tcW w:w="20" w:type="dxa"/>
            <w:shd w:val="clear" w:color="auto" w:fill="auto"/>
            <w:vAlign w:val="bottom"/>
          </w:tcPr>
          <w:p w14:paraId="67534A3B" w14:textId="77777777" w:rsidR="001B77DD" w:rsidRDefault="001B77DD">
            <w:pPr>
              <w:rPr>
                <w:rFonts w:ascii="宋体"/>
              </w:rPr>
            </w:pPr>
          </w:p>
        </w:tc>
      </w:tr>
      <w:tr w:rsidR="001B77DD" w14:paraId="67534A42" w14:textId="77777777">
        <w:trPr>
          <w:trHeight w:val="240"/>
        </w:trPr>
        <w:tc>
          <w:tcPr>
            <w:tcW w:w="0" w:type="auto"/>
            <w:gridSpan w:val="3"/>
            <w:shd w:val="clear" w:color="auto" w:fill="auto"/>
            <w:tcMar>
              <w:top w:w="0" w:type="dxa"/>
              <w:left w:w="20" w:type="dxa"/>
              <w:bottom w:w="0" w:type="dxa"/>
              <w:right w:w="20" w:type="dxa"/>
            </w:tcMar>
            <w:vAlign w:val="bottom"/>
          </w:tcPr>
          <w:p w14:paraId="67534A3D"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vAlign w:val="bottom"/>
          </w:tcPr>
          <w:p w14:paraId="67534A3E" w14:textId="77777777" w:rsidR="001B77DD" w:rsidRDefault="00BF0A28">
            <w:pPr>
              <w:jc w:val="center"/>
              <w:textAlignment w:val="bottom"/>
            </w:pPr>
            <w:r>
              <w:rPr>
                <w:rFonts w:ascii="Arial" w:eastAsia="宋体" w:hAnsi="Arial" w:cs="Arial"/>
                <w:color w:val="004A86"/>
                <w:sz w:val="16"/>
                <w:szCs w:val="16"/>
              </w:rPr>
              <w:t xml:space="preserve">■ </w:t>
            </w:r>
            <w:r>
              <w:rPr>
                <w:rFonts w:ascii="Arial" w:eastAsia="宋体" w:hAnsi="Arial" w:cs="Arial"/>
                <w:color w:val="262626"/>
                <w:sz w:val="16"/>
                <w:szCs w:val="16"/>
              </w:rPr>
              <w:t>Revenue $B</w:t>
            </w:r>
          </w:p>
        </w:tc>
        <w:tc>
          <w:tcPr>
            <w:tcW w:w="0" w:type="auto"/>
            <w:gridSpan w:val="3"/>
            <w:shd w:val="clear" w:color="auto" w:fill="auto"/>
            <w:tcMar>
              <w:top w:w="0" w:type="dxa"/>
              <w:left w:w="20" w:type="dxa"/>
              <w:bottom w:w="0" w:type="dxa"/>
              <w:right w:w="20" w:type="dxa"/>
            </w:tcMar>
            <w:vAlign w:val="bottom"/>
          </w:tcPr>
          <w:p w14:paraId="67534A3F" w14:textId="77777777" w:rsidR="001B77DD" w:rsidRDefault="001B77DD">
            <w:pPr>
              <w:rPr>
                <w:rFonts w:ascii="宋体"/>
              </w:rPr>
            </w:pPr>
          </w:p>
        </w:tc>
        <w:tc>
          <w:tcPr>
            <w:tcW w:w="0" w:type="auto"/>
            <w:gridSpan w:val="6"/>
            <w:shd w:val="clear" w:color="auto" w:fill="auto"/>
            <w:tcMar>
              <w:top w:w="40" w:type="dxa"/>
              <w:left w:w="20" w:type="dxa"/>
              <w:bottom w:w="40" w:type="dxa"/>
              <w:right w:w="20" w:type="dxa"/>
            </w:tcMar>
            <w:vAlign w:val="bottom"/>
          </w:tcPr>
          <w:p w14:paraId="67534A40" w14:textId="77777777" w:rsidR="001B77DD" w:rsidRDefault="00BF0A28">
            <w:pPr>
              <w:jc w:val="center"/>
              <w:textAlignment w:val="bottom"/>
            </w:pPr>
            <w:r>
              <w:rPr>
                <w:rFonts w:ascii="Arial" w:eastAsia="宋体" w:hAnsi="Arial" w:cs="Arial"/>
                <w:color w:val="00A3F6"/>
                <w:sz w:val="16"/>
                <w:szCs w:val="16"/>
              </w:rPr>
              <w:t>■</w:t>
            </w:r>
            <w:r>
              <w:rPr>
                <w:rFonts w:ascii="Arial" w:eastAsia="宋体" w:hAnsi="Arial" w:cs="Arial"/>
                <w:color w:val="262626"/>
                <w:sz w:val="16"/>
                <w:szCs w:val="16"/>
              </w:rPr>
              <w:t xml:space="preserve"> Op Income $B</w:t>
            </w:r>
          </w:p>
        </w:tc>
        <w:tc>
          <w:tcPr>
            <w:tcW w:w="0" w:type="auto"/>
            <w:gridSpan w:val="3"/>
            <w:shd w:val="clear" w:color="auto" w:fill="auto"/>
            <w:tcMar>
              <w:top w:w="0" w:type="dxa"/>
              <w:left w:w="20" w:type="dxa"/>
              <w:bottom w:w="0" w:type="dxa"/>
              <w:right w:w="20" w:type="dxa"/>
            </w:tcMar>
            <w:vAlign w:val="bottom"/>
          </w:tcPr>
          <w:p w14:paraId="67534A41" w14:textId="77777777" w:rsidR="001B77DD" w:rsidRDefault="001B77DD">
            <w:pPr>
              <w:rPr>
                <w:rFonts w:ascii="宋体"/>
              </w:rPr>
            </w:pPr>
          </w:p>
        </w:tc>
      </w:tr>
    </w:tbl>
    <w:p w14:paraId="67534A43"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A4D" w14:textId="77777777">
        <w:tc>
          <w:tcPr>
            <w:tcW w:w="50" w:type="pct"/>
            <w:shd w:val="clear" w:color="auto" w:fill="auto"/>
            <w:vAlign w:val="bottom"/>
          </w:tcPr>
          <w:p w14:paraId="67534A44" w14:textId="77777777" w:rsidR="001B77DD" w:rsidRDefault="001B77DD">
            <w:pPr>
              <w:rPr>
                <w:rFonts w:ascii="宋体"/>
              </w:rPr>
            </w:pPr>
          </w:p>
        </w:tc>
        <w:tc>
          <w:tcPr>
            <w:tcW w:w="283" w:type="pct"/>
            <w:shd w:val="clear" w:color="auto" w:fill="auto"/>
            <w:vAlign w:val="bottom"/>
          </w:tcPr>
          <w:p w14:paraId="67534A45" w14:textId="77777777" w:rsidR="001B77DD" w:rsidRDefault="001B77DD">
            <w:pPr>
              <w:rPr>
                <w:rFonts w:ascii="宋体"/>
              </w:rPr>
            </w:pPr>
          </w:p>
        </w:tc>
        <w:tc>
          <w:tcPr>
            <w:tcW w:w="5" w:type="pct"/>
            <w:shd w:val="clear" w:color="auto" w:fill="auto"/>
            <w:vAlign w:val="bottom"/>
          </w:tcPr>
          <w:p w14:paraId="67534A46" w14:textId="77777777" w:rsidR="001B77DD" w:rsidRDefault="001B77DD">
            <w:pPr>
              <w:rPr>
                <w:rFonts w:ascii="宋体"/>
              </w:rPr>
            </w:pPr>
          </w:p>
        </w:tc>
        <w:tc>
          <w:tcPr>
            <w:tcW w:w="50" w:type="pct"/>
            <w:shd w:val="clear" w:color="auto" w:fill="auto"/>
            <w:vAlign w:val="bottom"/>
          </w:tcPr>
          <w:p w14:paraId="67534A47" w14:textId="77777777" w:rsidR="001B77DD" w:rsidRDefault="001B77DD">
            <w:pPr>
              <w:rPr>
                <w:rFonts w:ascii="宋体"/>
              </w:rPr>
            </w:pPr>
          </w:p>
        </w:tc>
        <w:tc>
          <w:tcPr>
            <w:tcW w:w="2656" w:type="pct"/>
            <w:shd w:val="clear" w:color="auto" w:fill="auto"/>
            <w:vAlign w:val="bottom"/>
          </w:tcPr>
          <w:p w14:paraId="67534A48" w14:textId="77777777" w:rsidR="001B77DD" w:rsidRDefault="001B77DD">
            <w:pPr>
              <w:rPr>
                <w:rFonts w:ascii="宋体"/>
              </w:rPr>
            </w:pPr>
          </w:p>
        </w:tc>
        <w:tc>
          <w:tcPr>
            <w:tcW w:w="5" w:type="pct"/>
            <w:shd w:val="clear" w:color="auto" w:fill="auto"/>
            <w:vAlign w:val="bottom"/>
          </w:tcPr>
          <w:p w14:paraId="67534A49" w14:textId="77777777" w:rsidR="001B77DD" w:rsidRDefault="001B77DD">
            <w:pPr>
              <w:rPr>
                <w:rFonts w:ascii="宋体"/>
              </w:rPr>
            </w:pPr>
          </w:p>
        </w:tc>
        <w:tc>
          <w:tcPr>
            <w:tcW w:w="50" w:type="pct"/>
            <w:shd w:val="clear" w:color="auto" w:fill="auto"/>
            <w:vAlign w:val="bottom"/>
          </w:tcPr>
          <w:p w14:paraId="67534A4A" w14:textId="77777777" w:rsidR="001B77DD" w:rsidRDefault="001B77DD">
            <w:pPr>
              <w:rPr>
                <w:rFonts w:ascii="宋体"/>
              </w:rPr>
            </w:pPr>
          </w:p>
        </w:tc>
        <w:tc>
          <w:tcPr>
            <w:tcW w:w="1894" w:type="pct"/>
            <w:shd w:val="clear" w:color="auto" w:fill="auto"/>
            <w:vAlign w:val="bottom"/>
          </w:tcPr>
          <w:p w14:paraId="67534A4B" w14:textId="77777777" w:rsidR="001B77DD" w:rsidRDefault="001B77DD">
            <w:pPr>
              <w:rPr>
                <w:rFonts w:ascii="宋体"/>
              </w:rPr>
            </w:pPr>
          </w:p>
        </w:tc>
        <w:tc>
          <w:tcPr>
            <w:tcW w:w="5" w:type="pct"/>
            <w:shd w:val="clear" w:color="auto" w:fill="auto"/>
            <w:vAlign w:val="bottom"/>
          </w:tcPr>
          <w:p w14:paraId="67534A4C" w14:textId="77777777" w:rsidR="001B77DD" w:rsidRDefault="001B77DD">
            <w:pPr>
              <w:rPr>
                <w:rFonts w:ascii="宋体"/>
              </w:rPr>
            </w:pPr>
          </w:p>
        </w:tc>
      </w:tr>
      <w:tr w:rsidR="001B77DD" w14:paraId="67534A5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A4E"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92" wp14:editId="67538E93">
                  <wp:extent cx="304800" cy="304800"/>
                  <wp:effectExtent l="0" t="0" r="0" b="0"/>
                  <wp:docPr id="102" name="图片 18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A4F"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A50" w14:textId="77777777" w:rsidR="001B77DD" w:rsidRDefault="00BF0A28">
            <w:pPr>
              <w:jc w:val="right"/>
              <w:textAlignment w:val="center"/>
            </w:pPr>
            <w:r>
              <w:rPr>
                <w:rFonts w:ascii="Arial" w:eastAsia="宋体" w:hAnsi="Arial" w:cs="Arial"/>
                <w:color w:val="262626"/>
                <w:sz w:val="16"/>
                <w:szCs w:val="16"/>
              </w:rPr>
              <w:t>34</w:t>
            </w:r>
          </w:p>
        </w:tc>
      </w:tr>
    </w:tbl>
    <w:p w14:paraId="67534A52" w14:textId="77777777" w:rsidR="001B77DD" w:rsidRDefault="00BF0A28">
      <w:r>
        <w:pict w14:anchorId="67538E94">
          <v:rect id="_x0000_i1060" style="width:415.3pt;height:1.5pt" o:hralign="center" o:hrstd="t" o:hr="t" fillcolor="#a0a0a0" stroked="f"/>
        </w:pict>
      </w:r>
    </w:p>
    <w:p w14:paraId="67534A53" w14:textId="77777777" w:rsidR="001B77DD" w:rsidRDefault="00BF0A28">
      <w:pPr>
        <w:jc w:val="right"/>
      </w:pPr>
      <w:hyperlink r:id="rId92" w:anchor="i6c9ced68f6b24d58a3dcf326e8c3c699_16" w:history="1">
        <w:r>
          <w:rPr>
            <w:rStyle w:val="a5"/>
            <w:rFonts w:ascii="Arial" w:eastAsia="宋体" w:hAnsi="Arial" w:cs="Arial"/>
            <w:b/>
            <w:bCs/>
            <w:sz w:val="16"/>
            <w:szCs w:val="16"/>
          </w:rPr>
          <w:t>Table of Contents</w:t>
        </w:r>
      </w:hyperlink>
    </w:p>
    <w:p w14:paraId="67534A54" w14:textId="77777777" w:rsidR="001B77DD" w:rsidRDefault="001B77DD">
      <w:pPr>
        <w:jc w:val="right"/>
      </w:pPr>
    </w:p>
    <w:p w14:paraId="67534A55" w14:textId="77777777" w:rsidR="001B77DD" w:rsidRDefault="00BF0A28">
      <w:pPr>
        <w:spacing w:after="120"/>
      </w:pPr>
      <w:r>
        <w:rPr>
          <w:rFonts w:ascii="Arial" w:eastAsia="宋体" w:hAnsi="Arial" w:cs="Arial"/>
          <w:color w:val="0068B5"/>
        </w:rPr>
        <w:t>Market and Business Overview</w:t>
      </w:r>
    </w:p>
    <w:p w14:paraId="67534A56" w14:textId="77777777" w:rsidR="001B77DD" w:rsidRDefault="00BF0A28">
      <w:pPr>
        <w:spacing w:after="120"/>
      </w:pPr>
      <w:r>
        <w:rPr>
          <w:rFonts w:ascii="Arial" w:eastAsia="宋体" w:hAnsi="Arial" w:cs="Arial"/>
          <w:color w:val="0068B5"/>
          <w:sz w:val="20"/>
          <w:szCs w:val="20"/>
        </w:rPr>
        <w:t>Market Trends and Strategy</w:t>
      </w:r>
    </w:p>
    <w:p w14:paraId="67534A57" w14:textId="77777777" w:rsidR="001B77DD" w:rsidRDefault="00BF0A28">
      <w:pPr>
        <w:spacing w:after="180"/>
      </w:pPr>
      <w:r>
        <w:rPr>
          <w:rFonts w:ascii="Arial" w:eastAsia="宋体" w:hAnsi="Arial" w:cs="Arial"/>
          <w:color w:val="262626"/>
          <w:sz w:val="18"/>
          <w:szCs w:val="18"/>
        </w:rPr>
        <w:t xml:space="preserve">With the rise of </w:t>
      </w:r>
      <w:r>
        <w:rPr>
          <w:rFonts w:ascii="Arial" w:eastAsia="宋体" w:hAnsi="Arial" w:cs="Arial"/>
          <w:color w:val="262626"/>
          <w:sz w:val="18"/>
          <w:szCs w:val="18"/>
        </w:rPr>
        <w:t>pervasive connectivity and autonomous transactions, vast networks of devices and systems are linked from the edge through infrastructure to the cloud. Our FPGA and structured ASIC technologies enhance Intel's ability to meet the needs of customers in the d</w:t>
      </w:r>
      <w:r>
        <w:rPr>
          <w:rFonts w:ascii="Arial" w:eastAsia="宋体" w:hAnsi="Arial" w:cs="Arial"/>
          <w:color w:val="262626"/>
          <w:sz w:val="18"/>
          <w:szCs w:val="18"/>
        </w:rPr>
        <w:t>ata center, across the network, and at the edge by extending platform capabilities, intercepting evolving requirements when standards are still changing, and enabling customers to validate next-generation technology proof points early in the market transit</w:t>
      </w:r>
      <w:r>
        <w:rPr>
          <w:rFonts w:ascii="Arial" w:eastAsia="宋体" w:hAnsi="Arial" w:cs="Arial"/>
          <w:color w:val="262626"/>
          <w:sz w:val="18"/>
          <w:szCs w:val="18"/>
        </w:rPr>
        <w:t>ion. The Intel FPGA portfolio enables this transformation with discrete FPGAs and software-defined, hardware-based, multi-function acceleration cards and IPUs that allow faster development times, high performance, and power efficiency with lower overall to</w:t>
      </w:r>
      <w:r>
        <w:rPr>
          <w:rFonts w:ascii="Arial" w:eastAsia="宋体" w:hAnsi="Arial" w:cs="Arial"/>
          <w:color w:val="262626"/>
          <w:sz w:val="18"/>
          <w:szCs w:val="18"/>
        </w:rPr>
        <w:t>tal cost of ownership.</w:t>
      </w:r>
    </w:p>
    <w:p w14:paraId="67534A58" w14:textId="77777777" w:rsidR="001B77DD" w:rsidRDefault="00BF0A28">
      <w:pPr>
        <w:spacing w:before="120" w:after="180"/>
      </w:pPr>
      <w:r>
        <w:rPr>
          <w:rFonts w:ascii="Arial" w:eastAsia="宋体" w:hAnsi="Arial" w:cs="Arial"/>
          <w:color w:val="262626"/>
          <w:sz w:val="18"/>
          <w:szCs w:val="18"/>
        </w:rPr>
        <w:t>We enable a broad range of solutions targeting applications across our embedded, communications, and cloud and enterprise market segments. The configurability and efficiency of FPGAs provide advantages to enable transformative applic</w:t>
      </w:r>
      <w:r>
        <w:rPr>
          <w:rFonts w:ascii="Arial" w:eastAsia="宋体" w:hAnsi="Arial" w:cs="Arial"/>
          <w:color w:val="262626"/>
          <w:sz w:val="18"/>
          <w:szCs w:val="18"/>
        </w:rPr>
        <w:t>ations such as 5G wireless, network function virtualization acceleration, and edge acceleration for video analytics and Industry 4.0. At the edge, where systems ingest large amounts of data, Intel FPGAs are ideal for pre-processing data to accelerate Intel</w:t>
      </w:r>
      <w:r>
        <w:rPr>
          <w:rFonts w:ascii="Arial" w:eastAsia="宋体" w:hAnsi="Arial" w:cs="Arial"/>
          <w:color w:val="262626"/>
          <w:sz w:val="18"/>
          <w:szCs w:val="18"/>
        </w:rPr>
        <w:t xml:space="preserve"> processors. In the network, where data traffic is increasing and network functions are being virtualized to improve transport efficiency, Intel FPGAs are built to deliver high-bandwidth aggregation and processing. In the cloud, where workloads shift dynam</w:t>
      </w:r>
      <w:r>
        <w:rPr>
          <w:rFonts w:ascii="Arial" w:eastAsia="宋体" w:hAnsi="Arial" w:cs="Arial"/>
          <w:color w:val="262626"/>
          <w:sz w:val="18"/>
          <w:szCs w:val="18"/>
        </w:rPr>
        <w:t>ically and algorithms change, Intel FPGAs are the ideal solution for adapting to new demands through reconfigurability and enabling the offload of infrastructure processing tasks from CPUs as part of an IPU platform.</w:t>
      </w:r>
    </w:p>
    <w:p w14:paraId="67534A59" w14:textId="77777777" w:rsidR="001B77DD" w:rsidRDefault="00BF0A28">
      <w:pPr>
        <w:spacing w:before="120" w:after="120"/>
      </w:pPr>
      <w:r>
        <w:rPr>
          <w:rFonts w:ascii="Arial" w:eastAsia="宋体" w:hAnsi="Arial" w:cs="Arial"/>
          <w:color w:val="0068B5"/>
          <w:sz w:val="20"/>
          <w:szCs w:val="20"/>
        </w:rPr>
        <w:t>Products and Competition</w:t>
      </w:r>
    </w:p>
    <w:p w14:paraId="67534A5A" w14:textId="77777777" w:rsidR="001B77DD" w:rsidRDefault="00BF0A28">
      <w:pPr>
        <w:spacing w:after="120"/>
      </w:pPr>
      <w:r>
        <w:rPr>
          <w:rFonts w:ascii="Arial" w:eastAsia="宋体" w:hAnsi="Arial" w:cs="Arial"/>
          <w:color w:val="262626"/>
          <w:sz w:val="18"/>
          <w:szCs w:val="18"/>
        </w:rPr>
        <w:t>We deliver sol</w:t>
      </w:r>
      <w:r>
        <w:rPr>
          <w:rFonts w:ascii="Arial" w:eastAsia="宋体" w:hAnsi="Arial" w:cs="Arial"/>
          <w:color w:val="262626"/>
          <w:sz w:val="18"/>
          <w:szCs w:val="18"/>
        </w:rPr>
        <w:t>utions in the PLD market, primarily FPGAs and structured ASICs, to accelerate applications that help secure, power, and connect billions of devices and the infrastructure of the smart, connected, data-centric world. We face competition from other programma</w:t>
      </w:r>
      <w:r>
        <w:rPr>
          <w:rFonts w:ascii="Arial" w:eastAsia="宋体" w:hAnsi="Arial" w:cs="Arial"/>
          <w:color w:val="262626"/>
          <w:sz w:val="18"/>
          <w:szCs w:val="18"/>
        </w:rPr>
        <w:t>ble logic companies, as well as companies that make other types of semiconductor products, such as ASICs, application-specific standard products, GPUs, digital signal processors, and CPUs. Targeted growth areas for our programmable solutions include 5G, AI</w:t>
      </w:r>
      <w:r>
        <w:rPr>
          <w:rFonts w:ascii="Arial" w:eastAsia="宋体" w:hAnsi="Arial" w:cs="Arial"/>
          <w:color w:val="262626"/>
          <w:sz w:val="18"/>
          <w:szCs w:val="18"/>
        </w:rPr>
        <w:t>, intelligent edge, and cloud applications. The FPGA life cycle generally takes three or more years from the time that a design win is secured before a customer starts volume production and we receive the associated revenue.</w:t>
      </w:r>
    </w:p>
    <w:tbl>
      <w:tblPr>
        <w:tblW w:w="5000" w:type="pct"/>
        <w:tblCellMar>
          <w:top w:w="15" w:type="dxa"/>
          <w:left w:w="15" w:type="dxa"/>
          <w:bottom w:w="15" w:type="dxa"/>
          <w:right w:w="15" w:type="dxa"/>
        </w:tblCellMar>
        <w:tblLook w:val="04A0" w:firstRow="1" w:lastRow="0" w:firstColumn="1" w:lastColumn="0" w:noHBand="0" w:noVBand="1"/>
      </w:tblPr>
      <w:tblGrid>
        <w:gridCol w:w="69"/>
        <w:gridCol w:w="5236"/>
        <w:gridCol w:w="37"/>
        <w:gridCol w:w="69"/>
        <w:gridCol w:w="2889"/>
        <w:gridCol w:w="36"/>
      </w:tblGrid>
      <w:tr w:rsidR="001B77DD" w14:paraId="67534A61" w14:textId="77777777">
        <w:tc>
          <w:tcPr>
            <w:tcW w:w="50" w:type="pct"/>
            <w:shd w:val="clear" w:color="auto" w:fill="auto"/>
            <w:vAlign w:val="bottom"/>
          </w:tcPr>
          <w:p w14:paraId="67534A5B" w14:textId="77777777" w:rsidR="001B77DD" w:rsidRDefault="001B77DD">
            <w:pPr>
              <w:rPr>
                <w:rFonts w:ascii="宋体"/>
              </w:rPr>
            </w:pPr>
          </w:p>
        </w:tc>
        <w:tc>
          <w:tcPr>
            <w:tcW w:w="3148" w:type="pct"/>
            <w:shd w:val="clear" w:color="auto" w:fill="auto"/>
            <w:vAlign w:val="bottom"/>
          </w:tcPr>
          <w:p w14:paraId="67534A5C" w14:textId="77777777" w:rsidR="001B77DD" w:rsidRDefault="001B77DD">
            <w:pPr>
              <w:rPr>
                <w:rFonts w:ascii="宋体"/>
              </w:rPr>
            </w:pPr>
          </w:p>
        </w:tc>
        <w:tc>
          <w:tcPr>
            <w:tcW w:w="5" w:type="pct"/>
            <w:shd w:val="clear" w:color="auto" w:fill="auto"/>
            <w:vAlign w:val="bottom"/>
          </w:tcPr>
          <w:p w14:paraId="67534A5D" w14:textId="77777777" w:rsidR="001B77DD" w:rsidRDefault="001B77DD">
            <w:pPr>
              <w:rPr>
                <w:rFonts w:ascii="宋体"/>
              </w:rPr>
            </w:pPr>
          </w:p>
        </w:tc>
        <w:tc>
          <w:tcPr>
            <w:tcW w:w="50" w:type="pct"/>
            <w:shd w:val="clear" w:color="auto" w:fill="auto"/>
            <w:vAlign w:val="bottom"/>
          </w:tcPr>
          <w:p w14:paraId="67534A5E" w14:textId="77777777" w:rsidR="001B77DD" w:rsidRDefault="001B77DD">
            <w:pPr>
              <w:rPr>
                <w:rFonts w:ascii="宋体"/>
              </w:rPr>
            </w:pPr>
          </w:p>
        </w:tc>
        <w:tc>
          <w:tcPr>
            <w:tcW w:w="1741" w:type="pct"/>
            <w:shd w:val="clear" w:color="auto" w:fill="auto"/>
            <w:vAlign w:val="bottom"/>
          </w:tcPr>
          <w:p w14:paraId="67534A5F" w14:textId="77777777" w:rsidR="001B77DD" w:rsidRDefault="001B77DD">
            <w:pPr>
              <w:rPr>
                <w:rFonts w:ascii="宋体"/>
              </w:rPr>
            </w:pPr>
          </w:p>
        </w:tc>
        <w:tc>
          <w:tcPr>
            <w:tcW w:w="5" w:type="pct"/>
            <w:shd w:val="clear" w:color="auto" w:fill="auto"/>
            <w:vAlign w:val="bottom"/>
          </w:tcPr>
          <w:p w14:paraId="67534A60" w14:textId="77777777" w:rsidR="001B77DD" w:rsidRDefault="001B77DD">
            <w:pPr>
              <w:rPr>
                <w:rFonts w:ascii="宋体"/>
              </w:rPr>
            </w:pPr>
          </w:p>
        </w:tc>
      </w:tr>
      <w:tr w:rsidR="001B77DD" w14:paraId="67534A64" w14:textId="77777777">
        <w:trPr>
          <w:trHeight w:val="1360"/>
        </w:trPr>
        <w:tc>
          <w:tcPr>
            <w:tcW w:w="0" w:type="auto"/>
            <w:gridSpan w:val="3"/>
            <w:shd w:val="clear" w:color="auto" w:fill="auto"/>
            <w:tcMar>
              <w:top w:w="40" w:type="dxa"/>
              <w:left w:w="20" w:type="dxa"/>
              <w:bottom w:w="40" w:type="dxa"/>
              <w:right w:w="20" w:type="dxa"/>
            </w:tcMar>
          </w:tcPr>
          <w:p w14:paraId="67534A62" w14:textId="77777777" w:rsidR="001B77DD" w:rsidRDefault="00BF0A28">
            <w:pPr>
              <w:textAlignment w:val="top"/>
            </w:pPr>
            <w:r>
              <w:rPr>
                <w:rFonts w:ascii="Arial" w:eastAsia="宋体" w:hAnsi="Arial" w:cs="Arial"/>
                <w:color w:val="262626"/>
                <w:sz w:val="18"/>
                <w:szCs w:val="18"/>
              </w:rPr>
              <w:t xml:space="preserve">We continue to </w:t>
            </w:r>
            <w:r>
              <w:rPr>
                <w:rFonts w:ascii="Arial" w:eastAsia="宋体" w:hAnsi="Arial" w:cs="Arial"/>
                <w:color w:val="262626"/>
                <w:sz w:val="18"/>
                <w:szCs w:val="18"/>
              </w:rPr>
              <w:t>leverage our heterogeneous architecture on advanced nodes to deliver innovative products at an accelerated pace, allowing the integration of analog, memory, custom computing, custom I/O, and Intel eASIC chiplets into a single package. Our Intel Agilex FPGA</w:t>
            </w:r>
            <w:r>
              <w:rPr>
                <w:rFonts w:ascii="Arial" w:eastAsia="宋体" w:hAnsi="Arial" w:cs="Arial"/>
                <w:color w:val="262626"/>
                <w:sz w:val="18"/>
                <w:szCs w:val="18"/>
              </w:rPr>
              <w:t xml:space="preserve"> family, built on Intel 10nm SuperFin technology, is now shipping. The Agilex family delivers leading performance and power efficiency for diverse workloads.</w:t>
            </w:r>
          </w:p>
        </w:tc>
        <w:tc>
          <w:tcPr>
            <w:tcW w:w="0" w:type="auto"/>
            <w:gridSpan w:val="3"/>
            <w:vMerge w:val="restart"/>
            <w:shd w:val="clear" w:color="auto" w:fill="auto"/>
            <w:tcMar>
              <w:top w:w="0" w:type="dxa"/>
              <w:left w:w="20" w:type="dxa"/>
              <w:bottom w:w="0" w:type="dxa"/>
              <w:right w:w="20" w:type="dxa"/>
            </w:tcMar>
            <w:vAlign w:val="bottom"/>
          </w:tcPr>
          <w:p w14:paraId="67534A63"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w:instrText>
            </w:r>
            <w:r>
              <w:rPr>
                <w:rFonts w:ascii="宋体" w:eastAsia="宋体" w:hAnsi="宋体" w:cs="宋体"/>
              </w:rPr>
              <w:instrText xml:space="preserve">s/intc-20211225_g88.jpg"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95" wp14:editId="67538E96">
                  <wp:extent cx="304800" cy="304800"/>
                  <wp:effectExtent l="0" t="0" r="0" b="0"/>
                  <wp:docPr id="94" name="图片 188"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88" descr="IMG_3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r>
      <w:tr w:rsidR="001B77DD" w14:paraId="67534A67" w14:textId="77777777">
        <w:trPr>
          <w:trHeight w:val="1560"/>
        </w:trPr>
        <w:tc>
          <w:tcPr>
            <w:tcW w:w="0" w:type="auto"/>
            <w:gridSpan w:val="3"/>
            <w:shd w:val="clear" w:color="auto" w:fill="auto"/>
            <w:tcMar>
              <w:top w:w="40" w:type="dxa"/>
              <w:left w:w="20" w:type="dxa"/>
              <w:bottom w:w="40" w:type="dxa"/>
              <w:right w:w="20" w:type="dxa"/>
            </w:tcMar>
          </w:tcPr>
          <w:p w14:paraId="67534A65" w14:textId="77777777" w:rsidR="001B77DD" w:rsidRDefault="00BF0A28">
            <w:pPr>
              <w:textAlignment w:val="top"/>
            </w:pPr>
            <w:r>
              <w:rPr>
                <w:rFonts w:ascii="Arial" w:eastAsia="宋体" w:hAnsi="Arial" w:cs="Arial"/>
                <w:color w:val="262626"/>
                <w:sz w:val="18"/>
                <w:szCs w:val="18"/>
              </w:rPr>
              <w:t xml:space="preserve">We continue to invest in our Intel eASIC portfolio. Our Intel eASIC N5X, the next-generation Intel eASIC device, is now in production. Structured ASIC products serve as an intermediary technology </w:t>
            </w:r>
            <w:r>
              <w:rPr>
                <w:rFonts w:ascii="Arial" w:eastAsia="宋体" w:hAnsi="Arial" w:cs="Arial"/>
                <w:color w:val="262626"/>
                <w:sz w:val="18"/>
                <w:szCs w:val="18"/>
              </w:rPr>
              <w:t>between FPGAs and standard-cell ASICs that provides lower unit cost and lower power compared to FPGAs, and faster time-to-market and lower non-recurring engineering cost compared to standard-cell ASICs. Intel eASIC products have growth opportunities throug</w:t>
            </w:r>
            <w:r>
              <w:rPr>
                <w:rFonts w:ascii="Arial" w:eastAsia="宋体" w:hAnsi="Arial" w:cs="Arial"/>
                <w:color w:val="262626"/>
                <w:sz w:val="18"/>
                <w:szCs w:val="18"/>
              </w:rPr>
              <w:t>h adoption in 5G applications and scale across a wide range of markets.</w:t>
            </w:r>
          </w:p>
        </w:tc>
        <w:tc>
          <w:tcPr>
            <w:tcW w:w="0" w:type="auto"/>
            <w:gridSpan w:val="3"/>
            <w:vMerge/>
            <w:shd w:val="clear" w:color="auto" w:fill="auto"/>
            <w:tcMar>
              <w:top w:w="0" w:type="dxa"/>
              <w:left w:w="20" w:type="dxa"/>
              <w:bottom w:w="0" w:type="dxa"/>
              <w:right w:w="20" w:type="dxa"/>
            </w:tcMar>
            <w:vAlign w:val="bottom"/>
          </w:tcPr>
          <w:p w14:paraId="67534A66" w14:textId="77777777" w:rsidR="001B77DD" w:rsidRDefault="001B77DD">
            <w:pPr>
              <w:rPr>
                <w:rFonts w:ascii="宋体"/>
              </w:rPr>
            </w:pPr>
          </w:p>
        </w:tc>
      </w:tr>
      <w:tr w:rsidR="001B77DD" w14:paraId="67534A6A" w14:textId="77777777">
        <w:trPr>
          <w:trHeight w:val="1140"/>
        </w:trPr>
        <w:tc>
          <w:tcPr>
            <w:tcW w:w="0" w:type="auto"/>
            <w:gridSpan w:val="3"/>
            <w:shd w:val="clear" w:color="auto" w:fill="auto"/>
            <w:tcMar>
              <w:top w:w="40" w:type="dxa"/>
              <w:left w:w="20" w:type="dxa"/>
              <w:bottom w:w="40" w:type="dxa"/>
              <w:right w:w="20" w:type="dxa"/>
            </w:tcMar>
          </w:tcPr>
          <w:p w14:paraId="67534A68" w14:textId="77777777" w:rsidR="001B77DD" w:rsidRDefault="00BF0A28">
            <w:pPr>
              <w:spacing w:after="180"/>
              <w:textAlignment w:val="top"/>
            </w:pPr>
            <w:r>
              <w:rPr>
                <w:rFonts w:ascii="Arial" w:eastAsia="宋体" w:hAnsi="Arial" w:cs="Arial"/>
                <w:color w:val="262626"/>
                <w:sz w:val="18"/>
                <w:szCs w:val="18"/>
              </w:rPr>
              <w:t>We continue to execute to our developer-first strategy with oneAPI support for several Intel FPGA families and the Intel</w:t>
            </w:r>
            <w:r>
              <w:rPr>
                <w:rFonts w:ascii="Arial" w:eastAsia="宋体" w:hAnsi="Arial" w:cs="Arial"/>
                <w:color w:val="262626"/>
                <w:sz w:val="11"/>
                <w:szCs w:val="11"/>
              </w:rPr>
              <w:t>®</w:t>
            </w:r>
            <w:r>
              <w:rPr>
                <w:rFonts w:ascii="Arial" w:eastAsia="宋体" w:hAnsi="Arial" w:cs="Arial"/>
                <w:color w:val="262626"/>
                <w:sz w:val="18"/>
                <w:szCs w:val="18"/>
              </w:rPr>
              <w:t xml:space="preserve"> FPGA Programmable Acceleration Card. The oneAPI programming model allows users to save significant development time and enhance productivity while using a single, unified language for CPUs, GPUs, and FPGAs.</w:t>
            </w:r>
          </w:p>
        </w:tc>
        <w:tc>
          <w:tcPr>
            <w:tcW w:w="0" w:type="auto"/>
            <w:gridSpan w:val="3"/>
            <w:vMerge/>
            <w:shd w:val="clear" w:color="auto" w:fill="auto"/>
            <w:tcMar>
              <w:top w:w="0" w:type="dxa"/>
              <w:left w:w="20" w:type="dxa"/>
              <w:bottom w:w="0" w:type="dxa"/>
              <w:right w:w="20" w:type="dxa"/>
            </w:tcMar>
            <w:vAlign w:val="bottom"/>
          </w:tcPr>
          <w:p w14:paraId="67534A69" w14:textId="77777777" w:rsidR="001B77DD" w:rsidRDefault="001B77DD">
            <w:pPr>
              <w:rPr>
                <w:rFonts w:ascii="宋体"/>
              </w:rPr>
            </w:pPr>
          </w:p>
        </w:tc>
      </w:tr>
      <w:tr w:rsidR="001B77DD" w14:paraId="67534A6D" w14:textId="77777777">
        <w:trPr>
          <w:trHeight w:val="2020"/>
        </w:trPr>
        <w:tc>
          <w:tcPr>
            <w:tcW w:w="0" w:type="auto"/>
            <w:gridSpan w:val="3"/>
            <w:shd w:val="clear" w:color="auto" w:fill="auto"/>
            <w:tcMar>
              <w:top w:w="40" w:type="dxa"/>
              <w:left w:w="20" w:type="dxa"/>
              <w:bottom w:w="40" w:type="dxa"/>
              <w:right w:w="20" w:type="dxa"/>
            </w:tcMar>
          </w:tcPr>
          <w:p w14:paraId="67534A6B" w14:textId="77777777" w:rsidR="001B77DD" w:rsidRDefault="00BF0A28">
            <w:pPr>
              <w:textAlignment w:val="top"/>
            </w:pPr>
            <w:r>
              <w:rPr>
                <w:rFonts w:ascii="Arial" w:eastAsia="宋体" w:hAnsi="Arial" w:cs="Arial"/>
                <w:color w:val="262626"/>
                <w:sz w:val="18"/>
                <w:szCs w:val="18"/>
              </w:rPr>
              <w:t>We introduced several new platforms, solutions, and partnerships during the year. We announced Arrow Creek, an FPGA-based Acceleration Development Platform SmartNIC adapter that can flexibly accelerate several infrastructure workloads and enable high-perfo</w:t>
            </w:r>
            <w:r>
              <w:rPr>
                <w:rFonts w:ascii="Arial" w:eastAsia="宋体" w:hAnsi="Arial" w:cs="Arial"/>
                <w:color w:val="262626"/>
                <w:sz w:val="18"/>
                <w:szCs w:val="18"/>
              </w:rPr>
              <w:t>rmance 100G connectivity by combining Intel’s Agilex FPGA and the Intel Ethernet 800 Series controller. We introduced RedHat support for Intel Open FPGA Stack, further enabling solution and board providers to build their own differentiated FPGA platforms f</w:t>
            </w:r>
            <w:r>
              <w:rPr>
                <w:rFonts w:ascii="Arial" w:eastAsia="宋体" w:hAnsi="Arial" w:cs="Arial"/>
                <w:color w:val="262626"/>
                <w:sz w:val="18"/>
                <w:szCs w:val="18"/>
              </w:rPr>
              <w:t xml:space="preserve">or servers with Intel Xeon CPUs. We also announced with the US Defense Advanced Research Projects Agency a three-year partnership to advance the development of domestically manufactured structured ASIC platforms. </w:t>
            </w:r>
          </w:p>
        </w:tc>
        <w:tc>
          <w:tcPr>
            <w:tcW w:w="0" w:type="auto"/>
            <w:gridSpan w:val="3"/>
            <w:vMerge/>
            <w:shd w:val="clear" w:color="auto" w:fill="auto"/>
            <w:tcMar>
              <w:top w:w="0" w:type="dxa"/>
              <w:left w:w="20" w:type="dxa"/>
              <w:bottom w:w="0" w:type="dxa"/>
              <w:right w:w="20" w:type="dxa"/>
            </w:tcMar>
            <w:vAlign w:val="bottom"/>
          </w:tcPr>
          <w:p w14:paraId="67534A6C" w14:textId="77777777" w:rsidR="001B77DD" w:rsidRDefault="001B77DD">
            <w:pPr>
              <w:rPr>
                <w:rFonts w:ascii="宋体"/>
              </w:rPr>
            </w:pPr>
          </w:p>
        </w:tc>
      </w:tr>
      <w:tr w:rsidR="001B77DD" w14:paraId="67534A70" w14:textId="77777777">
        <w:trPr>
          <w:trHeight w:val="1180"/>
        </w:trPr>
        <w:tc>
          <w:tcPr>
            <w:tcW w:w="0" w:type="auto"/>
            <w:gridSpan w:val="3"/>
            <w:shd w:val="clear" w:color="auto" w:fill="auto"/>
            <w:tcMar>
              <w:top w:w="40" w:type="dxa"/>
              <w:left w:w="20" w:type="dxa"/>
              <w:bottom w:w="40" w:type="dxa"/>
              <w:right w:w="20" w:type="dxa"/>
            </w:tcMar>
          </w:tcPr>
          <w:p w14:paraId="67534A6E" w14:textId="77777777" w:rsidR="001B77DD" w:rsidRDefault="00BF0A28">
            <w:pPr>
              <w:textAlignment w:val="top"/>
            </w:pPr>
            <w:r>
              <w:rPr>
                <w:rFonts w:ascii="Arial" w:eastAsia="宋体" w:hAnsi="Arial" w:cs="Arial"/>
                <w:color w:val="262626"/>
                <w:sz w:val="18"/>
                <w:szCs w:val="18"/>
              </w:rPr>
              <w:t>Intel FPGAs play a critical role in Inte</w:t>
            </w:r>
            <w:r>
              <w:rPr>
                <w:rFonts w:ascii="Arial" w:eastAsia="宋体" w:hAnsi="Arial" w:cs="Arial"/>
                <w:color w:val="262626"/>
                <w:sz w:val="18"/>
                <w:szCs w:val="18"/>
              </w:rPr>
              <w:t>l’s announced IPU vision, enabling cloud and communications service providers to reduce overhead and free up performance for CPUs. Intel FPGA-based IPU platforms are currently deployed at multiple cloud service providers. We also announced Oak Springs Cany</w:t>
            </w:r>
            <w:r>
              <w:rPr>
                <w:rFonts w:ascii="Arial" w:eastAsia="宋体" w:hAnsi="Arial" w:cs="Arial"/>
                <w:color w:val="262626"/>
                <w:sz w:val="18"/>
                <w:szCs w:val="18"/>
              </w:rPr>
              <w:t>on, an IPU reference platform built with our Intel Xeon D processor and our Intel Agilex FPGA.</w:t>
            </w:r>
          </w:p>
        </w:tc>
        <w:tc>
          <w:tcPr>
            <w:tcW w:w="0" w:type="auto"/>
            <w:gridSpan w:val="3"/>
            <w:vMerge/>
            <w:shd w:val="clear" w:color="auto" w:fill="auto"/>
            <w:tcMar>
              <w:top w:w="0" w:type="dxa"/>
              <w:left w:w="20" w:type="dxa"/>
              <w:bottom w:w="0" w:type="dxa"/>
              <w:right w:w="20" w:type="dxa"/>
            </w:tcMar>
            <w:vAlign w:val="bottom"/>
          </w:tcPr>
          <w:p w14:paraId="67534A6F" w14:textId="77777777" w:rsidR="001B77DD" w:rsidRDefault="001B77DD">
            <w:pPr>
              <w:rPr>
                <w:rFonts w:ascii="宋体"/>
              </w:rPr>
            </w:pPr>
          </w:p>
        </w:tc>
      </w:tr>
    </w:tbl>
    <w:p w14:paraId="67534A71"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A7B" w14:textId="77777777">
        <w:tc>
          <w:tcPr>
            <w:tcW w:w="50" w:type="pct"/>
            <w:shd w:val="clear" w:color="auto" w:fill="auto"/>
            <w:vAlign w:val="bottom"/>
          </w:tcPr>
          <w:p w14:paraId="67534A72" w14:textId="77777777" w:rsidR="001B77DD" w:rsidRDefault="001B77DD">
            <w:pPr>
              <w:rPr>
                <w:rFonts w:ascii="宋体"/>
              </w:rPr>
            </w:pPr>
          </w:p>
        </w:tc>
        <w:tc>
          <w:tcPr>
            <w:tcW w:w="283" w:type="pct"/>
            <w:shd w:val="clear" w:color="auto" w:fill="auto"/>
            <w:vAlign w:val="bottom"/>
          </w:tcPr>
          <w:p w14:paraId="67534A73" w14:textId="77777777" w:rsidR="001B77DD" w:rsidRDefault="001B77DD">
            <w:pPr>
              <w:rPr>
                <w:rFonts w:ascii="宋体"/>
              </w:rPr>
            </w:pPr>
          </w:p>
        </w:tc>
        <w:tc>
          <w:tcPr>
            <w:tcW w:w="5" w:type="pct"/>
            <w:shd w:val="clear" w:color="auto" w:fill="auto"/>
            <w:vAlign w:val="bottom"/>
          </w:tcPr>
          <w:p w14:paraId="67534A74" w14:textId="77777777" w:rsidR="001B77DD" w:rsidRDefault="001B77DD">
            <w:pPr>
              <w:rPr>
                <w:rFonts w:ascii="宋体"/>
              </w:rPr>
            </w:pPr>
          </w:p>
        </w:tc>
        <w:tc>
          <w:tcPr>
            <w:tcW w:w="50" w:type="pct"/>
            <w:shd w:val="clear" w:color="auto" w:fill="auto"/>
            <w:vAlign w:val="bottom"/>
          </w:tcPr>
          <w:p w14:paraId="67534A75" w14:textId="77777777" w:rsidR="001B77DD" w:rsidRDefault="001B77DD">
            <w:pPr>
              <w:rPr>
                <w:rFonts w:ascii="宋体"/>
              </w:rPr>
            </w:pPr>
          </w:p>
        </w:tc>
        <w:tc>
          <w:tcPr>
            <w:tcW w:w="2656" w:type="pct"/>
            <w:shd w:val="clear" w:color="auto" w:fill="auto"/>
            <w:vAlign w:val="bottom"/>
          </w:tcPr>
          <w:p w14:paraId="67534A76" w14:textId="77777777" w:rsidR="001B77DD" w:rsidRDefault="001B77DD">
            <w:pPr>
              <w:rPr>
                <w:rFonts w:ascii="宋体"/>
              </w:rPr>
            </w:pPr>
          </w:p>
        </w:tc>
        <w:tc>
          <w:tcPr>
            <w:tcW w:w="5" w:type="pct"/>
            <w:shd w:val="clear" w:color="auto" w:fill="auto"/>
            <w:vAlign w:val="bottom"/>
          </w:tcPr>
          <w:p w14:paraId="67534A77" w14:textId="77777777" w:rsidR="001B77DD" w:rsidRDefault="001B77DD">
            <w:pPr>
              <w:rPr>
                <w:rFonts w:ascii="宋体"/>
              </w:rPr>
            </w:pPr>
          </w:p>
        </w:tc>
        <w:tc>
          <w:tcPr>
            <w:tcW w:w="50" w:type="pct"/>
            <w:shd w:val="clear" w:color="auto" w:fill="auto"/>
            <w:vAlign w:val="bottom"/>
          </w:tcPr>
          <w:p w14:paraId="67534A78" w14:textId="77777777" w:rsidR="001B77DD" w:rsidRDefault="001B77DD">
            <w:pPr>
              <w:rPr>
                <w:rFonts w:ascii="宋体"/>
              </w:rPr>
            </w:pPr>
          </w:p>
        </w:tc>
        <w:tc>
          <w:tcPr>
            <w:tcW w:w="1894" w:type="pct"/>
            <w:shd w:val="clear" w:color="auto" w:fill="auto"/>
            <w:vAlign w:val="bottom"/>
          </w:tcPr>
          <w:p w14:paraId="67534A79" w14:textId="77777777" w:rsidR="001B77DD" w:rsidRDefault="001B77DD">
            <w:pPr>
              <w:rPr>
                <w:rFonts w:ascii="宋体"/>
              </w:rPr>
            </w:pPr>
          </w:p>
        </w:tc>
        <w:tc>
          <w:tcPr>
            <w:tcW w:w="5" w:type="pct"/>
            <w:shd w:val="clear" w:color="auto" w:fill="auto"/>
            <w:vAlign w:val="bottom"/>
          </w:tcPr>
          <w:p w14:paraId="67534A7A" w14:textId="77777777" w:rsidR="001B77DD" w:rsidRDefault="001B77DD">
            <w:pPr>
              <w:rPr>
                <w:rFonts w:ascii="宋体"/>
              </w:rPr>
            </w:pPr>
          </w:p>
        </w:tc>
      </w:tr>
      <w:tr w:rsidR="001B77DD" w14:paraId="67534A7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A7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97" wp14:editId="67538E98">
                  <wp:extent cx="304800" cy="304800"/>
                  <wp:effectExtent l="0" t="0" r="0" b="0"/>
                  <wp:docPr id="85" name="图片 18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A7D"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A7E" w14:textId="77777777" w:rsidR="001B77DD" w:rsidRDefault="00BF0A28">
            <w:pPr>
              <w:jc w:val="right"/>
              <w:textAlignment w:val="center"/>
            </w:pPr>
            <w:r>
              <w:rPr>
                <w:rFonts w:ascii="Arial" w:eastAsia="宋体" w:hAnsi="Arial" w:cs="Arial"/>
                <w:color w:val="262626"/>
                <w:sz w:val="16"/>
                <w:szCs w:val="16"/>
              </w:rPr>
              <w:t>35</w:t>
            </w:r>
          </w:p>
        </w:tc>
      </w:tr>
    </w:tbl>
    <w:p w14:paraId="67534A80" w14:textId="77777777" w:rsidR="001B77DD" w:rsidRDefault="00BF0A28">
      <w:r>
        <w:pict w14:anchorId="67538E99">
          <v:rect id="_x0000_i1061" style="width:415.3pt;height:1.5pt" o:hralign="center" o:hrstd="t" o:hr="t" fillcolor="#a0a0a0" stroked="f"/>
        </w:pict>
      </w:r>
    </w:p>
    <w:p w14:paraId="67534A81" w14:textId="77777777" w:rsidR="001B77DD" w:rsidRDefault="00BF0A28">
      <w:pPr>
        <w:jc w:val="right"/>
      </w:pPr>
      <w:hyperlink r:id="rId93" w:anchor="i6c9ced68f6b24d58a3dcf326e8c3c699_16" w:history="1">
        <w:r>
          <w:rPr>
            <w:rStyle w:val="a5"/>
            <w:rFonts w:ascii="Arial" w:eastAsia="宋体" w:hAnsi="Arial" w:cs="Arial"/>
            <w:b/>
            <w:bCs/>
            <w:sz w:val="16"/>
            <w:szCs w:val="16"/>
          </w:rPr>
          <w:t>Table of Contents</w:t>
        </w:r>
      </w:hyperlink>
    </w:p>
    <w:p w14:paraId="67534A82" w14:textId="77777777" w:rsidR="001B77DD" w:rsidRDefault="001B77DD">
      <w:pPr>
        <w:jc w:val="right"/>
      </w:pPr>
    </w:p>
    <w:p w14:paraId="67534A83" w14:textId="77777777" w:rsidR="001B77DD" w:rsidRDefault="00BF0A28">
      <w:pPr>
        <w:spacing w:after="120"/>
      </w:pPr>
      <w:r>
        <w:rPr>
          <w:rFonts w:ascii="Arial" w:eastAsia="宋体" w:hAnsi="Arial" w:cs="Arial"/>
          <w:color w:val="0068B5"/>
        </w:rPr>
        <w:t>Financial Performance</w:t>
      </w:r>
    </w:p>
    <w:tbl>
      <w:tblPr>
        <w:tblW w:w="10770" w:type="dxa"/>
        <w:tblCellMar>
          <w:top w:w="15" w:type="dxa"/>
          <w:left w:w="15" w:type="dxa"/>
          <w:bottom w:w="15" w:type="dxa"/>
          <w:right w:w="15" w:type="dxa"/>
        </w:tblCellMar>
        <w:tblLook w:val="04A0" w:firstRow="1" w:lastRow="0" w:firstColumn="1" w:lastColumn="0" w:noHBand="0" w:noVBand="1"/>
      </w:tblPr>
      <w:tblGrid>
        <w:gridCol w:w="36"/>
        <w:gridCol w:w="122"/>
        <w:gridCol w:w="36"/>
        <w:gridCol w:w="36"/>
        <w:gridCol w:w="4747"/>
        <w:gridCol w:w="36"/>
        <w:gridCol w:w="36"/>
        <w:gridCol w:w="654"/>
        <w:gridCol w:w="36"/>
        <w:gridCol w:w="36"/>
        <w:gridCol w:w="4498"/>
        <w:gridCol w:w="36"/>
        <w:gridCol w:w="36"/>
        <w:gridCol w:w="389"/>
        <w:gridCol w:w="36"/>
      </w:tblGrid>
      <w:tr w:rsidR="001B77DD" w14:paraId="67534A93" w14:textId="77777777">
        <w:tc>
          <w:tcPr>
            <w:tcW w:w="20" w:type="dxa"/>
            <w:shd w:val="clear" w:color="auto" w:fill="auto"/>
            <w:vAlign w:val="bottom"/>
          </w:tcPr>
          <w:p w14:paraId="67534A84" w14:textId="77777777" w:rsidR="001B77DD" w:rsidRDefault="001B77DD">
            <w:pPr>
              <w:rPr>
                <w:rFonts w:ascii="宋体"/>
              </w:rPr>
            </w:pPr>
          </w:p>
        </w:tc>
        <w:tc>
          <w:tcPr>
            <w:tcW w:w="125" w:type="dxa"/>
            <w:shd w:val="clear" w:color="auto" w:fill="auto"/>
            <w:vAlign w:val="bottom"/>
          </w:tcPr>
          <w:p w14:paraId="67534A85" w14:textId="77777777" w:rsidR="001B77DD" w:rsidRDefault="001B77DD">
            <w:pPr>
              <w:rPr>
                <w:rFonts w:ascii="宋体"/>
              </w:rPr>
            </w:pPr>
          </w:p>
        </w:tc>
        <w:tc>
          <w:tcPr>
            <w:tcW w:w="20" w:type="dxa"/>
            <w:shd w:val="clear" w:color="auto" w:fill="auto"/>
            <w:vAlign w:val="bottom"/>
          </w:tcPr>
          <w:p w14:paraId="67534A86" w14:textId="77777777" w:rsidR="001B77DD" w:rsidRDefault="001B77DD">
            <w:pPr>
              <w:rPr>
                <w:rFonts w:ascii="宋体"/>
              </w:rPr>
            </w:pPr>
          </w:p>
        </w:tc>
        <w:tc>
          <w:tcPr>
            <w:tcW w:w="20" w:type="dxa"/>
            <w:shd w:val="clear" w:color="auto" w:fill="auto"/>
            <w:vAlign w:val="bottom"/>
          </w:tcPr>
          <w:p w14:paraId="67534A87" w14:textId="77777777" w:rsidR="001B77DD" w:rsidRDefault="001B77DD">
            <w:pPr>
              <w:rPr>
                <w:rFonts w:ascii="宋体"/>
              </w:rPr>
            </w:pPr>
          </w:p>
        </w:tc>
        <w:tc>
          <w:tcPr>
            <w:tcW w:w="4820" w:type="dxa"/>
            <w:shd w:val="clear" w:color="auto" w:fill="auto"/>
            <w:vAlign w:val="bottom"/>
          </w:tcPr>
          <w:p w14:paraId="67534A88" w14:textId="77777777" w:rsidR="001B77DD" w:rsidRDefault="001B77DD">
            <w:pPr>
              <w:rPr>
                <w:rFonts w:ascii="宋体"/>
              </w:rPr>
            </w:pPr>
          </w:p>
        </w:tc>
        <w:tc>
          <w:tcPr>
            <w:tcW w:w="20" w:type="dxa"/>
            <w:shd w:val="clear" w:color="auto" w:fill="auto"/>
            <w:vAlign w:val="bottom"/>
          </w:tcPr>
          <w:p w14:paraId="67534A89" w14:textId="77777777" w:rsidR="001B77DD" w:rsidRDefault="001B77DD">
            <w:pPr>
              <w:rPr>
                <w:rFonts w:ascii="宋体"/>
              </w:rPr>
            </w:pPr>
          </w:p>
        </w:tc>
        <w:tc>
          <w:tcPr>
            <w:tcW w:w="20" w:type="dxa"/>
            <w:shd w:val="clear" w:color="auto" w:fill="auto"/>
            <w:vAlign w:val="bottom"/>
          </w:tcPr>
          <w:p w14:paraId="67534A8A" w14:textId="77777777" w:rsidR="001B77DD" w:rsidRDefault="001B77DD">
            <w:pPr>
              <w:rPr>
                <w:rFonts w:ascii="宋体"/>
              </w:rPr>
            </w:pPr>
          </w:p>
        </w:tc>
        <w:tc>
          <w:tcPr>
            <w:tcW w:w="665" w:type="dxa"/>
            <w:shd w:val="clear" w:color="auto" w:fill="auto"/>
            <w:vAlign w:val="bottom"/>
          </w:tcPr>
          <w:p w14:paraId="67534A8B" w14:textId="77777777" w:rsidR="001B77DD" w:rsidRDefault="001B77DD">
            <w:pPr>
              <w:rPr>
                <w:rFonts w:ascii="宋体"/>
              </w:rPr>
            </w:pPr>
          </w:p>
        </w:tc>
        <w:tc>
          <w:tcPr>
            <w:tcW w:w="20" w:type="dxa"/>
            <w:shd w:val="clear" w:color="auto" w:fill="auto"/>
            <w:vAlign w:val="bottom"/>
          </w:tcPr>
          <w:p w14:paraId="67534A8C" w14:textId="77777777" w:rsidR="001B77DD" w:rsidRDefault="001B77DD">
            <w:pPr>
              <w:rPr>
                <w:rFonts w:ascii="宋体"/>
              </w:rPr>
            </w:pPr>
          </w:p>
        </w:tc>
        <w:tc>
          <w:tcPr>
            <w:tcW w:w="20" w:type="dxa"/>
            <w:shd w:val="clear" w:color="auto" w:fill="auto"/>
            <w:vAlign w:val="bottom"/>
          </w:tcPr>
          <w:p w14:paraId="67534A8D" w14:textId="77777777" w:rsidR="001B77DD" w:rsidRDefault="001B77DD">
            <w:pPr>
              <w:rPr>
                <w:rFonts w:ascii="宋体"/>
              </w:rPr>
            </w:pPr>
          </w:p>
        </w:tc>
        <w:tc>
          <w:tcPr>
            <w:tcW w:w="4565" w:type="dxa"/>
            <w:shd w:val="clear" w:color="auto" w:fill="auto"/>
            <w:vAlign w:val="bottom"/>
          </w:tcPr>
          <w:p w14:paraId="67534A8E" w14:textId="77777777" w:rsidR="001B77DD" w:rsidRDefault="001B77DD">
            <w:pPr>
              <w:rPr>
                <w:rFonts w:ascii="宋体"/>
              </w:rPr>
            </w:pPr>
          </w:p>
        </w:tc>
        <w:tc>
          <w:tcPr>
            <w:tcW w:w="20" w:type="dxa"/>
            <w:shd w:val="clear" w:color="auto" w:fill="auto"/>
            <w:vAlign w:val="bottom"/>
          </w:tcPr>
          <w:p w14:paraId="67534A8F" w14:textId="77777777" w:rsidR="001B77DD" w:rsidRDefault="001B77DD">
            <w:pPr>
              <w:rPr>
                <w:rFonts w:ascii="宋体"/>
              </w:rPr>
            </w:pPr>
          </w:p>
        </w:tc>
        <w:tc>
          <w:tcPr>
            <w:tcW w:w="20" w:type="dxa"/>
            <w:shd w:val="clear" w:color="auto" w:fill="auto"/>
            <w:vAlign w:val="bottom"/>
          </w:tcPr>
          <w:p w14:paraId="67534A90" w14:textId="77777777" w:rsidR="001B77DD" w:rsidRDefault="001B77DD">
            <w:pPr>
              <w:rPr>
                <w:rFonts w:ascii="宋体"/>
              </w:rPr>
            </w:pPr>
          </w:p>
        </w:tc>
        <w:tc>
          <w:tcPr>
            <w:tcW w:w="395" w:type="dxa"/>
            <w:shd w:val="clear" w:color="auto" w:fill="auto"/>
            <w:vAlign w:val="bottom"/>
          </w:tcPr>
          <w:p w14:paraId="67534A91" w14:textId="77777777" w:rsidR="001B77DD" w:rsidRDefault="001B77DD">
            <w:pPr>
              <w:rPr>
                <w:rFonts w:ascii="宋体"/>
              </w:rPr>
            </w:pPr>
          </w:p>
        </w:tc>
        <w:tc>
          <w:tcPr>
            <w:tcW w:w="20" w:type="dxa"/>
            <w:shd w:val="clear" w:color="auto" w:fill="auto"/>
            <w:vAlign w:val="bottom"/>
          </w:tcPr>
          <w:p w14:paraId="67534A92" w14:textId="77777777" w:rsidR="001B77DD" w:rsidRDefault="001B77DD">
            <w:pPr>
              <w:rPr>
                <w:rFonts w:ascii="宋体"/>
              </w:rPr>
            </w:pPr>
          </w:p>
        </w:tc>
      </w:tr>
      <w:tr w:rsidR="001B77DD" w14:paraId="67534A99" w14:textId="77777777">
        <w:trPr>
          <w:trHeight w:val="280"/>
        </w:trPr>
        <w:tc>
          <w:tcPr>
            <w:tcW w:w="0" w:type="auto"/>
            <w:gridSpan w:val="3"/>
            <w:shd w:val="clear" w:color="auto" w:fill="auto"/>
            <w:tcMar>
              <w:top w:w="0" w:type="dxa"/>
              <w:left w:w="20" w:type="dxa"/>
              <w:bottom w:w="0" w:type="dxa"/>
              <w:right w:w="20" w:type="dxa"/>
            </w:tcMar>
            <w:vAlign w:val="bottom"/>
          </w:tcPr>
          <w:p w14:paraId="67534A94"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A95" w14:textId="77777777" w:rsidR="001B77DD" w:rsidRDefault="00BF0A28">
            <w:pPr>
              <w:jc w:val="center"/>
              <w:textAlignment w:val="bottom"/>
            </w:pPr>
            <w:r>
              <w:rPr>
                <w:rFonts w:ascii="Arial" w:eastAsia="宋体" w:hAnsi="Arial" w:cs="Arial"/>
                <w:color w:val="0068B5"/>
                <w:sz w:val="20"/>
                <w:szCs w:val="20"/>
              </w:rPr>
              <w:t>PSG Revenue $B</w:t>
            </w:r>
          </w:p>
        </w:tc>
        <w:tc>
          <w:tcPr>
            <w:tcW w:w="0" w:type="auto"/>
            <w:gridSpan w:val="3"/>
            <w:shd w:val="clear" w:color="auto" w:fill="auto"/>
            <w:tcMar>
              <w:top w:w="0" w:type="dxa"/>
              <w:left w:w="20" w:type="dxa"/>
              <w:bottom w:w="0" w:type="dxa"/>
              <w:right w:w="20" w:type="dxa"/>
            </w:tcMar>
            <w:vAlign w:val="bottom"/>
          </w:tcPr>
          <w:p w14:paraId="67534A96"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A97" w14:textId="77777777" w:rsidR="001B77DD" w:rsidRDefault="00BF0A28">
            <w:pPr>
              <w:jc w:val="center"/>
              <w:textAlignment w:val="bottom"/>
            </w:pPr>
            <w:r>
              <w:rPr>
                <w:rFonts w:ascii="Arial" w:eastAsia="宋体" w:hAnsi="Arial" w:cs="Arial"/>
                <w:color w:val="0068B5"/>
                <w:sz w:val="20"/>
                <w:szCs w:val="20"/>
              </w:rPr>
              <w:t>PSG Operating Income $B</w:t>
            </w:r>
          </w:p>
        </w:tc>
        <w:tc>
          <w:tcPr>
            <w:tcW w:w="0" w:type="auto"/>
            <w:gridSpan w:val="3"/>
            <w:shd w:val="clear" w:color="auto" w:fill="auto"/>
            <w:tcMar>
              <w:top w:w="0" w:type="dxa"/>
              <w:left w:w="20" w:type="dxa"/>
              <w:bottom w:w="0" w:type="dxa"/>
              <w:right w:w="20" w:type="dxa"/>
            </w:tcMar>
            <w:vAlign w:val="bottom"/>
          </w:tcPr>
          <w:p w14:paraId="67534A98" w14:textId="77777777" w:rsidR="001B77DD" w:rsidRDefault="001B77DD">
            <w:pPr>
              <w:rPr>
                <w:rFonts w:ascii="宋体"/>
              </w:rPr>
            </w:pPr>
          </w:p>
        </w:tc>
      </w:tr>
    </w:tbl>
    <w:p w14:paraId="67534A9A" w14:textId="77777777" w:rsidR="001B77DD" w:rsidRDefault="00BF0A2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Viewer4_files/intc-20211225_g89.jpg"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9A" wp14:editId="67538E9B">
            <wp:extent cx="304800" cy="304800"/>
            <wp:effectExtent l="0" t="0" r="0" b="0"/>
            <wp:docPr id="98" name="图片 19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91" descr="IMG_3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Viewer4_files/intc-20211</w:instrText>
      </w:r>
      <w:r>
        <w:rPr>
          <w:rFonts w:ascii="宋体" w:eastAsia="宋体" w:hAnsi="宋体" w:cs="宋体"/>
        </w:rPr>
        <w:instrText xml:space="preserve">225_g90.jpg"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9C" wp14:editId="67538E9D">
            <wp:extent cx="304800" cy="304800"/>
            <wp:effectExtent l="0" t="0" r="0" b="0"/>
            <wp:docPr id="91" name="图片 19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92" descr="IMG_3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A9E" w14:textId="77777777">
        <w:tc>
          <w:tcPr>
            <w:tcW w:w="50" w:type="pct"/>
            <w:shd w:val="clear" w:color="auto" w:fill="auto"/>
            <w:vAlign w:val="bottom"/>
          </w:tcPr>
          <w:p w14:paraId="67534A9B" w14:textId="77777777" w:rsidR="001B77DD" w:rsidRDefault="001B77DD">
            <w:pPr>
              <w:rPr>
                <w:rFonts w:ascii="宋体"/>
              </w:rPr>
            </w:pPr>
          </w:p>
        </w:tc>
        <w:tc>
          <w:tcPr>
            <w:tcW w:w="4945" w:type="pct"/>
            <w:shd w:val="clear" w:color="auto" w:fill="auto"/>
            <w:vAlign w:val="bottom"/>
          </w:tcPr>
          <w:p w14:paraId="67534A9C" w14:textId="77777777" w:rsidR="001B77DD" w:rsidRDefault="001B77DD">
            <w:pPr>
              <w:rPr>
                <w:rFonts w:ascii="宋体"/>
              </w:rPr>
            </w:pPr>
          </w:p>
        </w:tc>
        <w:tc>
          <w:tcPr>
            <w:tcW w:w="5" w:type="pct"/>
            <w:shd w:val="clear" w:color="auto" w:fill="auto"/>
            <w:vAlign w:val="bottom"/>
          </w:tcPr>
          <w:p w14:paraId="67534A9D" w14:textId="77777777" w:rsidR="001B77DD" w:rsidRDefault="001B77DD">
            <w:pPr>
              <w:rPr>
                <w:rFonts w:ascii="宋体"/>
              </w:rPr>
            </w:pPr>
          </w:p>
        </w:tc>
      </w:tr>
      <w:tr w:rsidR="001B77DD" w14:paraId="67534AA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A9F" w14:textId="77777777" w:rsidR="001B77DD" w:rsidRDefault="00BF0A28">
            <w:pPr>
              <w:textAlignment w:val="bottom"/>
            </w:pPr>
            <w:r>
              <w:rPr>
                <w:rFonts w:ascii="Arial" w:eastAsia="宋体" w:hAnsi="Arial" w:cs="Arial"/>
                <w:color w:val="0068B5"/>
                <w:sz w:val="20"/>
                <w:szCs w:val="20"/>
              </w:rPr>
              <w:t>Revenue Summary</w:t>
            </w:r>
          </w:p>
        </w:tc>
      </w:tr>
    </w:tbl>
    <w:p w14:paraId="67534AA1" w14:textId="77777777" w:rsidR="001B77DD" w:rsidRDefault="00BF0A28">
      <w:pPr>
        <w:spacing w:after="120"/>
      </w:pPr>
      <w:r>
        <w:rPr>
          <w:rFonts w:ascii="Arial" w:eastAsia="宋体" w:hAnsi="Arial" w:cs="Arial"/>
          <w:color w:val="0068B5"/>
          <w:sz w:val="20"/>
          <w:szCs w:val="20"/>
        </w:rPr>
        <w:t>2021 vs. 2020</w:t>
      </w:r>
    </w:p>
    <w:p w14:paraId="67534AA2" w14:textId="77777777" w:rsidR="001B77DD" w:rsidRDefault="00BF0A28">
      <w:pPr>
        <w:spacing w:after="180"/>
      </w:pPr>
      <w:r>
        <w:rPr>
          <w:rFonts w:ascii="Arial" w:eastAsia="宋体" w:hAnsi="Arial" w:cs="Arial"/>
          <w:color w:val="262626"/>
          <w:sz w:val="18"/>
          <w:szCs w:val="18"/>
        </w:rPr>
        <w:t>Revenue increased</w:t>
      </w:r>
      <w:r>
        <w:rPr>
          <w:rFonts w:ascii="Arial" w:eastAsia="宋体" w:hAnsi="Arial" w:cs="Arial"/>
          <w:color w:val="262626"/>
          <w:sz w:val="20"/>
          <w:szCs w:val="20"/>
        </w:rPr>
        <w:t xml:space="preserve"> </w:t>
      </w:r>
      <w:r>
        <w:rPr>
          <w:rFonts w:ascii="Arial" w:eastAsia="宋体" w:hAnsi="Arial" w:cs="Arial"/>
          <w:color w:val="262626"/>
          <w:sz w:val="18"/>
          <w:szCs w:val="18"/>
        </w:rPr>
        <w:t xml:space="preserve">$81 million, driven by recovery in the embedded and communications market segments from COVID-19 lows, partially offset by customer inventory digestion in the </w:t>
      </w:r>
      <w:r>
        <w:rPr>
          <w:rFonts w:ascii="Arial" w:eastAsia="宋体" w:hAnsi="Arial" w:cs="Arial"/>
          <w:color w:val="262626"/>
          <w:sz w:val="18"/>
          <w:szCs w:val="18"/>
        </w:rPr>
        <w:t>cloud market segment.</w:t>
      </w:r>
    </w:p>
    <w:p w14:paraId="67534AA3" w14:textId="77777777" w:rsidR="001B77DD" w:rsidRDefault="00BF0A28">
      <w:pPr>
        <w:spacing w:after="120"/>
      </w:pPr>
      <w:r>
        <w:rPr>
          <w:rFonts w:ascii="Arial" w:eastAsia="宋体" w:hAnsi="Arial" w:cs="Arial"/>
          <w:color w:val="0068B5"/>
          <w:sz w:val="20"/>
          <w:szCs w:val="20"/>
        </w:rPr>
        <w:t>2020 vs. 2019</w:t>
      </w:r>
    </w:p>
    <w:p w14:paraId="67534AA4" w14:textId="77777777" w:rsidR="001B77DD" w:rsidRDefault="00BF0A28">
      <w:pPr>
        <w:spacing w:after="180"/>
      </w:pPr>
      <w:r>
        <w:rPr>
          <w:rFonts w:ascii="Arial" w:eastAsia="宋体" w:hAnsi="Arial" w:cs="Arial"/>
          <w:color w:val="262626"/>
          <w:sz w:val="18"/>
          <w:szCs w:val="18"/>
        </w:rPr>
        <w:t xml:space="preserve">Revenue decreased $134 million, driven by a decline in our communications market segment due to customer transition to 5G ASICs that benefited DCG adjacencies, and decline in our embedded market segment. The decline was </w:t>
      </w:r>
      <w:r>
        <w:rPr>
          <w:rFonts w:ascii="Arial" w:eastAsia="宋体" w:hAnsi="Arial" w:cs="Arial"/>
          <w:color w:val="262626"/>
          <w:sz w:val="18"/>
          <w:szCs w:val="18"/>
        </w:rPr>
        <w:t>partially offset by strength in the cloud and enterprise market segment.</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1B77DD" w14:paraId="67534AA8" w14:textId="77777777">
        <w:tc>
          <w:tcPr>
            <w:tcW w:w="50" w:type="pct"/>
            <w:shd w:val="clear" w:color="auto" w:fill="auto"/>
            <w:vAlign w:val="bottom"/>
          </w:tcPr>
          <w:p w14:paraId="67534AA5" w14:textId="77777777" w:rsidR="001B77DD" w:rsidRDefault="001B77DD">
            <w:pPr>
              <w:rPr>
                <w:rFonts w:ascii="宋体"/>
              </w:rPr>
            </w:pPr>
          </w:p>
        </w:tc>
        <w:tc>
          <w:tcPr>
            <w:tcW w:w="4945" w:type="pct"/>
            <w:shd w:val="clear" w:color="auto" w:fill="auto"/>
            <w:vAlign w:val="bottom"/>
          </w:tcPr>
          <w:p w14:paraId="67534AA6" w14:textId="77777777" w:rsidR="001B77DD" w:rsidRDefault="001B77DD">
            <w:pPr>
              <w:rPr>
                <w:rFonts w:ascii="宋体"/>
              </w:rPr>
            </w:pPr>
          </w:p>
        </w:tc>
        <w:tc>
          <w:tcPr>
            <w:tcW w:w="5" w:type="pct"/>
            <w:shd w:val="clear" w:color="auto" w:fill="auto"/>
            <w:vAlign w:val="bottom"/>
          </w:tcPr>
          <w:p w14:paraId="67534AA7" w14:textId="77777777" w:rsidR="001B77DD" w:rsidRDefault="001B77DD">
            <w:pPr>
              <w:rPr>
                <w:rFonts w:ascii="宋体"/>
              </w:rPr>
            </w:pPr>
          </w:p>
        </w:tc>
      </w:tr>
      <w:tr w:rsidR="001B77DD" w14:paraId="67534AAA"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AA9" w14:textId="77777777" w:rsidR="001B77DD" w:rsidRDefault="00BF0A28">
            <w:pPr>
              <w:textAlignment w:val="bottom"/>
            </w:pPr>
            <w:r>
              <w:rPr>
                <w:rFonts w:ascii="Arial" w:eastAsia="宋体" w:hAnsi="Arial" w:cs="Arial"/>
                <w:color w:val="0068B5"/>
                <w:sz w:val="20"/>
                <w:szCs w:val="20"/>
              </w:rPr>
              <w:t>Operating Income Summary</w:t>
            </w:r>
          </w:p>
        </w:tc>
      </w:tr>
    </w:tbl>
    <w:p w14:paraId="67534AAB" w14:textId="77777777" w:rsidR="001B77DD" w:rsidRDefault="00BF0A28">
      <w:pPr>
        <w:spacing w:after="120"/>
      </w:pPr>
      <w:r>
        <w:rPr>
          <w:rFonts w:ascii="Arial" w:eastAsia="宋体" w:hAnsi="Arial" w:cs="Arial"/>
          <w:color w:val="0068B5"/>
          <w:sz w:val="20"/>
          <w:szCs w:val="20"/>
        </w:rPr>
        <w:t>2021 vs. 2020</w:t>
      </w:r>
    </w:p>
    <w:p w14:paraId="67534AAC" w14:textId="77777777" w:rsidR="001B77DD" w:rsidRDefault="00BF0A28">
      <w:pPr>
        <w:spacing w:after="180"/>
      </w:pPr>
      <w:r>
        <w:rPr>
          <w:rFonts w:ascii="Arial" w:eastAsia="宋体" w:hAnsi="Arial" w:cs="Arial"/>
          <w:color w:val="262626"/>
          <w:sz w:val="18"/>
          <w:szCs w:val="18"/>
        </w:rPr>
        <w:t xml:space="preserve">Operating income increased $37 million, driven by higher revenue due to recovery in the embedded and communications market segments from COVID-19 lows, partially offset by a decrease in the cloud market segment. </w:t>
      </w:r>
    </w:p>
    <w:p w14:paraId="67534AAD" w14:textId="77777777" w:rsidR="001B77DD" w:rsidRDefault="00BF0A28">
      <w:pPr>
        <w:spacing w:after="120"/>
      </w:pPr>
      <w:r>
        <w:rPr>
          <w:rFonts w:ascii="Arial" w:eastAsia="宋体" w:hAnsi="Arial" w:cs="Arial"/>
          <w:color w:val="0068B5"/>
          <w:sz w:val="20"/>
          <w:szCs w:val="20"/>
        </w:rPr>
        <w:t>2020 vs. 2019</w:t>
      </w:r>
    </w:p>
    <w:p w14:paraId="67534AAE" w14:textId="77777777" w:rsidR="001B77DD" w:rsidRDefault="00BF0A28">
      <w:pPr>
        <w:spacing w:after="180"/>
      </w:pPr>
      <w:r>
        <w:rPr>
          <w:rFonts w:ascii="Arial" w:eastAsia="宋体" w:hAnsi="Arial" w:cs="Arial"/>
          <w:color w:val="262626"/>
          <w:sz w:val="18"/>
          <w:szCs w:val="18"/>
        </w:rPr>
        <w:t xml:space="preserve">Operating income </w:t>
      </w:r>
      <w:r>
        <w:rPr>
          <w:rFonts w:ascii="Arial" w:eastAsia="宋体" w:hAnsi="Arial" w:cs="Arial"/>
          <w:color w:val="262626"/>
          <w:sz w:val="18"/>
          <w:szCs w:val="18"/>
        </w:rPr>
        <w:t>decreased $58 million, driven by lower revenue in our embedded and communications market segments, partially offset by strength in the cloud and enterprise market segment</w:t>
      </w:r>
    </w:p>
    <w:p w14:paraId="67534AAF" w14:textId="77777777" w:rsidR="001B77DD" w:rsidRDefault="001B77DD">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AB9" w14:textId="77777777">
        <w:tc>
          <w:tcPr>
            <w:tcW w:w="50" w:type="pct"/>
            <w:shd w:val="clear" w:color="auto" w:fill="auto"/>
            <w:vAlign w:val="bottom"/>
          </w:tcPr>
          <w:p w14:paraId="67534AB0" w14:textId="77777777" w:rsidR="001B77DD" w:rsidRDefault="001B77DD">
            <w:pPr>
              <w:rPr>
                <w:rFonts w:ascii="宋体"/>
              </w:rPr>
            </w:pPr>
          </w:p>
        </w:tc>
        <w:tc>
          <w:tcPr>
            <w:tcW w:w="283" w:type="pct"/>
            <w:shd w:val="clear" w:color="auto" w:fill="auto"/>
            <w:vAlign w:val="bottom"/>
          </w:tcPr>
          <w:p w14:paraId="67534AB1" w14:textId="77777777" w:rsidR="001B77DD" w:rsidRDefault="001B77DD">
            <w:pPr>
              <w:rPr>
                <w:rFonts w:ascii="宋体"/>
              </w:rPr>
            </w:pPr>
          </w:p>
        </w:tc>
        <w:tc>
          <w:tcPr>
            <w:tcW w:w="5" w:type="pct"/>
            <w:shd w:val="clear" w:color="auto" w:fill="auto"/>
            <w:vAlign w:val="bottom"/>
          </w:tcPr>
          <w:p w14:paraId="67534AB2" w14:textId="77777777" w:rsidR="001B77DD" w:rsidRDefault="001B77DD">
            <w:pPr>
              <w:rPr>
                <w:rFonts w:ascii="宋体"/>
              </w:rPr>
            </w:pPr>
          </w:p>
        </w:tc>
        <w:tc>
          <w:tcPr>
            <w:tcW w:w="50" w:type="pct"/>
            <w:shd w:val="clear" w:color="auto" w:fill="auto"/>
            <w:vAlign w:val="bottom"/>
          </w:tcPr>
          <w:p w14:paraId="67534AB3" w14:textId="77777777" w:rsidR="001B77DD" w:rsidRDefault="001B77DD">
            <w:pPr>
              <w:rPr>
                <w:rFonts w:ascii="宋体"/>
              </w:rPr>
            </w:pPr>
          </w:p>
        </w:tc>
        <w:tc>
          <w:tcPr>
            <w:tcW w:w="2656" w:type="pct"/>
            <w:shd w:val="clear" w:color="auto" w:fill="auto"/>
            <w:vAlign w:val="bottom"/>
          </w:tcPr>
          <w:p w14:paraId="67534AB4" w14:textId="77777777" w:rsidR="001B77DD" w:rsidRDefault="001B77DD">
            <w:pPr>
              <w:rPr>
                <w:rFonts w:ascii="宋体"/>
              </w:rPr>
            </w:pPr>
          </w:p>
        </w:tc>
        <w:tc>
          <w:tcPr>
            <w:tcW w:w="5" w:type="pct"/>
            <w:shd w:val="clear" w:color="auto" w:fill="auto"/>
            <w:vAlign w:val="bottom"/>
          </w:tcPr>
          <w:p w14:paraId="67534AB5" w14:textId="77777777" w:rsidR="001B77DD" w:rsidRDefault="001B77DD">
            <w:pPr>
              <w:rPr>
                <w:rFonts w:ascii="宋体"/>
              </w:rPr>
            </w:pPr>
          </w:p>
        </w:tc>
        <w:tc>
          <w:tcPr>
            <w:tcW w:w="50" w:type="pct"/>
            <w:shd w:val="clear" w:color="auto" w:fill="auto"/>
            <w:vAlign w:val="bottom"/>
          </w:tcPr>
          <w:p w14:paraId="67534AB6" w14:textId="77777777" w:rsidR="001B77DD" w:rsidRDefault="001B77DD">
            <w:pPr>
              <w:rPr>
                <w:rFonts w:ascii="宋体"/>
              </w:rPr>
            </w:pPr>
          </w:p>
        </w:tc>
        <w:tc>
          <w:tcPr>
            <w:tcW w:w="1894" w:type="pct"/>
            <w:shd w:val="clear" w:color="auto" w:fill="auto"/>
            <w:vAlign w:val="bottom"/>
          </w:tcPr>
          <w:p w14:paraId="67534AB7" w14:textId="77777777" w:rsidR="001B77DD" w:rsidRDefault="001B77DD">
            <w:pPr>
              <w:rPr>
                <w:rFonts w:ascii="宋体"/>
              </w:rPr>
            </w:pPr>
          </w:p>
        </w:tc>
        <w:tc>
          <w:tcPr>
            <w:tcW w:w="5" w:type="pct"/>
            <w:shd w:val="clear" w:color="auto" w:fill="auto"/>
            <w:vAlign w:val="bottom"/>
          </w:tcPr>
          <w:p w14:paraId="67534AB8" w14:textId="77777777" w:rsidR="001B77DD" w:rsidRDefault="001B77DD">
            <w:pPr>
              <w:rPr>
                <w:rFonts w:ascii="宋体"/>
              </w:rPr>
            </w:pPr>
          </w:p>
        </w:tc>
      </w:tr>
      <w:tr w:rsidR="001B77DD" w14:paraId="67534AB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AB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9E" wp14:editId="67538E9F">
                  <wp:extent cx="304800" cy="304800"/>
                  <wp:effectExtent l="0" t="0" r="0" b="0"/>
                  <wp:docPr id="89" name="图片 19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9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ABB"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ABC" w14:textId="77777777" w:rsidR="001B77DD" w:rsidRDefault="00BF0A28">
            <w:pPr>
              <w:jc w:val="right"/>
              <w:textAlignment w:val="center"/>
            </w:pPr>
            <w:r>
              <w:rPr>
                <w:rFonts w:ascii="Arial" w:eastAsia="宋体" w:hAnsi="Arial" w:cs="Arial"/>
                <w:color w:val="262626"/>
                <w:sz w:val="16"/>
                <w:szCs w:val="16"/>
              </w:rPr>
              <w:t>36</w:t>
            </w:r>
          </w:p>
        </w:tc>
      </w:tr>
    </w:tbl>
    <w:p w14:paraId="67534ABE" w14:textId="77777777" w:rsidR="001B77DD" w:rsidRDefault="00BF0A28">
      <w:r>
        <w:pict w14:anchorId="67538EA0">
          <v:rect id="_x0000_i1062" style="width:415.3pt;height:1.5pt" o:hralign="center" o:hrstd="t" o:hr="t" fillcolor="#a0a0a0" stroked="f"/>
        </w:pict>
      </w:r>
    </w:p>
    <w:p w14:paraId="67534ABF" w14:textId="77777777" w:rsidR="001B77DD" w:rsidRDefault="00BF0A28">
      <w:pPr>
        <w:jc w:val="right"/>
      </w:pPr>
      <w:hyperlink r:id="rId94" w:anchor="i6c9ced68f6b24d58a3dcf326e8c3c699_16" w:history="1">
        <w:r>
          <w:rPr>
            <w:rStyle w:val="a5"/>
            <w:rFonts w:ascii="Arial" w:eastAsia="宋体" w:hAnsi="Arial" w:cs="Arial"/>
            <w:b/>
            <w:bCs/>
            <w:sz w:val="16"/>
            <w:szCs w:val="16"/>
          </w:rPr>
          <w:t>Table of Contents</w:t>
        </w:r>
      </w:hyperlink>
    </w:p>
    <w:p w14:paraId="67534AC0"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4AC7" w14:textId="77777777">
        <w:tc>
          <w:tcPr>
            <w:tcW w:w="50" w:type="pct"/>
            <w:shd w:val="clear" w:color="auto" w:fill="auto"/>
            <w:vAlign w:val="bottom"/>
          </w:tcPr>
          <w:p w14:paraId="67534AC1" w14:textId="77777777" w:rsidR="001B77DD" w:rsidRDefault="001B77DD">
            <w:pPr>
              <w:rPr>
                <w:rFonts w:ascii="宋体"/>
              </w:rPr>
            </w:pPr>
          </w:p>
        </w:tc>
        <w:tc>
          <w:tcPr>
            <w:tcW w:w="4870" w:type="pct"/>
            <w:shd w:val="clear" w:color="auto" w:fill="auto"/>
            <w:vAlign w:val="bottom"/>
          </w:tcPr>
          <w:p w14:paraId="67534AC2" w14:textId="77777777" w:rsidR="001B77DD" w:rsidRDefault="001B77DD">
            <w:pPr>
              <w:rPr>
                <w:rFonts w:ascii="宋体"/>
              </w:rPr>
            </w:pPr>
          </w:p>
        </w:tc>
        <w:tc>
          <w:tcPr>
            <w:tcW w:w="5" w:type="pct"/>
            <w:shd w:val="clear" w:color="auto" w:fill="auto"/>
            <w:vAlign w:val="bottom"/>
          </w:tcPr>
          <w:p w14:paraId="67534AC3" w14:textId="77777777" w:rsidR="001B77DD" w:rsidRDefault="001B77DD">
            <w:pPr>
              <w:rPr>
                <w:rFonts w:ascii="宋体"/>
              </w:rPr>
            </w:pPr>
          </w:p>
        </w:tc>
        <w:tc>
          <w:tcPr>
            <w:tcW w:w="5" w:type="pct"/>
            <w:shd w:val="clear" w:color="auto" w:fill="auto"/>
            <w:vAlign w:val="bottom"/>
          </w:tcPr>
          <w:p w14:paraId="67534AC4" w14:textId="77777777" w:rsidR="001B77DD" w:rsidRDefault="001B77DD">
            <w:pPr>
              <w:rPr>
                <w:rFonts w:ascii="宋体"/>
              </w:rPr>
            </w:pPr>
          </w:p>
        </w:tc>
        <w:tc>
          <w:tcPr>
            <w:tcW w:w="64" w:type="pct"/>
            <w:shd w:val="clear" w:color="auto" w:fill="auto"/>
            <w:vAlign w:val="bottom"/>
          </w:tcPr>
          <w:p w14:paraId="67534AC5" w14:textId="77777777" w:rsidR="001B77DD" w:rsidRDefault="001B77DD">
            <w:pPr>
              <w:rPr>
                <w:rFonts w:ascii="宋体"/>
              </w:rPr>
            </w:pPr>
          </w:p>
        </w:tc>
        <w:tc>
          <w:tcPr>
            <w:tcW w:w="5" w:type="pct"/>
            <w:shd w:val="clear" w:color="auto" w:fill="auto"/>
            <w:vAlign w:val="bottom"/>
          </w:tcPr>
          <w:p w14:paraId="67534AC6" w14:textId="77777777" w:rsidR="001B77DD" w:rsidRDefault="001B77DD">
            <w:pPr>
              <w:rPr>
                <w:rFonts w:ascii="宋体"/>
              </w:rPr>
            </w:pPr>
          </w:p>
        </w:tc>
      </w:tr>
      <w:tr w:rsidR="001B77DD" w14:paraId="67534ACA" w14:textId="77777777">
        <w:tc>
          <w:tcPr>
            <w:tcW w:w="0" w:type="auto"/>
            <w:gridSpan w:val="3"/>
            <w:shd w:val="clear" w:color="auto" w:fill="004A86"/>
            <w:tcMar>
              <w:top w:w="40" w:type="dxa"/>
              <w:left w:w="20" w:type="dxa"/>
              <w:bottom w:w="40" w:type="dxa"/>
              <w:right w:w="20" w:type="dxa"/>
            </w:tcMar>
            <w:vAlign w:val="center"/>
          </w:tcPr>
          <w:p w14:paraId="67534AC8" w14:textId="77777777" w:rsidR="001B77DD" w:rsidRDefault="00BF0A28">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vAlign w:val="bottom"/>
          </w:tcPr>
          <w:p w14:paraId="67534AC9" w14:textId="77777777" w:rsidR="001B77DD" w:rsidRDefault="001B77DD">
            <w:pPr>
              <w:rPr>
                <w:rFonts w:ascii="宋体"/>
              </w:rPr>
            </w:pPr>
          </w:p>
        </w:tc>
      </w:tr>
      <w:tr w:rsidR="001B77DD" w14:paraId="67534ACD" w14:textId="77777777">
        <w:trPr>
          <w:trHeight w:val="160"/>
        </w:trPr>
        <w:tc>
          <w:tcPr>
            <w:tcW w:w="0" w:type="auto"/>
            <w:gridSpan w:val="3"/>
            <w:shd w:val="clear" w:color="auto" w:fill="auto"/>
            <w:tcMar>
              <w:top w:w="0" w:type="dxa"/>
              <w:left w:w="20" w:type="dxa"/>
              <w:bottom w:w="0" w:type="dxa"/>
              <w:right w:w="20" w:type="dxa"/>
            </w:tcMar>
            <w:vAlign w:val="bottom"/>
          </w:tcPr>
          <w:p w14:paraId="67534ACB"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4ACC" w14:textId="77777777" w:rsidR="001B77DD" w:rsidRDefault="001B77DD">
            <w:pPr>
              <w:rPr>
                <w:rFonts w:ascii="宋体"/>
              </w:rPr>
            </w:pPr>
          </w:p>
        </w:tc>
      </w:tr>
    </w:tbl>
    <w:p w14:paraId="67534ACE" w14:textId="77777777" w:rsidR="001B77DD" w:rsidRDefault="00BF0A28">
      <w:pPr>
        <w:spacing w:after="180"/>
      </w:pPr>
      <w:r>
        <w:rPr>
          <w:rFonts w:ascii="Arial" w:eastAsia="宋体" w:hAnsi="Arial" w:cs="Arial"/>
          <w:color w:val="262626"/>
          <w:sz w:val="18"/>
          <w:szCs w:val="18"/>
        </w:rPr>
        <w:t xml:space="preserve">For additional key </w:t>
      </w:r>
      <w:r>
        <w:rPr>
          <w:rFonts w:ascii="Arial" w:eastAsia="宋体" w:hAnsi="Arial" w:cs="Arial"/>
          <w:color w:val="262626"/>
          <w:sz w:val="18"/>
          <w:szCs w:val="18"/>
        </w:rPr>
        <w:t>highlights of our results of operations, see "A Year in Review."</w:t>
      </w:r>
    </w:p>
    <w:tbl>
      <w:tblPr>
        <w:tblW w:w="10935" w:type="dxa"/>
        <w:tblCellMar>
          <w:top w:w="15" w:type="dxa"/>
          <w:left w:w="15" w:type="dxa"/>
          <w:bottom w:w="15" w:type="dxa"/>
          <w:right w:w="15" w:type="dxa"/>
        </w:tblCellMar>
        <w:tblLook w:val="04A0" w:firstRow="1" w:lastRow="0" w:firstColumn="1" w:lastColumn="0" w:noHBand="0" w:noVBand="1"/>
      </w:tblPr>
      <w:tblGrid>
        <w:gridCol w:w="36"/>
        <w:gridCol w:w="3369"/>
        <w:gridCol w:w="36"/>
        <w:gridCol w:w="36"/>
        <w:gridCol w:w="36"/>
        <w:gridCol w:w="36"/>
        <w:gridCol w:w="121"/>
        <w:gridCol w:w="963"/>
        <w:gridCol w:w="36"/>
        <w:gridCol w:w="36"/>
        <w:gridCol w:w="36"/>
        <w:gridCol w:w="36"/>
        <w:gridCol w:w="36"/>
        <w:gridCol w:w="945"/>
        <w:gridCol w:w="181"/>
        <w:gridCol w:w="36"/>
        <w:gridCol w:w="36"/>
        <w:gridCol w:w="36"/>
        <w:gridCol w:w="121"/>
        <w:gridCol w:w="963"/>
        <w:gridCol w:w="36"/>
        <w:gridCol w:w="36"/>
        <w:gridCol w:w="36"/>
        <w:gridCol w:w="36"/>
        <w:gridCol w:w="36"/>
        <w:gridCol w:w="945"/>
        <w:gridCol w:w="181"/>
        <w:gridCol w:w="36"/>
        <w:gridCol w:w="36"/>
        <w:gridCol w:w="36"/>
        <w:gridCol w:w="121"/>
        <w:gridCol w:w="963"/>
        <w:gridCol w:w="36"/>
        <w:gridCol w:w="36"/>
        <w:gridCol w:w="36"/>
        <w:gridCol w:w="36"/>
        <w:gridCol w:w="36"/>
        <w:gridCol w:w="945"/>
        <w:gridCol w:w="181"/>
      </w:tblGrid>
      <w:tr w:rsidR="001B77DD" w14:paraId="67534AF6" w14:textId="77777777">
        <w:tc>
          <w:tcPr>
            <w:tcW w:w="20" w:type="dxa"/>
            <w:shd w:val="clear" w:color="auto" w:fill="auto"/>
            <w:vAlign w:val="bottom"/>
          </w:tcPr>
          <w:p w14:paraId="67534ACF" w14:textId="77777777" w:rsidR="001B77DD" w:rsidRDefault="001B77DD">
            <w:pPr>
              <w:rPr>
                <w:rFonts w:ascii="宋体"/>
              </w:rPr>
            </w:pPr>
          </w:p>
        </w:tc>
        <w:tc>
          <w:tcPr>
            <w:tcW w:w="3920" w:type="dxa"/>
            <w:shd w:val="clear" w:color="auto" w:fill="auto"/>
            <w:vAlign w:val="bottom"/>
          </w:tcPr>
          <w:p w14:paraId="67534AD0" w14:textId="77777777" w:rsidR="001B77DD" w:rsidRDefault="001B77DD">
            <w:pPr>
              <w:rPr>
                <w:rFonts w:ascii="宋体"/>
              </w:rPr>
            </w:pPr>
          </w:p>
        </w:tc>
        <w:tc>
          <w:tcPr>
            <w:tcW w:w="20" w:type="dxa"/>
            <w:shd w:val="clear" w:color="auto" w:fill="auto"/>
            <w:vAlign w:val="bottom"/>
          </w:tcPr>
          <w:p w14:paraId="67534AD1" w14:textId="77777777" w:rsidR="001B77DD" w:rsidRDefault="001B77DD">
            <w:pPr>
              <w:rPr>
                <w:rFonts w:ascii="宋体"/>
              </w:rPr>
            </w:pPr>
          </w:p>
        </w:tc>
        <w:tc>
          <w:tcPr>
            <w:tcW w:w="20" w:type="dxa"/>
            <w:shd w:val="clear" w:color="auto" w:fill="auto"/>
            <w:vAlign w:val="bottom"/>
          </w:tcPr>
          <w:p w14:paraId="67534AD2" w14:textId="77777777" w:rsidR="001B77DD" w:rsidRDefault="001B77DD">
            <w:pPr>
              <w:rPr>
                <w:rFonts w:ascii="宋体"/>
              </w:rPr>
            </w:pPr>
          </w:p>
        </w:tc>
        <w:tc>
          <w:tcPr>
            <w:tcW w:w="35" w:type="dxa"/>
            <w:shd w:val="clear" w:color="auto" w:fill="auto"/>
            <w:vAlign w:val="bottom"/>
          </w:tcPr>
          <w:p w14:paraId="67534AD3" w14:textId="77777777" w:rsidR="001B77DD" w:rsidRDefault="001B77DD">
            <w:pPr>
              <w:rPr>
                <w:rFonts w:ascii="宋体"/>
              </w:rPr>
            </w:pPr>
          </w:p>
        </w:tc>
        <w:tc>
          <w:tcPr>
            <w:tcW w:w="20" w:type="dxa"/>
            <w:shd w:val="clear" w:color="auto" w:fill="auto"/>
            <w:vAlign w:val="bottom"/>
          </w:tcPr>
          <w:p w14:paraId="67534AD4" w14:textId="77777777" w:rsidR="001B77DD" w:rsidRDefault="001B77DD">
            <w:pPr>
              <w:rPr>
                <w:rFonts w:ascii="宋体"/>
              </w:rPr>
            </w:pPr>
          </w:p>
        </w:tc>
        <w:tc>
          <w:tcPr>
            <w:tcW w:w="20" w:type="dxa"/>
            <w:shd w:val="clear" w:color="auto" w:fill="auto"/>
            <w:vAlign w:val="bottom"/>
          </w:tcPr>
          <w:p w14:paraId="67534AD5" w14:textId="77777777" w:rsidR="001B77DD" w:rsidRDefault="001B77DD">
            <w:pPr>
              <w:rPr>
                <w:rFonts w:ascii="宋体"/>
              </w:rPr>
            </w:pPr>
          </w:p>
        </w:tc>
        <w:tc>
          <w:tcPr>
            <w:tcW w:w="1055" w:type="dxa"/>
            <w:shd w:val="clear" w:color="auto" w:fill="auto"/>
            <w:vAlign w:val="bottom"/>
          </w:tcPr>
          <w:p w14:paraId="67534AD6" w14:textId="77777777" w:rsidR="001B77DD" w:rsidRDefault="001B77DD">
            <w:pPr>
              <w:rPr>
                <w:rFonts w:ascii="宋体"/>
              </w:rPr>
            </w:pPr>
          </w:p>
        </w:tc>
        <w:tc>
          <w:tcPr>
            <w:tcW w:w="20" w:type="dxa"/>
            <w:shd w:val="clear" w:color="auto" w:fill="auto"/>
            <w:vAlign w:val="bottom"/>
          </w:tcPr>
          <w:p w14:paraId="67534AD7" w14:textId="77777777" w:rsidR="001B77DD" w:rsidRDefault="001B77DD">
            <w:pPr>
              <w:rPr>
                <w:rFonts w:ascii="宋体"/>
              </w:rPr>
            </w:pPr>
          </w:p>
        </w:tc>
        <w:tc>
          <w:tcPr>
            <w:tcW w:w="20" w:type="dxa"/>
            <w:shd w:val="clear" w:color="auto" w:fill="auto"/>
            <w:vAlign w:val="bottom"/>
          </w:tcPr>
          <w:p w14:paraId="67534AD8" w14:textId="77777777" w:rsidR="001B77DD" w:rsidRDefault="001B77DD">
            <w:pPr>
              <w:rPr>
                <w:rFonts w:ascii="宋体"/>
              </w:rPr>
            </w:pPr>
          </w:p>
        </w:tc>
        <w:tc>
          <w:tcPr>
            <w:tcW w:w="35" w:type="dxa"/>
            <w:shd w:val="clear" w:color="auto" w:fill="auto"/>
            <w:vAlign w:val="bottom"/>
          </w:tcPr>
          <w:p w14:paraId="67534AD9" w14:textId="77777777" w:rsidR="001B77DD" w:rsidRDefault="001B77DD">
            <w:pPr>
              <w:rPr>
                <w:rFonts w:ascii="宋体"/>
              </w:rPr>
            </w:pPr>
          </w:p>
        </w:tc>
        <w:tc>
          <w:tcPr>
            <w:tcW w:w="20" w:type="dxa"/>
            <w:shd w:val="clear" w:color="auto" w:fill="auto"/>
            <w:vAlign w:val="bottom"/>
          </w:tcPr>
          <w:p w14:paraId="67534ADA" w14:textId="77777777" w:rsidR="001B77DD" w:rsidRDefault="001B77DD">
            <w:pPr>
              <w:rPr>
                <w:rFonts w:ascii="宋体"/>
              </w:rPr>
            </w:pPr>
          </w:p>
        </w:tc>
        <w:tc>
          <w:tcPr>
            <w:tcW w:w="20" w:type="dxa"/>
            <w:shd w:val="clear" w:color="auto" w:fill="auto"/>
            <w:vAlign w:val="bottom"/>
          </w:tcPr>
          <w:p w14:paraId="67534ADB" w14:textId="77777777" w:rsidR="001B77DD" w:rsidRDefault="001B77DD">
            <w:pPr>
              <w:rPr>
                <w:rFonts w:ascii="宋体"/>
              </w:rPr>
            </w:pPr>
          </w:p>
        </w:tc>
        <w:tc>
          <w:tcPr>
            <w:tcW w:w="1040" w:type="dxa"/>
            <w:shd w:val="clear" w:color="auto" w:fill="auto"/>
            <w:vAlign w:val="bottom"/>
          </w:tcPr>
          <w:p w14:paraId="67534ADC" w14:textId="77777777" w:rsidR="001B77DD" w:rsidRDefault="001B77DD">
            <w:pPr>
              <w:rPr>
                <w:rFonts w:ascii="宋体"/>
              </w:rPr>
            </w:pPr>
          </w:p>
        </w:tc>
        <w:tc>
          <w:tcPr>
            <w:tcW w:w="20" w:type="dxa"/>
            <w:shd w:val="clear" w:color="auto" w:fill="auto"/>
            <w:vAlign w:val="bottom"/>
          </w:tcPr>
          <w:p w14:paraId="67534ADD" w14:textId="77777777" w:rsidR="001B77DD" w:rsidRDefault="001B77DD">
            <w:pPr>
              <w:rPr>
                <w:rFonts w:ascii="宋体"/>
              </w:rPr>
            </w:pPr>
          </w:p>
        </w:tc>
        <w:tc>
          <w:tcPr>
            <w:tcW w:w="20" w:type="dxa"/>
            <w:shd w:val="clear" w:color="auto" w:fill="auto"/>
            <w:vAlign w:val="bottom"/>
          </w:tcPr>
          <w:p w14:paraId="67534ADE" w14:textId="77777777" w:rsidR="001B77DD" w:rsidRDefault="001B77DD">
            <w:pPr>
              <w:rPr>
                <w:rFonts w:ascii="宋体"/>
              </w:rPr>
            </w:pPr>
          </w:p>
        </w:tc>
        <w:tc>
          <w:tcPr>
            <w:tcW w:w="35" w:type="dxa"/>
            <w:shd w:val="clear" w:color="auto" w:fill="auto"/>
            <w:vAlign w:val="bottom"/>
          </w:tcPr>
          <w:p w14:paraId="67534ADF" w14:textId="77777777" w:rsidR="001B77DD" w:rsidRDefault="001B77DD">
            <w:pPr>
              <w:rPr>
                <w:rFonts w:ascii="宋体"/>
              </w:rPr>
            </w:pPr>
          </w:p>
        </w:tc>
        <w:tc>
          <w:tcPr>
            <w:tcW w:w="20" w:type="dxa"/>
            <w:shd w:val="clear" w:color="auto" w:fill="auto"/>
            <w:vAlign w:val="bottom"/>
          </w:tcPr>
          <w:p w14:paraId="67534AE0" w14:textId="77777777" w:rsidR="001B77DD" w:rsidRDefault="001B77DD">
            <w:pPr>
              <w:rPr>
                <w:rFonts w:ascii="宋体"/>
              </w:rPr>
            </w:pPr>
          </w:p>
        </w:tc>
        <w:tc>
          <w:tcPr>
            <w:tcW w:w="20" w:type="dxa"/>
            <w:shd w:val="clear" w:color="auto" w:fill="auto"/>
            <w:vAlign w:val="bottom"/>
          </w:tcPr>
          <w:p w14:paraId="67534AE1" w14:textId="77777777" w:rsidR="001B77DD" w:rsidRDefault="001B77DD">
            <w:pPr>
              <w:rPr>
                <w:rFonts w:ascii="宋体"/>
              </w:rPr>
            </w:pPr>
          </w:p>
        </w:tc>
        <w:tc>
          <w:tcPr>
            <w:tcW w:w="1055" w:type="dxa"/>
            <w:shd w:val="clear" w:color="auto" w:fill="auto"/>
            <w:vAlign w:val="bottom"/>
          </w:tcPr>
          <w:p w14:paraId="67534AE2" w14:textId="77777777" w:rsidR="001B77DD" w:rsidRDefault="001B77DD">
            <w:pPr>
              <w:rPr>
                <w:rFonts w:ascii="宋体"/>
              </w:rPr>
            </w:pPr>
          </w:p>
        </w:tc>
        <w:tc>
          <w:tcPr>
            <w:tcW w:w="20" w:type="dxa"/>
            <w:shd w:val="clear" w:color="auto" w:fill="auto"/>
            <w:vAlign w:val="bottom"/>
          </w:tcPr>
          <w:p w14:paraId="67534AE3" w14:textId="77777777" w:rsidR="001B77DD" w:rsidRDefault="001B77DD">
            <w:pPr>
              <w:rPr>
                <w:rFonts w:ascii="宋体"/>
              </w:rPr>
            </w:pPr>
          </w:p>
        </w:tc>
        <w:tc>
          <w:tcPr>
            <w:tcW w:w="20" w:type="dxa"/>
            <w:shd w:val="clear" w:color="auto" w:fill="auto"/>
            <w:vAlign w:val="bottom"/>
          </w:tcPr>
          <w:p w14:paraId="67534AE4" w14:textId="77777777" w:rsidR="001B77DD" w:rsidRDefault="001B77DD">
            <w:pPr>
              <w:rPr>
                <w:rFonts w:ascii="宋体"/>
              </w:rPr>
            </w:pPr>
          </w:p>
        </w:tc>
        <w:tc>
          <w:tcPr>
            <w:tcW w:w="35" w:type="dxa"/>
            <w:shd w:val="clear" w:color="auto" w:fill="auto"/>
            <w:vAlign w:val="bottom"/>
          </w:tcPr>
          <w:p w14:paraId="67534AE5" w14:textId="77777777" w:rsidR="001B77DD" w:rsidRDefault="001B77DD">
            <w:pPr>
              <w:rPr>
                <w:rFonts w:ascii="宋体"/>
              </w:rPr>
            </w:pPr>
          </w:p>
        </w:tc>
        <w:tc>
          <w:tcPr>
            <w:tcW w:w="20" w:type="dxa"/>
            <w:shd w:val="clear" w:color="auto" w:fill="auto"/>
            <w:vAlign w:val="bottom"/>
          </w:tcPr>
          <w:p w14:paraId="67534AE6" w14:textId="77777777" w:rsidR="001B77DD" w:rsidRDefault="001B77DD">
            <w:pPr>
              <w:rPr>
                <w:rFonts w:ascii="宋体"/>
              </w:rPr>
            </w:pPr>
          </w:p>
        </w:tc>
        <w:tc>
          <w:tcPr>
            <w:tcW w:w="20" w:type="dxa"/>
            <w:shd w:val="clear" w:color="auto" w:fill="auto"/>
            <w:vAlign w:val="bottom"/>
          </w:tcPr>
          <w:p w14:paraId="67534AE7" w14:textId="77777777" w:rsidR="001B77DD" w:rsidRDefault="001B77DD">
            <w:pPr>
              <w:rPr>
                <w:rFonts w:ascii="宋体"/>
              </w:rPr>
            </w:pPr>
          </w:p>
        </w:tc>
        <w:tc>
          <w:tcPr>
            <w:tcW w:w="1040" w:type="dxa"/>
            <w:shd w:val="clear" w:color="auto" w:fill="auto"/>
            <w:vAlign w:val="bottom"/>
          </w:tcPr>
          <w:p w14:paraId="67534AE8" w14:textId="77777777" w:rsidR="001B77DD" w:rsidRDefault="001B77DD">
            <w:pPr>
              <w:rPr>
                <w:rFonts w:ascii="宋体"/>
              </w:rPr>
            </w:pPr>
          </w:p>
        </w:tc>
        <w:tc>
          <w:tcPr>
            <w:tcW w:w="20" w:type="dxa"/>
            <w:shd w:val="clear" w:color="auto" w:fill="auto"/>
            <w:vAlign w:val="bottom"/>
          </w:tcPr>
          <w:p w14:paraId="67534AE9" w14:textId="77777777" w:rsidR="001B77DD" w:rsidRDefault="001B77DD">
            <w:pPr>
              <w:rPr>
                <w:rFonts w:ascii="宋体"/>
              </w:rPr>
            </w:pPr>
          </w:p>
        </w:tc>
        <w:tc>
          <w:tcPr>
            <w:tcW w:w="20" w:type="dxa"/>
            <w:shd w:val="clear" w:color="auto" w:fill="auto"/>
            <w:vAlign w:val="bottom"/>
          </w:tcPr>
          <w:p w14:paraId="67534AEA" w14:textId="77777777" w:rsidR="001B77DD" w:rsidRDefault="001B77DD">
            <w:pPr>
              <w:rPr>
                <w:rFonts w:ascii="宋体"/>
              </w:rPr>
            </w:pPr>
          </w:p>
        </w:tc>
        <w:tc>
          <w:tcPr>
            <w:tcW w:w="35" w:type="dxa"/>
            <w:shd w:val="clear" w:color="auto" w:fill="auto"/>
            <w:vAlign w:val="bottom"/>
          </w:tcPr>
          <w:p w14:paraId="67534AEB" w14:textId="77777777" w:rsidR="001B77DD" w:rsidRDefault="001B77DD">
            <w:pPr>
              <w:rPr>
                <w:rFonts w:ascii="宋体"/>
              </w:rPr>
            </w:pPr>
          </w:p>
        </w:tc>
        <w:tc>
          <w:tcPr>
            <w:tcW w:w="20" w:type="dxa"/>
            <w:shd w:val="clear" w:color="auto" w:fill="auto"/>
            <w:vAlign w:val="bottom"/>
          </w:tcPr>
          <w:p w14:paraId="67534AEC" w14:textId="77777777" w:rsidR="001B77DD" w:rsidRDefault="001B77DD">
            <w:pPr>
              <w:rPr>
                <w:rFonts w:ascii="宋体"/>
              </w:rPr>
            </w:pPr>
          </w:p>
        </w:tc>
        <w:tc>
          <w:tcPr>
            <w:tcW w:w="20" w:type="dxa"/>
            <w:shd w:val="clear" w:color="auto" w:fill="auto"/>
            <w:vAlign w:val="bottom"/>
          </w:tcPr>
          <w:p w14:paraId="67534AED" w14:textId="77777777" w:rsidR="001B77DD" w:rsidRDefault="001B77DD">
            <w:pPr>
              <w:rPr>
                <w:rFonts w:ascii="宋体"/>
              </w:rPr>
            </w:pPr>
          </w:p>
        </w:tc>
        <w:tc>
          <w:tcPr>
            <w:tcW w:w="1055" w:type="dxa"/>
            <w:shd w:val="clear" w:color="auto" w:fill="auto"/>
            <w:vAlign w:val="bottom"/>
          </w:tcPr>
          <w:p w14:paraId="67534AEE" w14:textId="77777777" w:rsidR="001B77DD" w:rsidRDefault="001B77DD">
            <w:pPr>
              <w:rPr>
                <w:rFonts w:ascii="宋体"/>
              </w:rPr>
            </w:pPr>
          </w:p>
        </w:tc>
        <w:tc>
          <w:tcPr>
            <w:tcW w:w="20" w:type="dxa"/>
            <w:shd w:val="clear" w:color="auto" w:fill="auto"/>
            <w:vAlign w:val="bottom"/>
          </w:tcPr>
          <w:p w14:paraId="67534AEF" w14:textId="77777777" w:rsidR="001B77DD" w:rsidRDefault="001B77DD">
            <w:pPr>
              <w:rPr>
                <w:rFonts w:ascii="宋体"/>
              </w:rPr>
            </w:pPr>
          </w:p>
        </w:tc>
        <w:tc>
          <w:tcPr>
            <w:tcW w:w="20" w:type="dxa"/>
            <w:shd w:val="clear" w:color="auto" w:fill="auto"/>
            <w:vAlign w:val="bottom"/>
          </w:tcPr>
          <w:p w14:paraId="67534AF0" w14:textId="77777777" w:rsidR="001B77DD" w:rsidRDefault="001B77DD">
            <w:pPr>
              <w:rPr>
                <w:rFonts w:ascii="宋体"/>
              </w:rPr>
            </w:pPr>
          </w:p>
        </w:tc>
        <w:tc>
          <w:tcPr>
            <w:tcW w:w="35" w:type="dxa"/>
            <w:shd w:val="clear" w:color="auto" w:fill="auto"/>
            <w:vAlign w:val="bottom"/>
          </w:tcPr>
          <w:p w14:paraId="67534AF1" w14:textId="77777777" w:rsidR="001B77DD" w:rsidRDefault="001B77DD">
            <w:pPr>
              <w:rPr>
                <w:rFonts w:ascii="宋体"/>
              </w:rPr>
            </w:pPr>
          </w:p>
        </w:tc>
        <w:tc>
          <w:tcPr>
            <w:tcW w:w="20" w:type="dxa"/>
            <w:shd w:val="clear" w:color="auto" w:fill="auto"/>
            <w:vAlign w:val="bottom"/>
          </w:tcPr>
          <w:p w14:paraId="67534AF2" w14:textId="77777777" w:rsidR="001B77DD" w:rsidRDefault="001B77DD">
            <w:pPr>
              <w:rPr>
                <w:rFonts w:ascii="宋体"/>
              </w:rPr>
            </w:pPr>
          </w:p>
        </w:tc>
        <w:tc>
          <w:tcPr>
            <w:tcW w:w="20" w:type="dxa"/>
            <w:shd w:val="clear" w:color="auto" w:fill="auto"/>
            <w:vAlign w:val="bottom"/>
          </w:tcPr>
          <w:p w14:paraId="67534AF3" w14:textId="77777777" w:rsidR="001B77DD" w:rsidRDefault="001B77DD">
            <w:pPr>
              <w:rPr>
                <w:rFonts w:ascii="宋体"/>
              </w:rPr>
            </w:pPr>
          </w:p>
        </w:tc>
        <w:tc>
          <w:tcPr>
            <w:tcW w:w="1040" w:type="dxa"/>
            <w:shd w:val="clear" w:color="auto" w:fill="auto"/>
            <w:vAlign w:val="bottom"/>
          </w:tcPr>
          <w:p w14:paraId="67534AF4" w14:textId="77777777" w:rsidR="001B77DD" w:rsidRDefault="001B77DD">
            <w:pPr>
              <w:rPr>
                <w:rFonts w:ascii="宋体"/>
              </w:rPr>
            </w:pPr>
          </w:p>
        </w:tc>
        <w:tc>
          <w:tcPr>
            <w:tcW w:w="20" w:type="dxa"/>
            <w:shd w:val="clear" w:color="auto" w:fill="auto"/>
            <w:vAlign w:val="bottom"/>
          </w:tcPr>
          <w:p w14:paraId="67534AF5" w14:textId="77777777" w:rsidR="001B77DD" w:rsidRDefault="001B77DD">
            <w:pPr>
              <w:rPr>
                <w:rFonts w:ascii="宋体"/>
              </w:rPr>
            </w:pPr>
          </w:p>
        </w:tc>
      </w:tr>
      <w:tr w:rsidR="001B77DD" w14:paraId="67534AFE" w14:textId="77777777">
        <w:trPr>
          <w:trHeight w:val="280"/>
        </w:trPr>
        <w:tc>
          <w:tcPr>
            <w:tcW w:w="0" w:type="auto"/>
            <w:gridSpan w:val="3"/>
            <w:vMerge w:val="restart"/>
            <w:shd w:val="clear" w:color="auto" w:fill="auto"/>
            <w:tcMar>
              <w:top w:w="40" w:type="dxa"/>
              <w:left w:w="20" w:type="dxa"/>
              <w:bottom w:w="40" w:type="dxa"/>
              <w:right w:w="20" w:type="dxa"/>
            </w:tcMar>
            <w:vAlign w:val="bottom"/>
          </w:tcPr>
          <w:p w14:paraId="67534AF7" w14:textId="77777777" w:rsidR="001B77DD" w:rsidRDefault="00BF0A28">
            <w:pPr>
              <w:textAlignment w:val="bottom"/>
            </w:pPr>
            <w:r>
              <w:rPr>
                <w:rFonts w:ascii="Arial" w:eastAsia="宋体" w:hAnsi="Arial" w:cs="Arial"/>
                <w:b/>
                <w:bCs/>
                <w:color w:val="262626"/>
                <w:sz w:val="18"/>
                <w:szCs w:val="18"/>
              </w:rPr>
              <w:t xml:space="preserve">Years Ended </w:t>
            </w:r>
            <w:r>
              <w:rPr>
                <w:rFonts w:ascii="Arial" w:eastAsia="宋体" w:hAnsi="Arial" w:cs="Arial"/>
                <w:b/>
                <w:bCs/>
                <w:color w:val="262626"/>
                <w:sz w:val="18"/>
                <w:szCs w:val="18"/>
              </w:rPr>
              <w:br/>
              <w:t>(In Millions, Except Per Share Amounts)</w:t>
            </w:r>
          </w:p>
        </w:tc>
        <w:tc>
          <w:tcPr>
            <w:tcW w:w="0" w:type="auto"/>
            <w:gridSpan w:val="3"/>
            <w:shd w:val="clear" w:color="auto" w:fill="auto"/>
            <w:tcMar>
              <w:top w:w="0" w:type="dxa"/>
              <w:left w:w="20" w:type="dxa"/>
              <w:bottom w:w="0" w:type="dxa"/>
              <w:right w:w="20" w:type="dxa"/>
            </w:tcMar>
            <w:vAlign w:val="bottom"/>
          </w:tcPr>
          <w:p w14:paraId="67534AF8"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4AF9" w14:textId="77777777" w:rsidR="001B77DD" w:rsidRDefault="00BF0A28">
            <w:pPr>
              <w:jc w:val="cente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67534AFA"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4AFB" w14:textId="77777777" w:rsidR="001B77DD" w:rsidRDefault="00BF0A28">
            <w:pPr>
              <w:jc w:val="cente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vAlign w:val="bottom"/>
          </w:tcPr>
          <w:p w14:paraId="67534AFC"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4AFD" w14:textId="77777777" w:rsidR="001B77DD" w:rsidRDefault="00BF0A28">
            <w:pPr>
              <w:jc w:val="center"/>
              <w:textAlignment w:val="bottom"/>
            </w:pPr>
            <w:r>
              <w:rPr>
                <w:rFonts w:ascii="Arial" w:eastAsia="宋体" w:hAnsi="Arial" w:cs="Arial"/>
                <w:b/>
                <w:bCs/>
                <w:color w:val="262626"/>
                <w:sz w:val="18"/>
                <w:szCs w:val="18"/>
              </w:rPr>
              <w:t>December 28, 2019</w:t>
            </w:r>
          </w:p>
        </w:tc>
      </w:tr>
      <w:tr w:rsidR="001B77DD" w14:paraId="67534B0C" w14:textId="77777777">
        <w:trPr>
          <w:trHeight w:val="480"/>
        </w:trPr>
        <w:tc>
          <w:tcPr>
            <w:tcW w:w="0" w:type="auto"/>
            <w:gridSpan w:val="3"/>
            <w:vMerge/>
            <w:shd w:val="clear" w:color="auto" w:fill="auto"/>
            <w:tcMar>
              <w:top w:w="40" w:type="dxa"/>
              <w:left w:w="20" w:type="dxa"/>
              <w:bottom w:w="40" w:type="dxa"/>
              <w:right w:w="20" w:type="dxa"/>
            </w:tcMar>
            <w:vAlign w:val="bottom"/>
          </w:tcPr>
          <w:p w14:paraId="67534AF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B00"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B01" w14:textId="77777777" w:rsidR="001B77DD" w:rsidRDefault="00BF0A28">
            <w:pPr>
              <w:jc w:val="center"/>
              <w:textAlignment w:val="bottom"/>
            </w:pPr>
            <w:r>
              <w:rPr>
                <w:rFonts w:ascii="Arial" w:eastAsia="宋体" w:hAnsi="Arial" w:cs="Arial"/>
                <w:b/>
                <w:bCs/>
                <w:color w:val="262626"/>
                <w:sz w:val="18"/>
                <w:szCs w:val="18"/>
              </w:rPr>
              <w:t>Amount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B02"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B03" w14:textId="77777777" w:rsidR="001B77DD" w:rsidRDefault="00BF0A2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67534B04"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B05" w14:textId="77777777" w:rsidR="001B77DD" w:rsidRDefault="00BF0A28">
            <w:pPr>
              <w:jc w:val="center"/>
              <w:textAlignment w:val="bottom"/>
            </w:pPr>
            <w:r>
              <w:rPr>
                <w:rFonts w:ascii="Arial" w:eastAsia="宋体" w:hAnsi="Arial" w:cs="Arial"/>
                <w:b/>
                <w:bCs/>
                <w:color w:val="262626"/>
                <w:sz w:val="18"/>
                <w:szCs w:val="18"/>
              </w:rPr>
              <w:t>Amount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B06"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B07" w14:textId="77777777" w:rsidR="001B77DD" w:rsidRDefault="00BF0A2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67534B08"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B09" w14:textId="77777777" w:rsidR="001B77DD" w:rsidRDefault="00BF0A28">
            <w:pPr>
              <w:jc w:val="center"/>
              <w:textAlignment w:val="bottom"/>
            </w:pPr>
            <w:r>
              <w:rPr>
                <w:rFonts w:ascii="Arial" w:eastAsia="宋体" w:hAnsi="Arial" w:cs="Arial"/>
                <w:b/>
                <w:bCs/>
                <w:color w:val="262626"/>
                <w:sz w:val="18"/>
                <w:szCs w:val="18"/>
              </w:rPr>
              <w:t>Amount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B0A"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4B0B" w14:textId="77777777" w:rsidR="001B77DD" w:rsidRDefault="00BF0A2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r>
      <w:tr w:rsidR="001B77DD" w14:paraId="67534B23"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4B0D" w14:textId="77777777" w:rsidR="001B77DD" w:rsidRDefault="00BF0A28">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7534B0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B0F"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B10" w14:textId="77777777" w:rsidR="001B77DD" w:rsidRDefault="00BF0A28">
            <w:pPr>
              <w:jc w:val="right"/>
              <w:textAlignment w:val="bottom"/>
            </w:pPr>
            <w:r>
              <w:rPr>
                <w:rFonts w:ascii="Arial" w:eastAsia="宋体" w:hAnsi="Arial" w:cs="Arial"/>
                <w:b/>
                <w:bCs/>
                <w:color w:val="0068B5"/>
                <w:sz w:val="18"/>
                <w:szCs w:val="18"/>
              </w:rPr>
              <w:t>79,024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B1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12"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4B13" w14:textId="77777777" w:rsidR="001B77DD" w:rsidRDefault="00BF0A28">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B14"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15"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B16"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B17" w14:textId="77777777" w:rsidR="001B77DD" w:rsidRDefault="00BF0A28">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B1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19"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4B1A" w14:textId="77777777" w:rsidR="001B77DD" w:rsidRDefault="00BF0A28">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B1B"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1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B1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B1E" w14:textId="77777777" w:rsidR="001B77DD" w:rsidRDefault="00BF0A28">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B1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20"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4B21" w14:textId="77777777" w:rsidR="001B77DD" w:rsidRDefault="00BF0A28">
            <w:pPr>
              <w:jc w:val="right"/>
              <w:textAlignment w:val="bottom"/>
            </w:pPr>
            <w:r>
              <w:rPr>
                <w:rFonts w:ascii="Arial" w:eastAsia="宋体" w:hAnsi="Arial" w:cs="Arial"/>
                <w:b/>
                <w:bCs/>
                <w:color w:val="262626"/>
                <w:sz w:val="18"/>
                <w:szCs w:val="18"/>
              </w:rPr>
              <w:t>100.0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B22" w14:textId="77777777" w:rsidR="001B77DD" w:rsidRDefault="00BF0A28">
            <w:pPr>
              <w:jc w:val="right"/>
              <w:textAlignment w:val="bottom"/>
            </w:pPr>
            <w:r>
              <w:rPr>
                <w:rFonts w:ascii="Arial" w:eastAsia="宋体" w:hAnsi="Arial" w:cs="Arial"/>
                <w:b/>
                <w:bCs/>
                <w:color w:val="262626"/>
                <w:sz w:val="18"/>
                <w:szCs w:val="18"/>
              </w:rPr>
              <w:t>%</w:t>
            </w:r>
          </w:p>
        </w:tc>
      </w:tr>
      <w:tr w:rsidR="001B77DD" w14:paraId="67534B37" w14:textId="77777777">
        <w:trPr>
          <w:trHeight w:val="300"/>
        </w:trPr>
        <w:tc>
          <w:tcPr>
            <w:tcW w:w="0" w:type="auto"/>
            <w:gridSpan w:val="3"/>
            <w:shd w:val="clear" w:color="auto" w:fill="auto"/>
            <w:tcMar>
              <w:top w:w="40" w:type="dxa"/>
              <w:left w:w="20" w:type="dxa"/>
              <w:bottom w:w="40" w:type="dxa"/>
              <w:right w:w="20" w:type="dxa"/>
            </w:tcMar>
            <w:vAlign w:val="bottom"/>
          </w:tcPr>
          <w:p w14:paraId="67534B24" w14:textId="77777777" w:rsidR="001B77DD" w:rsidRDefault="00BF0A28">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67534B2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26" w14:textId="77777777" w:rsidR="001B77DD" w:rsidRDefault="00BF0A28">
            <w:pPr>
              <w:jc w:val="right"/>
              <w:textAlignment w:val="bottom"/>
            </w:pPr>
            <w:r>
              <w:rPr>
                <w:rFonts w:ascii="Arial" w:eastAsia="宋体" w:hAnsi="Arial" w:cs="Arial"/>
                <w:color w:val="0068B5"/>
                <w:sz w:val="18"/>
                <w:szCs w:val="18"/>
              </w:rPr>
              <w:t>35,209 </w:t>
            </w:r>
          </w:p>
        </w:tc>
        <w:tc>
          <w:tcPr>
            <w:tcW w:w="0" w:type="auto"/>
            <w:shd w:val="clear" w:color="auto" w:fill="auto"/>
            <w:tcMar>
              <w:top w:w="40" w:type="dxa"/>
              <w:left w:w="0" w:type="dxa"/>
              <w:bottom w:w="40" w:type="dxa"/>
              <w:right w:w="20" w:type="dxa"/>
            </w:tcMar>
            <w:vAlign w:val="bottom"/>
          </w:tcPr>
          <w:p w14:paraId="67534B2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2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29" w14:textId="77777777" w:rsidR="001B77DD" w:rsidRDefault="00BF0A28">
            <w:pPr>
              <w:jc w:val="right"/>
              <w:textAlignment w:val="bottom"/>
            </w:pPr>
            <w:r>
              <w:rPr>
                <w:rFonts w:ascii="Arial" w:eastAsia="宋体" w:hAnsi="Arial" w:cs="Arial"/>
                <w:color w:val="0068B5"/>
                <w:sz w:val="18"/>
                <w:szCs w:val="18"/>
              </w:rPr>
              <w:t>44.6 </w:t>
            </w:r>
          </w:p>
        </w:tc>
        <w:tc>
          <w:tcPr>
            <w:tcW w:w="0" w:type="auto"/>
            <w:shd w:val="clear" w:color="auto" w:fill="auto"/>
            <w:tcMar>
              <w:top w:w="40" w:type="dxa"/>
              <w:left w:w="0" w:type="dxa"/>
              <w:bottom w:w="40" w:type="dxa"/>
              <w:right w:w="20" w:type="dxa"/>
            </w:tcMar>
            <w:vAlign w:val="bottom"/>
          </w:tcPr>
          <w:p w14:paraId="67534B2A"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2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2C" w14:textId="77777777" w:rsidR="001B77DD" w:rsidRDefault="00BF0A28">
            <w:pPr>
              <w:jc w:val="right"/>
              <w:textAlignment w:val="bottom"/>
            </w:pPr>
            <w:r>
              <w:rPr>
                <w:rFonts w:ascii="Arial" w:eastAsia="宋体" w:hAnsi="Arial" w:cs="Arial"/>
                <w:color w:val="262626"/>
                <w:sz w:val="18"/>
                <w:szCs w:val="18"/>
              </w:rPr>
              <w:t>34,255 </w:t>
            </w:r>
          </w:p>
        </w:tc>
        <w:tc>
          <w:tcPr>
            <w:tcW w:w="0" w:type="auto"/>
            <w:shd w:val="clear" w:color="auto" w:fill="auto"/>
            <w:tcMar>
              <w:top w:w="40" w:type="dxa"/>
              <w:left w:w="0" w:type="dxa"/>
              <w:bottom w:w="40" w:type="dxa"/>
              <w:right w:w="20" w:type="dxa"/>
            </w:tcMar>
            <w:vAlign w:val="bottom"/>
          </w:tcPr>
          <w:p w14:paraId="67534B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2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2F" w14:textId="77777777" w:rsidR="001B77DD" w:rsidRDefault="00BF0A28">
            <w:pPr>
              <w:jc w:val="right"/>
              <w:textAlignment w:val="bottom"/>
            </w:pPr>
            <w:r>
              <w:rPr>
                <w:rFonts w:ascii="Arial" w:eastAsia="宋体" w:hAnsi="Arial" w:cs="Arial"/>
                <w:color w:val="262626"/>
                <w:sz w:val="18"/>
                <w:szCs w:val="18"/>
              </w:rPr>
              <w:t>44.0 </w:t>
            </w:r>
          </w:p>
        </w:tc>
        <w:tc>
          <w:tcPr>
            <w:tcW w:w="0" w:type="auto"/>
            <w:shd w:val="clear" w:color="auto" w:fill="auto"/>
            <w:tcMar>
              <w:top w:w="40" w:type="dxa"/>
              <w:left w:w="0" w:type="dxa"/>
              <w:bottom w:w="40" w:type="dxa"/>
              <w:right w:w="20" w:type="dxa"/>
            </w:tcMar>
            <w:vAlign w:val="bottom"/>
          </w:tcPr>
          <w:p w14:paraId="67534B3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3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32" w14:textId="77777777" w:rsidR="001B77DD" w:rsidRDefault="00BF0A28">
            <w:pPr>
              <w:jc w:val="right"/>
              <w:textAlignment w:val="bottom"/>
            </w:pPr>
            <w:r>
              <w:rPr>
                <w:rFonts w:ascii="Arial" w:eastAsia="宋体" w:hAnsi="Arial" w:cs="Arial"/>
                <w:color w:val="262626"/>
                <w:sz w:val="18"/>
                <w:szCs w:val="18"/>
              </w:rPr>
              <w:t>29,825 </w:t>
            </w:r>
          </w:p>
        </w:tc>
        <w:tc>
          <w:tcPr>
            <w:tcW w:w="0" w:type="auto"/>
            <w:shd w:val="clear" w:color="auto" w:fill="auto"/>
            <w:tcMar>
              <w:top w:w="40" w:type="dxa"/>
              <w:left w:w="0" w:type="dxa"/>
              <w:bottom w:w="40" w:type="dxa"/>
              <w:right w:w="20" w:type="dxa"/>
            </w:tcMar>
            <w:vAlign w:val="bottom"/>
          </w:tcPr>
          <w:p w14:paraId="67534B3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3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35" w14:textId="77777777" w:rsidR="001B77DD" w:rsidRDefault="00BF0A28">
            <w:pPr>
              <w:jc w:val="right"/>
              <w:textAlignment w:val="bottom"/>
            </w:pPr>
            <w:r>
              <w:rPr>
                <w:rFonts w:ascii="Arial" w:eastAsia="宋体" w:hAnsi="Arial" w:cs="Arial"/>
                <w:color w:val="262626"/>
                <w:sz w:val="18"/>
                <w:szCs w:val="18"/>
              </w:rPr>
              <w:t>41.4 </w:t>
            </w:r>
          </w:p>
        </w:tc>
        <w:tc>
          <w:tcPr>
            <w:tcW w:w="0" w:type="auto"/>
            <w:shd w:val="clear" w:color="auto" w:fill="auto"/>
            <w:tcMar>
              <w:top w:w="40" w:type="dxa"/>
              <w:left w:w="0" w:type="dxa"/>
              <w:bottom w:w="40" w:type="dxa"/>
              <w:right w:w="20" w:type="dxa"/>
            </w:tcMar>
            <w:vAlign w:val="bottom"/>
          </w:tcPr>
          <w:p w14:paraId="67534B36" w14:textId="77777777" w:rsidR="001B77DD" w:rsidRDefault="00BF0A28">
            <w:pPr>
              <w:jc w:val="right"/>
              <w:textAlignment w:val="bottom"/>
            </w:pPr>
            <w:r>
              <w:rPr>
                <w:rFonts w:ascii="Arial" w:eastAsia="宋体" w:hAnsi="Arial" w:cs="Arial"/>
                <w:color w:val="262626"/>
                <w:sz w:val="18"/>
                <w:szCs w:val="18"/>
              </w:rPr>
              <w:t>%</w:t>
            </w:r>
          </w:p>
        </w:tc>
      </w:tr>
      <w:tr w:rsidR="001B77DD" w14:paraId="67534B4B" w14:textId="77777777">
        <w:trPr>
          <w:trHeight w:val="300"/>
        </w:trPr>
        <w:tc>
          <w:tcPr>
            <w:tcW w:w="0" w:type="auto"/>
            <w:gridSpan w:val="3"/>
            <w:shd w:val="clear" w:color="auto" w:fill="auto"/>
            <w:tcMar>
              <w:top w:w="40" w:type="dxa"/>
              <w:left w:w="20" w:type="dxa"/>
              <w:bottom w:w="40" w:type="dxa"/>
              <w:right w:w="20" w:type="dxa"/>
            </w:tcMar>
            <w:vAlign w:val="bottom"/>
          </w:tcPr>
          <w:p w14:paraId="67534B38" w14:textId="77777777" w:rsidR="001B77DD" w:rsidRDefault="00BF0A28">
            <w:pPr>
              <w:textAlignment w:val="bottom"/>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67534B39"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3A" w14:textId="77777777" w:rsidR="001B77DD" w:rsidRDefault="00BF0A28">
            <w:pPr>
              <w:jc w:val="right"/>
              <w:textAlignment w:val="bottom"/>
            </w:pPr>
            <w:r>
              <w:rPr>
                <w:rFonts w:ascii="Arial" w:eastAsia="宋体" w:hAnsi="Arial" w:cs="Arial"/>
                <w:b/>
                <w:bCs/>
                <w:color w:val="0068B5"/>
                <w:sz w:val="18"/>
                <w:szCs w:val="18"/>
              </w:rPr>
              <w:t>43,815</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3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3C"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3D" w14:textId="77777777" w:rsidR="001B77DD" w:rsidRDefault="00BF0A28">
            <w:pPr>
              <w:jc w:val="right"/>
              <w:textAlignment w:val="bottom"/>
            </w:pPr>
            <w:r>
              <w:rPr>
                <w:rFonts w:ascii="Arial" w:eastAsia="宋体" w:hAnsi="Arial" w:cs="Arial"/>
                <w:b/>
                <w:bCs/>
                <w:color w:val="0068B5"/>
                <w:sz w:val="18"/>
                <w:szCs w:val="18"/>
              </w:rPr>
              <w:t>55.4</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3E"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3F"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40" w14:textId="77777777" w:rsidR="001B77DD" w:rsidRDefault="00BF0A28">
            <w:pPr>
              <w:jc w:val="right"/>
              <w:textAlignment w:val="bottom"/>
            </w:pPr>
            <w:r>
              <w:rPr>
                <w:rFonts w:ascii="Arial" w:eastAsia="宋体" w:hAnsi="Arial" w:cs="Arial"/>
                <w:b/>
                <w:bCs/>
                <w:color w:val="262626"/>
                <w:sz w:val="18"/>
                <w:szCs w:val="18"/>
              </w:rPr>
              <w:t>43,612</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4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42"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43" w14:textId="77777777" w:rsidR="001B77DD" w:rsidRDefault="00BF0A28">
            <w:pPr>
              <w:jc w:val="right"/>
              <w:textAlignment w:val="bottom"/>
            </w:pPr>
            <w:r>
              <w:rPr>
                <w:rFonts w:ascii="Arial" w:eastAsia="宋体" w:hAnsi="Arial" w:cs="Arial"/>
                <w:b/>
                <w:bCs/>
                <w:color w:val="262626"/>
                <w:sz w:val="18"/>
                <w:szCs w:val="18"/>
              </w:rPr>
              <w:t>56.0</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44"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45"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46" w14:textId="77777777" w:rsidR="001B77DD" w:rsidRDefault="00BF0A28">
            <w:pPr>
              <w:jc w:val="right"/>
              <w:textAlignment w:val="bottom"/>
            </w:pPr>
            <w:r>
              <w:rPr>
                <w:rFonts w:ascii="Arial" w:eastAsia="宋体" w:hAnsi="Arial" w:cs="Arial"/>
                <w:b/>
                <w:bCs/>
                <w:color w:val="262626"/>
                <w:sz w:val="18"/>
                <w:szCs w:val="18"/>
              </w:rPr>
              <w:t>42,140</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4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48"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49" w14:textId="77777777" w:rsidR="001B77DD" w:rsidRDefault="00BF0A28">
            <w:pPr>
              <w:jc w:val="right"/>
              <w:textAlignment w:val="bottom"/>
            </w:pPr>
            <w:r>
              <w:rPr>
                <w:rFonts w:ascii="Arial" w:eastAsia="宋体" w:hAnsi="Arial" w:cs="Arial"/>
                <w:b/>
                <w:bCs/>
                <w:color w:val="262626"/>
                <w:sz w:val="18"/>
                <w:szCs w:val="18"/>
              </w:rPr>
              <w:t>58.6</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4A" w14:textId="77777777" w:rsidR="001B77DD" w:rsidRDefault="00BF0A28">
            <w:pPr>
              <w:jc w:val="right"/>
              <w:textAlignment w:val="bottom"/>
            </w:pPr>
            <w:r>
              <w:rPr>
                <w:rFonts w:ascii="Arial" w:eastAsia="宋体" w:hAnsi="Arial" w:cs="Arial"/>
                <w:b/>
                <w:bCs/>
                <w:color w:val="262626"/>
                <w:sz w:val="18"/>
                <w:szCs w:val="18"/>
              </w:rPr>
              <w:t>%</w:t>
            </w:r>
          </w:p>
        </w:tc>
      </w:tr>
      <w:tr w:rsidR="001B77DD" w14:paraId="67534B5F" w14:textId="77777777">
        <w:trPr>
          <w:trHeight w:val="300"/>
        </w:trPr>
        <w:tc>
          <w:tcPr>
            <w:tcW w:w="0" w:type="auto"/>
            <w:gridSpan w:val="3"/>
            <w:shd w:val="clear" w:color="auto" w:fill="auto"/>
            <w:tcMar>
              <w:top w:w="40" w:type="dxa"/>
              <w:left w:w="20" w:type="dxa"/>
              <w:bottom w:w="40" w:type="dxa"/>
              <w:right w:w="20" w:type="dxa"/>
            </w:tcMar>
            <w:vAlign w:val="bottom"/>
          </w:tcPr>
          <w:p w14:paraId="67534B4C" w14:textId="77777777" w:rsidR="001B77DD" w:rsidRDefault="00BF0A28">
            <w:pPr>
              <w:textAlignment w:val="bottom"/>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67534B4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4E" w14:textId="77777777" w:rsidR="001B77DD" w:rsidRDefault="00BF0A28">
            <w:pPr>
              <w:jc w:val="right"/>
              <w:textAlignment w:val="bottom"/>
            </w:pPr>
            <w:r>
              <w:rPr>
                <w:rFonts w:ascii="Arial" w:eastAsia="宋体" w:hAnsi="Arial" w:cs="Arial"/>
                <w:color w:val="0068B5"/>
                <w:sz w:val="18"/>
                <w:szCs w:val="18"/>
              </w:rPr>
              <w:t>15,190 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4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50"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51" w14:textId="77777777" w:rsidR="001B77DD" w:rsidRDefault="00BF0A28">
            <w:pPr>
              <w:jc w:val="right"/>
              <w:textAlignment w:val="bottom"/>
            </w:pPr>
            <w:r>
              <w:rPr>
                <w:rFonts w:ascii="Arial" w:eastAsia="宋体" w:hAnsi="Arial" w:cs="Arial"/>
                <w:color w:val="0068B5"/>
                <w:sz w:val="18"/>
                <w:szCs w:val="18"/>
              </w:rPr>
              <w:t>19.2 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52"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5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54" w14:textId="77777777" w:rsidR="001B77DD" w:rsidRDefault="00BF0A28">
            <w:pPr>
              <w:jc w:val="right"/>
              <w:textAlignment w:val="bottom"/>
            </w:pPr>
            <w:r>
              <w:rPr>
                <w:rFonts w:ascii="Arial" w:eastAsia="宋体" w:hAnsi="Arial" w:cs="Arial"/>
                <w:color w:val="262626"/>
                <w:sz w:val="18"/>
                <w:szCs w:val="18"/>
              </w:rPr>
              <w:t>13,556 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56"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57" w14:textId="77777777" w:rsidR="001B77DD" w:rsidRDefault="00BF0A28">
            <w:pPr>
              <w:jc w:val="right"/>
              <w:textAlignment w:val="bottom"/>
            </w:pPr>
            <w:r>
              <w:rPr>
                <w:rFonts w:ascii="Arial" w:eastAsia="宋体" w:hAnsi="Arial" w:cs="Arial"/>
                <w:color w:val="262626"/>
                <w:sz w:val="18"/>
                <w:szCs w:val="18"/>
              </w:rPr>
              <w:t>17.4 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58"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5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5A" w14:textId="77777777" w:rsidR="001B77DD" w:rsidRDefault="00BF0A28">
            <w:pPr>
              <w:jc w:val="right"/>
              <w:textAlignment w:val="bottom"/>
            </w:pPr>
            <w:r>
              <w:rPr>
                <w:rFonts w:ascii="Arial" w:eastAsia="宋体" w:hAnsi="Arial" w:cs="Arial"/>
                <w:color w:val="262626"/>
                <w:sz w:val="18"/>
                <w:szCs w:val="18"/>
              </w:rPr>
              <w:t>13,362 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5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5C"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5D" w14:textId="77777777" w:rsidR="001B77DD" w:rsidRDefault="00BF0A28">
            <w:pPr>
              <w:jc w:val="right"/>
              <w:textAlignment w:val="bottom"/>
            </w:pPr>
            <w:r>
              <w:rPr>
                <w:rFonts w:ascii="Arial" w:eastAsia="宋体" w:hAnsi="Arial" w:cs="Arial"/>
                <w:color w:val="262626"/>
                <w:sz w:val="18"/>
                <w:szCs w:val="18"/>
              </w:rPr>
              <w:t>18.6 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5E" w14:textId="77777777" w:rsidR="001B77DD" w:rsidRDefault="00BF0A28">
            <w:pPr>
              <w:jc w:val="right"/>
              <w:textAlignment w:val="bottom"/>
            </w:pPr>
            <w:r>
              <w:rPr>
                <w:rFonts w:ascii="Arial" w:eastAsia="宋体" w:hAnsi="Arial" w:cs="Arial"/>
                <w:color w:val="262626"/>
                <w:sz w:val="18"/>
                <w:szCs w:val="18"/>
              </w:rPr>
              <w:t>%</w:t>
            </w:r>
          </w:p>
        </w:tc>
      </w:tr>
      <w:tr w:rsidR="001B77DD" w14:paraId="67534B73" w14:textId="77777777">
        <w:trPr>
          <w:trHeight w:val="300"/>
        </w:trPr>
        <w:tc>
          <w:tcPr>
            <w:tcW w:w="0" w:type="auto"/>
            <w:gridSpan w:val="3"/>
            <w:shd w:val="clear" w:color="auto" w:fill="auto"/>
            <w:tcMar>
              <w:top w:w="40" w:type="dxa"/>
              <w:left w:w="20" w:type="dxa"/>
              <w:bottom w:w="40" w:type="dxa"/>
              <w:right w:w="20" w:type="dxa"/>
            </w:tcMar>
            <w:vAlign w:val="bottom"/>
          </w:tcPr>
          <w:p w14:paraId="67534B60" w14:textId="77777777" w:rsidR="001B77DD" w:rsidRDefault="00BF0A28">
            <w:pPr>
              <w:textAlignment w:val="bottom"/>
            </w:pPr>
            <w:r>
              <w:rPr>
                <w:rFonts w:ascii="Arial" w:eastAsia="宋体" w:hAnsi="Arial" w:cs="Arial"/>
                <w:color w:val="262626"/>
                <w:sz w:val="18"/>
                <w:szCs w:val="18"/>
              </w:rPr>
              <w:t>Marketing, general and adm</w:t>
            </w:r>
            <w:r>
              <w:rPr>
                <w:rFonts w:ascii="Arial" w:eastAsia="宋体" w:hAnsi="Arial" w:cs="Arial"/>
                <w:color w:val="262626"/>
                <w:sz w:val="18"/>
                <w:szCs w:val="18"/>
              </w:rPr>
              <w:t>inistrative</w:t>
            </w:r>
          </w:p>
        </w:tc>
        <w:tc>
          <w:tcPr>
            <w:tcW w:w="0" w:type="auto"/>
            <w:gridSpan w:val="3"/>
            <w:shd w:val="clear" w:color="auto" w:fill="auto"/>
            <w:tcMar>
              <w:top w:w="0" w:type="dxa"/>
              <w:left w:w="20" w:type="dxa"/>
              <w:bottom w:w="0" w:type="dxa"/>
              <w:right w:w="20" w:type="dxa"/>
            </w:tcMar>
            <w:vAlign w:val="bottom"/>
          </w:tcPr>
          <w:p w14:paraId="67534B6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62" w14:textId="77777777" w:rsidR="001B77DD" w:rsidRDefault="00BF0A28">
            <w:pPr>
              <w:jc w:val="right"/>
              <w:textAlignment w:val="bottom"/>
            </w:pPr>
            <w:r>
              <w:rPr>
                <w:rFonts w:ascii="Arial" w:eastAsia="宋体" w:hAnsi="Arial" w:cs="Arial"/>
                <w:color w:val="0068B5"/>
                <w:sz w:val="18"/>
                <w:szCs w:val="18"/>
              </w:rPr>
              <w:t>6,543 </w:t>
            </w:r>
          </w:p>
        </w:tc>
        <w:tc>
          <w:tcPr>
            <w:tcW w:w="0" w:type="auto"/>
            <w:shd w:val="clear" w:color="auto" w:fill="auto"/>
            <w:tcMar>
              <w:top w:w="40" w:type="dxa"/>
              <w:left w:w="0" w:type="dxa"/>
              <w:bottom w:w="40" w:type="dxa"/>
              <w:right w:w="20" w:type="dxa"/>
            </w:tcMar>
            <w:vAlign w:val="bottom"/>
          </w:tcPr>
          <w:p w14:paraId="67534B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6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65" w14:textId="77777777" w:rsidR="001B77DD" w:rsidRDefault="00BF0A28">
            <w:pPr>
              <w:jc w:val="right"/>
              <w:textAlignment w:val="bottom"/>
            </w:pPr>
            <w:r>
              <w:rPr>
                <w:rFonts w:ascii="Arial" w:eastAsia="宋体" w:hAnsi="Arial" w:cs="Arial"/>
                <w:color w:val="0068B5"/>
                <w:sz w:val="18"/>
                <w:szCs w:val="18"/>
              </w:rPr>
              <w:t>8.3 </w:t>
            </w:r>
          </w:p>
        </w:tc>
        <w:tc>
          <w:tcPr>
            <w:tcW w:w="0" w:type="auto"/>
            <w:shd w:val="clear" w:color="auto" w:fill="auto"/>
            <w:tcMar>
              <w:top w:w="40" w:type="dxa"/>
              <w:left w:w="0" w:type="dxa"/>
              <w:bottom w:w="40" w:type="dxa"/>
              <w:right w:w="20" w:type="dxa"/>
            </w:tcMar>
            <w:vAlign w:val="bottom"/>
          </w:tcPr>
          <w:p w14:paraId="67534B66"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6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68" w14:textId="77777777" w:rsidR="001B77DD" w:rsidRDefault="00BF0A28">
            <w:pPr>
              <w:jc w:val="right"/>
              <w:textAlignment w:val="bottom"/>
            </w:pPr>
            <w:r>
              <w:rPr>
                <w:rFonts w:ascii="Arial" w:eastAsia="宋体" w:hAnsi="Arial" w:cs="Arial"/>
                <w:color w:val="262626"/>
                <w:sz w:val="18"/>
                <w:szCs w:val="18"/>
              </w:rPr>
              <w:t>6,180 </w:t>
            </w:r>
          </w:p>
        </w:tc>
        <w:tc>
          <w:tcPr>
            <w:tcW w:w="0" w:type="auto"/>
            <w:shd w:val="clear" w:color="auto" w:fill="auto"/>
            <w:tcMar>
              <w:top w:w="40" w:type="dxa"/>
              <w:left w:w="0" w:type="dxa"/>
              <w:bottom w:w="40" w:type="dxa"/>
              <w:right w:w="20" w:type="dxa"/>
            </w:tcMar>
            <w:vAlign w:val="bottom"/>
          </w:tcPr>
          <w:p w14:paraId="67534B6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6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6B" w14:textId="77777777" w:rsidR="001B77DD" w:rsidRDefault="00BF0A28">
            <w:pPr>
              <w:jc w:val="right"/>
              <w:textAlignment w:val="bottom"/>
            </w:pPr>
            <w:r>
              <w:rPr>
                <w:rFonts w:ascii="Arial" w:eastAsia="宋体" w:hAnsi="Arial" w:cs="Arial"/>
                <w:color w:val="262626"/>
                <w:sz w:val="18"/>
                <w:szCs w:val="18"/>
              </w:rPr>
              <w:t>7.9 </w:t>
            </w:r>
          </w:p>
        </w:tc>
        <w:tc>
          <w:tcPr>
            <w:tcW w:w="0" w:type="auto"/>
            <w:shd w:val="clear" w:color="auto" w:fill="auto"/>
            <w:tcMar>
              <w:top w:w="40" w:type="dxa"/>
              <w:left w:w="0" w:type="dxa"/>
              <w:bottom w:w="40" w:type="dxa"/>
              <w:right w:w="20" w:type="dxa"/>
            </w:tcMar>
            <w:vAlign w:val="bottom"/>
          </w:tcPr>
          <w:p w14:paraId="67534B6C"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6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6E" w14:textId="77777777" w:rsidR="001B77DD" w:rsidRDefault="00BF0A28">
            <w:pPr>
              <w:jc w:val="right"/>
              <w:textAlignment w:val="bottom"/>
            </w:pPr>
            <w:r>
              <w:rPr>
                <w:rFonts w:ascii="Arial" w:eastAsia="宋体" w:hAnsi="Arial" w:cs="Arial"/>
                <w:color w:val="262626"/>
                <w:sz w:val="18"/>
                <w:szCs w:val="18"/>
              </w:rPr>
              <w:t>6,350 </w:t>
            </w:r>
          </w:p>
        </w:tc>
        <w:tc>
          <w:tcPr>
            <w:tcW w:w="0" w:type="auto"/>
            <w:shd w:val="clear" w:color="auto" w:fill="auto"/>
            <w:tcMar>
              <w:top w:w="40" w:type="dxa"/>
              <w:left w:w="0" w:type="dxa"/>
              <w:bottom w:w="40" w:type="dxa"/>
              <w:right w:w="20" w:type="dxa"/>
            </w:tcMar>
            <w:vAlign w:val="bottom"/>
          </w:tcPr>
          <w:p w14:paraId="67534B6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7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71" w14:textId="77777777" w:rsidR="001B77DD" w:rsidRDefault="00BF0A28">
            <w:pPr>
              <w:jc w:val="right"/>
              <w:textAlignment w:val="bottom"/>
            </w:pPr>
            <w:r>
              <w:rPr>
                <w:rFonts w:ascii="Arial" w:eastAsia="宋体" w:hAnsi="Arial" w:cs="Arial"/>
                <w:color w:val="262626"/>
                <w:sz w:val="18"/>
                <w:szCs w:val="18"/>
              </w:rPr>
              <w:t>8.8 </w:t>
            </w:r>
          </w:p>
        </w:tc>
        <w:tc>
          <w:tcPr>
            <w:tcW w:w="0" w:type="auto"/>
            <w:shd w:val="clear" w:color="auto" w:fill="auto"/>
            <w:tcMar>
              <w:top w:w="40" w:type="dxa"/>
              <w:left w:w="0" w:type="dxa"/>
              <w:bottom w:w="40" w:type="dxa"/>
              <w:right w:w="20" w:type="dxa"/>
            </w:tcMar>
            <w:vAlign w:val="bottom"/>
          </w:tcPr>
          <w:p w14:paraId="67534B72" w14:textId="77777777" w:rsidR="001B77DD" w:rsidRDefault="00BF0A28">
            <w:pPr>
              <w:jc w:val="right"/>
              <w:textAlignment w:val="bottom"/>
            </w:pPr>
            <w:r>
              <w:rPr>
                <w:rFonts w:ascii="Arial" w:eastAsia="宋体" w:hAnsi="Arial" w:cs="Arial"/>
                <w:color w:val="262626"/>
                <w:sz w:val="18"/>
                <w:szCs w:val="18"/>
              </w:rPr>
              <w:t>%</w:t>
            </w:r>
          </w:p>
        </w:tc>
      </w:tr>
      <w:tr w:rsidR="001B77DD" w14:paraId="67534B87" w14:textId="77777777">
        <w:trPr>
          <w:trHeight w:val="300"/>
        </w:trPr>
        <w:tc>
          <w:tcPr>
            <w:tcW w:w="0" w:type="auto"/>
            <w:gridSpan w:val="3"/>
            <w:shd w:val="clear" w:color="auto" w:fill="auto"/>
            <w:tcMar>
              <w:top w:w="40" w:type="dxa"/>
              <w:left w:w="20" w:type="dxa"/>
              <w:bottom w:w="40" w:type="dxa"/>
              <w:right w:w="20" w:type="dxa"/>
            </w:tcMar>
            <w:vAlign w:val="bottom"/>
          </w:tcPr>
          <w:p w14:paraId="67534B74" w14:textId="77777777" w:rsidR="001B77DD" w:rsidRDefault="00BF0A28">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7534B7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76" w14:textId="77777777" w:rsidR="001B77DD" w:rsidRDefault="00BF0A28">
            <w:pPr>
              <w:jc w:val="right"/>
              <w:textAlignment w:val="bottom"/>
            </w:pPr>
            <w:r>
              <w:rPr>
                <w:rFonts w:ascii="Arial" w:eastAsia="宋体" w:hAnsi="Arial" w:cs="Arial"/>
                <w:color w:val="0068B5"/>
                <w:sz w:val="18"/>
                <w:szCs w:val="18"/>
              </w:rPr>
              <w:t>2,626 </w:t>
            </w:r>
          </w:p>
        </w:tc>
        <w:tc>
          <w:tcPr>
            <w:tcW w:w="0" w:type="auto"/>
            <w:shd w:val="clear" w:color="auto" w:fill="auto"/>
            <w:tcMar>
              <w:top w:w="40" w:type="dxa"/>
              <w:left w:w="0" w:type="dxa"/>
              <w:bottom w:w="40" w:type="dxa"/>
              <w:right w:w="20" w:type="dxa"/>
            </w:tcMar>
            <w:vAlign w:val="bottom"/>
          </w:tcPr>
          <w:p w14:paraId="67534B7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7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79" w14:textId="77777777" w:rsidR="001B77DD" w:rsidRDefault="00BF0A28">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67534B7A"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7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7C" w14:textId="77777777" w:rsidR="001B77DD" w:rsidRDefault="00BF0A28">
            <w:pPr>
              <w:jc w:val="right"/>
              <w:textAlignment w:val="bottom"/>
            </w:pPr>
            <w:r>
              <w:rPr>
                <w:rFonts w:ascii="Arial" w:eastAsia="宋体" w:hAnsi="Arial" w:cs="Arial"/>
                <w:color w:val="262626"/>
                <w:sz w:val="18"/>
                <w:szCs w:val="18"/>
              </w:rPr>
              <w:t>198 </w:t>
            </w:r>
          </w:p>
        </w:tc>
        <w:tc>
          <w:tcPr>
            <w:tcW w:w="0" w:type="auto"/>
            <w:shd w:val="clear" w:color="auto" w:fill="auto"/>
            <w:tcMar>
              <w:top w:w="40" w:type="dxa"/>
              <w:left w:w="0" w:type="dxa"/>
              <w:bottom w:w="40" w:type="dxa"/>
              <w:right w:w="20" w:type="dxa"/>
            </w:tcMar>
            <w:vAlign w:val="bottom"/>
          </w:tcPr>
          <w:p w14:paraId="67534B7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7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7F" w14:textId="77777777" w:rsidR="001B77DD" w:rsidRDefault="00BF0A28">
            <w:pPr>
              <w:jc w:val="right"/>
              <w:textAlignment w:val="bottom"/>
            </w:pPr>
            <w:r>
              <w:rPr>
                <w:rFonts w:ascii="Arial" w:eastAsia="宋体" w:hAnsi="Arial" w:cs="Arial"/>
                <w:color w:val="262626"/>
                <w:sz w:val="18"/>
                <w:szCs w:val="18"/>
              </w:rPr>
              <w:t>0.3 </w:t>
            </w:r>
          </w:p>
        </w:tc>
        <w:tc>
          <w:tcPr>
            <w:tcW w:w="0" w:type="auto"/>
            <w:shd w:val="clear" w:color="auto" w:fill="auto"/>
            <w:tcMar>
              <w:top w:w="40" w:type="dxa"/>
              <w:left w:w="0" w:type="dxa"/>
              <w:bottom w:w="40" w:type="dxa"/>
              <w:right w:w="20" w:type="dxa"/>
            </w:tcMar>
            <w:vAlign w:val="bottom"/>
          </w:tcPr>
          <w:p w14:paraId="67534B8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8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82" w14:textId="77777777" w:rsidR="001B77DD" w:rsidRDefault="00BF0A28">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67534B8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8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85" w14:textId="77777777" w:rsidR="001B77DD" w:rsidRDefault="00BF0A28">
            <w:pPr>
              <w:jc w:val="right"/>
              <w:textAlignment w:val="bottom"/>
            </w:pPr>
            <w:r>
              <w:rPr>
                <w:rFonts w:ascii="Arial" w:eastAsia="宋体" w:hAnsi="Arial" w:cs="Arial"/>
                <w:color w:val="262626"/>
                <w:sz w:val="18"/>
                <w:szCs w:val="18"/>
              </w:rPr>
              <w:t>0.5 </w:t>
            </w:r>
          </w:p>
        </w:tc>
        <w:tc>
          <w:tcPr>
            <w:tcW w:w="0" w:type="auto"/>
            <w:shd w:val="clear" w:color="auto" w:fill="auto"/>
            <w:tcMar>
              <w:top w:w="40" w:type="dxa"/>
              <w:left w:w="0" w:type="dxa"/>
              <w:bottom w:w="40" w:type="dxa"/>
              <w:right w:w="20" w:type="dxa"/>
            </w:tcMar>
            <w:vAlign w:val="bottom"/>
          </w:tcPr>
          <w:p w14:paraId="67534B86" w14:textId="77777777" w:rsidR="001B77DD" w:rsidRDefault="00BF0A28">
            <w:pPr>
              <w:jc w:val="right"/>
              <w:textAlignment w:val="bottom"/>
            </w:pPr>
            <w:r>
              <w:rPr>
                <w:rFonts w:ascii="Arial" w:eastAsia="宋体" w:hAnsi="Arial" w:cs="Arial"/>
                <w:color w:val="262626"/>
                <w:sz w:val="18"/>
                <w:szCs w:val="18"/>
              </w:rPr>
              <w:t>%</w:t>
            </w:r>
          </w:p>
        </w:tc>
      </w:tr>
      <w:tr w:rsidR="001B77DD" w14:paraId="67534B95" w14:textId="77777777">
        <w:trPr>
          <w:hidden/>
        </w:trPr>
        <w:tc>
          <w:tcPr>
            <w:tcW w:w="0" w:type="auto"/>
            <w:gridSpan w:val="3"/>
            <w:shd w:val="clear" w:color="auto" w:fill="auto"/>
            <w:vAlign w:val="bottom"/>
          </w:tcPr>
          <w:p w14:paraId="67534B88" w14:textId="77777777" w:rsidR="001B77DD" w:rsidRDefault="001B77DD">
            <w:pPr>
              <w:rPr>
                <w:rFonts w:ascii="宋体"/>
                <w:vanish/>
              </w:rPr>
            </w:pPr>
          </w:p>
        </w:tc>
        <w:tc>
          <w:tcPr>
            <w:tcW w:w="0" w:type="auto"/>
            <w:gridSpan w:val="3"/>
            <w:shd w:val="clear" w:color="auto" w:fill="auto"/>
            <w:vAlign w:val="bottom"/>
          </w:tcPr>
          <w:p w14:paraId="67534B89" w14:textId="77777777" w:rsidR="001B77DD" w:rsidRDefault="001B77DD">
            <w:pPr>
              <w:rPr>
                <w:rFonts w:ascii="宋体"/>
                <w:vanish/>
              </w:rPr>
            </w:pPr>
          </w:p>
        </w:tc>
        <w:tc>
          <w:tcPr>
            <w:tcW w:w="0" w:type="auto"/>
            <w:gridSpan w:val="3"/>
            <w:shd w:val="clear" w:color="auto" w:fill="auto"/>
            <w:vAlign w:val="bottom"/>
          </w:tcPr>
          <w:p w14:paraId="67534B8A" w14:textId="77777777" w:rsidR="001B77DD" w:rsidRDefault="001B77DD">
            <w:pPr>
              <w:rPr>
                <w:rFonts w:ascii="宋体"/>
                <w:vanish/>
              </w:rPr>
            </w:pPr>
          </w:p>
        </w:tc>
        <w:tc>
          <w:tcPr>
            <w:tcW w:w="0" w:type="auto"/>
            <w:gridSpan w:val="3"/>
            <w:shd w:val="clear" w:color="auto" w:fill="auto"/>
            <w:vAlign w:val="bottom"/>
          </w:tcPr>
          <w:p w14:paraId="67534B8B" w14:textId="77777777" w:rsidR="001B77DD" w:rsidRDefault="001B77DD">
            <w:pPr>
              <w:rPr>
                <w:rFonts w:ascii="宋体"/>
                <w:vanish/>
              </w:rPr>
            </w:pPr>
          </w:p>
        </w:tc>
        <w:tc>
          <w:tcPr>
            <w:tcW w:w="0" w:type="auto"/>
            <w:gridSpan w:val="3"/>
            <w:shd w:val="clear" w:color="auto" w:fill="auto"/>
            <w:vAlign w:val="bottom"/>
          </w:tcPr>
          <w:p w14:paraId="67534B8C" w14:textId="77777777" w:rsidR="001B77DD" w:rsidRDefault="001B77DD">
            <w:pPr>
              <w:rPr>
                <w:rFonts w:ascii="宋体"/>
                <w:vanish/>
              </w:rPr>
            </w:pPr>
          </w:p>
        </w:tc>
        <w:tc>
          <w:tcPr>
            <w:tcW w:w="0" w:type="auto"/>
            <w:gridSpan w:val="3"/>
            <w:shd w:val="clear" w:color="auto" w:fill="auto"/>
            <w:vAlign w:val="bottom"/>
          </w:tcPr>
          <w:p w14:paraId="67534B8D" w14:textId="77777777" w:rsidR="001B77DD" w:rsidRDefault="001B77DD">
            <w:pPr>
              <w:rPr>
                <w:rFonts w:ascii="宋体"/>
                <w:vanish/>
              </w:rPr>
            </w:pPr>
          </w:p>
        </w:tc>
        <w:tc>
          <w:tcPr>
            <w:tcW w:w="0" w:type="auto"/>
            <w:gridSpan w:val="3"/>
            <w:shd w:val="clear" w:color="auto" w:fill="auto"/>
            <w:vAlign w:val="bottom"/>
          </w:tcPr>
          <w:p w14:paraId="67534B8E" w14:textId="77777777" w:rsidR="001B77DD" w:rsidRDefault="001B77DD">
            <w:pPr>
              <w:rPr>
                <w:rFonts w:ascii="宋体"/>
                <w:vanish/>
              </w:rPr>
            </w:pPr>
          </w:p>
        </w:tc>
        <w:tc>
          <w:tcPr>
            <w:tcW w:w="0" w:type="auto"/>
            <w:gridSpan w:val="3"/>
            <w:shd w:val="clear" w:color="auto" w:fill="auto"/>
            <w:vAlign w:val="bottom"/>
          </w:tcPr>
          <w:p w14:paraId="67534B8F" w14:textId="77777777" w:rsidR="001B77DD" w:rsidRDefault="001B77DD">
            <w:pPr>
              <w:rPr>
                <w:rFonts w:ascii="宋体"/>
                <w:vanish/>
              </w:rPr>
            </w:pPr>
          </w:p>
        </w:tc>
        <w:tc>
          <w:tcPr>
            <w:tcW w:w="0" w:type="auto"/>
            <w:gridSpan w:val="3"/>
            <w:shd w:val="clear" w:color="auto" w:fill="auto"/>
            <w:vAlign w:val="bottom"/>
          </w:tcPr>
          <w:p w14:paraId="67534B90" w14:textId="77777777" w:rsidR="001B77DD" w:rsidRDefault="001B77DD">
            <w:pPr>
              <w:rPr>
                <w:rFonts w:ascii="宋体"/>
                <w:vanish/>
              </w:rPr>
            </w:pPr>
          </w:p>
        </w:tc>
        <w:tc>
          <w:tcPr>
            <w:tcW w:w="0" w:type="auto"/>
            <w:gridSpan w:val="3"/>
            <w:shd w:val="clear" w:color="auto" w:fill="auto"/>
            <w:vAlign w:val="bottom"/>
          </w:tcPr>
          <w:p w14:paraId="67534B91" w14:textId="77777777" w:rsidR="001B77DD" w:rsidRDefault="001B77DD">
            <w:pPr>
              <w:rPr>
                <w:rFonts w:ascii="宋体"/>
                <w:vanish/>
              </w:rPr>
            </w:pPr>
          </w:p>
        </w:tc>
        <w:tc>
          <w:tcPr>
            <w:tcW w:w="0" w:type="auto"/>
            <w:gridSpan w:val="3"/>
            <w:shd w:val="clear" w:color="auto" w:fill="auto"/>
            <w:vAlign w:val="bottom"/>
          </w:tcPr>
          <w:p w14:paraId="67534B92" w14:textId="77777777" w:rsidR="001B77DD" w:rsidRDefault="001B77DD">
            <w:pPr>
              <w:rPr>
                <w:rFonts w:ascii="宋体"/>
                <w:vanish/>
              </w:rPr>
            </w:pPr>
          </w:p>
        </w:tc>
        <w:tc>
          <w:tcPr>
            <w:tcW w:w="0" w:type="auto"/>
            <w:gridSpan w:val="3"/>
            <w:shd w:val="clear" w:color="auto" w:fill="auto"/>
            <w:vAlign w:val="bottom"/>
          </w:tcPr>
          <w:p w14:paraId="67534B93" w14:textId="77777777" w:rsidR="001B77DD" w:rsidRDefault="001B77DD">
            <w:pPr>
              <w:rPr>
                <w:rFonts w:ascii="宋体"/>
                <w:vanish/>
              </w:rPr>
            </w:pPr>
          </w:p>
        </w:tc>
        <w:tc>
          <w:tcPr>
            <w:tcW w:w="0" w:type="auto"/>
            <w:gridSpan w:val="3"/>
            <w:shd w:val="clear" w:color="auto" w:fill="auto"/>
            <w:vAlign w:val="bottom"/>
          </w:tcPr>
          <w:p w14:paraId="67534B94" w14:textId="77777777" w:rsidR="001B77DD" w:rsidRDefault="001B77DD">
            <w:pPr>
              <w:rPr>
                <w:rFonts w:ascii="宋体"/>
                <w:vanish/>
              </w:rPr>
            </w:pPr>
          </w:p>
        </w:tc>
      </w:tr>
      <w:tr w:rsidR="001B77DD" w14:paraId="67534BA9" w14:textId="77777777">
        <w:trPr>
          <w:trHeight w:val="300"/>
        </w:trPr>
        <w:tc>
          <w:tcPr>
            <w:tcW w:w="0" w:type="auto"/>
            <w:gridSpan w:val="3"/>
            <w:shd w:val="clear" w:color="auto" w:fill="auto"/>
            <w:tcMar>
              <w:top w:w="40" w:type="dxa"/>
              <w:left w:w="20" w:type="dxa"/>
              <w:bottom w:w="40" w:type="dxa"/>
              <w:right w:w="20" w:type="dxa"/>
            </w:tcMar>
            <w:vAlign w:val="bottom"/>
          </w:tcPr>
          <w:p w14:paraId="67534B96" w14:textId="77777777" w:rsidR="001B77DD" w:rsidRDefault="00BF0A28">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67534B97"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98" w14:textId="77777777" w:rsidR="001B77DD" w:rsidRDefault="00BF0A28">
            <w:pPr>
              <w:jc w:val="right"/>
              <w:textAlignment w:val="bottom"/>
            </w:pPr>
            <w:r>
              <w:rPr>
                <w:rFonts w:ascii="Arial" w:eastAsia="宋体" w:hAnsi="Arial" w:cs="Arial"/>
                <w:b/>
                <w:bCs/>
                <w:color w:val="0068B5"/>
                <w:sz w:val="18"/>
                <w:szCs w:val="18"/>
              </w:rPr>
              <w:t>19,456</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9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9A"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9B" w14:textId="77777777" w:rsidR="001B77DD" w:rsidRDefault="00BF0A28">
            <w:pPr>
              <w:jc w:val="right"/>
              <w:textAlignment w:val="bottom"/>
            </w:pPr>
            <w:r>
              <w:rPr>
                <w:rFonts w:ascii="Arial" w:eastAsia="宋体" w:hAnsi="Arial" w:cs="Arial"/>
                <w:b/>
                <w:bCs/>
                <w:color w:val="0068B5"/>
                <w:sz w:val="18"/>
                <w:szCs w:val="18"/>
              </w:rPr>
              <w:t>24.6</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9C"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9D"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9E" w14:textId="77777777" w:rsidR="001B77DD" w:rsidRDefault="00BF0A28">
            <w:pPr>
              <w:jc w:val="right"/>
              <w:textAlignment w:val="bottom"/>
            </w:pPr>
            <w:r>
              <w:rPr>
                <w:rFonts w:ascii="Arial" w:eastAsia="宋体" w:hAnsi="Arial" w:cs="Arial"/>
                <w:b/>
                <w:bCs/>
                <w:color w:val="262626"/>
                <w:sz w:val="18"/>
                <w:szCs w:val="18"/>
              </w:rPr>
              <w:t>23,678</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9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A0"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A1" w14:textId="77777777" w:rsidR="001B77DD" w:rsidRDefault="00BF0A28">
            <w:pPr>
              <w:jc w:val="right"/>
              <w:textAlignment w:val="bottom"/>
            </w:pPr>
            <w:r>
              <w:rPr>
                <w:rFonts w:ascii="Arial" w:eastAsia="宋体" w:hAnsi="Arial" w:cs="Arial"/>
                <w:b/>
                <w:bCs/>
                <w:color w:val="262626"/>
                <w:sz w:val="18"/>
                <w:szCs w:val="18"/>
              </w:rPr>
              <w:t>30.4</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A2"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A3"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A4" w14:textId="77777777" w:rsidR="001B77DD" w:rsidRDefault="00BF0A28">
            <w:pPr>
              <w:jc w:val="right"/>
              <w:textAlignment w:val="bottom"/>
            </w:pPr>
            <w:r>
              <w:rPr>
                <w:rFonts w:ascii="Arial" w:eastAsia="宋体" w:hAnsi="Arial" w:cs="Arial"/>
                <w:b/>
                <w:bCs/>
                <w:color w:val="262626"/>
                <w:sz w:val="18"/>
                <w:szCs w:val="18"/>
              </w:rPr>
              <w:t>22,035</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A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A6"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4BA7" w14:textId="77777777" w:rsidR="001B77DD" w:rsidRDefault="00BF0A28">
            <w:pPr>
              <w:jc w:val="right"/>
              <w:textAlignment w:val="bottom"/>
            </w:pPr>
            <w:r>
              <w:rPr>
                <w:rFonts w:ascii="Arial" w:eastAsia="宋体" w:hAnsi="Arial" w:cs="Arial"/>
                <w:b/>
                <w:bCs/>
                <w:color w:val="262626"/>
                <w:sz w:val="18"/>
                <w:szCs w:val="18"/>
              </w:rPr>
              <w:t>30.6</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4BA8" w14:textId="77777777" w:rsidR="001B77DD" w:rsidRDefault="00BF0A28">
            <w:pPr>
              <w:jc w:val="right"/>
              <w:textAlignment w:val="bottom"/>
            </w:pPr>
            <w:r>
              <w:rPr>
                <w:rFonts w:ascii="Arial" w:eastAsia="宋体" w:hAnsi="Arial" w:cs="Arial"/>
                <w:b/>
                <w:bCs/>
                <w:color w:val="262626"/>
                <w:sz w:val="18"/>
                <w:szCs w:val="18"/>
              </w:rPr>
              <w:t>%</w:t>
            </w:r>
          </w:p>
        </w:tc>
      </w:tr>
      <w:tr w:rsidR="001B77DD" w14:paraId="67534BBD" w14:textId="77777777">
        <w:trPr>
          <w:trHeight w:val="300"/>
        </w:trPr>
        <w:tc>
          <w:tcPr>
            <w:tcW w:w="0" w:type="auto"/>
            <w:gridSpan w:val="3"/>
            <w:shd w:val="clear" w:color="auto" w:fill="auto"/>
            <w:tcMar>
              <w:top w:w="40" w:type="dxa"/>
              <w:left w:w="20" w:type="dxa"/>
              <w:bottom w:w="40" w:type="dxa"/>
              <w:right w:w="20" w:type="dxa"/>
            </w:tcMar>
            <w:vAlign w:val="bottom"/>
          </w:tcPr>
          <w:p w14:paraId="67534BAA" w14:textId="77777777" w:rsidR="001B77DD" w:rsidRDefault="00BF0A28">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7534BAB"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AC" w14:textId="77777777" w:rsidR="001B77DD" w:rsidRDefault="00BF0A28">
            <w:pPr>
              <w:jc w:val="right"/>
              <w:textAlignment w:val="bottom"/>
            </w:pPr>
            <w:r>
              <w:rPr>
                <w:rFonts w:ascii="Arial" w:eastAsia="宋体" w:hAnsi="Arial" w:cs="Arial"/>
                <w:color w:val="0068B5"/>
                <w:sz w:val="18"/>
                <w:szCs w:val="18"/>
              </w:rPr>
              <w:t>2,729 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A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AE"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AF" w14:textId="77777777" w:rsidR="001B77DD" w:rsidRDefault="00BF0A28">
            <w:pPr>
              <w:jc w:val="right"/>
              <w:textAlignment w:val="bottom"/>
            </w:pPr>
            <w:r>
              <w:rPr>
                <w:rFonts w:ascii="Arial" w:eastAsia="宋体" w:hAnsi="Arial" w:cs="Arial"/>
                <w:color w:val="0068B5"/>
                <w:sz w:val="18"/>
                <w:szCs w:val="18"/>
              </w:rPr>
              <w:t>3.5 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B0"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B1"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B2" w14:textId="77777777" w:rsidR="001B77DD" w:rsidRDefault="00BF0A28">
            <w:pPr>
              <w:jc w:val="right"/>
              <w:textAlignment w:val="bottom"/>
            </w:pPr>
            <w:r>
              <w:rPr>
                <w:rFonts w:ascii="Arial" w:eastAsia="宋体" w:hAnsi="Arial" w:cs="Arial"/>
                <w:color w:val="262626"/>
                <w:sz w:val="18"/>
                <w:szCs w:val="18"/>
              </w:rPr>
              <w:t>1,904 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B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B4"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B5" w14:textId="77777777" w:rsidR="001B77DD" w:rsidRDefault="00BF0A28">
            <w:pPr>
              <w:jc w:val="right"/>
              <w:textAlignment w:val="bottom"/>
            </w:pPr>
            <w:r>
              <w:rPr>
                <w:rFonts w:ascii="Arial" w:eastAsia="宋体" w:hAnsi="Arial" w:cs="Arial"/>
                <w:color w:val="262626"/>
                <w:sz w:val="18"/>
                <w:szCs w:val="18"/>
              </w:rPr>
              <w:t>2.4 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B6"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B7"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B8" w14:textId="77777777" w:rsidR="001B77DD" w:rsidRDefault="00BF0A28">
            <w:pPr>
              <w:jc w:val="right"/>
              <w:textAlignment w:val="bottom"/>
            </w:pPr>
            <w:r>
              <w:rPr>
                <w:rFonts w:ascii="Arial" w:eastAsia="宋体" w:hAnsi="Arial" w:cs="Arial"/>
                <w:color w:val="262626"/>
                <w:sz w:val="18"/>
                <w:szCs w:val="18"/>
              </w:rPr>
              <w:t>1,539 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B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BA"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BB" w14:textId="77777777" w:rsidR="001B77DD" w:rsidRDefault="00BF0A28">
            <w:pPr>
              <w:jc w:val="right"/>
              <w:textAlignment w:val="bottom"/>
            </w:pPr>
            <w:r>
              <w:rPr>
                <w:rFonts w:ascii="Arial" w:eastAsia="宋体" w:hAnsi="Arial" w:cs="Arial"/>
                <w:color w:val="262626"/>
                <w:sz w:val="18"/>
                <w:szCs w:val="18"/>
              </w:rPr>
              <w:t>2.1 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BC" w14:textId="77777777" w:rsidR="001B77DD" w:rsidRDefault="00BF0A28">
            <w:pPr>
              <w:jc w:val="right"/>
              <w:textAlignment w:val="bottom"/>
            </w:pPr>
            <w:r>
              <w:rPr>
                <w:rFonts w:ascii="Arial" w:eastAsia="宋体" w:hAnsi="Arial" w:cs="Arial"/>
                <w:color w:val="262626"/>
                <w:sz w:val="18"/>
                <w:szCs w:val="18"/>
              </w:rPr>
              <w:t>%</w:t>
            </w:r>
          </w:p>
        </w:tc>
      </w:tr>
      <w:tr w:rsidR="001B77DD" w14:paraId="67534BD1" w14:textId="77777777">
        <w:trPr>
          <w:trHeight w:val="300"/>
        </w:trPr>
        <w:tc>
          <w:tcPr>
            <w:tcW w:w="0" w:type="auto"/>
            <w:gridSpan w:val="3"/>
            <w:shd w:val="clear" w:color="auto" w:fill="auto"/>
            <w:tcMar>
              <w:top w:w="40" w:type="dxa"/>
              <w:left w:w="20" w:type="dxa"/>
              <w:bottom w:w="40" w:type="dxa"/>
              <w:right w:w="20" w:type="dxa"/>
            </w:tcMar>
            <w:vAlign w:val="bottom"/>
          </w:tcPr>
          <w:p w14:paraId="67534BBE" w14:textId="77777777" w:rsidR="001B77DD" w:rsidRDefault="00BF0A28">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7534BB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C0" w14:textId="77777777" w:rsidR="001B77DD" w:rsidRDefault="00BF0A28">
            <w:pPr>
              <w:jc w:val="right"/>
              <w:textAlignment w:val="bottom"/>
            </w:pPr>
            <w:r>
              <w:rPr>
                <w:rFonts w:ascii="Arial" w:eastAsia="宋体" w:hAnsi="Arial" w:cs="Arial"/>
                <w:color w:val="0068B5"/>
                <w:sz w:val="18"/>
                <w:szCs w:val="18"/>
              </w:rPr>
              <w:t>(482)</w:t>
            </w:r>
          </w:p>
        </w:tc>
        <w:tc>
          <w:tcPr>
            <w:tcW w:w="0" w:type="auto"/>
            <w:shd w:val="clear" w:color="auto" w:fill="auto"/>
            <w:tcMar>
              <w:top w:w="40" w:type="dxa"/>
              <w:left w:w="0" w:type="dxa"/>
              <w:bottom w:w="40" w:type="dxa"/>
              <w:right w:w="20" w:type="dxa"/>
            </w:tcMar>
            <w:vAlign w:val="bottom"/>
          </w:tcPr>
          <w:p w14:paraId="67534BC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C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C3" w14:textId="77777777" w:rsidR="001B77DD" w:rsidRDefault="00BF0A28">
            <w:pPr>
              <w:jc w:val="right"/>
              <w:textAlignment w:val="bottom"/>
            </w:pPr>
            <w:r>
              <w:rPr>
                <w:rFonts w:ascii="Arial" w:eastAsia="宋体" w:hAnsi="Arial" w:cs="Arial"/>
                <w:color w:val="0068B5"/>
                <w:sz w:val="18"/>
                <w:szCs w:val="18"/>
              </w:rPr>
              <w:t>(0.6)</w:t>
            </w:r>
          </w:p>
        </w:tc>
        <w:tc>
          <w:tcPr>
            <w:tcW w:w="0" w:type="auto"/>
            <w:shd w:val="clear" w:color="auto" w:fill="auto"/>
            <w:tcMar>
              <w:top w:w="40" w:type="dxa"/>
              <w:left w:w="0" w:type="dxa"/>
              <w:bottom w:w="40" w:type="dxa"/>
              <w:right w:w="20" w:type="dxa"/>
            </w:tcMar>
            <w:vAlign w:val="bottom"/>
          </w:tcPr>
          <w:p w14:paraId="67534BC4"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C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C6" w14:textId="77777777" w:rsidR="001B77DD" w:rsidRDefault="00BF0A28">
            <w:pPr>
              <w:jc w:val="right"/>
              <w:textAlignment w:val="bottom"/>
            </w:pPr>
            <w:r>
              <w:rPr>
                <w:rFonts w:ascii="Arial" w:eastAsia="宋体" w:hAnsi="Arial" w:cs="Arial"/>
                <w:color w:val="262626"/>
                <w:sz w:val="18"/>
                <w:szCs w:val="18"/>
              </w:rPr>
              <w:t>(504)</w:t>
            </w:r>
          </w:p>
        </w:tc>
        <w:tc>
          <w:tcPr>
            <w:tcW w:w="0" w:type="auto"/>
            <w:shd w:val="clear" w:color="auto" w:fill="auto"/>
            <w:tcMar>
              <w:top w:w="40" w:type="dxa"/>
              <w:left w:w="0" w:type="dxa"/>
              <w:bottom w:w="40" w:type="dxa"/>
              <w:right w:w="20" w:type="dxa"/>
            </w:tcMar>
            <w:vAlign w:val="bottom"/>
          </w:tcPr>
          <w:p w14:paraId="67534BC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C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C9" w14:textId="77777777" w:rsidR="001B77DD" w:rsidRDefault="00BF0A28">
            <w:pPr>
              <w:jc w:val="right"/>
              <w:textAlignment w:val="bottom"/>
            </w:pPr>
            <w:r>
              <w:rPr>
                <w:rFonts w:ascii="Arial" w:eastAsia="宋体" w:hAnsi="Arial" w:cs="Arial"/>
                <w:color w:val="262626"/>
                <w:sz w:val="18"/>
                <w:szCs w:val="18"/>
              </w:rPr>
              <w:t>(0.6)</w:t>
            </w:r>
          </w:p>
        </w:tc>
        <w:tc>
          <w:tcPr>
            <w:tcW w:w="0" w:type="auto"/>
            <w:shd w:val="clear" w:color="auto" w:fill="auto"/>
            <w:tcMar>
              <w:top w:w="40" w:type="dxa"/>
              <w:left w:w="0" w:type="dxa"/>
              <w:bottom w:w="40" w:type="dxa"/>
              <w:right w:w="20" w:type="dxa"/>
            </w:tcMar>
            <w:vAlign w:val="bottom"/>
          </w:tcPr>
          <w:p w14:paraId="67534BCA"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CC" w14:textId="77777777" w:rsidR="001B77DD" w:rsidRDefault="00BF0A28">
            <w:pPr>
              <w:jc w:val="right"/>
              <w:textAlignment w:val="bottom"/>
            </w:pPr>
            <w:r>
              <w:rPr>
                <w:rFonts w:ascii="Arial" w:eastAsia="宋体" w:hAnsi="Arial" w:cs="Arial"/>
                <w:color w:val="262626"/>
                <w:sz w:val="18"/>
                <w:szCs w:val="18"/>
              </w:rPr>
              <w:t>484 </w:t>
            </w:r>
          </w:p>
        </w:tc>
        <w:tc>
          <w:tcPr>
            <w:tcW w:w="0" w:type="auto"/>
            <w:shd w:val="clear" w:color="auto" w:fill="auto"/>
            <w:tcMar>
              <w:top w:w="40" w:type="dxa"/>
              <w:left w:w="0" w:type="dxa"/>
              <w:bottom w:w="40" w:type="dxa"/>
              <w:right w:w="20" w:type="dxa"/>
            </w:tcMar>
            <w:vAlign w:val="bottom"/>
          </w:tcPr>
          <w:p w14:paraId="67534B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C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CF" w14:textId="77777777" w:rsidR="001B77DD" w:rsidRDefault="00BF0A28">
            <w:pPr>
              <w:jc w:val="right"/>
              <w:textAlignment w:val="bottom"/>
            </w:pPr>
            <w:r>
              <w:rPr>
                <w:rFonts w:ascii="Arial" w:eastAsia="宋体" w:hAnsi="Arial" w:cs="Arial"/>
                <w:color w:val="262626"/>
                <w:sz w:val="18"/>
                <w:szCs w:val="18"/>
              </w:rPr>
              <w:t>0.7 </w:t>
            </w:r>
          </w:p>
        </w:tc>
        <w:tc>
          <w:tcPr>
            <w:tcW w:w="0" w:type="auto"/>
            <w:shd w:val="clear" w:color="auto" w:fill="auto"/>
            <w:tcMar>
              <w:top w:w="40" w:type="dxa"/>
              <w:left w:w="0" w:type="dxa"/>
              <w:bottom w:w="40" w:type="dxa"/>
              <w:right w:w="20" w:type="dxa"/>
            </w:tcMar>
            <w:vAlign w:val="bottom"/>
          </w:tcPr>
          <w:p w14:paraId="67534BD0" w14:textId="77777777" w:rsidR="001B77DD" w:rsidRDefault="00BF0A28">
            <w:pPr>
              <w:jc w:val="right"/>
              <w:textAlignment w:val="bottom"/>
            </w:pPr>
            <w:r>
              <w:rPr>
                <w:rFonts w:ascii="Arial" w:eastAsia="宋体" w:hAnsi="Arial" w:cs="Arial"/>
                <w:color w:val="262626"/>
                <w:sz w:val="18"/>
                <w:szCs w:val="18"/>
              </w:rPr>
              <w:t>%</w:t>
            </w:r>
          </w:p>
        </w:tc>
      </w:tr>
      <w:tr w:rsidR="001B77DD" w14:paraId="67534BE5" w14:textId="77777777">
        <w:trPr>
          <w:trHeight w:val="300"/>
        </w:trPr>
        <w:tc>
          <w:tcPr>
            <w:tcW w:w="0" w:type="auto"/>
            <w:gridSpan w:val="3"/>
            <w:shd w:val="clear" w:color="auto" w:fill="auto"/>
            <w:tcMar>
              <w:top w:w="40" w:type="dxa"/>
              <w:left w:w="20" w:type="dxa"/>
              <w:bottom w:w="40" w:type="dxa"/>
              <w:right w:w="20" w:type="dxa"/>
            </w:tcMar>
            <w:vAlign w:val="bottom"/>
          </w:tcPr>
          <w:p w14:paraId="67534BD2" w14:textId="77777777" w:rsidR="001B77DD" w:rsidRDefault="00BF0A28">
            <w:pPr>
              <w:textAlignment w:val="bottom"/>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67534BD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D4" w14:textId="77777777" w:rsidR="001B77DD" w:rsidRDefault="00BF0A28">
            <w:pPr>
              <w:jc w:val="right"/>
              <w:textAlignment w:val="bottom"/>
            </w:pPr>
            <w:r>
              <w:rPr>
                <w:rFonts w:ascii="Arial" w:eastAsia="宋体" w:hAnsi="Arial" w:cs="Arial"/>
                <w:b/>
                <w:bCs/>
                <w:color w:val="0068B5"/>
                <w:sz w:val="18"/>
                <w:szCs w:val="18"/>
              </w:rPr>
              <w:t>21,703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D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D6"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D7" w14:textId="77777777" w:rsidR="001B77DD" w:rsidRDefault="00BF0A28">
            <w:pPr>
              <w:jc w:val="right"/>
              <w:textAlignment w:val="bottom"/>
            </w:pPr>
            <w:r>
              <w:rPr>
                <w:rFonts w:ascii="Arial" w:eastAsia="宋体" w:hAnsi="Arial" w:cs="Arial"/>
                <w:b/>
                <w:bCs/>
                <w:color w:val="0068B5"/>
                <w:sz w:val="18"/>
                <w:szCs w:val="18"/>
              </w:rPr>
              <w:t>27.5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D8"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D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DA" w14:textId="77777777" w:rsidR="001B77DD" w:rsidRDefault="00BF0A28">
            <w:pPr>
              <w:jc w:val="right"/>
              <w:textAlignment w:val="bottom"/>
            </w:pPr>
            <w:r>
              <w:rPr>
                <w:rFonts w:ascii="Arial" w:eastAsia="宋体" w:hAnsi="Arial" w:cs="Arial"/>
                <w:b/>
                <w:bCs/>
                <w:color w:val="262626"/>
                <w:sz w:val="18"/>
                <w:szCs w:val="18"/>
              </w:rPr>
              <w:t>25,078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D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DC"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DD" w14:textId="77777777" w:rsidR="001B77DD" w:rsidRDefault="00BF0A28">
            <w:pPr>
              <w:jc w:val="right"/>
              <w:textAlignment w:val="bottom"/>
            </w:pPr>
            <w:r>
              <w:rPr>
                <w:rFonts w:ascii="Arial" w:eastAsia="宋体" w:hAnsi="Arial" w:cs="Arial"/>
                <w:b/>
                <w:bCs/>
                <w:color w:val="262626"/>
                <w:sz w:val="18"/>
                <w:szCs w:val="18"/>
              </w:rPr>
              <w:t>32.2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DE"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D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E0" w14:textId="77777777" w:rsidR="001B77DD" w:rsidRDefault="00BF0A28">
            <w:pPr>
              <w:jc w:val="right"/>
              <w:textAlignment w:val="bottom"/>
            </w:pPr>
            <w:r>
              <w:rPr>
                <w:rFonts w:ascii="Arial" w:eastAsia="宋体" w:hAnsi="Arial" w:cs="Arial"/>
                <w:b/>
                <w:bCs/>
                <w:color w:val="262626"/>
                <w:sz w:val="18"/>
                <w:szCs w:val="18"/>
              </w:rPr>
              <w:t>24,058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E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E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BE3" w14:textId="77777777" w:rsidR="001B77DD" w:rsidRDefault="00BF0A28">
            <w:pPr>
              <w:jc w:val="right"/>
              <w:textAlignment w:val="bottom"/>
            </w:pPr>
            <w:r>
              <w:rPr>
                <w:rFonts w:ascii="Arial" w:eastAsia="宋体" w:hAnsi="Arial" w:cs="Arial"/>
                <w:b/>
                <w:bCs/>
                <w:color w:val="262626"/>
                <w:sz w:val="18"/>
                <w:szCs w:val="18"/>
              </w:rPr>
              <w:t>33.4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E4" w14:textId="77777777" w:rsidR="001B77DD" w:rsidRDefault="00BF0A28">
            <w:pPr>
              <w:jc w:val="right"/>
              <w:textAlignment w:val="bottom"/>
            </w:pPr>
            <w:r>
              <w:rPr>
                <w:rFonts w:ascii="Arial" w:eastAsia="宋体" w:hAnsi="Arial" w:cs="Arial"/>
                <w:b/>
                <w:bCs/>
                <w:color w:val="262626"/>
                <w:sz w:val="18"/>
                <w:szCs w:val="18"/>
              </w:rPr>
              <w:t>%</w:t>
            </w:r>
          </w:p>
        </w:tc>
      </w:tr>
      <w:tr w:rsidR="001B77DD" w14:paraId="67534BF9" w14:textId="77777777">
        <w:trPr>
          <w:trHeight w:val="300"/>
        </w:trPr>
        <w:tc>
          <w:tcPr>
            <w:tcW w:w="0" w:type="auto"/>
            <w:gridSpan w:val="3"/>
            <w:shd w:val="clear" w:color="auto" w:fill="auto"/>
            <w:tcMar>
              <w:top w:w="40" w:type="dxa"/>
              <w:left w:w="20" w:type="dxa"/>
              <w:bottom w:w="40" w:type="dxa"/>
              <w:right w:w="20" w:type="dxa"/>
            </w:tcMar>
            <w:vAlign w:val="bottom"/>
          </w:tcPr>
          <w:p w14:paraId="67534BE6" w14:textId="77777777" w:rsidR="001B77DD" w:rsidRDefault="00BF0A28">
            <w:pPr>
              <w:textAlignment w:val="bottom"/>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67534BE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E8" w14:textId="77777777" w:rsidR="001B77DD" w:rsidRDefault="00BF0A28">
            <w:pPr>
              <w:jc w:val="right"/>
              <w:textAlignment w:val="bottom"/>
            </w:pPr>
            <w:r>
              <w:rPr>
                <w:rFonts w:ascii="Arial" w:eastAsia="宋体" w:hAnsi="Arial" w:cs="Arial"/>
                <w:color w:val="0068B5"/>
                <w:sz w:val="18"/>
                <w:szCs w:val="18"/>
              </w:rPr>
              <w:t>1,835 </w:t>
            </w:r>
          </w:p>
        </w:tc>
        <w:tc>
          <w:tcPr>
            <w:tcW w:w="0" w:type="auto"/>
            <w:shd w:val="clear" w:color="auto" w:fill="auto"/>
            <w:tcMar>
              <w:top w:w="40" w:type="dxa"/>
              <w:left w:w="0" w:type="dxa"/>
              <w:bottom w:w="40" w:type="dxa"/>
              <w:right w:w="20" w:type="dxa"/>
            </w:tcMar>
            <w:vAlign w:val="bottom"/>
          </w:tcPr>
          <w:p w14:paraId="67534BE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E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EB" w14:textId="77777777" w:rsidR="001B77DD" w:rsidRDefault="00BF0A28">
            <w:pPr>
              <w:jc w:val="right"/>
              <w:textAlignment w:val="bottom"/>
            </w:pPr>
            <w:r>
              <w:rPr>
                <w:rFonts w:ascii="Arial" w:eastAsia="宋体" w:hAnsi="Arial" w:cs="Arial"/>
                <w:color w:val="0068B5"/>
                <w:sz w:val="18"/>
                <w:szCs w:val="18"/>
              </w:rPr>
              <w:t>2.3 </w:t>
            </w:r>
          </w:p>
        </w:tc>
        <w:tc>
          <w:tcPr>
            <w:tcW w:w="0" w:type="auto"/>
            <w:shd w:val="clear" w:color="auto" w:fill="auto"/>
            <w:tcMar>
              <w:top w:w="40" w:type="dxa"/>
              <w:left w:w="0" w:type="dxa"/>
              <w:bottom w:w="40" w:type="dxa"/>
              <w:right w:w="20" w:type="dxa"/>
            </w:tcMar>
            <w:vAlign w:val="bottom"/>
          </w:tcPr>
          <w:p w14:paraId="67534BEC"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BE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EE" w14:textId="77777777" w:rsidR="001B77DD" w:rsidRDefault="00BF0A28">
            <w:pPr>
              <w:jc w:val="right"/>
              <w:textAlignment w:val="bottom"/>
            </w:pPr>
            <w:r>
              <w:rPr>
                <w:rFonts w:ascii="Arial" w:eastAsia="宋体" w:hAnsi="Arial" w:cs="Arial"/>
                <w:color w:val="262626"/>
                <w:sz w:val="18"/>
                <w:szCs w:val="18"/>
              </w:rPr>
              <w:t>4,179 </w:t>
            </w:r>
          </w:p>
        </w:tc>
        <w:tc>
          <w:tcPr>
            <w:tcW w:w="0" w:type="auto"/>
            <w:shd w:val="clear" w:color="auto" w:fill="auto"/>
            <w:tcMar>
              <w:top w:w="40" w:type="dxa"/>
              <w:left w:w="0" w:type="dxa"/>
              <w:bottom w:w="40" w:type="dxa"/>
              <w:right w:w="20" w:type="dxa"/>
            </w:tcMar>
            <w:vAlign w:val="bottom"/>
          </w:tcPr>
          <w:p w14:paraId="67534BE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F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F1" w14:textId="77777777" w:rsidR="001B77DD" w:rsidRDefault="00BF0A28">
            <w:pPr>
              <w:jc w:val="right"/>
              <w:textAlignment w:val="bottom"/>
            </w:pPr>
            <w:r>
              <w:rPr>
                <w:rFonts w:ascii="Arial" w:eastAsia="宋体" w:hAnsi="Arial" w:cs="Arial"/>
                <w:color w:val="262626"/>
                <w:sz w:val="18"/>
                <w:szCs w:val="18"/>
              </w:rPr>
              <w:t>5.4 </w:t>
            </w:r>
          </w:p>
        </w:tc>
        <w:tc>
          <w:tcPr>
            <w:tcW w:w="0" w:type="auto"/>
            <w:shd w:val="clear" w:color="auto" w:fill="auto"/>
            <w:tcMar>
              <w:top w:w="40" w:type="dxa"/>
              <w:left w:w="0" w:type="dxa"/>
              <w:bottom w:w="40" w:type="dxa"/>
              <w:right w:w="20" w:type="dxa"/>
            </w:tcMar>
            <w:vAlign w:val="bottom"/>
          </w:tcPr>
          <w:p w14:paraId="67534BF2"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BF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F4" w14:textId="77777777" w:rsidR="001B77DD" w:rsidRDefault="00BF0A28">
            <w:pPr>
              <w:jc w:val="right"/>
              <w:textAlignment w:val="bottom"/>
            </w:pPr>
            <w:r>
              <w:rPr>
                <w:rFonts w:ascii="Arial" w:eastAsia="宋体" w:hAnsi="Arial" w:cs="Arial"/>
                <w:color w:val="262626"/>
                <w:sz w:val="18"/>
                <w:szCs w:val="18"/>
              </w:rPr>
              <w:t>3,010 </w:t>
            </w:r>
          </w:p>
        </w:tc>
        <w:tc>
          <w:tcPr>
            <w:tcW w:w="0" w:type="auto"/>
            <w:shd w:val="clear" w:color="auto" w:fill="auto"/>
            <w:tcMar>
              <w:top w:w="40" w:type="dxa"/>
              <w:left w:w="0" w:type="dxa"/>
              <w:bottom w:w="40" w:type="dxa"/>
              <w:right w:w="20" w:type="dxa"/>
            </w:tcMar>
            <w:vAlign w:val="bottom"/>
          </w:tcPr>
          <w:p w14:paraId="67534BF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F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BF7" w14:textId="77777777" w:rsidR="001B77DD" w:rsidRDefault="00BF0A28">
            <w:pPr>
              <w:jc w:val="right"/>
              <w:textAlignment w:val="bottom"/>
            </w:pPr>
            <w:r>
              <w:rPr>
                <w:rFonts w:ascii="Arial" w:eastAsia="宋体" w:hAnsi="Arial" w:cs="Arial"/>
                <w:color w:val="262626"/>
                <w:sz w:val="18"/>
                <w:szCs w:val="18"/>
              </w:rPr>
              <w:t>4.2 </w:t>
            </w:r>
          </w:p>
        </w:tc>
        <w:tc>
          <w:tcPr>
            <w:tcW w:w="0" w:type="auto"/>
            <w:shd w:val="clear" w:color="auto" w:fill="auto"/>
            <w:tcMar>
              <w:top w:w="40" w:type="dxa"/>
              <w:left w:w="0" w:type="dxa"/>
              <w:bottom w:w="40" w:type="dxa"/>
              <w:right w:w="20" w:type="dxa"/>
            </w:tcMar>
            <w:vAlign w:val="bottom"/>
          </w:tcPr>
          <w:p w14:paraId="67534BF8" w14:textId="77777777" w:rsidR="001B77DD" w:rsidRDefault="00BF0A28">
            <w:pPr>
              <w:jc w:val="right"/>
              <w:textAlignment w:val="bottom"/>
            </w:pPr>
            <w:r>
              <w:rPr>
                <w:rFonts w:ascii="Arial" w:eastAsia="宋体" w:hAnsi="Arial" w:cs="Arial"/>
                <w:color w:val="262626"/>
                <w:sz w:val="18"/>
                <w:szCs w:val="18"/>
              </w:rPr>
              <w:t>%</w:t>
            </w:r>
          </w:p>
        </w:tc>
      </w:tr>
      <w:tr w:rsidR="001B77DD" w14:paraId="67534C10" w14:textId="77777777">
        <w:trPr>
          <w:trHeight w:val="300"/>
        </w:trPr>
        <w:tc>
          <w:tcPr>
            <w:tcW w:w="0" w:type="auto"/>
            <w:gridSpan w:val="3"/>
            <w:shd w:val="clear" w:color="auto" w:fill="auto"/>
            <w:tcMar>
              <w:top w:w="40" w:type="dxa"/>
              <w:left w:w="20" w:type="dxa"/>
              <w:bottom w:w="40" w:type="dxa"/>
              <w:right w:w="20" w:type="dxa"/>
            </w:tcMar>
            <w:vAlign w:val="bottom"/>
          </w:tcPr>
          <w:p w14:paraId="67534BFA" w14:textId="77777777" w:rsidR="001B77DD" w:rsidRDefault="00BF0A28">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7534BFB"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4BFC"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BFD" w14:textId="77777777" w:rsidR="001B77DD" w:rsidRDefault="00BF0A28">
            <w:pPr>
              <w:jc w:val="right"/>
              <w:textAlignment w:val="bottom"/>
            </w:pPr>
            <w:r>
              <w:rPr>
                <w:rFonts w:ascii="Arial" w:eastAsia="宋体" w:hAnsi="Arial" w:cs="Arial"/>
                <w:b/>
                <w:bCs/>
                <w:color w:val="0068B5"/>
                <w:sz w:val="18"/>
                <w:szCs w:val="18"/>
              </w:rPr>
              <w:t>19,868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BF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BF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C00" w14:textId="77777777" w:rsidR="001B77DD" w:rsidRDefault="00BF0A28">
            <w:pPr>
              <w:jc w:val="right"/>
              <w:textAlignment w:val="bottom"/>
            </w:pPr>
            <w:r>
              <w:rPr>
                <w:rFonts w:ascii="Arial" w:eastAsia="宋体" w:hAnsi="Arial" w:cs="Arial"/>
                <w:b/>
                <w:bCs/>
                <w:color w:val="0068B5"/>
                <w:sz w:val="18"/>
                <w:szCs w:val="18"/>
              </w:rPr>
              <w:t>25.1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C01"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C02"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4C0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C04" w14:textId="77777777" w:rsidR="001B77DD" w:rsidRDefault="00BF0A28">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C0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06"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C07" w14:textId="77777777" w:rsidR="001B77DD" w:rsidRDefault="00BF0A28">
            <w:pPr>
              <w:jc w:val="right"/>
              <w:textAlignment w:val="bottom"/>
            </w:pPr>
            <w:r>
              <w:rPr>
                <w:rFonts w:ascii="Arial" w:eastAsia="宋体" w:hAnsi="Arial" w:cs="Arial"/>
                <w:b/>
                <w:bCs/>
                <w:color w:val="262626"/>
                <w:sz w:val="18"/>
                <w:szCs w:val="18"/>
              </w:rPr>
              <w:t>26.8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C08"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C09"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4C0A"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C0B" w14:textId="77777777" w:rsidR="001B77DD" w:rsidRDefault="00BF0A28">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C0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0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4C0E" w14:textId="77777777" w:rsidR="001B77DD" w:rsidRDefault="00BF0A28">
            <w:pPr>
              <w:jc w:val="right"/>
              <w:textAlignment w:val="bottom"/>
            </w:pPr>
            <w:r>
              <w:rPr>
                <w:rFonts w:ascii="Arial" w:eastAsia="宋体" w:hAnsi="Arial" w:cs="Arial"/>
                <w:b/>
                <w:bCs/>
                <w:color w:val="262626"/>
                <w:sz w:val="18"/>
                <w:szCs w:val="18"/>
              </w:rPr>
              <w:t>29.2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C0F" w14:textId="77777777" w:rsidR="001B77DD" w:rsidRDefault="00BF0A28">
            <w:pPr>
              <w:jc w:val="right"/>
              <w:textAlignment w:val="bottom"/>
            </w:pPr>
            <w:r>
              <w:rPr>
                <w:rFonts w:ascii="Arial" w:eastAsia="宋体" w:hAnsi="Arial" w:cs="Arial"/>
                <w:b/>
                <w:bCs/>
                <w:color w:val="262626"/>
                <w:sz w:val="18"/>
                <w:szCs w:val="18"/>
              </w:rPr>
              <w:t>%</w:t>
            </w:r>
          </w:p>
        </w:tc>
      </w:tr>
      <w:tr w:rsidR="001B77DD" w14:paraId="67534C24" w14:textId="77777777">
        <w:trPr>
          <w:trHeight w:val="300"/>
        </w:trPr>
        <w:tc>
          <w:tcPr>
            <w:tcW w:w="0" w:type="auto"/>
            <w:gridSpan w:val="3"/>
            <w:shd w:val="clear" w:color="auto" w:fill="auto"/>
            <w:tcMar>
              <w:top w:w="40" w:type="dxa"/>
              <w:left w:w="20" w:type="dxa"/>
              <w:bottom w:w="40" w:type="dxa"/>
              <w:right w:w="20" w:type="dxa"/>
            </w:tcMar>
            <w:vAlign w:val="bottom"/>
          </w:tcPr>
          <w:p w14:paraId="67534C11" w14:textId="77777777" w:rsidR="001B77DD" w:rsidRDefault="00BF0A28">
            <w:pPr>
              <w:textAlignment w:val="bottom"/>
            </w:pPr>
            <w:r>
              <w:rPr>
                <w:rFonts w:ascii="Arial" w:eastAsia="宋体" w:hAnsi="Arial" w:cs="Arial"/>
                <w:b/>
                <w:bCs/>
                <w:color w:val="262626"/>
                <w:sz w:val="18"/>
                <w:szCs w:val="18"/>
              </w:rPr>
              <w:t>Ear</w:t>
            </w:r>
            <w:r>
              <w:rPr>
                <w:rFonts w:ascii="Arial" w:eastAsia="宋体" w:hAnsi="Arial" w:cs="Arial"/>
                <w:b/>
                <w:bCs/>
                <w:color w:val="262626"/>
                <w:sz w:val="18"/>
                <w:szCs w:val="18"/>
              </w:rPr>
              <w:t>nings per share—diluted</w:t>
            </w:r>
          </w:p>
        </w:tc>
        <w:tc>
          <w:tcPr>
            <w:tcW w:w="0" w:type="auto"/>
            <w:gridSpan w:val="3"/>
            <w:shd w:val="clear" w:color="auto" w:fill="auto"/>
            <w:tcMar>
              <w:top w:w="0" w:type="dxa"/>
              <w:left w:w="20" w:type="dxa"/>
              <w:bottom w:w="0" w:type="dxa"/>
              <w:right w:w="20" w:type="dxa"/>
            </w:tcMar>
            <w:vAlign w:val="bottom"/>
          </w:tcPr>
          <w:p w14:paraId="67534C12" w14:textId="77777777" w:rsidR="001B77DD" w:rsidRDefault="001B77DD">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4C13" w14:textId="77777777" w:rsidR="001B77DD" w:rsidRDefault="00BF0A2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7534C14" w14:textId="77777777" w:rsidR="001B77DD" w:rsidRDefault="00BF0A28">
            <w:pPr>
              <w:jc w:val="right"/>
              <w:textAlignment w:val="bottom"/>
            </w:pPr>
            <w:r>
              <w:rPr>
                <w:rFonts w:ascii="Arial" w:eastAsia="宋体" w:hAnsi="Arial" w:cs="Arial"/>
                <w:b/>
                <w:bCs/>
                <w:color w:val="0068B5"/>
                <w:sz w:val="18"/>
                <w:szCs w:val="18"/>
              </w:rPr>
              <w:t>4.86</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4C1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16"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4C1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C18" w14:textId="77777777" w:rsidR="001B77DD" w:rsidRDefault="001B77DD">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67534C19"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67534C1A" w14:textId="77777777" w:rsidR="001B77DD" w:rsidRDefault="00BF0A28">
            <w:pPr>
              <w:jc w:val="right"/>
              <w:textAlignment w:val="bottom"/>
            </w:pPr>
            <w:r>
              <w:rPr>
                <w:rFonts w:ascii="Arial" w:eastAsia="宋体" w:hAnsi="Arial" w:cs="Arial"/>
                <w:b/>
                <w:bCs/>
                <w:color w:val="262626"/>
                <w:sz w:val="18"/>
                <w:szCs w:val="18"/>
              </w:rPr>
              <w:t>4.94</w:t>
            </w:r>
            <w:r>
              <w:rPr>
                <w:rFonts w:ascii="Arial" w:eastAsia="宋体" w:hAnsi="Arial" w:cs="Arial"/>
                <w:color w:val="262626"/>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67534C1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1C"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4C1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C1E" w14:textId="77777777" w:rsidR="001B77DD" w:rsidRDefault="001B77DD">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67534C1F"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67534C20" w14:textId="77777777" w:rsidR="001B77DD" w:rsidRDefault="00BF0A28">
            <w:pPr>
              <w:jc w:val="right"/>
              <w:textAlignment w:val="bottom"/>
            </w:pPr>
            <w:r>
              <w:rPr>
                <w:rFonts w:ascii="Arial" w:eastAsia="宋体" w:hAnsi="Arial" w:cs="Arial"/>
                <w:b/>
                <w:bCs/>
                <w:color w:val="262626"/>
                <w:sz w:val="18"/>
                <w:szCs w:val="18"/>
              </w:rPr>
              <w:t>4.71</w:t>
            </w:r>
            <w:r>
              <w:rPr>
                <w:rFonts w:ascii="Arial" w:eastAsia="宋体" w:hAnsi="Arial" w:cs="Arial"/>
                <w:color w:val="262626"/>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67534C2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22"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4C23" w14:textId="77777777" w:rsidR="001B77DD" w:rsidRDefault="001B77DD">
            <w:pPr>
              <w:rPr>
                <w:rFonts w:ascii="宋体"/>
              </w:rPr>
            </w:pPr>
          </w:p>
        </w:tc>
      </w:tr>
    </w:tbl>
    <w:p w14:paraId="67534C25"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C2F" w14:textId="77777777">
        <w:tc>
          <w:tcPr>
            <w:tcW w:w="50" w:type="pct"/>
            <w:shd w:val="clear" w:color="auto" w:fill="auto"/>
            <w:vAlign w:val="bottom"/>
          </w:tcPr>
          <w:p w14:paraId="67534C26" w14:textId="77777777" w:rsidR="001B77DD" w:rsidRDefault="001B77DD">
            <w:pPr>
              <w:rPr>
                <w:rFonts w:ascii="宋体"/>
              </w:rPr>
            </w:pPr>
          </w:p>
        </w:tc>
        <w:tc>
          <w:tcPr>
            <w:tcW w:w="283" w:type="pct"/>
            <w:shd w:val="clear" w:color="auto" w:fill="auto"/>
            <w:vAlign w:val="bottom"/>
          </w:tcPr>
          <w:p w14:paraId="67534C27" w14:textId="77777777" w:rsidR="001B77DD" w:rsidRDefault="001B77DD">
            <w:pPr>
              <w:rPr>
                <w:rFonts w:ascii="宋体"/>
              </w:rPr>
            </w:pPr>
          </w:p>
        </w:tc>
        <w:tc>
          <w:tcPr>
            <w:tcW w:w="5" w:type="pct"/>
            <w:shd w:val="clear" w:color="auto" w:fill="auto"/>
            <w:vAlign w:val="bottom"/>
          </w:tcPr>
          <w:p w14:paraId="67534C28" w14:textId="77777777" w:rsidR="001B77DD" w:rsidRDefault="001B77DD">
            <w:pPr>
              <w:rPr>
                <w:rFonts w:ascii="宋体"/>
              </w:rPr>
            </w:pPr>
          </w:p>
        </w:tc>
        <w:tc>
          <w:tcPr>
            <w:tcW w:w="50" w:type="pct"/>
            <w:shd w:val="clear" w:color="auto" w:fill="auto"/>
            <w:vAlign w:val="bottom"/>
          </w:tcPr>
          <w:p w14:paraId="67534C29" w14:textId="77777777" w:rsidR="001B77DD" w:rsidRDefault="001B77DD">
            <w:pPr>
              <w:rPr>
                <w:rFonts w:ascii="宋体"/>
              </w:rPr>
            </w:pPr>
          </w:p>
        </w:tc>
        <w:tc>
          <w:tcPr>
            <w:tcW w:w="2656" w:type="pct"/>
            <w:shd w:val="clear" w:color="auto" w:fill="auto"/>
            <w:vAlign w:val="bottom"/>
          </w:tcPr>
          <w:p w14:paraId="67534C2A" w14:textId="77777777" w:rsidR="001B77DD" w:rsidRDefault="001B77DD">
            <w:pPr>
              <w:rPr>
                <w:rFonts w:ascii="宋体"/>
              </w:rPr>
            </w:pPr>
          </w:p>
        </w:tc>
        <w:tc>
          <w:tcPr>
            <w:tcW w:w="5" w:type="pct"/>
            <w:shd w:val="clear" w:color="auto" w:fill="auto"/>
            <w:vAlign w:val="bottom"/>
          </w:tcPr>
          <w:p w14:paraId="67534C2B" w14:textId="77777777" w:rsidR="001B77DD" w:rsidRDefault="001B77DD">
            <w:pPr>
              <w:rPr>
                <w:rFonts w:ascii="宋体"/>
              </w:rPr>
            </w:pPr>
          </w:p>
        </w:tc>
        <w:tc>
          <w:tcPr>
            <w:tcW w:w="50" w:type="pct"/>
            <w:shd w:val="clear" w:color="auto" w:fill="auto"/>
            <w:vAlign w:val="bottom"/>
          </w:tcPr>
          <w:p w14:paraId="67534C2C" w14:textId="77777777" w:rsidR="001B77DD" w:rsidRDefault="001B77DD">
            <w:pPr>
              <w:rPr>
                <w:rFonts w:ascii="宋体"/>
              </w:rPr>
            </w:pPr>
          </w:p>
        </w:tc>
        <w:tc>
          <w:tcPr>
            <w:tcW w:w="1894" w:type="pct"/>
            <w:shd w:val="clear" w:color="auto" w:fill="auto"/>
            <w:vAlign w:val="bottom"/>
          </w:tcPr>
          <w:p w14:paraId="67534C2D" w14:textId="77777777" w:rsidR="001B77DD" w:rsidRDefault="001B77DD">
            <w:pPr>
              <w:rPr>
                <w:rFonts w:ascii="宋体"/>
              </w:rPr>
            </w:pPr>
          </w:p>
        </w:tc>
        <w:tc>
          <w:tcPr>
            <w:tcW w:w="5" w:type="pct"/>
            <w:shd w:val="clear" w:color="auto" w:fill="auto"/>
            <w:vAlign w:val="bottom"/>
          </w:tcPr>
          <w:p w14:paraId="67534C2E" w14:textId="77777777" w:rsidR="001B77DD" w:rsidRDefault="001B77DD">
            <w:pPr>
              <w:rPr>
                <w:rFonts w:ascii="宋体"/>
              </w:rPr>
            </w:pPr>
          </w:p>
        </w:tc>
      </w:tr>
      <w:tr w:rsidR="001B77DD" w14:paraId="67534C3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C3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A1" wp14:editId="67538EA2">
                  <wp:extent cx="304800" cy="304800"/>
                  <wp:effectExtent l="0" t="0" r="0" b="0"/>
                  <wp:docPr id="107" name="图片 19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95"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C31"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C32" w14:textId="77777777" w:rsidR="001B77DD" w:rsidRDefault="00BF0A28">
            <w:pPr>
              <w:jc w:val="right"/>
              <w:textAlignment w:val="center"/>
            </w:pPr>
            <w:r>
              <w:rPr>
                <w:rFonts w:ascii="Arial" w:eastAsia="宋体" w:hAnsi="Arial" w:cs="Arial"/>
                <w:color w:val="262626"/>
                <w:sz w:val="16"/>
                <w:szCs w:val="16"/>
              </w:rPr>
              <w:t>37</w:t>
            </w:r>
          </w:p>
        </w:tc>
      </w:tr>
    </w:tbl>
    <w:p w14:paraId="67534C34" w14:textId="77777777" w:rsidR="001B77DD" w:rsidRDefault="00BF0A28">
      <w:r>
        <w:pict w14:anchorId="67538EA3">
          <v:rect id="_x0000_i1063" style="width:415.3pt;height:1.5pt" o:hralign="center" o:hrstd="t" o:hr="t" fillcolor="#a0a0a0" stroked="f"/>
        </w:pict>
      </w:r>
    </w:p>
    <w:p w14:paraId="67534C35" w14:textId="77777777" w:rsidR="001B77DD" w:rsidRDefault="00BF0A28">
      <w:pPr>
        <w:jc w:val="right"/>
      </w:pPr>
      <w:hyperlink r:id="rId95" w:anchor="i6c9ced68f6b24d58a3dcf326e8c3c699_16" w:history="1">
        <w:r>
          <w:rPr>
            <w:rStyle w:val="a5"/>
            <w:rFonts w:ascii="Arial" w:eastAsia="宋体" w:hAnsi="Arial" w:cs="Arial"/>
            <w:b/>
            <w:bCs/>
            <w:sz w:val="16"/>
            <w:szCs w:val="16"/>
          </w:rPr>
          <w:t>Table of Contents</w:t>
        </w:r>
      </w:hyperlink>
    </w:p>
    <w:p w14:paraId="67534C36" w14:textId="77777777" w:rsidR="001B77DD" w:rsidRDefault="001B77DD">
      <w:pPr>
        <w:jc w:val="right"/>
      </w:pPr>
    </w:p>
    <w:p w14:paraId="67534C37" w14:textId="77777777" w:rsidR="001B77DD" w:rsidRDefault="00BF0A28">
      <w:pPr>
        <w:spacing w:after="180"/>
      </w:pPr>
      <w:r>
        <w:rPr>
          <w:rFonts w:ascii="Arial" w:eastAsia="宋体" w:hAnsi="Arial" w:cs="Arial"/>
          <w:color w:val="0068B5"/>
          <w:sz w:val="28"/>
          <w:szCs w:val="28"/>
        </w:rPr>
        <w:t>Revenue</w:t>
      </w:r>
    </w:p>
    <w:p w14:paraId="67534C38" w14:textId="77777777" w:rsidR="001B77DD" w:rsidRDefault="00BF0A28">
      <w:pPr>
        <w:spacing w:after="180"/>
      </w:pPr>
      <w:r>
        <w:rPr>
          <w:rFonts w:ascii="Arial" w:eastAsia="宋体" w:hAnsi="Arial" w:cs="Arial"/>
          <w:color w:val="262626"/>
          <w:sz w:val="18"/>
          <w:szCs w:val="18"/>
        </w:rPr>
        <w:t>Our total revenue grew from $62.8 billion in 2017 to $79.0 billion in 2021,</w:t>
      </w:r>
      <w:r>
        <w:rPr>
          <w:rFonts w:ascii="Arial" w:eastAsia="宋体" w:hAnsi="Arial" w:cs="Arial"/>
          <w:color w:val="262626"/>
          <w:sz w:val="18"/>
          <w:szCs w:val="18"/>
        </w:rPr>
        <w:t xml:space="preserve"> representing 6% CAGR. </w:t>
      </w: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C3C" w14:textId="77777777">
        <w:tc>
          <w:tcPr>
            <w:tcW w:w="20" w:type="dxa"/>
            <w:shd w:val="clear" w:color="auto" w:fill="auto"/>
            <w:vAlign w:val="bottom"/>
          </w:tcPr>
          <w:p w14:paraId="67534C39" w14:textId="77777777" w:rsidR="001B77DD" w:rsidRDefault="001B77DD">
            <w:pPr>
              <w:rPr>
                <w:rFonts w:ascii="宋体"/>
              </w:rPr>
            </w:pPr>
          </w:p>
        </w:tc>
        <w:tc>
          <w:tcPr>
            <w:tcW w:w="10940" w:type="dxa"/>
            <w:shd w:val="clear" w:color="auto" w:fill="auto"/>
            <w:vAlign w:val="bottom"/>
          </w:tcPr>
          <w:p w14:paraId="67534C3A" w14:textId="77777777" w:rsidR="001B77DD" w:rsidRDefault="001B77DD">
            <w:pPr>
              <w:rPr>
                <w:rFonts w:ascii="宋体"/>
              </w:rPr>
            </w:pPr>
          </w:p>
        </w:tc>
        <w:tc>
          <w:tcPr>
            <w:tcW w:w="20" w:type="dxa"/>
            <w:shd w:val="clear" w:color="auto" w:fill="auto"/>
            <w:vAlign w:val="bottom"/>
          </w:tcPr>
          <w:p w14:paraId="67534C3B" w14:textId="77777777" w:rsidR="001B77DD" w:rsidRDefault="001B77DD">
            <w:pPr>
              <w:rPr>
                <w:rFonts w:ascii="宋体"/>
              </w:rPr>
            </w:pPr>
          </w:p>
        </w:tc>
      </w:tr>
      <w:tr w:rsidR="001B77DD" w14:paraId="67534C3E"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C3D" w14:textId="77777777" w:rsidR="001B77DD" w:rsidRDefault="00BF0A28">
            <w:pPr>
              <w:jc w:val="center"/>
              <w:textAlignment w:val="bottom"/>
            </w:pPr>
            <w:r>
              <w:rPr>
                <w:rFonts w:ascii="Arial" w:eastAsia="宋体" w:hAnsi="Arial" w:cs="Arial"/>
                <w:color w:val="0068B5"/>
                <w:sz w:val="20"/>
                <w:szCs w:val="20"/>
              </w:rPr>
              <w:t xml:space="preserve">5-year Revenue Trend </w:t>
            </w:r>
          </w:p>
        </w:tc>
      </w:tr>
    </w:tbl>
    <w:p w14:paraId="67534C3F" w14:textId="77777777" w:rsidR="001B77DD" w:rsidRDefault="00BF0A28">
      <w:pPr>
        <w:spacing w:after="180"/>
        <w:ind w:firstLine="261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Viewer4_files/intc-20211225_g91.jpg"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A4" wp14:editId="67538EA5">
            <wp:extent cx="304800" cy="304800"/>
            <wp:effectExtent l="0" t="0" r="0" b="0"/>
            <wp:docPr id="106" name="图片 197"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97" descr="IMG_38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4C40" w14:textId="77777777" w:rsidR="001B77DD" w:rsidRDefault="001B77DD"/>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C44" w14:textId="77777777">
        <w:tc>
          <w:tcPr>
            <w:tcW w:w="20" w:type="dxa"/>
            <w:shd w:val="clear" w:color="auto" w:fill="auto"/>
            <w:vAlign w:val="bottom"/>
          </w:tcPr>
          <w:p w14:paraId="67534C41" w14:textId="77777777" w:rsidR="001B77DD" w:rsidRDefault="001B77DD">
            <w:pPr>
              <w:rPr>
                <w:rFonts w:ascii="宋体"/>
              </w:rPr>
            </w:pPr>
          </w:p>
        </w:tc>
        <w:tc>
          <w:tcPr>
            <w:tcW w:w="10940" w:type="dxa"/>
            <w:shd w:val="clear" w:color="auto" w:fill="auto"/>
            <w:vAlign w:val="bottom"/>
          </w:tcPr>
          <w:p w14:paraId="67534C42" w14:textId="77777777" w:rsidR="001B77DD" w:rsidRDefault="001B77DD">
            <w:pPr>
              <w:rPr>
                <w:rFonts w:ascii="宋体"/>
              </w:rPr>
            </w:pPr>
          </w:p>
        </w:tc>
        <w:tc>
          <w:tcPr>
            <w:tcW w:w="20" w:type="dxa"/>
            <w:shd w:val="clear" w:color="auto" w:fill="auto"/>
            <w:vAlign w:val="bottom"/>
          </w:tcPr>
          <w:p w14:paraId="67534C43" w14:textId="77777777" w:rsidR="001B77DD" w:rsidRDefault="001B77DD">
            <w:pPr>
              <w:rPr>
                <w:rFonts w:ascii="宋体"/>
              </w:rPr>
            </w:pPr>
          </w:p>
        </w:tc>
      </w:tr>
      <w:tr w:rsidR="001B77DD" w14:paraId="67534C46"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C45" w14:textId="77777777" w:rsidR="001B77DD" w:rsidRDefault="00BF0A28">
            <w:pPr>
              <w:jc w:val="center"/>
              <w:textAlignment w:val="bottom"/>
            </w:pPr>
            <w:r>
              <w:rPr>
                <w:rFonts w:ascii="Arial" w:eastAsia="宋体" w:hAnsi="Arial" w:cs="Arial"/>
                <w:color w:val="0068B5"/>
                <w:sz w:val="20"/>
                <w:szCs w:val="20"/>
              </w:rPr>
              <w:t>Segment Revenue Walk $B</w:t>
            </w:r>
          </w:p>
        </w:tc>
      </w:tr>
    </w:tbl>
    <w:p w14:paraId="67534C47" w14:textId="77777777" w:rsidR="001B77DD" w:rsidRDefault="00BF0A2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Viewer4_files/intc-20211225_g92.jpg"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A6" wp14:editId="67538EA7">
            <wp:extent cx="304800" cy="304800"/>
            <wp:effectExtent l="0" t="0" r="0" b="0"/>
            <wp:docPr id="105" name="图片 198"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98" descr="IMG_38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7534C48" w14:textId="77777777" w:rsidR="001B77DD" w:rsidRDefault="00BF0A28">
      <w:pPr>
        <w:spacing w:after="120"/>
      </w:pPr>
      <w:r>
        <w:rPr>
          <w:rFonts w:ascii="Arial" w:eastAsia="宋体" w:hAnsi="Arial" w:cs="Arial"/>
          <w:color w:val="0068B5"/>
          <w:sz w:val="20"/>
          <w:szCs w:val="20"/>
        </w:rPr>
        <w:t>2021 vs. 2020</w:t>
      </w:r>
    </w:p>
    <w:p w14:paraId="67534C49" w14:textId="77777777" w:rsidR="001B77DD" w:rsidRDefault="00BF0A28">
      <w:pPr>
        <w:spacing w:after="180"/>
      </w:pPr>
      <w:r>
        <w:rPr>
          <w:rFonts w:ascii="Arial" w:eastAsia="宋体" w:hAnsi="Arial" w:cs="Arial"/>
          <w:color w:val="262626"/>
          <w:sz w:val="18"/>
          <w:szCs w:val="18"/>
        </w:rPr>
        <w:t xml:space="preserve">In 2021, revenue was $79.0 billion, up $1.2 billion, or 1%, from 2020. CCG revenue grew 1% due </w:t>
      </w:r>
      <w:r>
        <w:rPr>
          <w:rFonts w:ascii="Arial" w:eastAsia="宋体" w:hAnsi="Arial" w:cs="Arial"/>
          <w:color w:val="262626"/>
          <w:sz w:val="18"/>
          <w:szCs w:val="18"/>
        </w:rPr>
        <w:t>to continued strength in notebook demand and recovery in desktop demand, partially offset by lower notebook ASPs due to strength in the consumer and education market segments. CCG adjacent revenue decreased primarily due to the continued ramp down from the</w:t>
      </w:r>
      <w:r>
        <w:rPr>
          <w:rFonts w:ascii="Arial" w:eastAsia="宋体" w:hAnsi="Arial" w:cs="Arial"/>
          <w:color w:val="262626"/>
          <w:sz w:val="18"/>
          <w:szCs w:val="18"/>
        </w:rPr>
        <w:t xml:space="preserve"> exit of our 5G smartphone modem and Home Gateway Platform businesses. IOTG and Mobileye were both up 33% and 43%, respectively, on higher demand amid recovery from the economic impacts of COVID-19. DCG revenue decreased 1% primarily due to lower ASPs driv</w:t>
      </w:r>
      <w:r>
        <w:rPr>
          <w:rFonts w:ascii="Arial" w:eastAsia="宋体" w:hAnsi="Arial" w:cs="Arial"/>
          <w:color w:val="262626"/>
          <w:sz w:val="18"/>
          <w:szCs w:val="18"/>
        </w:rPr>
        <w:t>en by product mix and a competitive environment, partially offset by higher platform volume from recovery in the enterprise and government market segment. NSG revenue decreased primarily driven by lower ASPs due to market softness and pricing pressure. Our</w:t>
      </w:r>
      <w:r>
        <w:rPr>
          <w:rFonts w:ascii="Arial" w:eastAsia="宋体" w:hAnsi="Arial" w:cs="Arial"/>
          <w:color w:val="262626"/>
          <w:sz w:val="18"/>
          <w:szCs w:val="18"/>
        </w:rPr>
        <w:t xml:space="preserve"> "all other" revenue increased primarily due to $584 million from a prepaid customer supply agreement settled in Q1 2021 for which we recognized related revenue for completing performance.</w:t>
      </w:r>
    </w:p>
    <w:p w14:paraId="67534C4A" w14:textId="77777777" w:rsidR="001B77DD" w:rsidRDefault="00BF0A28">
      <w:r>
        <w:rPr>
          <w:rFonts w:ascii="Arial" w:eastAsia="宋体" w:hAnsi="Arial" w:cs="Arial"/>
          <w:color w:val="262626"/>
          <w:sz w:val="18"/>
          <w:szCs w:val="18"/>
        </w:rPr>
        <w:t>We saw impacts from ongoing industry component, substrate, and foun</w:t>
      </w:r>
      <w:r>
        <w:rPr>
          <w:rFonts w:ascii="Arial" w:eastAsia="宋体" w:hAnsi="Arial" w:cs="Arial"/>
          <w:color w:val="262626"/>
          <w:sz w:val="18"/>
          <w:szCs w:val="18"/>
        </w:rPr>
        <w:t xml:space="preserve">dry silicon shortages across a majority of our businesses and we expect these constraints to continue. </w:t>
      </w:r>
    </w:p>
    <w:p w14:paraId="67534C4B" w14:textId="77777777" w:rsidR="001B77DD" w:rsidRDefault="001B77DD"/>
    <w:p w14:paraId="67534C4C" w14:textId="77777777" w:rsidR="001B77DD" w:rsidRDefault="00BF0A28">
      <w:pPr>
        <w:spacing w:after="120"/>
      </w:pPr>
      <w:r>
        <w:rPr>
          <w:rFonts w:ascii="Arial" w:eastAsia="宋体" w:hAnsi="Arial" w:cs="Arial"/>
          <w:color w:val="0068B5"/>
          <w:sz w:val="20"/>
          <w:szCs w:val="20"/>
        </w:rPr>
        <w:t>2020 vs. 2019</w:t>
      </w:r>
    </w:p>
    <w:p w14:paraId="67534C4D" w14:textId="77777777" w:rsidR="001B77DD" w:rsidRDefault="00BF0A28">
      <w:pPr>
        <w:spacing w:after="180"/>
      </w:pPr>
      <w:r>
        <w:rPr>
          <w:rFonts w:ascii="Arial" w:eastAsia="宋体" w:hAnsi="Arial" w:cs="Arial"/>
          <w:color w:val="262626"/>
          <w:sz w:val="18"/>
          <w:szCs w:val="18"/>
        </w:rPr>
        <w:t>In 2020, revenue was $77.9 billion, up $5.9 billion, or 8%, from 2019. Our DCG revenue grew 11% due to increased platform volume as cloud</w:t>
      </w:r>
      <w:r>
        <w:rPr>
          <w:rFonts w:ascii="Arial" w:eastAsia="宋体" w:hAnsi="Arial" w:cs="Arial"/>
          <w:color w:val="262626"/>
          <w:sz w:val="18"/>
          <w:szCs w:val="18"/>
        </w:rPr>
        <w:t xml:space="preserve"> service providers increased capacity to serve customer demand. We also saw continued growth in DCG communications service providers, partially offset by enterprise and government decline. We saw growth in DCG adjacencies driven by 5G networking deployment</w:t>
      </w:r>
      <w:r>
        <w:rPr>
          <w:rFonts w:ascii="Arial" w:eastAsia="宋体" w:hAnsi="Arial" w:cs="Arial"/>
          <w:color w:val="262626"/>
          <w:sz w:val="18"/>
          <w:szCs w:val="18"/>
        </w:rPr>
        <w:t xml:space="preserve"> and saw improved NAND pricing and higher demand in NSG, partially offset by weaker core mix and higher demand in IOTG platform products due to COVID-19. Our CCG revenue was up</w:t>
      </w:r>
      <w:r>
        <w:rPr>
          <w:rFonts w:ascii="Arial" w:eastAsia="宋体" w:hAnsi="Arial" w:cs="Arial"/>
          <w:b/>
          <w:bCs/>
          <w:color w:val="262626"/>
          <w:sz w:val="18"/>
          <w:szCs w:val="18"/>
        </w:rPr>
        <w:t xml:space="preserve"> </w:t>
      </w:r>
      <w:r>
        <w:rPr>
          <w:rFonts w:ascii="Arial" w:eastAsia="宋体" w:hAnsi="Arial" w:cs="Arial"/>
          <w:color w:val="262626"/>
          <w:sz w:val="18"/>
          <w:szCs w:val="18"/>
        </w:rPr>
        <w:t>8% year over year driven by strength in notebook and Wi-Fi sales. That growth w</w:t>
      </w:r>
      <w:r>
        <w:rPr>
          <w:rFonts w:ascii="Arial" w:eastAsia="宋体" w:hAnsi="Arial" w:cs="Arial"/>
          <w:color w:val="262626"/>
          <w:sz w:val="18"/>
          <w:szCs w:val="18"/>
        </w:rPr>
        <w:t xml:space="preserve">as slightly offset by lower desktop volume and lower notebook ASPs resulting from higher demand for consumer and education PCs, and volume decline in LTE modem and connected home following the exit of those businesses. </w:t>
      </w:r>
    </w:p>
    <w:p w14:paraId="67534C4E" w14:textId="77777777" w:rsidR="001B77DD" w:rsidRDefault="001B77DD"/>
    <w:p w14:paraId="67534C4F"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C59" w14:textId="77777777">
        <w:tc>
          <w:tcPr>
            <w:tcW w:w="50" w:type="pct"/>
            <w:shd w:val="clear" w:color="auto" w:fill="auto"/>
            <w:vAlign w:val="bottom"/>
          </w:tcPr>
          <w:p w14:paraId="67534C50" w14:textId="77777777" w:rsidR="001B77DD" w:rsidRDefault="001B77DD">
            <w:pPr>
              <w:rPr>
                <w:rFonts w:ascii="宋体"/>
              </w:rPr>
            </w:pPr>
          </w:p>
        </w:tc>
        <w:tc>
          <w:tcPr>
            <w:tcW w:w="283" w:type="pct"/>
            <w:shd w:val="clear" w:color="auto" w:fill="auto"/>
            <w:vAlign w:val="bottom"/>
          </w:tcPr>
          <w:p w14:paraId="67534C51" w14:textId="77777777" w:rsidR="001B77DD" w:rsidRDefault="001B77DD">
            <w:pPr>
              <w:rPr>
                <w:rFonts w:ascii="宋体"/>
              </w:rPr>
            </w:pPr>
          </w:p>
        </w:tc>
        <w:tc>
          <w:tcPr>
            <w:tcW w:w="5" w:type="pct"/>
            <w:shd w:val="clear" w:color="auto" w:fill="auto"/>
            <w:vAlign w:val="bottom"/>
          </w:tcPr>
          <w:p w14:paraId="67534C52" w14:textId="77777777" w:rsidR="001B77DD" w:rsidRDefault="001B77DD">
            <w:pPr>
              <w:rPr>
                <w:rFonts w:ascii="宋体"/>
              </w:rPr>
            </w:pPr>
          </w:p>
        </w:tc>
        <w:tc>
          <w:tcPr>
            <w:tcW w:w="50" w:type="pct"/>
            <w:shd w:val="clear" w:color="auto" w:fill="auto"/>
            <w:vAlign w:val="bottom"/>
          </w:tcPr>
          <w:p w14:paraId="67534C53" w14:textId="77777777" w:rsidR="001B77DD" w:rsidRDefault="001B77DD">
            <w:pPr>
              <w:rPr>
                <w:rFonts w:ascii="宋体"/>
              </w:rPr>
            </w:pPr>
          </w:p>
        </w:tc>
        <w:tc>
          <w:tcPr>
            <w:tcW w:w="2656" w:type="pct"/>
            <w:shd w:val="clear" w:color="auto" w:fill="auto"/>
            <w:vAlign w:val="bottom"/>
          </w:tcPr>
          <w:p w14:paraId="67534C54" w14:textId="77777777" w:rsidR="001B77DD" w:rsidRDefault="001B77DD">
            <w:pPr>
              <w:rPr>
                <w:rFonts w:ascii="宋体"/>
              </w:rPr>
            </w:pPr>
          </w:p>
        </w:tc>
        <w:tc>
          <w:tcPr>
            <w:tcW w:w="5" w:type="pct"/>
            <w:shd w:val="clear" w:color="auto" w:fill="auto"/>
            <w:vAlign w:val="bottom"/>
          </w:tcPr>
          <w:p w14:paraId="67534C55" w14:textId="77777777" w:rsidR="001B77DD" w:rsidRDefault="001B77DD">
            <w:pPr>
              <w:rPr>
                <w:rFonts w:ascii="宋体"/>
              </w:rPr>
            </w:pPr>
          </w:p>
        </w:tc>
        <w:tc>
          <w:tcPr>
            <w:tcW w:w="50" w:type="pct"/>
            <w:shd w:val="clear" w:color="auto" w:fill="auto"/>
            <w:vAlign w:val="bottom"/>
          </w:tcPr>
          <w:p w14:paraId="67534C56" w14:textId="77777777" w:rsidR="001B77DD" w:rsidRDefault="001B77DD">
            <w:pPr>
              <w:rPr>
                <w:rFonts w:ascii="宋体"/>
              </w:rPr>
            </w:pPr>
          </w:p>
        </w:tc>
        <w:tc>
          <w:tcPr>
            <w:tcW w:w="1894" w:type="pct"/>
            <w:shd w:val="clear" w:color="auto" w:fill="auto"/>
            <w:vAlign w:val="bottom"/>
          </w:tcPr>
          <w:p w14:paraId="67534C57" w14:textId="77777777" w:rsidR="001B77DD" w:rsidRDefault="001B77DD">
            <w:pPr>
              <w:rPr>
                <w:rFonts w:ascii="宋体"/>
              </w:rPr>
            </w:pPr>
          </w:p>
        </w:tc>
        <w:tc>
          <w:tcPr>
            <w:tcW w:w="5" w:type="pct"/>
            <w:shd w:val="clear" w:color="auto" w:fill="auto"/>
            <w:vAlign w:val="bottom"/>
          </w:tcPr>
          <w:p w14:paraId="67534C58" w14:textId="77777777" w:rsidR="001B77DD" w:rsidRDefault="001B77DD">
            <w:pPr>
              <w:rPr>
                <w:rFonts w:ascii="宋体"/>
              </w:rPr>
            </w:pPr>
          </w:p>
        </w:tc>
      </w:tr>
      <w:tr w:rsidR="001B77DD" w14:paraId="67534C5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C5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A8" wp14:editId="67538EA9">
                  <wp:extent cx="304800" cy="304800"/>
                  <wp:effectExtent l="0" t="0" r="0" b="0"/>
                  <wp:docPr id="108" name="图片 19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C5B"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C5C" w14:textId="77777777" w:rsidR="001B77DD" w:rsidRDefault="00BF0A28">
            <w:pPr>
              <w:jc w:val="right"/>
              <w:textAlignment w:val="center"/>
            </w:pPr>
            <w:r>
              <w:rPr>
                <w:rFonts w:ascii="Arial" w:eastAsia="宋体" w:hAnsi="Arial" w:cs="Arial"/>
                <w:color w:val="262626"/>
                <w:sz w:val="16"/>
                <w:szCs w:val="16"/>
              </w:rPr>
              <w:t>38</w:t>
            </w:r>
          </w:p>
        </w:tc>
      </w:tr>
    </w:tbl>
    <w:p w14:paraId="67534C5E" w14:textId="77777777" w:rsidR="001B77DD" w:rsidRDefault="00BF0A28">
      <w:r>
        <w:pict w14:anchorId="67538EAA">
          <v:rect id="_x0000_i1064" style="width:415.3pt;height:1.5pt" o:hralign="center" o:hrstd="t" o:hr="t" fillcolor="#a0a0a0" stroked="f"/>
        </w:pict>
      </w:r>
    </w:p>
    <w:p w14:paraId="67534C5F" w14:textId="77777777" w:rsidR="001B77DD" w:rsidRDefault="00BF0A28">
      <w:pPr>
        <w:jc w:val="right"/>
      </w:pPr>
      <w:hyperlink r:id="rId96" w:anchor="i6c9ced68f6b24d58a3dcf326e8c3c699_16" w:history="1">
        <w:r>
          <w:rPr>
            <w:rStyle w:val="a5"/>
            <w:rFonts w:ascii="Arial" w:eastAsia="宋体" w:hAnsi="Arial" w:cs="Arial"/>
            <w:b/>
            <w:bCs/>
            <w:sz w:val="16"/>
            <w:szCs w:val="16"/>
          </w:rPr>
          <w:t>Table of Contents</w:t>
        </w:r>
      </w:hyperlink>
    </w:p>
    <w:p w14:paraId="67534C60" w14:textId="77777777" w:rsidR="001B77DD" w:rsidRDefault="001B77DD">
      <w:pPr>
        <w:jc w:val="right"/>
      </w:pPr>
    </w:p>
    <w:p w14:paraId="67534C61" w14:textId="77777777" w:rsidR="001B77DD" w:rsidRDefault="00BF0A28">
      <w:pPr>
        <w:spacing w:after="180"/>
      </w:pPr>
      <w:r>
        <w:rPr>
          <w:rFonts w:ascii="Arial" w:eastAsia="宋体" w:hAnsi="Arial" w:cs="Arial"/>
          <w:color w:val="0068B5"/>
          <w:sz w:val="28"/>
          <w:szCs w:val="28"/>
        </w:rPr>
        <w:t>Gross Margin</w:t>
      </w:r>
    </w:p>
    <w:p w14:paraId="67534C62" w14:textId="77777777" w:rsidR="001B77DD" w:rsidRDefault="00BF0A28">
      <w:pPr>
        <w:spacing w:after="180"/>
      </w:pPr>
      <w:r>
        <w:rPr>
          <w:rFonts w:ascii="Arial" w:eastAsia="宋体" w:hAnsi="Arial" w:cs="Arial"/>
          <w:color w:val="262626"/>
          <w:sz w:val="18"/>
          <w:szCs w:val="18"/>
        </w:rPr>
        <w:t xml:space="preserve">We derived a substantial majority of our overall gross margin </w:t>
      </w:r>
      <w:r>
        <w:rPr>
          <w:rFonts w:ascii="Arial" w:eastAsia="宋体" w:hAnsi="Arial" w:cs="Arial"/>
          <w:color w:val="262626"/>
          <w:sz w:val="18"/>
          <w:szCs w:val="18"/>
        </w:rPr>
        <w:t>dollars from the sale of platform products in the CCG and DCG operating segments. Our overall gross margin dollars in 2021 increased by $203 million, or approximately flat compared to 2020, and in 2020 increased by $1.5 billion, or 3%, compared to 2019. Ou</w:t>
      </w:r>
      <w:r>
        <w:rPr>
          <w:rFonts w:ascii="Arial" w:eastAsia="宋体" w:hAnsi="Arial" w:cs="Arial"/>
          <w:color w:val="262626"/>
          <w:sz w:val="18"/>
          <w:szCs w:val="18"/>
        </w:rPr>
        <w:t>r gross margin percentage was down as the increase in platform revenue was offset by higher period charges and higher unit cost.</w:t>
      </w:r>
    </w:p>
    <w:tbl>
      <w:tblPr>
        <w:tblW w:w="10980" w:type="dxa"/>
        <w:tblCellMar>
          <w:top w:w="15" w:type="dxa"/>
          <w:left w:w="15" w:type="dxa"/>
          <w:bottom w:w="15" w:type="dxa"/>
          <w:right w:w="15" w:type="dxa"/>
        </w:tblCellMar>
        <w:tblLook w:val="04A0" w:firstRow="1" w:lastRow="0" w:firstColumn="1" w:lastColumn="0" w:noHBand="0" w:noVBand="1"/>
      </w:tblPr>
      <w:tblGrid>
        <w:gridCol w:w="36"/>
        <w:gridCol w:w="36"/>
        <w:gridCol w:w="10872"/>
        <w:gridCol w:w="36"/>
      </w:tblGrid>
      <w:tr w:rsidR="001B77DD" w14:paraId="67534C67" w14:textId="77777777">
        <w:trPr>
          <w:hidden/>
        </w:trPr>
        <w:tc>
          <w:tcPr>
            <w:tcW w:w="0" w:type="auto"/>
            <w:shd w:val="clear" w:color="auto" w:fill="auto"/>
            <w:vAlign w:val="bottom"/>
          </w:tcPr>
          <w:p w14:paraId="67534C63" w14:textId="77777777" w:rsidR="001B77DD" w:rsidRDefault="001B77DD">
            <w:pPr>
              <w:rPr>
                <w:rFonts w:ascii="宋体"/>
                <w:vanish/>
              </w:rPr>
            </w:pPr>
          </w:p>
        </w:tc>
        <w:tc>
          <w:tcPr>
            <w:tcW w:w="20" w:type="dxa"/>
            <w:shd w:val="clear" w:color="auto" w:fill="auto"/>
            <w:vAlign w:val="bottom"/>
          </w:tcPr>
          <w:p w14:paraId="67534C64" w14:textId="77777777" w:rsidR="001B77DD" w:rsidRDefault="001B77DD">
            <w:pPr>
              <w:rPr>
                <w:rFonts w:ascii="宋体"/>
              </w:rPr>
            </w:pPr>
          </w:p>
        </w:tc>
        <w:tc>
          <w:tcPr>
            <w:tcW w:w="10940" w:type="dxa"/>
            <w:shd w:val="clear" w:color="auto" w:fill="auto"/>
            <w:vAlign w:val="bottom"/>
          </w:tcPr>
          <w:p w14:paraId="67534C65" w14:textId="77777777" w:rsidR="001B77DD" w:rsidRDefault="001B77DD">
            <w:pPr>
              <w:rPr>
                <w:rFonts w:ascii="宋体"/>
              </w:rPr>
            </w:pPr>
          </w:p>
        </w:tc>
        <w:tc>
          <w:tcPr>
            <w:tcW w:w="20" w:type="dxa"/>
            <w:shd w:val="clear" w:color="auto" w:fill="auto"/>
            <w:vAlign w:val="bottom"/>
          </w:tcPr>
          <w:p w14:paraId="67534C66" w14:textId="77777777" w:rsidR="001B77DD" w:rsidRDefault="001B77DD">
            <w:pPr>
              <w:rPr>
                <w:rFonts w:ascii="宋体"/>
              </w:rPr>
            </w:pPr>
          </w:p>
        </w:tc>
      </w:tr>
      <w:tr w:rsidR="001B77DD" w14:paraId="67534C6A" w14:textId="77777777">
        <w:trPr>
          <w:trHeight w:val="280"/>
          <w:hidden/>
        </w:trPr>
        <w:tc>
          <w:tcPr>
            <w:tcW w:w="0" w:type="auto"/>
            <w:shd w:val="clear" w:color="auto" w:fill="auto"/>
            <w:vAlign w:val="bottom"/>
          </w:tcPr>
          <w:p w14:paraId="67534C68"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4C69" w14:textId="77777777" w:rsidR="001B77DD" w:rsidRDefault="00BF0A28">
            <w:pPr>
              <w:jc w:val="center"/>
              <w:textAlignment w:val="bottom"/>
            </w:pPr>
            <w:r>
              <w:rPr>
                <w:rFonts w:ascii="Arial" w:eastAsia="宋体" w:hAnsi="Arial" w:cs="Arial"/>
                <w:color w:val="0068B5"/>
                <w:sz w:val="20"/>
                <w:szCs w:val="20"/>
              </w:rPr>
              <w:t>Gross Margin $B</w:t>
            </w:r>
          </w:p>
        </w:tc>
      </w:tr>
      <w:tr w:rsidR="001B77DD" w14:paraId="67534C6D" w14:textId="77777777">
        <w:trPr>
          <w:trHeight w:val="240"/>
          <w:hidden/>
        </w:trPr>
        <w:tc>
          <w:tcPr>
            <w:tcW w:w="0" w:type="auto"/>
            <w:shd w:val="clear" w:color="auto" w:fill="auto"/>
            <w:vAlign w:val="bottom"/>
          </w:tcPr>
          <w:p w14:paraId="67534C6B" w14:textId="77777777" w:rsidR="001B77DD" w:rsidRDefault="001B77DD">
            <w:pPr>
              <w:rPr>
                <w:rFonts w:ascii="宋体"/>
                <w:vanish/>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4C6C" w14:textId="77777777" w:rsidR="001B77DD" w:rsidRDefault="00BF0A28">
            <w:pPr>
              <w:jc w:val="center"/>
              <w:textAlignment w:val="bottom"/>
            </w:pPr>
            <w:r>
              <w:rPr>
                <w:rFonts w:ascii="Arial" w:eastAsia="宋体" w:hAnsi="Arial" w:cs="Arial"/>
                <w:color w:val="262626"/>
                <w:sz w:val="16"/>
                <w:szCs w:val="16"/>
              </w:rPr>
              <w:t>(Percentages in chart indicate gross margin as a percentage of total revenue)</w:t>
            </w:r>
          </w:p>
        </w:tc>
      </w:tr>
    </w:tbl>
    <w:p w14:paraId="67534C6E" w14:textId="77777777" w:rsidR="001B77DD" w:rsidRDefault="00BF0A28">
      <w:pPr>
        <w:spacing w:after="180"/>
        <w:ind w:firstLine="279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Viewer4_files/intc-20211225_g93.jpg"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AB" wp14:editId="67538EAC">
            <wp:extent cx="304800" cy="304800"/>
            <wp:effectExtent l="0" t="0" r="0" b="0"/>
            <wp:docPr id="104" name="图片 201"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01" descr="IMG_38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121"/>
        <w:gridCol w:w="924"/>
        <w:gridCol w:w="36"/>
        <w:gridCol w:w="36"/>
        <w:gridCol w:w="36"/>
        <w:gridCol w:w="36"/>
        <w:gridCol w:w="54"/>
        <w:gridCol w:w="9683"/>
        <w:gridCol w:w="54"/>
      </w:tblGrid>
      <w:tr w:rsidR="001B77DD" w14:paraId="67534C78" w14:textId="77777777">
        <w:tc>
          <w:tcPr>
            <w:tcW w:w="20" w:type="dxa"/>
            <w:shd w:val="clear" w:color="auto" w:fill="auto"/>
            <w:vAlign w:val="bottom"/>
          </w:tcPr>
          <w:p w14:paraId="67534C6F" w14:textId="77777777" w:rsidR="001B77DD" w:rsidRDefault="001B77DD">
            <w:pPr>
              <w:rPr>
                <w:rFonts w:ascii="宋体"/>
              </w:rPr>
            </w:pPr>
          </w:p>
        </w:tc>
        <w:tc>
          <w:tcPr>
            <w:tcW w:w="1265" w:type="dxa"/>
            <w:shd w:val="clear" w:color="auto" w:fill="auto"/>
            <w:vAlign w:val="bottom"/>
          </w:tcPr>
          <w:p w14:paraId="67534C70" w14:textId="77777777" w:rsidR="001B77DD" w:rsidRDefault="001B77DD">
            <w:pPr>
              <w:rPr>
                <w:rFonts w:ascii="宋体"/>
              </w:rPr>
            </w:pPr>
          </w:p>
        </w:tc>
        <w:tc>
          <w:tcPr>
            <w:tcW w:w="20" w:type="dxa"/>
            <w:shd w:val="clear" w:color="auto" w:fill="auto"/>
            <w:vAlign w:val="bottom"/>
          </w:tcPr>
          <w:p w14:paraId="67534C71" w14:textId="77777777" w:rsidR="001B77DD" w:rsidRDefault="001B77DD">
            <w:pPr>
              <w:rPr>
                <w:rFonts w:ascii="宋体"/>
              </w:rPr>
            </w:pPr>
          </w:p>
        </w:tc>
        <w:tc>
          <w:tcPr>
            <w:tcW w:w="20" w:type="dxa"/>
            <w:shd w:val="clear" w:color="auto" w:fill="auto"/>
            <w:vAlign w:val="bottom"/>
          </w:tcPr>
          <w:p w14:paraId="67534C72" w14:textId="77777777" w:rsidR="001B77DD" w:rsidRDefault="001B77DD">
            <w:pPr>
              <w:rPr>
                <w:rFonts w:ascii="宋体"/>
              </w:rPr>
            </w:pPr>
          </w:p>
        </w:tc>
        <w:tc>
          <w:tcPr>
            <w:tcW w:w="35" w:type="dxa"/>
            <w:shd w:val="clear" w:color="auto" w:fill="auto"/>
            <w:vAlign w:val="bottom"/>
          </w:tcPr>
          <w:p w14:paraId="67534C73" w14:textId="77777777" w:rsidR="001B77DD" w:rsidRDefault="001B77DD">
            <w:pPr>
              <w:rPr>
                <w:rFonts w:ascii="宋体"/>
              </w:rPr>
            </w:pPr>
          </w:p>
        </w:tc>
        <w:tc>
          <w:tcPr>
            <w:tcW w:w="20" w:type="dxa"/>
            <w:shd w:val="clear" w:color="auto" w:fill="auto"/>
            <w:vAlign w:val="bottom"/>
          </w:tcPr>
          <w:p w14:paraId="67534C74" w14:textId="77777777" w:rsidR="001B77DD" w:rsidRDefault="001B77DD">
            <w:pPr>
              <w:rPr>
                <w:rFonts w:ascii="宋体"/>
              </w:rPr>
            </w:pPr>
          </w:p>
        </w:tc>
        <w:tc>
          <w:tcPr>
            <w:tcW w:w="20" w:type="dxa"/>
            <w:shd w:val="clear" w:color="auto" w:fill="auto"/>
            <w:vAlign w:val="bottom"/>
          </w:tcPr>
          <w:p w14:paraId="67534C75" w14:textId="77777777" w:rsidR="001B77DD" w:rsidRDefault="001B77DD">
            <w:pPr>
              <w:rPr>
                <w:rFonts w:ascii="宋体"/>
              </w:rPr>
            </w:pPr>
          </w:p>
        </w:tc>
        <w:tc>
          <w:tcPr>
            <w:tcW w:w="9560" w:type="dxa"/>
            <w:shd w:val="clear" w:color="auto" w:fill="auto"/>
            <w:vAlign w:val="bottom"/>
          </w:tcPr>
          <w:p w14:paraId="67534C76" w14:textId="77777777" w:rsidR="001B77DD" w:rsidRDefault="001B77DD">
            <w:pPr>
              <w:rPr>
                <w:rFonts w:ascii="宋体"/>
              </w:rPr>
            </w:pPr>
          </w:p>
        </w:tc>
        <w:tc>
          <w:tcPr>
            <w:tcW w:w="20" w:type="dxa"/>
            <w:shd w:val="clear" w:color="auto" w:fill="auto"/>
            <w:vAlign w:val="bottom"/>
          </w:tcPr>
          <w:p w14:paraId="67534C77" w14:textId="77777777" w:rsidR="001B77DD" w:rsidRDefault="001B77DD">
            <w:pPr>
              <w:rPr>
                <w:rFonts w:ascii="宋体"/>
              </w:rPr>
            </w:pPr>
          </w:p>
        </w:tc>
      </w:tr>
      <w:tr w:rsidR="001B77DD" w14:paraId="67534C7C" w14:textId="77777777">
        <w:trPr>
          <w:trHeight w:val="300"/>
        </w:trPr>
        <w:tc>
          <w:tcPr>
            <w:tcW w:w="0" w:type="auto"/>
            <w:gridSpan w:val="3"/>
            <w:shd w:val="clear" w:color="auto" w:fill="auto"/>
            <w:tcMar>
              <w:top w:w="40" w:type="dxa"/>
              <w:left w:w="20" w:type="dxa"/>
              <w:bottom w:w="40" w:type="dxa"/>
              <w:right w:w="20" w:type="dxa"/>
            </w:tcMar>
            <w:vAlign w:val="bottom"/>
          </w:tcPr>
          <w:p w14:paraId="67534C79"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4C7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C7B" w14:textId="77777777" w:rsidR="001B77DD" w:rsidRDefault="001B77DD">
            <w:pPr>
              <w:rPr>
                <w:rFonts w:ascii="宋体"/>
              </w:rPr>
            </w:pPr>
          </w:p>
        </w:tc>
      </w:tr>
      <w:tr w:rsidR="001B77DD" w14:paraId="67534C82" w14:textId="77777777">
        <w:trPr>
          <w:trHeight w:val="280"/>
        </w:trPr>
        <w:tc>
          <w:tcPr>
            <w:tcW w:w="0" w:type="auto"/>
            <w:tcBorders>
              <w:top w:val="single" w:sz="8" w:space="0" w:color="0068B5"/>
            </w:tcBorders>
            <w:shd w:val="clear" w:color="auto" w:fill="auto"/>
            <w:tcMar>
              <w:top w:w="40" w:type="dxa"/>
              <w:left w:w="20" w:type="dxa"/>
              <w:bottom w:w="40" w:type="dxa"/>
              <w:right w:w="0" w:type="dxa"/>
            </w:tcMar>
            <w:vAlign w:val="bottom"/>
          </w:tcPr>
          <w:p w14:paraId="67534C7D"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C7E" w14:textId="77777777" w:rsidR="001B77DD" w:rsidRDefault="00BF0A28">
            <w:pPr>
              <w:jc w:val="right"/>
              <w:textAlignment w:val="bottom"/>
            </w:pPr>
            <w:r>
              <w:rPr>
                <w:rFonts w:ascii="Arial" w:eastAsia="宋体" w:hAnsi="Arial" w:cs="Arial"/>
                <w:b/>
                <w:bCs/>
                <w:color w:val="0068B5"/>
                <w:sz w:val="18"/>
                <w:szCs w:val="18"/>
              </w:rPr>
              <w:t>43,815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C7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80"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4C81" w14:textId="77777777" w:rsidR="001B77DD" w:rsidRDefault="00BF0A28">
            <w:pPr>
              <w:textAlignment w:val="bottom"/>
            </w:pPr>
            <w:r>
              <w:rPr>
                <w:rFonts w:ascii="Arial" w:eastAsia="宋体" w:hAnsi="Arial" w:cs="Arial"/>
                <w:b/>
                <w:bCs/>
                <w:color w:val="262626"/>
                <w:sz w:val="18"/>
                <w:szCs w:val="18"/>
              </w:rPr>
              <w:t>2021 Gross Margin</w:t>
            </w:r>
          </w:p>
        </w:tc>
      </w:tr>
      <w:tr w:rsidR="001B77DD" w14:paraId="67534C87" w14:textId="77777777">
        <w:trPr>
          <w:trHeight w:val="280"/>
        </w:trPr>
        <w:tc>
          <w:tcPr>
            <w:tcW w:w="0" w:type="auto"/>
            <w:gridSpan w:val="2"/>
            <w:tcBorders>
              <w:top w:val="single" w:sz="4" w:space="0" w:color="262626"/>
            </w:tcBorders>
            <w:shd w:val="clear" w:color="auto" w:fill="FFFFFF"/>
            <w:tcMar>
              <w:top w:w="40" w:type="dxa"/>
              <w:left w:w="20" w:type="dxa"/>
              <w:bottom w:w="40" w:type="dxa"/>
              <w:right w:w="0" w:type="dxa"/>
            </w:tcMar>
          </w:tcPr>
          <w:p w14:paraId="67534C83" w14:textId="77777777" w:rsidR="001B77DD" w:rsidRDefault="00BF0A28">
            <w:pPr>
              <w:jc w:val="right"/>
              <w:textAlignment w:val="top"/>
            </w:pPr>
            <w:r>
              <w:rPr>
                <w:rFonts w:ascii="Arial" w:eastAsia="宋体" w:hAnsi="Arial" w:cs="Arial"/>
                <w:color w:val="0068B5"/>
                <w:sz w:val="18"/>
                <w:szCs w:val="18"/>
              </w:rPr>
              <w:t>1,010 </w:t>
            </w:r>
          </w:p>
        </w:tc>
        <w:tc>
          <w:tcPr>
            <w:tcW w:w="0" w:type="auto"/>
            <w:tcBorders>
              <w:top w:val="single" w:sz="4" w:space="0" w:color="262626"/>
            </w:tcBorders>
            <w:shd w:val="clear" w:color="auto" w:fill="FFFFFF"/>
            <w:tcMar>
              <w:top w:w="40" w:type="dxa"/>
              <w:left w:w="0" w:type="dxa"/>
              <w:bottom w:w="40" w:type="dxa"/>
              <w:right w:w="20" w:type="dxa"/>
            </w:tcMar>
          </w:tcPr>
          <w:p w14:paraId="67534C84"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C85" w14:textId="77777777" w:rsidR="001B77DD" w:rsidRDefault="001B77DD">
            <w:pPr>
              <w:rPr>
                <w:rFonts w:ascii="宋体"/>
              </w:rPr>
            </w:pPr>
          </w:p>
        </w:tc>
        <w:tc>
          <w:tcPr>
            <w:tcW w:w="0" w:type="auto"/>
            <w:gridSpan w:val="3"/>
            <w:tcBorders>
              <w:top w:val="single" w:sz="4" w:space="0" w:color="262626"/>
            </w:tcBorders>
            <w:shd w:val="clear" w:color="auto" w:fill="FFFFFF"/>
            <w:tcMar>
              <w:top w:w="40" w:type="dxa"/>
              <w:left w:w="20" w:type="dxa"/>
              <w:bottom w:w="40" w:type="dxa"/>
              <w:right w:w="20" w:type="dxa"/>
            </w:tcMar>
          </w:tcPr>
          <w:p w14:paraId="67534C86" w14:textId="77777777" w:rsidR="001B77DD" w:rsidRDefault="00BF0A28">
            <w:pPr>
              <w:textAlignment w:val="top"/>
            </w:pPr>
            <w:r>
              <w:rPr>
                <w:rFonts w:ascii="Arial" w:eastAsia="宋体" w:hAnsi="Arial" w:cs="Arial"/>
                <w:color w:val="000000"/>
                <w:sz w:val="18"/>
                <w:szCs w:val="18"/>
              </w:rPr>
              <w:t xml:space="preserve">Higher gross margin from platform </w:t>
            </w:r>
            <w:r>
              <w:rPr>
                <w:rFonts w:ascii="Arial" w:eastAsia="宋体" w:hAnsi="Arial" w:cs="Arial"/>
                <w:color w:val="000000"/>
                <w:sz w:val="18"/>
                <w:szCs w:val="18"/>
              </w:rPr>
              <w:t>revenue</w:t>
            </w:r>
          </w:p>
        </w:tc>
      </w:tr>
      <w:tr w:rsidR="001B77DD" w14:paraId="67534C8C" w14:textId="77777777">
        <w:trPr>
          <w:trHeight w:val="720"/>
        </w:trPr>
        <w:tc>
          <w:tcPr>
            <w:tcW w:w="0" w:type="auto"/>
            <w:gridSpan w:val="2"/>
            <w:shd w:val="clear" w:color="auto" w:fill="FFFFFF"/>
            <w:tcMar>
              <w:top w:w="40" w:type="dxa"/>
              <w:left w:w="20" w:type="dxa"/>
              <w:bottom w:w="40" w:type="dxa"/>
              <w:right w:w="0" w:type="dxa"/>
            </w:tcMar>
          </w:tcPr>
          <w:p w14:paraId="67534C88" w14:textId="77777777" w:rsidR="001B77DD" w:rsidRDefault="00BF0A28">
            <w:pPr>
              <w:jc w:val="right"/>
              <w:textAlignment w:val="top"/>
            </w:pPr>
            <w:r>
              <w:rPr>
                <w:rFonts w:ascii="Arial" w:eastAsia="宋体" w:hAnsi="Arial" w:cs="Arial"/>
                <w:color w:val="0068B5"/>
                <w:sz w:val="18"/>
                <w:szCs w:val="18"/>
              </w:rPr>
              <w:t>680 </w:t>
            </w:r>
          </w:p>
        </w:tc>
        <w:tc>
          <w:tcPr>
            <w:tcW w:w="0" w:type="auto"/>
            <w:shd w:val="clear" w:color="auto" w:fill="FFFFFF"/>
            <w:tcMar>
              <w:top w:w="40" w:type="dxa"/>
              <w:left w:w="0" w:type="dxa"/>
              <w:bottom w:w="40" w:type="dxa"/>
              <w:right w:w="20" w:type="dxa"/>
            </w:tcMar>
          </w:tcPr>
          <w:p w14:paraId="67534C89"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C8A"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vAlign w:val="bottom"/>
          </w:tcPr>
          <w:p w14:paraId="67534C8B" w14:textId="77777777" w:rsidR="001B77DD" w:rsidRDefault="00BF0A28">
            <w:pPr>
              <w:spacing w:after="180"/>
              <w:textAlignment w:val="bottom"/>
            </w:pPr>
            <w:r>
              <w:rPr>
                <w:rFonts w:ascii="Arial" w:eastAsia="宋体" w:hAnsi="Arial" w:cs="Arial"/>
                <w:color w:val="000000"/>
                <w:sz w:val="18"/>
                <w:szCs w:val="18"/>
              </w:rPr>
              <w:t xml:space="preserve">Higher gross margin from adjacent businesses primarily due to the absence of depreciation expense from NAND property, plant and equipment that was held for sale, increased Mobileye volume and higher margins on wireless and </w:t>
            </w:r>
            <w:r>
              <w:rPr>
                <w:rFonts w:ascii="Arial" w:eastAsia="宋体" w:hAnsi="Arial" w:cs="Arial"/>
                <w:color w:val="000000"/>
                <w:sz w:val="18"/>
                <w:szCs w:val="18"/>
              </w:rPr>
              <w:t>connectivity</w:t>
            </w:r>
          </w:p>
        </w:tc>
      </w:tr>
      <w:tr w:rsidR="001B77DD" w14:paraId="67534C91" w14:textId="77777777">
        <w:trPr>
          <w:trHeight w:val="280"/>
        </w:trPr>
        <w:tc>
          <w:tcPr>
            <w:tcW w:w="0" w:type="auto"/>
            <w:gridSpan w:val="2"/>
            <w:shd w:val="clear" w:color="auto" w:fill="FFFFFF"/>
            <w:tcMar>
              <w:top w:w="40" w:type="dxa"/>
              <w:left w:w="20" w:type="dxa"/>
              <w:bottom w:w="40" w:type="dxa"/>
              <w:right w:w="0" w:type="dxa"/>
            </w:tcMar>
          </w:tcPr>
          <w:p w14:paraId="67534C8D" w14:textId="77777777" w:rsidR="001B77DD" w:rsidRDefault="00BF0A28">
            <w:pPr>
              <w:jc w:val="right"/>
              <w:textAlignment w:val="top"/>
            </w:pPr>
            <w:r>
              <w:rPr>
                <w:rFonts w:ascii="Arial" w:eastAsia="宋体" w:hAnsi="Arial" w:cs="Arial"/>
                <w:color w:val="0068B5"/>
                <w:sz w:val="18"/>
                <w:szCs w:val="18"/>
              </w:rPr>
              <w:t>585 </w:t>
            </w:r>
          </w:p>
        </w:tc>
        <w:tc>
          <w:tcPr>
            <w:tcW w:w="0" w:type="auto"/>
            <w:shd w:val="clear" w:color="auto" w:fill="FFFFFF"/>
            <w:tcMar>
              <w:top w:w="40" w:type="dxa"/>
              <w:left w:w="0" w:type="dxa"/>
              <w:bottom w:w="40" w:type="dxa"/>
              <w:right w:w="20" w:type="dxa"/>
            </w:tcMar>
          </w:tcPr>
          <w:p w14:paraId="67534C8E"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C8F"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tcPr>
          <w:p w14:paraId="67534C90" w14:textId="77777777" w:rsidR="001B77DD" w:rsidRDefault="00BF0A28">
            <w:pPr>
              <w:textAlignment w:val="top"/>
            </w:pPr>
            <w:r>
              <w:rPr>
                <w:rFonts w:ascii="Arial" w:eastAsia="宋体" w:hAnsi="Arial" w:cs="Arial"/>
                <w:color w:val="000000"/>
                <w:sz w:val="18"/>
                <w:szCs w:val="18"/>
              </w:rPr>
              <w:t>Prepaid customer supply agreement settled and recognized to revenue in Q1 2021</w:t>
            </w:r>
          </w:p>
        </w:tc>
      </w:tr>
      <w:tr w:rsidR="001B77DD" w14:paraId="67534C96" w14:textId="77777777">
        <w:trPr>
          <w:trHeight w:val="420"/>
        </w:trPr>
        <w:tc>
          <w:tcPr>
            <w:tcW w:w="0" w:type="auto"/>
            <w:gridSpan w:val="2"/>
            <w:shd w:val="clear" w:color="auto" w:fill="FFFFFF"/>
            <w:tcMar>
              <w:top w:w="40" w:type="dxa"/>
              <w:left w:w="20" w:type="dxa"/>
              <w:bottom w:w="40" w:type="dxa"/>
              <w:right w:w="0" w:type="dxa"/>
            </w:tcMar>
          </w:tcPr>
          <w:p w14:paraId="67534C92" w14:textId="77777777" w:rsidR="001B77DD" w:rsidRDefault="00BF0A28">
            <w:pPr>
              <w:jc w:val="right"/>
              <w:textAlignment w:val="top"/>
            </w:pPr>
            <w:r>
              <w:rPr>
                <w:rFonts w:ascii="Arial" w:eastAsia="宋体" w:hAnsi="Arial" w:cs="Arial"/>
                <w:color w:val="0068B5"/>
                <w:sz w:val="18"/>
                <w:szCs w:val="18"/>
              </w:rPr>
              <w:t>75 </w:t>
            </w:r>
          </w:p>
        </w:tc>
        <w:tc>
          <w:tcPr>
            <w:tcW w:w="0" w:type="auto"/>
            <w:shd w:val="clear" w:color="auto" w:fill="FFFFFF"/>
            <w:tcMar>
              <w:top w:w="40" w:type="dxa"/>
              <w:left w:w="0" w:type="dxa"/>
              <w:bottom w:w="40" w:type="dxa"/>
              <w:right w:w="20" w:type="dxa"/>
            </w:tcMar>
          </w:tcPr>
          <w:p w14:paraId="67534C93"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C94"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tcPr>
          <w:p w14:paraId="67534C95" w14:textId="77777777" w:rsidR="001B77DD" w:rsidRDefault="00BF0A28">
            <w:pPr>
              <w:textAlignment w:val="top"/>
            </w:pPr>
            <w:r>
              <w:rPr>
                <w:rFonts w:ascii="Arial" w:eastAsia="宋体" w:hAnsi="Arial" w:cs="Arial"/>
                <w:color w:val="000000"/>
                <w:sz w:val="18"/>
                <w:szCs w:val="18"/>
              </w:rPr>
              <w:t xml:space="preserve">Lower period charges driven by a decrease in engineering samples and lower reserves taken on non-qualified platform products compared to 2020, </w:t>
            </w:r>
            <w:r>
              <w:rPr>
                <w:rFonts w:ascii="Arial" w:eastAsia="宋体" w:hAnsi="Arial" w:cs="Arial"/>
                <w:color w:val="000000"/>
                <w:sz w:val="18"/>
                <w:szCs w:val="18"/>
              </w:rPr>
              <w:t>partially offset by 2020 sell-through of other reserves and other reserves taken in 2021</w:t>
            </w:r>
          </w:p>
        </w:tc>
      </w:tr>
      <w:tr w:rsidR="001B77DD" w14:paraId="67534C9B" w14:textId="77777777">
        <w:trPr>
          <w:trHeight w:val="280"/>
        </w:trPr>
        <w:tc>
          <w:tcPr>
            <w:tcW w:w="0" w:type="auto"/>
            <w:gridSpan w:val="2"/>
            <w:shd w:val="clear" w:color="auto" w:fill="FFFFFF"/>
            <w:tcMar>
              <w:top w:w="40" w:type="dxa"/>
              <w:left w:w="20" w:type="dxa"/>
              <w:bottom w:w="40" w:type="dxa"/>
              <w:right w:w="0" w:type="dxa"/>
            </w:tcMar>
          </w:tcPr>
          <w:p w14:paraId="67534C97" w14:textId="77777777" w:rsidR="001B77DD" w:rsidRDefault="00BF0A28">
            <w:pPr>
              <w:jc w:val="right"/>
              <w:textAlignment w:val="top"/>
            </w:pPr>
            <w:r>
              <w:rPr>
                <w:rFonts w:ascii="Arial" w:eastAsia="宋体" w:hAnsi="Arial" w:cs="Arial"/>
                <w:color w:val="0068B5"/>
                <w:sz w:val="18"/>
                <w:szCs w:val="18"/>
              </w:rPr>
              <w:t>(1,325)</w:t>
            </w:r>
          </w:p>
        </w:tc>
        <w:tc>
          <w:tcPr>
            <w:tcW w:w="0" w:type="auto"/>
            <w:shd w:val="clear" w:color="auto" w:fill="FFFFFF"/>
            <w:tcMar>
              <w:top w:w="40" w:type="dxa"/>
              <w:left w:w="0" w:type="dxa"/>
              <w:bottom w:w="40" w:type="dxa"/>
              <w:right w:w="20" w:type="dxa"/>
            </w:tcMar>
          </w:tcPr>
          <w:p w14:paraId="67534C98"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C99"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tcPr>
          <w:p w14:paraId="67534C9A" w14:textId="77777777" w:rsidR="001B77DD" w:rsidRDefault="00BF0A28">
            <w:pPr>
              <w:textAlignment w:val="top"/>
            </w:pPr>
            <w:r>
              <w:rPr>
                <w:rFonts w:ascii="Arial" w:eastAsia="宋体" w:hAnsi="Arial" w:cs="Arial"/>
                <w:color w:val="000000"/>
                <w:sz w:val="18"/>
                <w:szCs w:val="18"/>
              </w:rPr>
              <w:t>Higher period charges primarily associated with the ramp up of Intel 4</w:t>
            </w:r>
          </w:p>
        </w:tc>
      </w:tr>
      <w:tr w:rsidR="001B77DD" w14:paraId="67534CA0" w14:textId="77777777">
        <w:trPr>
          <w:trHeight w:val="280"/>
        </w:trPr>
        <w:tc>
          <w:tcPr>
            <w:tcW w:w="0" w:type="auto"/>
            <w:gridSpan w:val="2"/>
            <w:shd w:val="clear" w:color="auto" w:fill="FFFFFF"/>
            <w:tcMar>
              <w:top w:w="40" w:type="dxa"/>
              <w:left w:w="20" w:type="dxa"/>
              <w:bottom w:w="40" w:type="dxa"/>
              <w:right w:w="0" w:type="dxa"/>
            </w:tcMar>
          </w:tcPr>
          <w:p w14:paraId="67534C9C" w14:textId="77777777" w:rsidR="001B77DD" w:rsidRDefault="00BF0A28">
            <w:pPr>
              <w:jc w:val="right"/>
              <w:textAlignment w:val="top"/>
            </w:pPr>
            <w:r>
              <w:rPr>
                <w:rFonts w:ascii="Arial" w:eastAsia="宋体" w:hAnsi="Arial" w:cs="Arial"/>
                <w:color w:val="0068B5"/>
                <w:sz w:val="18"/>
                <w:szCs w:val="18"/>
              </w:rPr>
              <w:t>(515)</w:t>
            </w:r>
          </w:p>
        </w:tc>
        <w:tc>
          <w:tcPr>
            <w:tcW w:w="0" w:type="auto"/>
            <w:shd w:val="clear" w:color="auto" w:fill="FFFFFF"/>
            <w:tcMar>
              <w:top w:w="40" w:type="dxa"/>
              <w:left w:w="0" w:type="dxa"/>
              <w:bottom w:w="40" w:type="dxa"/>
              <w:right w:w="20" w:type="dxa"/>
            </w:tcMar>
          </w:tcPr>
          <w:p w14:paraId="67534C9D"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C9E"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tcPr>
          <w:p w14:paraId="67534C9F" w14:textId="77777777" w:rsidR="001B77DD" w:rsidRDefault="00BF0A28">
            <w:pPr>
              <w:textAlignment w:val="top"/>
            </w:pPr>
            <w:r>
              <w:rPr>
                <w:rFonts w:ascii="Arial" w:eastAsia="宋体" w:hAnsi="Arial" w:cs="Arial"/>
                <w:color w:val="000000"/>
                <w:sz w:val="18"/>
                <w:szCs w:val="18"/>
              </w:rPr>
              <w:t>Higher period charges primarily associated with the ramp down of 14nm</w:t>
            </w:r>
          </w:p>
        </w:tc>
      </w:tr>
      <w:tr w:rsidR="001B77DD" w14:paraId="67534CA5" w14:textId="77777777">
        <w:trPr>
          <w:trHeight w:val="280"/>
        </w:trPr>
        <w:tc>
          <w:tcPr>
            <w:tcW w:w="0" w:type="auto"/>
            <w:gridSpan w:val="2"/>
            <w:shd w:val="clear" w:color="auto" w:fill="FFFFFF"/>
            <w:tcMar>
              <w:top w:w="40" w:type="dxa"/>
              <w:left w:w="20" w:type="dxa"/>
              <w:bottom w:w="40" w:type="dxa"/>
              <w:right w:w="0" w:type="dxa"/>
            </w:tcMar>
          </w:tcPr>
          <w:p w14:paraId="67534CA1" w14:textId="77777777" w:rsidR="001B77DD" w:rsidRDefault="00BF0A28">
            <w:pPr>
              <w:jc w:val="right"/>
              <w:textAlignment w:val="top"/>
            </w:pPr>
            <w:r>
              <w:rPr>
                <w:rFonts w:ascii="Arial" w:eastAsia="宋体" w:hAnsi="Arial" w:cs="Arial"/>
                <w:color w:val="0068B5"/>
                <w:sz w:val="18"/>
                <w:szCs w:val="18"/>
              </w:rPr>
              <w:t>(235)</w:t>
            </w:r>
          </w:p>
        </w:tc>
        <w:tc>
          <w:tcPr>
            <w:tcW w:w="0" w:type="auto"/>
            <w:shd w:val="clear" w:color="auto" w:fill="FFFFFF"/>
            <w:tcMar>
              <w:top w:w="40" w:type="dxa"/>
              <w:left w:w="0" w:type="dxa"/>
              <w:bottom w:w="40" w:type="dxa"/>
              <w:right w:w="20" w:type="dxa"/>
            </w:tcMar>
          </w:tcPr>
          <w:p w14:paraId="67534CA2"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CA3"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tcPr>
          <w:p w14:paraId="67534CA4" w14:textId="77777777" w:rsidR="001B77DD" w:rsidRDefault="00BF0A28">
            <w:pPr>
              <w:textAlignment w:val="top"/>
            </w:pPr>
            <w:r>
              <w:rPr>
                <w:rFonts w:ascii="Arial" w:eastAsia="宋体" w:hAnsi="Arial" w:cs="Arial"/>
                <w:color w:val="000000"/>
                <w:sz w:val="18"/>
                <w:szCs w:val="18"/>
              </w:rPr>
              <w:t>Higher platform unit cost primarily from increased mix of 10nm SuperFin products</w:t>
            </w:r>
          </w:p>
        </w:tc>
      </w:tr>
      <w:tr w:rsidR="001B77DD" w14:paraId="67534CAA" w14:textId="77777777">
        <w:trPr>
          <w:trHeight w:val="280"/>
        </w:trPr>
        <w:tc>
          <w:tcPr>
            <w:tcW w:w="0" w:type="auto"/>
            <w:gridSpan w:val="2"/>
            <w:shd w:val="clear" w:color="auto" w:fill="FFFFFF"/>
            <w:tcMar>
              <w:top w:w="40" w:type="dxa"/>
              <w:left w:w="20" w:type="dxa"/>
              <w:bottom w:w="40" w:type="dxa"/>
              <w:right w:w="0" w:type="dxa"/>
            </w:tcMar>
          </w:tcPr>
          <w:p w14:paraId="67534CA6" w14:textId="77777777" w:rsidR="001B77DD" w:rsidRDefault="00BF0A28">
            <w:pPr>
              <w:jc w:val="right"/>
              <w:textAlignment w:val="top"/>
            </w:pPr>
            <w:r>
              <w:rPr>
                <w:rFonts w:ascii="Arial" w:eastAsia="宋体" w:hAnsi="Arial" w:cs="Arial"/>
                <w:color w:val="0068B5"/>
                <w:sz w:val="18"/>
                <w:szCs w:val="18"/>
              </w:rPr>
              <w:t>(72)</w:t>
            </w:r>
          </w:p>
        </w:tc>
        <w:tc>
          <w:tcPr>
            <w:tcW w:w="0" w:type="auto"/>
            <w:shd w:val="clear" w:color="auto" w:fill="FFFFFF"/>
            <w:tcMar>
              <w:top w:w="40" w:type="dxa"/>
              <w:left w:w="0" w:type="dxa"/>
              <w:bottom w:w="40" w:type="dxa"/>
              <w:right w:w="20" w:type="dxa"/>
            </w:tcMar>
          </w:tcPr>
          <w:p w14:paraId="67534CA7" w14:textId="77777777" w:rsidR="001B77DD" w:rsidRDefault="001B77DD">
            <w:pPr>
              <w:jc w:val="right"/>
              <w:rPr>
                <w:rFonts w:ascii="宋体"/>
              </w:rPr>
            </w:pPr>
          </w:p>
        </w:tc>
        <w:tc>
          <w:tcPr>
            <w:tcW w:w="0" w:type="auto"/>
            <w:gridSpan w:val="3"/>
            <w:shd w:val="clear" w:color="auto" w:fill="FFFFFF"/>
            <w:tcMar>
              <w:top w:w="0" w:type="dxa"/>
              <w:left w:w="20" w:type="dxa"/>
              <w:bottom w:w="0" w:type="dxa"/>
              <w:right w:w="20" w:type="dxa"/>
            </w:tcMar>
            <w:vAlign w:val="bottom"/>
          </w:tcPr>
          <w:p w14:paraId="67534CA8" w14:textId="77777777" w:rsidR="001B77DD" w:rsidRDefault="001B77DD">
            <w:pPr>
              <w:rPr>
                <w:rFonts w:ascii="宋体"/>
              </w:rPr>
            </w:pPr>
          </w:p>
        </w:tc>
        <w:tc>
          <w:tcPr>
            <w:tcW w:w="0" w:type="auto"/>
            <w:gridSpan w:val="3"/>
            <w:shd w:val="clear" w:color="auto" w:fill="FFFFFF"/>
            <w:tcMar>
              <w:top w:w="40" w:type="dxa"/>
              <w:left w:w="20" w:type="dxa"/>
              <w:bottom w:w="40" w:type="dxa"/>
              <w:right w:w="20" w:type="dxa"/>
            </w:tcMar>
          </w:tcPr>
          <w:p w14:paraId="67534CA9" w14:textId="77777777" w:rsidR="001B77DD" w:rsidRDefault="00BF0A28">
            <w:pPr>
              <w:textAlignment w:val="top"/>
            </w:pPr>
            <w:r>
              <w:rPr>
                <w:rFonts w:ascii="Arial" w:eastAsia="宋体" w:hAnsi="Arial" w:cs="Arial"/>
                <w:color w:val="000000"/>
                <w:sz w:val="18"/>
                <w:szCs w:val="18"/>
              </w:rPr>
              <w:t>Other</w:t>
            </w:r>
          </w:p>
        </w:tc>
      </w:tr>
      <w:tr w:rsidR="001B77DD" w14:paraId="67534CB0" w14:textId="77777777">
        <w:trPr>
          <w:trHeight w:val="280"/>
        </w:trPr>
        <w:tc>
          <w:tcPr>
            <w:tcW w:w="0" w:type="auto"/>
            <w:tcBorders>
              <w:top w:val="single" w:sz="4" w:space="0" w:color="000000"/>
            </w:tcBorders>
            <w:shd w:val="clear" w:color="auto" w:fill="auto"/>
            <w:tcMar>
              <w:top w:w="40" w:type="dxa"/>
              <w:left w:w="20" w:type="dxa"/>
              <w:bottom w:w="40" w:type="dxa"/>
              <w:right w:w="0" w:type="dxa"/>
            </w:tcMar>
          </w:tcPr>
          <w:p w14:paraId="67534CAB" w14:textId="77777777" w:rsidR="001B77DD" w:rsidRDefault="00BF0A28">
            <w:pPr>
              <w:textAlignment w:val="top"/>
            </w:pPr>
            <w:r>
              <w:rPr>
                <w:rFonts w:ascii="Arial" w:eastAsia="宋体" w:hAnsi="Arial" w:cs="Arial"/>
                <w:b/>
                <w:bCs/>
                <w:color w:val="262626"/>
                <w:sz w:val="18"/>
                <w:szCs w:val="18"/>
              </w:rPr>
              <w:t>$</w:t>
            </w:r>
          </w:p>
        </w:tc>
        <w:tc>
          <w:tcPr>
            <w:tcW w:w="0" w:type="auto"/>
            <w:tcBorders>
              <w:top w:val="single" w:sz="4" w:space="0" w:color="000000"/>
            </w:tcBorders>
            <w:shd w:val="clear" w:color="auto" w:fill="auto"/>
            <w:tcMar>
              <w:top w:w="40" w:type="dxa"/>
              <w:left w:w="0" w:type="dxa"/>
              <w:bottom w:w="40" w:type="dxa"/>
              <w:right w:w="0" w:type="dxa"/>
            </w:tcMar>
          </w:tcPr>
          <w:p w14:paraId="67534CAC" w14:textId="77777777" w:rsidR="001B77DD" w:rsidRDefault="00BF0A28">
            <w:pPr>
              <w:jc w:val="right"/>
              <w:textAlignment w:val="top"/>
            </w:pPr>
            <w:r>
              <w:rPr>
                <w:rFonts w:ascii="Arial" w:eastAsia="宋体" w:hAnsi="Arial" w:cs="Arial"/>
                <w:b/>
                <w:bCs/>
                <w:color w:val="262626"/>
                <w:sz w:val="18"/>
                <w:szCs w:val="18"/>
              </w:rPr>
              <w:t>43,612</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tcPr>
          <w:p w14:paraId="67534CA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AE"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4CAF" w14:textId="77777777" w:rsidR="001B77DD" w:rsidRDefault="00BF0A28">
            <w:pPr>
              <w:textAlignment w:val="bottom"/>
            </w:pPr>
            <w:r>
              <w:rPr>
                <w:rFonts w:ascii="Arial" w:eastAsia="宋体" w:hAnsi="Arial" w:cs="Arial"/>
                <w:b/>
                <w:bCs/>
                <w:color w:val="262626"/>
                <w:sz w:val="18"/>
                <w:szCs w:val="18"/>
              </w:rPr>
              <w:t>2020 Gross Margin</w:t>
            </w:r>
          </w:p>
        </w:tc>
      </w:tr>
      <w:tr w:rsidR="001B77DD" w14:paraId="67534CB5" w14:textId="77777777">
        <w:trPr>
          <w:trHeight w:val="300"/>
        </w:trPr>
        <w:tc>
          <w:tcPr>
            <w:tcW w:w="0" w:type="auto"/>
            <w:gridSpan w:val="2"/>
            <w:tcBorders>
              <w:top w:val="single" w:sz="4" w:space="0" w:color="000000"/>
            </w:tcBorders>
            <w:shd w:val="clear" w:color="auto" w:fill="auto"/>
            <w:tcMar>
              <w:top w:w="40" w:type="dxa"/>
              <w:left w:w="20" w:type="dxa"/>
              <w:bottom w:w="40" w:type="dxa"/>
              <w:right w:w="0" w:type="dxa"/>
            </w:tcMar>
          </w:tcPr>
          <w:p w14:paraId="67534CB1" w14:textId="77777777" w:rsidR="001B77DD" w:rsidRDefault="00BF0A28">
            <w:pPr>
              <w:jc w:val="right"/>
              <w:textAlignment w:val="top"/>
            </w:pPr>
            <w:r>
              <w:rPr>
                <w:rFonts w:ascii="Arial" w:eastAsia="宋体" w:hAnsi="Arial" w:cs="Arial"/>
                <w:color w:val="262626"/>
                <w:sz w:val="18"/>
                <w:szCs w:val="18"/>
              </w:rPr>
              <w:t>2,360 </w:t>
            </w:r>
          </w:p>
        </w:tc>
        <w:tc>
          <w:tcPr>
            <w:tcW w:w="0" w:type="auto"/>
            <w:tcBorders>
              <w:top w:val="single" w:sz="4" w:space="0" w:color="000000"/>
            </w:tcBorders>
            <w:shd w:val="clear" w:color="auto" w:fill="auto"/>
            <w:tcMar>
              <w:top w:w="40" w:type="dxa"/>
              <w:left w:w="0" w:type="dxa"/>
              <w:bottom w:w="40" w:type="dxa"/>
              <w:right w:w="20" w:type="dxa"/>
            </w:tcMar>
          </w:tcPr>
          <w:p w14:paraId="67534CB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B3"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7534CB4" w14:textId="77777777" w:rsidR="001B77DD" w:rsidRDefault="00BF0A28">
            <w:pPr>
              <w:textAlignment w:val="top"/>
            </w:pPr>
            <w:r>
              <w:rPr>
                <w:rFonts w:ascii="Arial" w:eastAsia="宋体" w:hAnsi="Arial" w:cs="Arial"/>
                <w:color w:val="262626"/>
                <w:sz w:val="18"/>
                <w:szCs w:val="18"/>
              </w:rPr>
              <w:t>Higher gross margin from platform revenue</w:t>
            </w:r>
          </w:p>
        </w:tc>
      </w:tr>
      <w:tr w:rsidR="001B77DD" w14:paraId="67534CBA" w14:textId="77777777">
        <w:trPr>
          <w:trHeight w:val="480"/>
        </w:trPr>
        <w:tc>
          <w:tcPr>
            <w:tcW w:w="0" w:type="auto"/>
            <w:gridSpan w:val="2"/>
            <w:shd w:val="clear" w:color="auto" w:fill="auto"/>
            <w:tcMar>
              <w:top w:w="40" w:type="dxa"/>
              <w:left w:w="20" w:type="dxa"/>
              <w:bottom w:w="40" w:type="dxa"/>
              <w:right w:w="0" w:type="dxa"/>
            </w:tcMar>
          </w:tcPr>
          <w:p w14:paraId="67534CB6" w14:textId="77777777" w:rsidR="001B77DD" w:rsidRDefault="00BF0A28">
            <w:pPr>
              <w:jc w:val="right"/>
              <w:textAlignment w:val="top"/>
            </w:pPr>
            <w:r>
              <w:rPr>
                <w:rFonts w:ascii="Arial" w:eastAsia="宋体" w:hAnsi="Arial" w:cs="Arial"/>
                <w:color w:val="262626"/>
                <w:sz w:val="18"/>
                <w:szCs w:val="18"/>
              </w:rPr>
              <w:t>1,855 </w:t>
            </w:r>
          </w:p>
        </w:tc>
        <w:tc>
          <w:tcPr>
            <w:tcW w:w="0" w:type="auto"/>
            <w:shd w:val="clear" w:color="auto" w:fill="auto"/>
            <w:tcMar>
              <w:top w:w="40" w:type="dxa"/>
              <w:left w:w="0" w:type="dxa"/>
              <w:bottom w:w="40" w:type="dxa"/>
              <w:right w:w="20" w:type="dxa"/>
            </w:tcMar>
          </w:tcPr>
          <w:p w14:paraId="67534CB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B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CB9" w14:textId="77777777" w:rsidR="001B77DD" w:rsidRDefault="00BF0A28">
            <w:pPr>
              <w:textAlignment w:val="top"/>
            </w:pPr>
            <w:r>
              <w:rPr>
                <w:rFonts w:ascii="Arial" w:eastAsia="宋体" w:hAnsi="Arial" w:cs="Arial"/>
                <w:color w:val="262626"/>
                <w:sz w:val="18"/>
                <w:szCs w:val="18"/>
              </w:rPr>
              <w:t xml:space="preserve">Higher gross margin from adjacent businesses </w:t>
            </w:r>
            <w:r>
              <w:rPr>
                <w:rFonts w:ascii="Arial" w:eastAsia="宋体" w:hAnsi="Arial" w:cs="Arial"/>
                <w:color w:val="262626"/>
                <w:sz w:val="18"/>
                <w:szCs w:val="18"/>
              </w:rPr>
              <w:t>primarily due to higher margins on NAND, modem, and WIFI, partially offset by lower margins on DCG adjacencies</w:t>
            </w:r>
          </w:p>
        </w:tc>
      </w:tr>
      <w:tr w:rsidR="001B77DD" w14:paraId="67534CBF" w14:textId="77777777">
        <w:trPr>
          <w:trHeight w:val="280"/>
        </w:trPr>
        <w:tc>
          <w:tcPr>
            <w:tcW w:w="0" w:type="auto"/>
            <w:gridSpan w:val="2"/>
            <w:shd w:val="clear" w:color="auto" w:fill="auto"/>
            <w:tcMar>
              <w:top w:w="40" w:type="dxa"/>
              <w:left w:w="20" w:type="dxa"/>
              <w:bottom w:w="40" w:type="dxa"/>
              <w:right w:w="0" w:type="dxa"/>
            </w:tcMar>
          </w:tcPr>
          <w:p w14:paraId="67534CBB" w14:textId="77777777" w:rsidR="001B77DD" w:rsidRDefault="00BF0A28">
            <w:pPr>
              <w:jc w:val="right"/>
              <w:textAlignment w:val="top"/>
            </w:pPr>
            <w:r>
              <w:rPr>
                <w:rFonts w:ascii="Arial" w:eastAsia="宋体" w:hAnsi="Arial" w:cs="Arial"/>
                <w:color w:val="262626"/>
                <w:sz w:val="18"/>
                <w:szCs w:val="18"/>
              </w:rPr>
              <w:t>630 </w:t>
            </w:r>
          </w:p>
        </w:tc>
        <w:tc>
          <w:tcPr>
            <w:tcW w:w="0" w:type="auto"/>
            <w:shd w:val="clear" w:color="auto" w:fill="auto"/>
            <w:tcMar>
              <w:top w:w="40" w:type="dxa"/>
              <w:left w:w="0" w:type="dxa"/>
              <w:bottom w:w="40" w:type="dxa"/>
              <w:right w:w="20" w:type="dxa"/>
            </w:tcMar>
          </w:tcPr>
          <w:p w14:paraId="67534CB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B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CBE" w14:textId="77777777" w:rsidR="001B77DD" w:rsidRDefault="00BF0A28">
            <w:pPr>
              <w:textAlignment w:val="top"/>
            </w:pPr>
            <w:r>
              <w:rPr>
                <w:rFonts w:ascii="Arial" w:eastAsia="宋体" w:hAnsi="Arial" w:cs="Arial"/>
                <w:color w:val="262626"/>
                <w:sz w:val="18"/>
                <w:szCs w:val="18"/>
              </w:rPr>
              <w:t>Lower factory start-up costs associated with our 10nm process technology</w:t>
            </w:r>
          </w:p>
        </w:tc>
      </w:tr>
      <w:tr w:rsidR="001B77DD" w14:paraId="67534CC4" w14:textId="77777777">
        <w:trPr>
          <w:trHeight w:val="300"/>
        </w:trPr>
        <w:tc>
          <w:tcPr>
            <w:tcW w:w="0" w:type="auto"/>
            <w:gridSpan w:val="2"/>
            <w:shd w:val="clear" w:color="auto" w:fill="auto"/>
            <w:tcMar>
              <w:top w:w="40" w:type="dxa"/>
              <w:left w:w="20" w:type="dxa"/>
              <w:bottom w:w="40" w:type="dxa"/>
              <w:right w:w="0" w:type="dxa"/>
            </w:tcMar>
          </w:tcPr>
          <w:p w14:paraId="67534CC0" w14:textId="77777777" w:rsidR="001B77DD" w:rsidRDefault="00BF0A28">
            <w:pPr>
              <w:jc w:val="right"/>
              <w:textAlignment w:val="top"/>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tcPr>
          <w:p w14:paraId="67534CC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C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4CC3" w14:textId="77777777" w:rsidR="001B77DD" w:rsidRDefault="00BF0A28">
            <w:pPr>
              <w:textAlignment w:val="top"/>
            </w:pPr>
            <w:r>
              <w:rPr>
                <w:rFonts w:ascii="Arial" w:eastAsia="宋体" w:hAnsi="Arial" w:cs="Arial"/>
                <w:color w:val="262626"/>
                <w:sz w:val="18"/>
                <w:szCs w:val="18"/>
              </w:rPr>
              <w:t>Lower period charges</w:t>
            </w:r>
          </w:p>
        </w:tc>
      </w:tr>
      <w:tr w:rsidR="001B77DD" w14:paraId="67534CC9" w14:textId="77777777">
        <w:trPr>
          <w:trHeight w:val="280"/>
        </w:trPr>
        <w:tc>
          <w:tcPr>
            <w:tcW w:w="0" w:type="auto"/>
            <w:gridSpan w:val="2"/>
            <w:shd w:val="clear" w:color="auto" w:fill="auto"/>
            <w:tcMar>
              <w:top w:w="40" w:type="dxa"/>
              <w:left w:w="20" w:type="dxa"/>
              <w:bottom w:w="40" w:type="dxa"/>
              <w:right w:w="0" w:type="dxa"/>
            </w:tcMar>
          </w:tcPr>
          <w:p w14:paraId="67534CC5" w14:textId="77777777" w:rsidR="001B77DD" w:rsidRDefault="00BF0A28">
            <w:pPr>
              <w:jc w:val="right"/>
              <w:textAlignment w:val="top"/>
            </w:pPr>
            <w:r>
              <w:rPr>
                <w:rFonts w:ascii="Arial" w:eastAsia="宋体" w:hAnsi="Arial" w:cs="Arial"/>
                <w:color w:val="262626"/>
                <w:sz w:val="18"/>
                <w:szCs w:val="18"/>
              </w:rPr>
              <w:t>(3,285)</w:t>
            </w:r>
          </w:p>
        </w:tc>
        <w:tc>
          <w:tcPr>
            <w:tcW w:w="0" w:type="auto"/>
            <w:shd w:val="clear" w:color="auto" w:fill="auto"/>
            <w:tcMar>
              <w:top w:w="40" w:type="dxa"/>
              <w:left w:w="0" w:type="dxa"/>
              <w:bottom w:w="40" w:type="dxa"/>
              <w:right w:w="20" w:type="dxa"/>
            </w:tcMar>
          </w:tcPr>
          <w:p w14:paraId="67534CC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C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CC8" w14:textId="77777777" w:rsidR="001B77DD" w:rsidRDefault="00BF0A28">
            <w:pPr>
              <w:textAlignment w:val="bottom"/>
            </w:pPr>
            <w:r>
              <w:rPr>
                <w:rFonts w:ascii="Arial" w:eastAsia="宋体" w:hAnsi="Arial" w:cs="Arial"/>
                <w:color w:val="262626"/>
                <w:sz w:val="18"/>
                <w:szCs w:val="18"/>
              </w:rPr>
              <w:t xml:space="preserve">Higher platform unit </w:t>
            </w:r>
            <w:r>
              <w:rPr>
                <w:rFonts w:ascii="Arial" w:eastAsia="宋体" w:hAnsi="Arial" w:cs="Arial"/>
                <w:color w:val="262626"/>
                <w:sz w:val="18"/>
                <w:szCs w:val="18"/>
              </w:rPr>
              <w:t>cost primarily from increased mix of 10nm products</w:t>
            </w:r>
          </w:p>
        </w:tc>
      </w:tr>
      <w:tr w:rsidR="001B77DD" w14:paraId="67534CCE" w14:textId="77777777">
        <w:trPr>
          <w:trHeight w:val="280"/>
        </w:trPr>
        <w:tc>
          <w:tcPr>
            <w:tcW w:w="0" w:type="auto"/>
            <w:gridSpan w:val="2"/>
            <w:shd w:val="clear" w:color="auto" w:fill="auto"/>
            <w:tcMar>
              <w:top w:w="40" w:type="dxa"/>
              <w:left w:w="20" w:type="dxa"/>
              <w:bottom w:w="40" w:type="dxa"/>
              <w:right w:w="0" w:type="dxa"/>
            </w:tcMar>
          </w:tcPr>
          <w:p w14:paraId="67534CCA" w14:textId="77777777" w:rsidR="001B77DD" w:rsidRDefault="00BF0A28">
            <w:pPr>
              <w:jc w:val="right"/>
              <w:textAlignment w:val="top"/>
            </w:pPr>
            <w:r>
              <w:rPr>
                <w:rFonts w:ascii="Arial" w:eastAsia="宋体" w:hAnsi="Arial" w:cs="Arial"/>
                <w:color w:val="262626"/>
                <w:sz w:val="18"/>
                <w:szCs w:val="18"/>
              </w:rPr>
              <w:t>(255)</w:t>
            </w:r>
          </w:p>
        </w:tc>
        <w:tc>
          <w:tcPr>
            <w:tcW w:w="0" w:type="auto"/>
            <w:shd w:val="clear" w:color="auto" w:fill="auto"/>
            <w:tcMar>
              <w:top w:w="40" w:type="dxa"/>
              <w:left w:w="0" w:type="dxa"/>
              <w:bottom w:w="40" w:type="dxa"/>
              <w:right w:w="20" w:type="dxa"/>
            </w:tcMar>
          </w:tcPr>
          <w:p w14:paraId="67534CC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C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CCD" w14:textId="77777777" w:rsidR="001B77DD" w:rsidRDefault="00BF0A28">
            <w:pPr>
              <w:textAlignment w:val="bottom"/>
            </w:pPr>
            <w:r>
              <w:rPr>
                <w:rFonts w:ascii="Arial" w:eastAsia="宋体" w:hAnsi="Arial" w:cs="Arial"/>
                <w:color w:val="262626"/>
                <w:sz w:val="18"/>
                <w:szCs w:val="18"/>
              </w:rPr>
              <w:t>Primarily driven by higher logistic expenses due to COVID-19</w:t>
            </w:r>
          </w:p>
        </w:tc>
      </w:tr>
      <w:tr w:rsidR="001B77DD" w14:paraId="67534CD3" w14:textId="77777777">
        <w:trPr>
          <w:trHeight w:val="280"/>
        </w:trPr>
        <w:tc>
          <w:tcPr>
            <w:tcW w:w="0" w:type="auto"/>
            <w:gridSpan w:val="2"/>
            <w:shd w:val="clear" w:color="auto" w:fill="auto"/>
            <w:tcMar>
              <w:top w:w="40" w:type="dxa"/>
              <w:left w:w="20" w:type="dxa"/>
              <w:bottom w:w="40" w:type="dxa"/>
              <w:right w:w="0" w:type="dxa"/>
            </w:tcMar>
          </w:tcPr>
          <w:p w14:paraId="67534CCF" w14:textId="77777777" w:rsidR="001B77DD" w:rsidRDefault="00BF0A28">
            <w:pPr>
              <w:jc w:val="right"/>
              <w:textAlignment w:val="top"/>
            </w:pPr>
            <w:r>
              <w:rPr>
                <w:rFonts w:ascii="Arial" w:eastAsia="宋体" w:hAnsi="Arial" w:cs="Arial"/>
                <w:color w:val="262626"/>
                <w:sz w:val="18"/>
                <w:szCs w:val="18"/>
              </w:rPr>
              <w:t>12 </w:t>
            </w:r>
          </w:p>
        </w:tc>
        <w:tc>
          <w:tcPr>
            <w:tcW w:w="0" w:type="auto"/>
            <w:shd w:val="clear" w:color="auto" w:fill="auto"/>
            <w:tcMar>
              <w:top w:w="40" w:type="dxa"/>
              <w:left w:w="0" w:type="dxa"/>
              <w:bottom w:w="40" w:type="dxa"/>
              <w:right w:w="20" w:type="dxa"/>
            </w:tcMar>
          </w:tcPr>
          <w:p w14:paraId="67534CD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CD2" w14:textId="77777777" w:rsidR="001B77DD" w:rsidRDefault="00BF0A28">
            <w:pPr>
              <w:textAlignment w:val="bottom"/>
            </w:pPr>
            <w:r>
              <w:rPr>
                <w:rFonts w:ascii="Arial" w:eastAsia="宋体" w:hAnsi="Arial" w:cs="Arial"/>
                <w:color w:val="262626"/>
                <w:sz w:val="18"/>
                <w:szCs w:val="18"/>
              </w:rPr>
              <w:t>Other</w:t>
            </w:r>
          </w:p>
        </w:tc>
      </w:tr>
      <w:tr w:rsidR="001B77DD" w14:paraId="67534CD7" w14:textId="77777777">
        <w:trPr>
          <w:hidden/>
        </w:trPr>
        <w:tc>
          <w:tcPr>
            <w:tcW w:w="0" w:type="auto"/>
            <w:gridSpan w:val="3"/>
            <w:shd w:val="clear" w:color="auto" w:fill="auto"/>
            <w:vAlign w:val="bottom"/>
          </w:tcPr>
          <w:p w14:paraId="67534CD4" w14:textId="77777777" w:rsidR="001B77DD" w:rsidRDefault="001B77DD">
            <w:pPr>
              <w:rPr>
                <w:rFonts w:ascii="宋体"/>
                <w:vanish/>
              </w:rPr>
            </w:pPr>
          </w:p>
        </w:tc>
        <w:tc>
          <w:tcPr>
            <w:tcW w:w="0" w:type="auto"/>
            <w:gridSpan w:val="3"/>
            <w:shd w:val="clear" w:color="auto" w:fill="auto"/>
            <w:vAlign w:val="bottom"/>
          </w:tcPr>
          <w:p w14:paraId="67534CD5" w14:textId="77777777" w:rsidR="001B77DD" w:rsidRDefault="001B77DD">
            <w:pPr>
              <w:rPr>
                <w:rFonts w:ascii="宋体"/>
                <w:vanish/>
              </w:rPr>
            </w:pPr>
          </w:p>
        </w:tc>
        <w:tc>
          <w:tcPr>
            <w:tcW w:w="0" w:type="auto"/>
            <w:gridSpan w:val="3"/>
            <w:shd w:val="clear" w:color="auto" w:fill="auto"/>
            <w:vAlign w:val="bottom"/>
          </w:tcPr>
          <w:p w14:paraId="67534CD6" w14:textId="77777777" w:rsidR="001B77DD" w:rsidRDefault="001B77DD">
            <w:pPr>
              <w:rPr>
                <w:rFonts w:ascii="宋体"/>
                <w:vanish/>
              </w:rPr>
            </w:pPr>
          </w:p>
        </w:tc>
      </w:tr>
      <w:tr w:rsidR="001B77DD" w14:paraId="67534CDB" w14:textId="77777777">
        <w:trPr>
          <w:hidden/>
        </w:trPr>
        <w:tc>
          <w:tcPr>
            <w:tcW w:w="0" w:type="auto"/>
            <w:gridSpan w:val="3"/>
            <w:shd w:val="clear" w:color="auto" w:fill="auto"/>
            <w:vAlign w:val="bottom"/>
          </w:tcPr>
          <w:p w14:paraId="67534CD8" w14:textId="77777777" w:rsidR="001B77DD" w:rsidRDefault="001B77DD">
            <w:pPr>
              <w:rPr>
                <w:rFonts w:ascii="宋体"/>
                <w:vanish/>
              </w:rPr>
            </w:pPr>
          </w:p>
        </w:tc>
        <w:tc>
          <w:tcPr>
            <w:tcW w:w="0" w:type="auto"/>
            <w:gridSpan w:val="3"/>
            <w:shd w:val="clear" w:color="auto" w:fill="auto"/>
            <w:vAlign w:val="bottom"/>
          </w:tcPr>
          <w:p w14:paraId="67534CD9" w14:textId="77777777" w:rsidR="001B77DD" w:rsidRDefault="001B77DD">
            <w:pPr>
              <w:rPr>
                <w:rFonts w:ascii="宋体"/>
                <w:vanish/>
              </w:rPr>
            </w:pPr>
          </w:p>
        </w:tc>
        <w:tc>
          <w:tcPr>
            <w:tcW w:w="0" w:type="auto"/>
            <w:gridSpan w:val="3"/>
            <w:shd w:val="clear" w:color="auto" w:fill="auto"/>
            <w:vAlign w:val="bottom"/>
          </w:tcPr>
          <w:p w14:paraId="67534CDA" w14:textId="77777777" w:rsidR="001B77DD" w:rsidRDefault="001B77DD">
            <w:pPr>
              <w:rPr>
                <w:rFonts w:ascii="宋体"/>
                <w:vanish/>
              </w:rPr>
            </w:pPr>
          </w:p>
        </w:tc>
      </w:tr>
      <w:tr w:rsidR="001B77DD" w14:paraId="67534CDF" w14:textId="77777777">
        <w:trPr>
          <w:hidden/>
        </w:trPr>
        <w:tc>
          <w:tcPr>
            <w:tcW w:w="0" w:type="auto"/>
            <w:gridSpan w:val="3"/>
            <w:shd w:val="clear" w:color="auto" w:fill="auto"/>
            <w:vAlign w:val="bottom"/>
          </w:tcPr>
          <w:p w14:paraId="67534CDC" w14:textId="77777777" w:rsidR="001B77DD" w:rsidRDefault="001B77DD">
            <w:pPr>
              <w:rPr>
                <w:rFonts w:ascii="宋体"/>
                <w:vanish/>
              </w:rPr>
            </w:pPr>
          </w:p>
        </w:tc>
        <w:tc>
          <w:tcPr>
            <w:tcW w:w="0" w:type="auto"/>
            <w:gridSpan w:val="3"/>
            <w:shd w:val="clear" w:color="auto" w:fill="auto"/>
            <w:vAlign w:val="bottom"/>
          </w:tcPr>
          <w:p w14:paraId="67534CDD" w14:textId="77777777" w:rsidR="001B77DD" w:rsidRDefault="001B77DD">
            <w:pPr>
              <w:rPr>
                <w:rFonts w:ascii="宋体"/>
                <w:vanish/>
              </w:rPr>
            </w:pPr>
          </w:p>
        </w:tc>
        <w:tc>
          <w:tcPr>
            <w:tcW w:w="0" w:type="auto"/>
            <w:gridSpan w:val="3"/>
            <w:shd w:val="clear" w:color="auto" w:fill="auto"/>
            <w:vAlign w:val="bottom"/>
          </w:tcPr>
          <w:p w14:paraId="67534CDE" w14:textId="77777777" w:rsidR="001B77DD" w:rsidRDefault="001B77DD">
            <w:pPr>
              <w:rPr>
                <w:rFonts w:ascii="宋体"/>
                <w:vanish/>
              </w:rPr>
            </w:pPr>
          </w:p>
        </w:tc>
      </w:tr>
      <w:tr w:rsidR="001B77DD" w14:paraId="67534CE5" w14:textId="77777777">
        <w:trPr>
          <w:trHeight w:val="280"/>
        </w:trPr>
        <w:tc>
          <w:tcPr>
            <w:tcW w:w="0" w:type="auto"/>
            <w:tcBorders>
              <w:top w:val="single" w:sz="4" w:space="0" w:color="000000"/>
              <w:bottom w:val="single" w:sz="4" w:space="0" w:color="000000"/>
            </w:tcBorders>
            <w:shd w:val="clear" w:color="auto" w:fill="auto"/>
            <w:tcMar>
              <w:top w:w="40" w:type="dxa"/>
              <w:left w:w="20" w:type="dxa"/>
              <w:bottom w:w="40" w:type="dxa"/>
              <w:right w:w="0" w:type="dxa"/>
            </w:tcMar>
          </w:tcPr>
          <w:p w14:paraId="67534CE0" w14:textId="77777777" w:rsidR="001B77DD" w:rsidRDefault="00BF0A28">
            <w:pPr>
              <w:textAlignment w:val="top"/>
            </w:pPr>
            <w:r>
              <w:rPr>
                <w:rFonts w:ascii="Arial" w:eastAsia="宋体" w:hAnsi="Arial" w:cs="Arial"/>
                <w:b/>
                <w:bCs/>
                <w:color w:val="262626"/>
                <w:sz w:val="18"/>
                <w:szCs w:val="18"/>
              </w:rPr>
              <w:t>$</w:t>
            </w:r>
          </w:p>
        </w:tc>
        <w:tc>
          <w:tcPr>
            <w:tcW w:w="0" w:type="auto"/>
            <w:tcBorders>
              <w:top w:val="single" w:sz="4" w:space="0" w:color="000000"/>
              <w:bottom w:val="single" w:sz="4" w:space="0" w:color="000000"/>
            </w:tcBorders>
            <w:shd w:val="clear" w:color="auto" w:fill="auto"/>
            <w:tcMar>
              <w:top w:w="40" w:type="dxa"/>
              <w:left w:w="0" w:type="dxa"/>
              <w:bottom w:w="40" w:type="dxa"/>
              <w:right w:w="0" w:type="dxa"/>
            </w:tcMar>
          </w:tcPr>
          <w:p w14:paraId="67534CE1" w14:textId="77777777" w:rsidR="001B77DD" w:rsidRDefault="00BF0A28">
            <w:pPr>
              <w:jc w:val="right"/>
              <w:textAlignment w:val="top"/>
            </w:pPr>
            <w:r>
              <w:rPr>
                <w:rFonts w:ascii="Arial" w:eastAsia="宋体" w:hAnsi="Arial" w:cs="Arial"/>
                <w:b/>
                <w:bCs/>
                <w:color w:val="262626"/>
                <w:sz w:val="18"/>
                <w:szCs w:val="18"/>
              </w:rPr>
              <w:t>42,140</w:t>
            </w:r>
            <w:r>
              <w:rPr>
                <w:rFonts w:ascii="Arial" w:eastAsia="宋体" w:hAnsi="Arial" w:cs="Arial"/>
                <w:color w:val="262626"/>
                <w:sz w:val="18"/>
                <w:szCs w:val="18"/>
              </w:rPr>
              <w:t> </w:t>
            </w:r>
          </w:p>
        </w:tc>
        <w:tc>
          <w:tcPr>
            <w:tcW w:w="0" w:type="auto"/>
            <w:tcBorders>
              <w:top w:val="single" w:sz="4" w:space="0" w:color="000000"/>
              <w:bottom w:val="single" w:sz="4" w:space="0" w:color="000000"/>
            </w:tcBorders>
            <w:shd w:val="clear" w:color="auto" w:fill="auto"/>
            <w:tcMar>
              <w:top w:w="40" w:type="dxa"/>
              <w:left w:w="0" w:type="dxa"/>
              <w:bottom w:w="40" w:type="dxa"/>
              <w:right w:w="20" w:type="dxa"/>
            </w:tcMar>
          </w:tcPr>
          <w:p w14:paraId="67534C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CE3" w14:textId="77777777" w:rsidR="001B77DD" w:rsidRDefault="001B77DD">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7534CE4" w14:textId="77777777" w:rsidR="001B77DD" w:rsidRDefault="00BF0A28">
            <w:pPr>
              <w:textAlignment w:val="bottom"/>
            </w:pPr>
            <w:r>
              <w:rPr>
                <w:rFonts w:ascii="Arial" w:eastAsia="宋体" w:hAnsi="Arial" w:cs="Arial"/>
                <w:b/>
                <w:bCs/>
                <w:color w:val="262626"/>
                <w:sz w:val="18"/>
                <w:szCs w:val="18"/>
              </w:rPr>
              <w:t>2019 Gross Margin</w:t>
            </w:r>
          </w:p>
        </w:tc>
      </w:tr>
    </w:tbl>
    <w:p w14:paraId="67534CE6" w14:textId="77777777" w:rsidR="001B77DD" w:rsidRDefault="001B77DD">
      <w:pPr>
        <w:spacing w:after="20"/>
      </w:pPr>
    </w:p>
    <w:p w14:paraId="67534CE7" w14:textId="77777777" w:rsidR="001B77DD" w:rsidRDefault="001B77DD">
      <w:pPr>
        <w:spacing w:after="20"/>
      </w:pPr>
    </w:p>
    <w:p w14:paraId="67534CE8" w14:textId="77777777" w:rsidR="001B77DD" w:rsidRDefault="001B77DD">
      <w:pPr>
        <w:spacing w:after="20"/>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CF2" w14:textId="77777777">
        <w:tc>
          <w:tcPr>
            <w:tcW w:w="50" w:type="pct"/>
            <w:shd w:val="clear" w:color="auto" w:fill="auto"/>
            <w:vAlign w:val="bottom"/>
          </w:tcPr>
          <w:p w14:paraId="67534CE9" w14:textId="77777777" w:rsidR="001B77DD" w:rsidRDefault="001B77DD">
            <w:pPr>
              <w:rPr>
                <w:rFonts w:ascii="宋体"/>
              </w:rPr>
            </w:pPr>
          </w:p>
        </w:tc>
        <w:tc>
          <w:tcPr>
            <w:tcW w:w="283" w:type="pct"/>
            <w:shd w:val="clear" w:color="auto" w:fill="auto"/>
            <w:vAlign w:val="bottom"/>
          </w:tcPr>
          <w:p w14:paraId="67534CEA" w14:textId="77777777" w:rsidR="001B77DD" w:rsidRDefault="001B77DD">
            <w:pPr>
              <w:rPr>
                <w:rFonts w:ascii="宋体"/>
              </w:rPr>
            </w:pPr>
          </w:p>
        </w:tc>
        <w:tc>
          <w:tcPr>
            <w:tcW w:w="5" w:type="pct"/>
            <w:shd w:val="clear" w:color="auto" w:fill="auto"/>
            <w:vAlign w:val="bottom"/>
          </w:tcPr>
          <w:p w14:paraId="67534CEB" w14:textId="77777777" w:rsidR="001B77DD" w:rsidRDefault="001B77DD">
            <w:pPr>
              <w:rPr>
                <w:rFonts w:ascii="宋体"/>
              </w:rPr>
            </w:pPr>
          </w:p>
        </w:tc>
        <w:tc>
          <w:tcPr>
            <w:tcW w:w="50" w:type="pct"/>
            <w:shd w:val="clear" w:color="auto" w:fill="auto"/>
            <w:vAlign w:val="bottom"/>
          </w:tcPr>
          <w:p w14:paraId="67534CEC" w14:textId="77777777" w:rsidR="001B77DD" w:rsidRDefault="001B77DD">
            <w:pPr>
              <w:rPr>
                <w:rFonts w:ascii="宋体"/>
              </w:rPr>
            </w:pPr>
          </w:p>
        </w:tc>
        <w:tc>
          <w:tcPr>
            <w:tcW w:w="2656" w:type="pct"/>
            <w:shd w:val="clear" w:color="auto" w:fill="auto"/>
            <w:vAlign w:val="bottom"/>
          </w:tcPr>
          <w:p w14:paraId="67534CED" w14:textId="77777777" w:rsidR="001B77DD" w:rsidRDefault="001B77DD">
            <w:pPr>
              <w:rPr>
                <w:rFonts w:ascii="宋体"/>
              </w:rPr>
            </w:pPr>
          </w:p>
        </w:tc>
        <w:tc>
          <w:tcPr>
            <w:tcW w:w="5" w:type="pct"/>
            <w:shd w:val="clear" w:color="auto" w:fill="auto"/>
            <w:vAlign w:val="bottom"/>
          </w:tcPr>
          <w:p w14:paraId="67534CEE" w14:textId="77777777" w:rsidR="001B77DD" w:rsidRDefault="001B77DD">
            <w:pPr>
              <w:rPr>
                <w:rFonts w:ascii="宋体"/>
              </w:rPr>
            </w:pPr>
          </w:p>
        </w:tc>
        <w:tc>
          <w:tcPr>
            <w:tcW w:w="50" w:type="pct"/>
            <w:shd w:val="clear" w:color="auto" w:fill="auto"/>
            <w:vAlign w:val="bottom"/>
          </w:tcPr>
          <w:p w14:paraId="67534CEF" w14:textId="77777777" w:rsidR="001B77DD" w:rsidRDefault="001B77DD">
            <w:pPr>
              <w:rPr>
                <w:rFonts w:ascii="宋体"/>
              </w:rPr>
            </w:pPr>
          </w:p>
        </w:tc>
        <w:tc>
          <w:tcPr>
            <w:tcW w:w="1894" w:type="pct"/>
            <w:shd w:val="clear" w:color="auto" w:fill="auto"/>
            <w:vAlign w:val="bottom"/>
          </w:tcPr>
          <w:p w14:paraId="67534CF0" w14:textId="77777777" w:rsidR="001B77DD" w:rsidRDefault="001B77DD">
            <w:pPr>
              <w:rPr>
                <w:rFonts w:ascii="宋体"/>
              </w:rPr>
            </w:pPr>
          </w:p>
        </w:tc>
        <w:tc>
          <w:tcPr>
            <w:tcW w:w="5" w:type="pct"/>
            <w:shd w:val="clear" w:color="auto" w:fill="auto"/>
            <w:vAlign w:val="bottom"/>
          </w:tcPr>
          <w:p w14:paraId="67534CF1" w14:textId="77777777" w:rsidR="001B77DD" w:rsidRDefault="001B77DD">
            <w:pPr>
              <w:rPr>
                <w:rFonts w:ascii="宋体"/>
              </w:rPr>
            </w:pPr>
          </w:p>
        </w:tc>
      </w:tr>
      <w:tr w:rsidR="001B77DD" w14:paraId="67534CF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CF3"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AD" wp14:editId="67538EAE">
                  <wp:extent cx="304800" cy="304800"/>
                  <wp:effectExtent l="0" t="0" r="0" b="0"/>
                  <wp:docPr id="79" name="图片 20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0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CF4"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CF5" w14:textId="77777777" w:rsidR="001B77DD" w:rsidRDefault="00BF0A28">
            <w:pPr>
              <w:jc w:val="right"/>
              <w:textAlignment w:val="center"/>
            </w:pPr>
            <w:r>
              <w:rPr>
                <w:rFonts w:ascii="Arial" w:eastAsia="宋体" w:hAnsi="Arial" w:cs="Arial"/>
                <w:color w:val="262626"/>
                <w:sz w:val="16"/>
                <w:szCs w:val="16"/>
              </w:rPr>
              <w:t>39</w:t>
            </w:r>
          </w:p>
        </w:tc>
      </w:tr>
    </w:tbl>
    <w:p w14:paraId="67534CF7" w14:textId="77777777" w:rsidR="001B77DD" w:rsidRDefault="00BF0A28">
      <w:r>
        <w:pict w14:anchorId="67538EAF">
          <v:rect id="_x0000_i1065" style="width:415.3pt;height:1.5pt" o:hralign="center" o:hrstd="t" o:hr="t" fillcolor="#a0a0a0" stroked="f"/>
        </w:pict>
      </w:r>
    </w:p>
    <w:p w14:paraId="67534CF8" w14:textId="77777777" w:rsidR="001B77DD" w:rsidRDefault="00BF0A28">
      <w:pPr>
        <w:jc w:val="right"/>
      </w:pPr>
      <w:hyperlink r:id="rId97" w:anchor="i6c9ced68f6b24d58a3dcf326e8c3c699_16" w:history="1">
        <w:r>
          <w:rPr>
            <w:rStyle w:val="a5"/>
            <w:rFonts w:ascii="Arial" w:eastAsia="宋体" w:hAnsi="Arial" w:cs="Arial"/>
            <w:b/>
            <w:bCs/>
            <w:sz w:val="16"/>
            <w:szCs w:val="16"/>
          </w:rPr>
          <w:t>Table of Contents</w:t>
        </w:r>
      </w:hyperlink>
    </w:p>
    <w:p w14:paraId="67534CF9" w14:textId="77777777" w:rsidR="001B77DD" w:rsidRDefault="001B77DD">
      <w:pPr>
        <w:jc w:val="right"/>
      </w:pPr>
    </w:p>
    <w:p w14:paraId="67534CFA" w14:textId="77777777" w:rsidR="001B77DD" w:rsidRDefault="00BF0A28">
      <w:pPr>
        <w:spacing w:after="180"/>
      </w:pPr>
      <w:r>
        <w:rPr>
          <w:rFonts w:ascii="Arial" w:eastAsia="宋体" w:hAnsi="Arial" w:cs="Arial"/>
          <w:color w:val="0068B5"/>
          <w:sz w:val="28"/>
          <w:szCs w:val="28"/>
        </w:rPr>
        <w:t>Operating Expenses</w:t>
      </w:r>
    </w:p>
    <w:p w14:paraId="67534CFB" w14:textId="77777777" w:rsidR="001B77DD" w:rsidRDefault="00BF0A28">
      <w:pPr>
        <w:spacing w:after="180"/>
      </w:pPr>
      <w:r>
        <w:rPr>
          <w:rFonts w:ascii="Arial" w:eastAsia="宋体" w:hAnsi="Arial" w:cs="Arial"/>
          <w:color w:val="262626"/>
          <w:sz w:val="18"/>
          <w:szCs w:val="18"/>
        </w:rPr>
        <w:t xml:space="preserve">Total R&amp;D and MG&amp;A expenses for 2021 were $21.7 billion, up 10% </w:t>
      </w:r>
      <w:r>
        <w:rPr>
          <w:rFonts w:ascii="Arial" w:eastAsia="宋体" w:hAnsi="Arial" w:cs="Arial"/>
          <w:color w:val="262626"/>
          <w:sz w:val="18"/>
          <w:szCs w:val="18"/>
        </w:rPr>
        <w:t xml:space="preserve">compared to 2020. These expenses represented 27.5% of revenue for 2021 and 25.3% of revenue for 2020. We continue to invest in R&amp;D to accelerate our growth. </w:t>
      </w:r>
    </w:p>
    <w:tbl>
      <w:tblPr>
        <w:tblW w:w="10980" w:type="dxa"/>
        <w:tblCellMar>
          <w:top w:w="15" w:type="dxa"/>
          <w:left w:w="15" w:type="dxa"/>
          <w:bottom w:w="15" w:type="dxa"/>
          <w:right w:w="15" w:type="dxa"/>
        </w:tblCellMar>
        <w:tblLook w:val="04A0" w:firstRow="1" w:lastRow="0" w:firstColumn="1" w:lastColumn="0" w:noHBand="0" w:noVBand="1"/>
      </w:tblPr>
      <w:tblGrid>
        <w:gridCol w:w="36"/>
        <w:gridCol w:w="5356"/>
        <w:gridCol w:w="36"/>
        <w:gridCol w:w="36"/>
        <w:gridCol w:w="36"/>
        <w:gridCol w:w="36"/>
        <w:gridCol w:w="36"/>
        <w:gridCol w:w="5372"/>
        <w:gridCol w:w="36"/>
      </w:tblGrid>
      <w:tr w:rsidR="001B77DD" w14:paraId="67534D05" w14:textId="77777777">
        <w:tc>
          <w:tcPr>
            <w:tcW w:w="20" w:type="dxa"/>
            <w:shd w:val="clear" w:color="auto" w:fill="auto"/>
            <w:vAlign w:val="bottom"/>
          </w:tcPr>
          <w:p w14:paraId="67534CFC" w14:textId="77777777" w:rsidR="001B77DD" w:rsidRDefault="001B77DD">
            <w:pPr>
              <w:rPr>
                <w:rFonts w:ascii="宋体"/>
              </w:rPr>
            </w:pPr>
          </w:p>
        </w:tc>
        <w:tc>
          <w:tcPr>
            <w:tcW w:w="5405" w:type="dxa"/>
            <w:shd w:val="clear" w:color="auto" w:fill="auto"/>
            <w:vAlign w:val="bottom"/>
          </w:tcPr>
          <w:p w14:paraId="67534CFD" w14:textId="77777777" w:rsidR="001B77DD" w:rsidRDefault="001B77DD">
            <w:pPr>
              <w:rPr>
                <w:rFonts w:ascii="宋体"/>
              </w:rPr>
            </w:pPr>
          </w:p>
        </w:tc>
        <w:tc>
          <w:tcPr>
            <w:tcW w:w="20" w:type="dxa"/>
            <w:shd w:val="clear" w:color="auto" w:fill="auto"/>
            <w:vAlign w:val="bottom"/>
          </w:tcPr>
          <w:p w14:paraId="67534CFE" w14:textId="77777777" w:rsidR="001B77DD" w:rsidRDefault="001B77DD">
            <w:pPr>
              <w:rPr>
                <w:rFonts w:ascii="宋体"/>
              </w:rPr>
            </w:pPr>
          </w:p>
        </w:tc>
        <w:tc>
          <w:tcPr>
            <w:tcW w:w="20" w:type="dxa"/>
            <w:shd w:val="clear" w:color="auto" w:fill="auto"/>
            <w:vAlign w:val="bottom"/>
          </w:tcPr>
          <w:p w14:paraId="67534CFF" w14:textId="77777777" w:rsidR="001B77DD" w:rsidRDefault="001B77DD">
            <w:pPr>
              <w:rPr>
                <w:rFonts w:ascii="宋体"/>
              </w:rPr>
            </w:pPr>
          </w:p>
        </w:tc>
        <w:tc>
          <w:tcPr>
            <w:tcW w:w="35" w:type="dxa"/>
            <w:shd w:val="clear" w:color="auto" w:fill="auto"/>
            <w:vAlign w:val="bottom"/>
          </w:tcPr>
          <w:p w14:paraId="67534D00" w14:textId="77777777" w:rsidR="001B77DD" w:rsidRDefault="001B77DD">
            <w:pPr>
              <w:rPr>
                <w:rFonts w:ascii="宋体"/>
              </w:rPr>
            </w:pPr>
          </w:p>
        </w:tc>
        <w:tc>
          <w:tcPr>
            <w:tcW w:w="20" w:type="dxa"/>
            <w:shd w:val="clear" w:color="auto" w:fill="auto"/>
            <w:vAlign w:val="bottom"/>
          </w:tcPr>
          <w:p w14:paraId="67534D01" w14:textId="77777777" w:rsidR="001B77DD" w:rsidRDefault="001B77DD">
            <w:pPr>
              <w:rPr>
                <w:rFonts w:ascii="宋体"/>
              </w:rPr>
            </w:pPr>
          </w:p>
        </w:tc>
        <w:tc>
          <w:tcPr>
            <w:tcW w:w="20" w:type="dxa"/>
            <w:shd w:val="clear" w:color="auto" w:fill="auto"/>
            <w:vAlign w:val="bottom"/>
          </w:tcPr>
          <w:p w14:paraId="67534D02" w14:textId="77777777" w:rsidR="001B77DD" w:rsidRDefault="001B77DD">
            <w:pPr>
              <w:rPr>
                <w:rFonts w:ascii="宋体"/>
              </w:rPr>
            </w:pPr>
          </w:p>
        </w:tc>
        <w:tc>
          <w:tcPr>
            <w:tcW w:w="5420" w:type="dxa"/>
            <w:shd w:val="clear" w:color="auto" w:fill="auto"/>
            <w:vAlign w:val="bottom"/>
          </w:tcPr>
          <w:p w14:paraId="67534D03" w14:textId="77777777" w:rsidR="001B77DD" w:rsidRDefault="001B77DD">
            <w:pPr>
              <w:rPr>
                <w:rFonts w:ascii="宋体"/>
              </w:rPr>
            </w:pPr>
          </w:p>
        </w:tc>
        <w:tc>
          <w:tcPr>
            <w:tcW w:w="20" w:type="dxa"/>
            <w:shd w:val="clear" w:color="auto" w:fill="auto"/>
            <w:vAlign w:val="bottom"/>
          </w:tcPr>
          <w:p w14:paraId="67534D04" w14:textId="77777777" w:rsidR="001B77DD" w:rsidRDefault="001B77DD">
            <w:pPr>
              <w:rPr>
                <w:rFonts w:ascii="宋体"/>
              </w:rPr>
            </w:pPr>
          </w:p>
        </w:tc>
      </w:tr>
      <w:tr w:rsidR="001B77DD" w14:paraId="67534D09" w14:textId="77777777">
        <w:trPr>
          <w:trHeight w:val="280"/>
        </w:trPr>
        <w:tc>
          <w:tcPr>
            <w:tcW w:w="0" w:type="auto"/>
            <w:gridSpan w:val="3"/>
            <w:shd w:val="clear" w:color="auto" w:fill="auto"/>
            <w:tcMar>
              <w:top w:w="40" w:type="dxa"/>
              <w:left w:w="20" w:type="dxa"/>
              <w:bottom w:w="40" w:type="dxa"/>
              <w:right w:w="20" w:type="dxa"/>
            </w:tcMar>
            <w:vAlign w:val="bottom"/>
          </w:tcPr>
          <w:p w14:paraId="67534D06" w14:textId="77777777" w:rsidR="001B77DD" w:rsidRDefault="00BF0A28">
            <w:pPr>
              <w:jc w:val="center"/>
              <w:textAlignment w:val="bottom"/>
            </w:pPr>
            <w:r>
              <w:rPr>
                <w:rFonts w:ascii="Arial" w:eastAsia="宋体" w:hAnsi="Arial" w:cs="Arial"/>
                <w:color w:val="0068B5"/>
                <w:sz w:val="20"/>
                <w:szCs w:val="20"/>
              </w:rPr>
              <w:t>Research and Development $B</w:t>
            </w:r>
          </w:p>
        </w:tc>
        <w:tc>
          <w:tcPr>
            <w:tcW w:w="0" w:type="auto"/>
            <w:gridSpan w:val="3"/>
            <w:shd w:val="clear" w:color="auto" w:fill="auto"/>
            <w:tcMar>
              <w:top w:w="0" w:type="dxa"/>
              <w:left w:w="20" w:type="dxa"/>
              <w:bottom w:w="0" w:type="dxa"/>
              <w:right w:w="20" w:type="dxa"/>
            </w:tcMar>
            <w:vAlign w:val="bottom"/>
          </w:tcPr>
          <w:p w14:paraId="67534D07" w14:textId="77777777" w:rsidR="001B77DD" w:rsidRDefault="001B77DD">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D08" w14:textId="77777777" w:rsidR="001B77DD" w:rsidRDefault="00BF0A28">
            <w:pPr>
              <w:jc w:val="center"/>
              <w:textAlignment w:val="bottom"/>
            </w:pPr>
            <w:r>
              <w:rPr>
                <w:rFonts w:ascii="Arial" w:eastAsia="宋体" w:hAnsi="Arial" w:cs="Arial"/>
                <w:color w:val="0068B5"/>
                <w:sz w:val="20"/>
                <w:szCs w:val="20"/>
              </w:rPr>
              <w:t>Marketing, General and Administrative $B</w:t>
            </w:r>
          </w:p>
        </w:tc>
      </w:tr>
      <w:tr w:rsidR="001B77DD" w14:paraId="67534D0B" w14:textId="77777777">
        <w:trPr>
          <w:trHeight w:val="280"/>
        </w:trPr>
        <w:tc>
          <w:tcPr>
            <w:tcW w:w="0" w:type="auto"/>
            <w:gridSpan w:val="9"/>
            <w:tcBorders>
              <w:top w:val="single" w:sz="4" w:space="0" w:color="262626"/>
            </w:tcBorders>
            <w:shd w:val="clear" w:color="auto" w:fill="auto"/>
            <w:tcMar>
              <w:top w:w="40" w:type="dxa"/>
              <w:left w:w="20" w:type="dxa"/>
              <w:bottom w:w="40" w:type="dxa"/>
              <w:right w:w="20" w:type="dxa"/>
            </w:tcMar>
            <w:vAlign w:val="bottom"/>
          </w:tcPr>
          <w:p w14:paraId="67534D0A" w14:textId="77777777" w:rsidR="001B77DD" w:rsidRDefault="00BF0A28">
            <w:pPr>
              <w:jc w:val="center"/>
              <w:textAlignment w:val="bottom"/>
            </w:pPr>
            <w:r>
              <w:rPr>
                <w:rFonts w:ascii="Arial" w:eastAsia="宋体" w:hAnsi="Arial" w:cs="Arial"/>
                <w:color w:val="262626"/>
                <w:sz w:val="16"/>
                <w:szCs w:val="16"/>
              </w:rPr>
              <w:t>(Percentages indicate expenses as a percentage of total revenue)</w:t>
            </w:r>
          </w:p>
        </w:tc>
      </w:tr>
    </w:tbl>
    <w:p w14:paraId="67534D0C" w14:textId="77777777" w:rsidR="001B77DD" w:rsidRDefault="00BF0A2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Viewer4_files/intc-20211225_g94.jpg"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B0" wp14:editId="67538EB1">
            <wp:extent cx="304800" cy="304800"/>
            <wp:effectExtent l="0" t="0" r="0" b="0"/>
            <wp:docPr id="81" name="图片 204"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04" descr="IMG_3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INCLUDEPICTURE \d "/Users/xuxinrun/Document/</w:instrText>
      </w:r>
      <w:r>
        <w:rPr>
          <w:rFonts w:ascii="宋体" w:eastAsia="宋体" w:hAnsi="宋体" w:cs="宋体"/>
        </w:rPr>
        <w:instrText xml:space="preserve">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Viewer4_files/intc-20211225_g95.jpg"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B2" wp14:editId="67538EB3">
            <wp:extent cx="304800" cy="304800"/>
            <wp:effectExtent l="0" t="0" r="0" b="0"/>
            <wp:docPr id="82" name="图片 205"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05" descr="IMG_38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D10" w14:textId="77777777">
        <w:tc>
          <w:tcPr>
            <w:tcW w:w="20" w:type="dxa"/>
            <w:shd w:val="clear" w:color="auto" w:fill="auto"/>
            <w:vAlign w:val="bottom"/>
          </w:tcPr>
          <w:p w14:paraId="67534D0D" w14:textId="77777777" w:rsidR="001B77DD" w:rsidRDefault="001B77DD">
            <w:pPr>
              <w:rPr>
                <w:rFonts w:ascii="宋体"/>
              </w:rPr>
            </w:pPr>
          </w:p>
        </w:tc>
        <w:tc>
          <w:tcPr>
            <w:tcW w:w="10940" w:type="dxa"/>
            <w:shd w:val="clear" w:color="auto" w:fill="auto"/>
            <w:vAlign w:val="bottom"/>
          </w:tcPr>
          <w:p w14:paraId="67534D0E" w14:textId="77777777" w:rsidR="001B77DD" w:rsidRDefault="001B77DD">
            <w:pPr>
              <w:rPr>
                <w:rFonts w:ascii="宋体"/>
              </w:rPr>
            </w:pPr>
          </w:p>
        </w:tc>
        <w:tc>
          <w:tcPr>
            <w:tcW w:w="20" w:type="dxa"/>
            <w:shd w:val="clear" w:color="auto" w:fill="auto"/>
            <w:vAlign w:val="bottom"/>
          </w:tcPr>
          <w:p w14:paraId="67534D0F" w14:textId="77777777" w:rsidR="001B77DD" w:rsidRDefault="001B77DD">
            <w:pPr>
              <w:rPr>
                <w:rFonts w:ascii="宋体"/>
              </w:rPr>
            </w:pPr>
          </w:p>
        </w:tc>
      </w:tr>
      <w:tr w:rsidR="001B77DD" w14:paraId="67534D12"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D11" w14:textId="77777777" w:rsidR="001B77DD" w:rsidRDefault="00BF0A28">
            <w:pPr>
              <w:textAlignment w:val="bottom"/>
            </w:pPr>
            <w:r>
              <w:rPr>
                <w:rFonts w:ascii="Arial" w:eastAsia="宋体" w:hAnsi="Arial" w:cs="Arial"/>
                <w:color w:val="0068B5"/>
                <w:sz w:val="20"/>
                <w:szCs w:val="20"/>
              </w:rPr>
              <w:t>Research and Development</w:t>
            </w:r>
          </w:p>
        </w:tc>
      </w:tr>
    </w:tbl>
    <w:p w14:paraId="67534D13"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77"/>
        <w:gridCol w:w="39"/>
        <w:gridCol w:w="52"/>
        <w:gridCol w:w="7918"/>
        <w:gridCol w:w="39"/>
        <w:gridCol w:w="36"/>
        <w:gridCol w:w="36"/>
      </w:tblGrid>
      <w:tr w:rsidR="001B77DD" w14:paraId="67534D1C" w14:textId="77777777">
        <w:tc>
          <w:tcPr>
            <w:tcW w:w="5" w:type="pct"/>
            <w:shd w:val="clear" w:color="auto" w:fill="auto"/>
            <w:vAlign w:val="bottom"/>
          </w:tcPr>
          <w:p w14:paraId="67534D14" w14:textId="77777777" w:rsidR="001B77DD" w:rsidRDefault="001B77DD">
            <w:pPr>
              <w:rPr>
                <w:rFonts w:ascii="宋体"/>
              </w:rPr>
            </w:pPr>
          </w:p>
        </w:tc>
        <w:tc>
          <w:tcPr>
            <w:tcW w:w="126" w:type="pct"/>
            <w:shd w:val="clear" w:color="auto" w:fill="auto"/>
            <w:vAlign w:val="bottom"/>
          </w:tcPr>
          <w:p w14:paraId="67534D15" w14:textId="77777777" w:rsidR="001B77DD" w:rsidRDefault="001B77DD">
            <w:pPr>
              <w:rPr>
                <w:rFonts w:ascii="宋体"/>
              </w:rPr>
            </w:pPr>
          </w:p>
        </w:tc>
        <w:tc>
          <w:tcPr>
            <w:tcW w:w="5" w:type="pct"/>
            <w:shd w:val="clear" w:color="auto" w:fill="auto"/>
            <w:vAlign w:val="bottom"/>
          </w:tcPr>
          <w:p w14:paraId="67534D16" w14:textId="77777777" w:rsidR="001B77DD" w:rsidRDefault="001B77DD">
            <w:pPr>
              <w:rPr>
                <w:rFonts w:ascii="宋体"/>
              </w:rPr>
            </w:pPr>
          </w:p>
        </w:tc>
        <w:tc>
          <w:tcPr>
            <w:tcW w:w="50" w:type="pct"/>
            <w:shd w:val="clear" w:color="auto" w:fill="auto"/>
            <w:vAlign w:val="bottom"/>
          </w:tcPr>
          <w:p w14:paraId="67534D17" w14:textId="77777777" w:rsidR="001B77DD" w:rsidRDefault="001B77DD">
            <w:pPr>
              <w:rPr>
                <w:rFonts w:ascii="宋体"/>
              </w:rPr>
            </w:pPr>
          </w:p>
        </w:tc>
        <w:tc>
          <w:tcPr>
            <w:tcW w:w="4808" w:type="pct"/>
            <w:shd w:val="clear" w:color="auto" w:fill="auto"/>
            <w:vAlign w:val="bottom"/>
          </w:tcPr>
          <w:p w14:paraId="67534D18" w14:textId="77777777" w:rsidR="001B77DD" w:rsidRDefault="001B77DD">
            <w:pPr>
              <w:rPr>
                <w:rFonts w:ascii="宋体"/>
              </w:rPr>
            </w:pPr>
          </w:p>
        </w:tc>
        <w:tc>
          <w:tcPr>
            <w:tcW w:w="5" w:type="pct"/>
            <w:shd w:val="clear" w:color="auto" w:fill="auto"/>
            <w:vAlign w:val="bottom"/>
          </w:tcPr>
          <w:p w14:paraId="67534D19" w14:textId="77777777" w:rsidR="001B77DD" w:rsidRDefault="001B77DD">
            <w:pPr>
              <w:rPr>
                <w:rFonts w:ascii="宋体"/>
              </w:rPr>
            </w:pPr>
          </w:p>
        </w:tc>
        <w:tc>
          <w:tcPr>
            <w:tcW w:w="0" w:type="auto"/>
            <w:shd w:val="clear" w:color="auto" w:fill="auto"/>
            <w:vAlign w:val="bottom"/>
          </w:tcPr>
          <w:p w14:paraId="67534D1A" w14:textId="77777777" w:rsidR="001B77DD" w:rsidRDefault="001B77DD">
            <w:pPr>
              <w:rPr>
                <w:rFonts w:ascii="宋体"/>
                <w:vanish/>
              </w:rPr>
            </w:pPr>
          </w:p>
        </w:tc>
        <w:tc>
          <w:tcPr>
            <w:tcW w:w="0" w:type="auto"/>
            <w:shd w:val="clear" w:color="auto" w:fill="auto"/>
            <w:vAlign w:val="bottom"/>
          </w:tcPr>
          <w:p w14:paraId="67534D1B" w14:textId="77777777" w:rsidR="001B77DD" w:rsidRDefault="001B77DD">
            <w:pPr>
              <w:rPr>
                <w:rFonts w:ascii="宋体"/>
                <w:vanish/>
              </w:rPr>
            </w:pPr>
          </w:p>
        </w:tc>
      </w:tr>
      <w:tr w:rsidR="001B77DD" w14:paraId="67534D20" w14:textId="77777777">
        <w:tc>
          <w:tcPr>
            <w:tcW w:w="0" w:type="auto"/>
            <w:gridSpan w:val="6"/>
            <w:shd w:val="clear" w:color="auto" w:fill="auto"/>
            <w:tcMar>
              <w:top w:w="40" w:type="dxa"/>
              <w:left w:w="20" w:type="dxa"/>
              <w:bottom w:w="40" w:type="dxa"/>
              <w:right w:w="20" w:type="dxa"/>
            </w:tcMar>
            <w:vAlign w:val="bottom"/>
          </w:tcPr>
          <w:p w14:paraId="67534D1D" w14:textId="77777777" w:rsidR="001B77DD" w:rsidRDefault="00BF0A28">
            <w:pPr>
              <w:textAlignment w:val="bottom"/>
            </w:pPr>
            <w:r>
              <w:rPr>
                <w:rFonts w:ascii="Arial" w:eastAsia="宋体" w:hAnsi="Arial" w:cs="Arial"/>
                <w:color w:val="0068B5"/>
                <w:sz w:val="20"/>
                <w:szCs w:val="20"/>
              </w:rPr>
              <w:t>2021 vs. 2020</w:t>
            </w:r>
          </w:p>
        </w:tc>
        <w:tc>
          <w:tcPr>
            <w:tcW w:w="0" w:type="auto"/>
            <w:shd w:val="clear" w:color="auto" w:fill="auto"/>
            <w:vAlign w:val="bottom"/>
          </w:tcPr>
          <w:p w14:paraId="67534D1E" w14:textId="77777777" w:rsidR="001B77DD" w:rsidRDefault="001B77DD">
            <w:pPr>
              <w:rPr>
                <w:rFonts w:ascii="宋体"/>
                <w:vanish/>
              </w:rPr>
            </w:pPr>
          </w:p>
        </w:tc>
        <w:tc>
          <w:tcPr>
            <w:tcW w:w="0" w:type="auto"/>
            <w:shd w:val="clear" w:color="auto" w:fill="auto"/>
            <w:vAlign w:val="bottom"/>
          </w:tcPr>
          <w:p w14:paraId="67534D1F" w14:textId="77777777" w:rsidR="001B77DD" w:rsidRDefault="001B77DD">
            <w:pPr>
              <w:rPr>
                <w:rFonts w:ascii="宋体"/>
                <w:vanish/>
              </w:rPr>
            </w:pPr>
          </w:p>
        </w:tc>
      </w:tr>
      <w:tr w:rsidR="001B77DD" w14:paraId="67534D25" w14:textId="77777777">
        <w:trPr>
          <w:hidden/>
        </w:trPr>
        <w:tc>
          <w:tcPr>
            <w:tcW w:w="0" w:type="auto"/>
            <w:gridSpan w:val="3"/>
            <w:shd w:val="clear" w:color="auto" w:fill="auto"/>
            <w:vAlign w:val="bottom"/>
          </w:tcPr>
          <w:p w14:paraId="67534D21" w14:textId="77777777" w:rsidR="001B77DD" w:rsidRDefault="001B77DD">
            <w:pPr>
              <w:rPr>
                <w:rFonts w:ascii="宋体"/>
                <w:vanish/>
              </w:rPr>
            </w:pPr>
          </w:p>
        </w:tc>
        <w:tc>
          <w:tcPr>
            <w:tcW w:w="0" w:type="auto"/>
            <w:gridSpan w:val="3"/>
            <w:shd w:val="clear" w:color="auto" w:fill="auto"/>
            <w:vAlign w:val="bottom"/>
          </w:tcPr>
          <w:p w14:paraId="67534D22" w14:textId="77777777" w:rsidR="001B77DD" w:rsidRDefault="001B77DD">
            <w:pPr>
              <w:rPr>
                <w:rFonts w:ascii="宋体"/>
                <w:vanish/>
              </w:rPr>
            </w:pPr>
          </w:p>
        </w:tc>
        <w:tc>
          <w:tcPr>
            <w:tcW w:w="0" w:type="auto"/>
            <w:shd w:val="clear" w:color="auto" w:fill="auto"/>
            <w:vAlign w:val="bottom"/>
          </w:tcPr>
          <w:p w14:paraId="67534D23" w14:textId="77777777" w:rsidR="001B77DD" w:rsidRDefault="001B77DD">
            <w:pPr>
              <w:rPr>
                <w:rFonts w:ascii="宋体"/>
                <w:vanish/>
              </w:rPr>
            </w:pPr>
          </w:p>
        </w:tc>
        <w:tc>
          <w:tcPr>
            <w:tcW w:w="0" w:type="auto"/>
            <w:shd w:val="clear" w:color="auto" w:fill="auto"/>
            <w:vAlign w:val="bottom"/>
          </w:tcPr>
          <w:p w14:paraId="67534D24" w14:textId="77777777" w:rsidR="001B77DD" w:rsidRDefault="001B77DD">
            <w:pPr>
              <w:rPr>
                <w:rFonts w:ascii="宋体"/>
                <w:vanish/>
              </w:rPr>
            </w:pPr>
          </w:p>
        </w:tc>
      </w:tr>
      <w:tr w:rsidR="001B77DD" w14:paraId="67534D29" w14:textId="77777777">
        <w:tc>
          <w:tcPr>
            <w:tcW w:w="0" w:type="auto"/>
            <w:gridSpan w:val="6"/>
            <w:shd w:val="clear" w:color="auto" w:fill="auto"/>
            <w:tcMar>
              <w:top w:w="40" w:type="dxa"/>
              <w:left w:w="20" w:type="dxa"/>
              <w:bottom w:w="40" w:type="dxa"/>
              <w:right w:w="20" w:type="dxa"/>
            </w:tcMar>
            <w:vAlign w:val="bottom"/>
          </w:tcPr>
          <w:p w14:paraId="67534D26" w14:textId="77777777" w:rsidR="001B77DD" w:rsidRDefault="00BF0A28">
            <w:pPr>
              <w:textAlignment w:val="bottom"/>
            </w:pPr>
            <w:r>
              <w:rPr>
                <w:rFonts w:ascii="Arial" w:eastAsia="宋体" w:hAnsi="Arial" w:cs="Arial"/>
                <w:color w:val="262626"/>
                <w:sz w:val="18"/>
                <w:szCs w:val="18"/>
              </w:rPr>
              <w:t>R&amp;D spending increased by $1.6 billion, or 12.1%, driven by the following:</w:t>
            </w:r>
          </w:p>
        </w:tc>
        <w:tc>
          <w:tcPr>
            <w:tcW w:w="0" w:type="auto"/>
            <w:shd w:val="clear" w:color="auto" w:fill="auto"/>
            <w:vAlign w:val="bottom"/>
          </w:tcPr>
          <w:p w14:paraId="67534D27" w14:textId="77777777" w:rsidR="001B77DD" w:rsidRDefault="001B77DD">
            <w:pPr>
              <w:rPr>
                <w:rFonts w:ascii="宋体"/>
                <w:vanish/>
              </w:rPr>
            </w:pPr>
          </w:p>
        </w:tc>
        <w:tc>
          <w:tcPr>
            <w:tcW w:w="0" w:type="auto"/>
            <w:shd w:val="clear" w:color="auto" w:fill="auto"/>
            <w:vAlign w:val="bottom"/>
          </w:tcPr>
          <w:p w14:paraId="67534D28" w14:textId="77777777" w:rsidR="001B77DD" w:rsidRDefault="001B77DD">
            <w:pPr>
              <w:rPr>
                <w:rFonts w:ascii="宋体"/>
                <w:vanish/>
              </w:rPr>
            </w:pPr>
          </w:p>
        </w:tc>
      </w:tr>
      <w:tr w:rsidR="001B77DD" w14:paraId="67534D2E" w14:textId="77777777">
        <w:trPr>
          <w:hidden/>
        </w:trPr>
        <w:tc>
          <w:tcPr>
            <w:tcW w:w="0" w:type="auto"/>
            <w:gridSpan w:val="3"/>
            <w:shd w:val="clear" w:color="auto" w:fill="auto"/>
            <w:vAlign w:val="bottom"/>
          </w:tcPr>
          <w:p w14:paraId="67534D2A" w14:textId="77777777" w:rsidR="001B77DD" w:rsidRDefault="001B77DD">
            <w:pPr>
              <w:rPr>
                <w:rFonts w:ascii="宋体"/>
                <w:vanish/>
              </w:rPr>
            </w:pPr>
          </w:p>
        </w:tc>
        <w:tc>
          <w:tcPr>
            <w:tcW w:w="0" w:type="auto"/>
            <w:gridSpan w:val="3"/>
            <w:shd w:val="clear" w:color="auto" w:fill="auto"/>
            <w:vAlign w:val="bottom"/>
          </w:tcPr>
          <w:p w14:paraId="67534D2B" w14:textId="77777777" w:rsidR="001B77DD" w:rsidRDefault="001B77DD">
            <w:pPr>
              <w:rPr>
                <w:rFonts w:ascii="宋体"/>
                <w:vanish/>
              </w:rPr>
            </w:pPr>
          </w:p>
        </w:tc>
        <w:tc>
          <w:tcPr>
            <w:tcW w:w="0" w:type="auto"/>
            <w:shd w:val="clear" w:color="auto" w:fill="auto"/>
            <w:vAlign w:val="bottom"/>
          </w:tcPr>
          <w:p w14:paraId="67534D2C" w14:textId="77777777" w:rsidR="001B77DD" w:rsidRDefault="001B77DD">
            <w:pPr>
              <w:rPr>
                <w:rFonts w:ascii="宋体"/>
                <w:vanish/>
              </w:rPr>
            </w:pPr>
          </w:p>
        </w:tc>
        <w:tc>
          <w:tcPr>
            <w:tcW w:w="0" w:type="auto"/>
            <w:shd w:val="clear" w:color="auto" w:fill="auto"/>
            <w:vAlign w:val="bottom"/>
          </w:tcPr>
          <w:p w14:paraId="67534D2D" w14:textId="77777777" w:rsidR="001B77DD" w:rsidRDefault="001B77DD">
            <w:pPr>
              <w:rPr>
                <w:rFonts w:ascii="宋体"/>
                <w:vanish/>
              </w:rPr>
            </w:pPr>
          </w:p>
        </w:tc>
      </w:tr>
      <w:tr w:rsidR="001B77DD" w14:paraId="67534D33" w14:textId="77777777">
        <w:tc>
          <w:tcPr>
            <w:tcW w:w="0" w:type="auto"/>
            <w:gridSpan w:val="3"/>
            <w:shd w:val="clear" w:color="auto" w:fill="auto"/>
            <w:tcMar>
              <w:top w:w="40" w:type="dxa"/>
              <w:left w:w="20" w:type="dxa"/>
              <w:bottom w:w="40" w:type="dxa"/>
              <w:right w:w="20" w:type="dxa"/>
            </w:tcMar>
            <w:vAlign w:val="bottom"/>
          </w:tcPr>
          <w:p w14:paraId="67534D2F" w14:textId="77777777" w:rsidR="001B77DD" w:rsidRDefault="00BF0A2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67534D30" w14:textId="77777777" w:rsidR="001B77DD" w:rsidRDefault="00BF0A28">
            <w:pPr>
              <w:textAlignment w:val="bottom"/>
            </w:pPr>
            <w:r>
              <w:rPr>
                <w:rFonts w:ascii="Arial" w:eastAsia="宋体" w:hAnsi="Arial" w:cs="Arial"/>
                <w:color w:val="262626"/>
                <w:sz w:val="18"/>
                <w:szCs w:val="18"/>
              </w:rPr>
              <w:t>Investments in DCG, CCG, and Mobileye</w:t>
            </w:r>
          </w:p>
        </w:tc>
        <w:tc>
          <w:tcPr>
            <w:tcW w:w="0" w:type="auto"/>
            <w:shd w:val="clear" w:color="auto" w:fill="auto"/>
            <w:vAlign w:val="bottom"/>
          </w:tcPr>
          <w:p w14:paraId="67534D31" w14:textId="77777777" w:rsidR="001B77DD" w:rsidRDefault="001B77DD">
            <w:pPr>
              <w:rPr>
                <w:rFonts w:ascii="宋体"/>
                <w:vanish/>
              </w:rPr>
            </w:pPr>
          </w:p>
        </w:tc>
        <w:tc>
          <w:tcPr>
            <w:tcW w:w="0" w:type="auto"/>
            <w:shd w:val="clear" w:color="auto" w:fill="auto"/>
            <w:vAlign w:val="bottom"/>
          </w:tcPr>
          <w:p w14:paraId="67534D32" w14:textId="77777777" w:rsidR="001B77DD" w:rsidRDefault="001B77DD">
            <w:pPr>
              <w:rPr>
                <w:rFonts w:ascii="宋体"/>
                <w:vanish/>
              </w:rPr>
            </w:pPr>
          </w:p>
        </w:tc>
      </w:tr>
      <w:tr w:rsidR="001B77DD" w14:paraId="67534D38" w14:textId="77777777">
        <w:tc>
          <w:tcPr>
            <w:tcW w:w="0" w:type="auto"/>
            <w:gridSpan w:val="3"/>
            <w:shd w:val="clear" w:color="auto" w:fill="auto"/>
            <w:tcMar>
              <w:top w:w="40" w:type="dxa"/>
              <w:left w:w="20" w:type="dxa"/>
              <w:bottom w:w="40" w:type="dxa"/>
              <w:right w:w="20" w:type="dxa"/>
            </w:tcMar>
            <w:vAlign w:val="bottom"/>
          </w:tcPr>
          <w:p w14:paraId="67534D34" w14:textId="77777777" w:rsidR="001B77DD" w:rsidRDefault="00BF0A2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67534D35" w14:textId="77777777" w:rsidR="001B77DD" w:rsidRDefault="00BF0A28">
            <w:pPr>
              <w:textAlignment w:val="bottom"/>
            </w:pPr>
            <w:r>
              <w:rPr>
                <w:rFonts w:ascii="Arial" w:eastAsia="宋体" w:hAnsi="Arial" w:cs="Arial"/>
                <w:color w:val="262626"/>
                <w:sz w:val="18"/>
                <w:szCs w:val="18"/>
              </w:rPr>
              <w:t>Investments in our process technology</w:t>
            </w:r>
          </w:p>
        </w:tc>
        <w:tc>
          <w:tcPr>
            <w:tcW w:w="0" w:type="auto"/>
            <w:shd w:val="clear" w:color="auto" w:fill="auto"/>
            <w:vAlign w:val="bottom"/>
          </w:tcPr>
          <w:p w14:paraId="67534D36" w14:textId="77777777" w:rsidR="001B77DD" w:rsidRDefault="001B77DD">
            <w:pPr>
              <w:rPr>
                <w:rFonts w:ascii="宋体"/>
                <w:vanish/>
              </w:rPr>
            </w:pPr>
          </w:p>
        </w:tc>
        <w:tc>
          <w:tcPr>
            <w:tcW w:w="0" w:type="auto"/>
            <w:shd w:val="clear" w:color="auto" w:fill="auto"/>
            <w:vAlign w:val="bottom"/>
          </w:tcPr>
          <w:p w14:paraId="67534D37" w14:textId="77777777" w:rsidR="001B77DD" w:rsidRDefault="001B77DD">
            <w:pPr>
              <w:rPr>
                <w:rFonts w:ascii="宋体"/>
                <w:vanish/>
              </w:rPr>
            </w:pPr>
          </w:p>
        </w:tc>
      </w:tr>
      <w:tr w:rsidR="001B77DD" w14:paraId="67534D3D" w14:textId="77777777">
        <w:tc>
          <w:tcPr>
            <w:tcW w:w="0" w:type="auto"/>
            <w:gridSpan w:val="3"/>
            <w:shd w:val="clear" w:color="auto" w:fill="auto"/>
            <w:tcMar>
              <w:top w:w="40" w:type="dxa"/>
              <w:left w:w="20" w:type="dxa"/>
              <w:bottom w:w="40" w:type="dxa"/>
              <w:right w:w="20" w:type="dxa"/>
            </w:tcMar>
            <w:vAlign w:val="bottom"/>
          </w:tcPr>
          <w:p w14:paraId="67534D39" w14:textId="77777777" w:rsidR="001B77DD" w:rsidRDefault="00BF0A2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67534D3A" w14:textId="77777777" w:rsidR="001B77DD" w:rsidRDefault="00BF0A28">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67534D3B" w14:textId="77777777" w:rsidR="001B77DD" w:rsidRDefault="001B77DD">
            <w:pPr>
              <w:rPr>
                <w:rFonts w:ascii="宋体"/>
                <w:vanish/>
              </w:rPr>
            </w:pPr>
          </w:p>
        </w:tc>
        <w:tc>
          <w:tcPr>
            <w:tcW w:w="0" w:type="auto"/>
            <w:shd w:val="clear" w:color="auto" w:fill="auto"/>
            <w:vAlign w:val="bottom"/>
          </w:tcPr>
          <w:p w14:paraId="67534D3C" w14:textId="77777777" w:rsidR="001B77DD" w:rsidRDefault="001B77DD">
            <w:pPr>
              <w:rPr>
                <w:rFonts w:ascii="宋体"/>
                <w:vanish/>
              </w:rPr>
            </w:pPr>
          </w:p>
        </w:tc>
      </w:tr>
      <w:tr w:rsidR="001B77DD" w14:paraId="67534D42" w14:textId="77777777">
        <w:trPr>
          <w:hidden/>
        </w:trPr>
        <w:tc>
          <w:tcPr>
            <w:tcW w:w="0" w:type="auto"/>
            <w:gridSpan w:val="3"/>
            <w:shd w:val="clear" w:color="auto" w:fill="auto"/>
            <w:vAlign w:val="bottom"/>
          </w:tcPr>
          <w:p w14:paraId="67534D3E" w14:textId="77777777" w:rsidR="001B77DD" w:rsidRDefault="001B77DD">
            <w:pPr>
              <w:rPr>
                <w:rFonts w:ascii="宋体"/>
                <w:vanish/>
              </w:rPr>
            </w:pPr>
          </w:p>
        </w:tc>
        <w:tc>
          <w:tcPr>
            <w:tcW w:w="0" w:type="auto"/>
            <w:gridSpan w:val="3"/>
            <w:shd w:val="clear" w:color="auto" w:fill="auto"/>
            <w:vAlign w:val="bottom"/>
          </w:tcPr>
          <w:p w14:paraId="67534D3F" w14:textId="77777777" w:rsidR="001B77DD" w:rsidRDefault="001B77DD">
            <w:pPr>
              <w:rPr>
                <w:rFonts w:ascii="宋体"/>
                <w:vanish/>
              </w:rPr>
            </w:pPr>
          </w:p>
        </w:tc>
        <w:tc>
          <w:tcPr>
            <w:tcW w:w="0" w:type="auto"/>
            <w:shd w:val="clear" w:color="auto" w:fill="auto"/>
            <w:vAlign w:val="bottom"/>
          </w:tcPr>
          <w:p w14:paraId="67534D40" w14:textId="77777777" w:rsidR="001B77DD" w:rsidRDefault="001B77DD">
            <w:pPr>
              <w:rPr>
                <w:rFonts w:ascii="宋体"/>
                <w:vanish/>
              </w:rPr>
            </w:pPr>
          </w:p>
        </w:tc>
        <w:tc>
          <w:tcPr>
            <w:tcW w:w="0" w:type="auto"/>
            <w:shd w:val="clear" w:color="auto" w:fill="auto"/>
            <w:vAlign w:val="bottom"/>
          </w:tcPr>
          <w:p w14:paraId="67534D41" w14:textId="77777777" w:rsidR="001B77DD" w:rsidRDefault="001B77DD">
            <w:pPr>
              <w:rPr>
                <w:rFonts w:ascii="宋体"/>
                <w:vanish/>
              </w:rPr>
            </w:pPr>
          </w:p>
        </w:tc>
      </w:tr>
      <w:tr w:rsidR="001B77DD" w14:paraId="67534D47" w14:textId="77777777">
        <w:trPr>
          <w:hidden/>
        </w:trPr>
        <w:tc>
          <w:tcPr>
            <w:tcW w:w="0" w:type="auto"/>
            <w:gridSpan w:val="3"/>
            <w:shd w:val="clear" w:color="auto" w:fill="auto"/>
            <w:vAlign w:val="bottom"/>
          </w:tcPr>
          <w:p w14:paraId="67534D43" w14:textId="77777777" w:rsidR="001B77DD" w:rsidRDefault="001B77DD">
            <w:pPr>
              <w:rPr>
                <w:rFonts w:ascii="宋体"/>
                <w:vanish/>
              </w:rPr>
            </w:pPr>
          </w:p>
        </w:tc>
        <w:tc>
          <w:tcPr>
            <w:tcW w:w="0" w:type="auto"/>
            <w:gridSpan w:val="3"/>
            <w:shd w:val="clear" w:color="auto" w:fill="auto"/>
            <w:vAlign w:val="bottom"/>
          </w:tcPr>
          <w:p w14:paraId="67534D44" w14:textId="77777777" w:rsidR="001B77DD" w:rsidRDefault="001B77DD">
            <w:pPr>
              <w:rPr>
                <w:rFonts w:ascii="宋体"/>
                <w:vanish/>
              </w:rPr>
            </w:pPr>
          </w:p>
        </w:tc>
        <w:tc>
          <w:tcPr>
            <w:tcW w:w="0" w:type="auto"/>
            <w:shd w:val="clear" w:color="auto" w:fill="auto"/>
            <w:vAlign w:val="bottom"/>
          </w:tcPr>
          <w:p w14:paraId="67534D45" w14:textId="77777777" w:rsidR="001B77DD" w:rsidRDefault="001B77DD">
            <w:pPr>
              <w:rPr>
                <w:rFonts w:ascii="宋体"/>
                <w:vanish/>
              </w:rPr>
            </w:pPr>
          </w:p>
        </w:tc>
        <w:tc>
          <w:tcPr>
            <w:tcW w:w="0" w:type="auto"/>
            <w:shd w:val="clear" w:color="auto" w:fill="auto"/>
            <w:vAlign w:val="bottom"/>
          </w:tcPr>
          <w:p w14:paraId="67534D46" w14:textId="77777777" w:rsidR="001B77DD" w:rsidRDefault="001B77DD">
            <w:pPr>
              <w:rPr>
                <w:rFonts w:ascii="宋体"/>
                <w:vanish/>
              </w:rPr>
            </w:pPr>
          </w:p>
        </w:tc>
      </w:tr>
      <w:tr w:rsidR="001B77DD" w14:paraId="67534D4C" w14:textId="77777777">
        <w:trPr>
          <w:trHeight w:val="60"/>
        </w:trPr>
        <w:tc>
          <w:tcPr>
            <w:tcW w:w="0" w:type="auto"/>
            <w:gridSpan w:val="3"/>
            <w:shd w:val="clear" w:color="auto" w:fill="auto"/>
            <w:tcMar>
              <w:top w:w="0" w:type="dxa"/>
              <w:left w:w="20" w:type="dxa"/>
              <w:bottom w:w="0" w:type="dxa"/>
              <w:right w:w="20" w:type="dxa"/>
            </w:tcMar>
            <w:vAlign w:val="bottom"/>
          </w:tcPr>
          <w:p w14:paraId="67534D4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D49" w14:textId="77777777" w:rsidR="001B77DD" w:rsidRDefault="001B77DD">
            <w:pPr>
              <w:rPr>
                <w:rFonts w:ascii="宋体"/>
              </w:rPr>
            </w:pPr>
          </w:p>
        </w:tc>
        <w:tc>
          <w:tcPr>
            <w:tcW w:w="0" w:type="auto"/>
            <w:shd w:val="clear" w:color="auto" w:fill="auto"/>
            <w:vAlign w:val="bottom"/>
          </w:tcPr>
          <w:p w14:paraId="67534D4A" w14:textId="77777777" w:rsidR="001B77DD" w:rsidRDefault="001B77DD">
            <w:pPr>
              <w:rPr>
                <w:rFonts w:ascii="宋体"/>
                <w:vanish/>
              </w:rPr>
            </w:pPr>
          </w:p>
        </w:tc>
        <w:tc>
          <w:tcPr>
            <w:tcW w:w="0" w:type="auto"/>
            <w:shd w:val="clear" w:color="auto" w:fill="auto"/>
            <w:vAlign w:val="bottom"/>
          </w:tcPr>
          <w:p w14:paraId="67534D4B" w14:textId="77777777" w:rsidR="001B77DD" w:rsidRDefault="001B77DD">
            <w:pPr>
              <w:rPr>
                <w:rFonts w:ascii="宋体"/>
                <w:vanish/>
              </w:rPr>
            </w:pPr>
          </w:p>
        </w:tc>
      </w:tr>
      <w:tr w:rsidR="001B77DD" w14:paraId="67534D50" w14:textId="77777777">
        <w:tc>
          <w:tcPr>
            <w:tcW w:w="0" w:type="auto"/>
            <w:gridSpan w:val="6"/>
            <w:shd w:val="clear" w:color="auto" w:fill="auto"/>
            <w:tcMar>
              <w:top w:w="40" w:type="dxa"/>
              <w:left w:w="20" w:type="dxa"/>
              <w:bottom w:w="40" w:type="dxa"/>
              <w:right w:w="20" w:type="dxa"/>
            </w:tcMar>
            <w:vAlign w:val="bottom"/>
          </w:tcPr>
          <w:p w14:paraId="67534D4D" w14:textId="77777777" w:rsidR="001B77DD" w:rsidRDefault="00BF0A28">
            <w:pPr>
              <w:textAlignment w:val="bottom"/>
            </w:pPr>
            <w:r>
              <w:rPr>
                <w:rFonts w:ascii="Arial" w:eastAsia="宋体" w:hAnsi="Arial" w:cs="Arial"/>
                <w:color w:val="0068B5"/>
                <w:sz w:val="20"/>
                <w:szCs w:val="20"/>
              </w:rPr>
              <w:t>2020 vs. 2019</w:t>
            </w:r>
          </w:p>
        </w:tc>
        <w:tc>
          <w:tcPr>
            <w:tcW w:w="0" w:type="auto"/>
            <w:shd w:val="clear" w:color="auto" w:fill="auto"/>
            <w:vAlign w:val="bottom"/>
          </w:tcPr>
          <w:p w14:paraId="67534D4E" w14:textId="77777777" w:rsidR="001B77DD" w:rsidRDefault="001B77DD">
            <w:pPr>
              <w:rPr>
                <w:rFonts w:ascii="宋体"/>
                <w:vanish/>
              </w:rPr>
            </w:pPr>
          </w:p>
        </w:tc>
        <w:tc>
          <w:tcPr>
            <w:tcW w:w="0" w:type="auto"/>
            <w:shd w:val="clear" w:color="auto" w:fill="auto"/>
            <w:vAlign w:val="bottom"/>
          </w:tcPr>
          <w:p w14:paraId="67534D4F" w14:textId="77777777" w:rsidR="001B77DD" w:rsidRDefault="001B77DD">
            <w:pPr>
              <w:rPr>
                <w:rFonts w:ascii="宋体"/>
                <w:vanish/>
              </w:rPr>
            </w:pPr>
          </w:p>
        </w:tc>
      </w:tr>
      <w:tr w:rsidR="001B77DD" w14:paraId="67534D55" w14:textId="77777777">
        <w:trPr>
          <w:hidden/>
        </w:trPr>
        <w:tc>
          <w:tcPr>
            <w:tcW w:w="0" w:type="auto"/>
            <w:gridSpan w:val="3"/>
            <w:shd w:val="clear" w:color="auto" w:fill="auto"/>
            <w:vAlign w:val="bottom"/>
          </w:tcPr>
          <w:p w14:paraId="67534D51" w14:textId="77777777" w:rsidR="001B77DD" w:rsidRDefault="001B77DD">
            <w:pPr>
              <w:rPr>
                <w:rFonts w:ascii="宋体"/>
                <w:vanish/>
              </w:rPr>
            </w:pPr>
          </w:p>
        </w:tc>
        <w:tc>
          <w:tcPr>
            <w:tcW w:w="0" w:type="auto"/>
            <w:gridSpan w:val="3"/>
            <w:shd w:val="clear" w:color="auto" w:fill="auto"/>
            <w:vAlign w:val="bottom"/>
          </w:tcPr>
          <w:p w14:paraId="67534D52" w14:textId="77777777" w:rsidR="001B77DD" w:rsidRDefault="001B77DD">
            <w:pPr>
              <w:rPr>
                <w:rFonts w:ascii="宋体"/>
                <w:vanish/>
              </w:rPr>
            </w:pPr>
          </w:p>
        </w:tc>
        <w:tc>
          <w:tcPr>
            <w:tcW w:w="0" w:type="auto"/>
            <w:shd w:val="clear" w:color="auto" w:fill="auto"/>
            <w:vAlign w:val="bottom"/>
          </w:tcPr>
          <w:p w14:paraId="67534D53" w14:textId="77777777" w:rsidR="001B77DD" w:rsidRDefault="001B77DD">
            <w:pPr>
              <w:rPr>
                <w:rFonts w:ascii="宋体"/>
                <w:vanish/>
              </w:rPr>
            </w:pPr>
          </w:p>
        </w:tc>
        <w:tc>
          <w:tcPr>
            <w:tcW w:w="0" w:type="auto"/>
            <w:shd w:val="clear" w:color="auto" w:fill="auto"/>
            <w:vAlign w:val="bottom"/>
          </w:tcPr>
          <w:p w14:paraId="67534D54" w14:textId="77777777" w:rsidR="001B77DD" w:rsidRDefault="001B77DD">
            <w:pPr>
              <w:rPr>
                <w:rFonts w:ascii="宋体"/>
                <w:vanish/>
              </w:rPr>
            </w:pPr>
          </w:p>
        </w:tc>
      </w:tr>
      <w:tr w:rsidR="001B77DD" w14:paraId="67534D59" w14:textId="77777777">
        <w:tc>
          <w:tcPr>
            <w:tcW w:w="0" w:type="auto"/>
            <w:gridSpan w:val="6"/>
            <w:shd w:val="clear" w:color="auto" w:fill="auto"/>
            <w:tcMar>
              <w:top w:w="40" w:type="dxa"/>
              <w:left w:w="20" w:type="dxa"/>
              <w:bottom w:w="40" w:type="dxa"/>
              <w:right w:w="20" w:type="dxa"/>
            </w:tcMar>
            <w:vAlign w:val="bottom"/>
          </w:tcPr>
          <w:p w14:paraId="67534D56" w14:textId="77777777" w:rsidR="001B77DD" w:rsidRDefault="00BF0A28">
            <w:pPr>
              <w:textAlignment w:val="bottom"/>
            </w:pPr>
            <w:r>
              <w:rPr>
                <w:rFonts w:ascii="Arial" w:eastAsia="宋体" w:hAnsi="Arial" w:cs="Arial"/>
                <w:color w:val="262626"/>
                <w:sz w:val="18"/>
                <w:szCs w:val="18"/>
              </w:rPr>
              <w:t>R&amp;D spending increased by $194 million, or 1%, driven by the following:</w:t>
            </w:r>
          </w:p>
        </w:tc>
        <w:tc>
          <w:tcPr>
            <w:tcW w:w="0" w:type="auto"/>
            <w:shd w:val="clear" w:color="auto" w:fill="auto"/>
            <w:vAlign w:val="bottom"/>
          </w:tcPr>
          <w:p w14:paraId="67534D57" w14:textId="77777777" w:rsidR="001B77DD" w:rsidRDefault="001B77DD">
            <w:pPr>
              <w:rPr>
                <w:rFonts w:ascii="宋体"/>
                <w:vanish/>
              </w:rPr>
            </w:pPr>
          </w:p>
        </w:tc>
        <w:tc>
          <w:tcPr>
            <w:tcW w:w="0" w:type="auto"/>
            <w:shd w:val="clear" w:color="auto" w:fill="auto"/>
            <w:vAlign w:val="bottom"/>
          </w:tcPr>
          <w:p w14:paraId="67534D58" w14:textId="77777777" w:rsidR="001B77DD" w:rsidRDefault="001B77DD">
            <w:pPr>
              <w:rPr>
                <w:rFonts w:ascii="宋体"/>
                <w:vanish/>
              </w:rPr>
            </w:pPr>
          </w:p>
        </w:tc>
      </w:tr>
      <w:tr w:rsidR="001B77DD" w14:paraId="67534D5E" w14:textId="77777777">
        <w:trPr>
          <w:hidden/>
        </w:trPr>
        <w:tc>
          <w:tcPr>
            <w:tcW w:w="0" w:type="auto"/>
            <w:gridSpan w:val="3"/>
            <w:shd w:val="clear" w:color="auto" w:fill="auto"/>
            <w:vAlign w:val="bottom"/>
          </w:tcPr>
          <w:p w14:paraId="67534D5A" w14:textId="77777777" w:rsidR="001B77DD" w:rsidRDefault="001B77DD">
            <w:pPr>
              <w:rPr>
                <w:rFonts w:ascii="宋体"/>
                <w:vanish/>
              </w:rPr>
            </w:pPr>
          </w:p>
        </w:tc>
        <w:tc>
          <w:tcPr>
            <w:tcW w:w="0" w:type="auto"/>
            <w:gridSpan w:val="3"/>
            <w:shd w:val="clear" w:color="auto" w:fill="auto"/>
            <w:vAlign w:val="bottom"/>
          </w:tcPr>
          <w:p w14:paraId="67534D5B" w14:textId="77777777" w:rsidR="001B77DD" w:rsidRDefault="001B77DD">
            <w:pPr>
              <w:rPr>
                <w:rFonts w:ascii="宋体"/>
                <w:vanish/>
              </w:rPr>
            </w:pPr>
          </w:p>
        </w:tc>
        <w:tc>
          <w:tcPr>
            <w:tcW w:w="0" w:type="auto"/>
            <w:shd w:val="clear" w:color="auto" w:fill="auto"/>
            <w:vAlign w:val="bottom"/>
          </w:tcPr>
          <w:p w14:paraId="67534D5C" w14:textId="77777777" w:rsidR="001B77DD" w:rsidRDefault="001B77DD">
            <w:pPr>
              <w:rPr>
                <w:rFonts w:ascii="宋体"/>
                <w:vanish/>
              </w:rPr>
            </w:pPr>
          </w:p>
        </w:tc>
        <w:tc>
          <w:tcPr>
            <w:tcW w:w="0" w:type="auto"/>
            <w:shd w:val="clear" w:color="auto" w:fill="auto"/>
            <w:vAlign w:val="bottom"/>
          </w:tcPr>
          <w:p w14:paraId="67534D5D" w14:textId="77777777" w:rsidR="001B77DD" w:rsidRDefault="001B77DD">
            <w:pPr>
              <w:rPr>
                <w:rFonts w:ascii="宋体"/>
                <w:vanish/>
              </w:rPr>
            </w:pPr>
          </w:p>
        </w:tc>
      </w:tr>
      <w:tr w:rsidR="001B77DD" w14:paraId="67534D63" w14:textId="77777777">
        <w:tc>
          <w:tcPr>
            <w:tcW w:w="0" w:type="auto"/>
            <w:gridSpan w:val="3"/>
            <w:shd w:val="clear" w:color="auto" w:fill="auto"/>
            <w:tcMar>
              <w:top w:w="40" w:type="dxa"/>
              <w:left w:w="20" w:type="dxa"/>
              <w:bottom w:w="40" w:type="dxa"/>
              <w:right w:w="20" w:type="dxa"/>
            </w:tcMar>
            <w:vAlign w:val="bottom"/>
          </w:tcPr>
          <w:p w14:paraId="67534D5F" w14:textId="77777777" w:rsidR="001B77DD" w:rsidRDefault="00BF0A2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67534D60" w14:textId="77777777" w:rsidR="001B77DD" w:rsidRDefault="00BF0A28">
            <w:pPr>
              <w:textAlignment w:val="bottom"/>
            </w:pPr>
            <w:r>
              <w:rPr>
                <w:rFonts w:ascii="Arial" w:eastAsia="宋体" w:hAnsi="Arial" w:cs="Arial"/>
                <w:color w:val="262626"/>
                <w:sz w:val="18"/>
                <w:szCs w:val="18"/>
              </w:rPr>
              <w:t>Investments in our process technology</w:t>
            </w:r>
          </w:p>
        </w:tc>
        <w:tc>
          <w:tcPr>
            <w:tcW w:w="0" w:type="auto"/>
            <w:shd w:val="clear" w:color="auto" w:fill="auto"/>
            <w:vAlign w:val="bottom"/>
          </w:tcPr>
          <w:p w14:paraId="67534D61" w14:textId="77777777" w:rsidR="001B77DD" w:rsidRDefault="001B77DD">
            <w:pPr>
              <w:rPr>
                <w:rFonts w:ascii="宋体"/>
                <w:vanish/>
              </w:rPr>
            </w:pPr>
          </w:p>
        </w:tc>
        <w:tc>
          <w:tcPr>
            <w:tcW w:w="0" w:type="auto"/>
            <w:shd w:val="clear" w:color="auto" w:fill="auto"/>
            <w:vAlign w:val="bottom"/>
          </w:tcPr>
          <w:p w14:paraId="67534D62" w14:textId="77777777" w:rsidR="001B77DD" w:rsidRDefault="001B77DD">
            <w:pPr>
              <w:rPr>
                <w:rFonts w:ascii="宋体"/>
                <w:vanish/>
              </w:rPr>
            </w:pPr>
          </w:p>
        </w:tc>
      </w:tr>
      <w:tr w:rsidR="001B77DD" w14:paraId="67534D68" w14:textId="77777777">
        <w:tc>
          <w:tcPr>
            <w:tcW w:w="0" w:type="auto"/>
            <w:gridSpan w:val="3"/>
            <w:shd w:val="clear" w:color="auto" w:fill="auto"/>
            <w:tcMar>
              <w:top w:w="40" w:type="dxa"/>
              <w:left w:w="20" w:type="dxa"/>
              <w:bottom w:w="40" w:type="dxa"/>
              <w:right w:w="20" w:type="dxa"/>
            </w:tcMar>
            <w:vAlign w:val="bottom"/>
          </w:tcPr>
          <w:p w14:paraId="67534D64" w14:textId="77777777" w:rsidR="001B77DD" w:rsidRDefault="00BF0A2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67534D65" w14:textId="77777777" w:rsidR="001B77DD" w:rsidRDefault="00BF0A28">
            <w:pPr>
              <w:textAlignment w:val="bottom"/>
            </w:pPr>
            <w:r>
              <w:rPr>
                <w:rFonts w:ascii="Arial" w:eastAsia="宋体" w:hAnsi="Arial" w:cs="Arial"/>
                <w:color w:val="262626"/>
                <w:sz w:val="18"/>
                <w:szCs w:val="18"/>
              </w:rPr>
              <w:t>Investments in CCG and DCG</w:t>
            </w:r>
          </w:p>
        </w:tc>
        <w:tc>
          <w:tcPr>
            <w:tcW w:w="0" w:type="auto"/>
            <w:shd w:val="clear" w:color="auto" w:fill="auto"/>
            <w:vAlign w:val="bottom"/>
          </w:tcPr>
          <w:p w14:paraId="67534D66" w14:textId="77777777" w:rsidR="001B77DD" w:rsidRDefault="001B77DD">
            <w:pPr>
              <w:rPr>
                <w:rFonts w:ascii="宋体"/>
                <w:vanish/>
              </w:rPr>
            </w:pPr>
          </w:p>
        </w:tc>
        <w:tc>
          <w:tcPr>
            <w:tcW w:w="0" w:type="auto"/>
            <w:shd w:val="clear" w:color="auto" w:fill="auto"/>
            <w:vAlign w:val="bottom"/>
          </w:tcPr>
          <w:p w14:paraId="67534D67" w14:textId="77777777" w:rsidR="001B77DD" w:rsidRDefault="001B77DD">
            <w:pPr>
              <w:rPr>
                <w:rFonts w:ascii="宋体"/>
                <w:vanish/>
              </w:rPr>
            </w:pPr>
          </w:p>
        </w:tc>
      </w:tr>
      <w:tr w:rsidR="001B77DD" w14:paraId="67534D6D" w14:textId="77777777">
        <w:tc>
          <w:tcPr>
            <w:tcW w:w="0" w:type="auto"/>
            <w:gridSpan w:val="3"/>
            <w:shd w:val="clear" w:color="auto" w:fill="auto"/>
            <w:tcMar>
              <w:top w:w="40" w:type="dxa"/>
              <w:left w:w="20" w:type="dxa"/>
              <w:bottom w:w="40" w:type="dxa"/>
              <w:right w:w="20" w:type="dxa"/>
            </w:tcMar>
            <w:vAlign w:val="bottom"/>
          </w:tcPr>
          <w:p w14:paraId="67534D69" w14:textId="77777777" w:rsidR="001B77DD" w:rsidRDefault="00BF0A28">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67534D6A" w14:textId="77777777" w:rsidR="001B77DD" w:rsidRDefault="00BF0A28">
            <w:pPr>
              <w:textAlignment w:val="bottom"/>
            </w:pPr>
            <w:r>
              <w:rPr>
                <w:rFonts w:ascii="Arial" w:eastAsia="宋体" w:hAnsi="Arial" w:cs="Arial"/>
                <w:color w:val="262626"/>
                <w:sz w:val="18"/>
                <w:szCs w:val="18"/>
              </w:rPr>
              <w:t>Ramp down of 5G smartphone modem business</w:t>
            </w:r>
          </w:p>
        </w:tc>
        <w:tc>
          <w:tcPr>
            <w:tcW w:w="0" w:type="auto"/>
            <w:shd w:val="clear" w:color="auto" w:fill="auto"/>
            <w:vAlign w:val="bottom"/>
          </w:tcPr>
          <w:p w14:paraId="67534D6B" w14:textId="77777777" w:rsidR="001B77DD" w:rsidRDefault="001B77DD">
            <w:pPr>
              <w:rPr>
                <w:rFonts w:ascii="宋体"/>
                <w:vanish/>
              </w:rPr>
            </w:pPr>
          </w:p>
        </w:tc>
        <w:tc>
          <w:tcPr>
            <w:tcW w:w="0" w:type="auto"/>
            <w:shd w:val="clear" w:color="auto" w:fill="auto"/>
            <w:vAlign w:val="bottom"/>
          </w:tcPr>
          <w:p w14:paraId="67534D6C" w14:textId="77777777" w:rsidR="001B77DD" w:rsidRDefault="001B77DD">
            <w:pPr>
              <w:rPr>
                <w:rFonts w:ascii="宋体"/>
                <w:vanish/>
              </w:rPr>
            </w:pPr>
          </w:p>
        </w:tc>
      </w:tr>
      <w:tr w:rsidR="001B77DD" w14:paraId="67534D72" w14:textId="77777777">
        <w:tc>
          <w:tcPr>
            <w:tcW w:w="0" w:type="auto"/>
            <w:gridSpan w:val="3"/>
            <w:shd w:val="clear" w:color="auto" w:fill="auto"/>
            <w:tcMar>
              <w:top w:w="40" w:type="dxa"/>
              <w:left w:w="20" w:type="dxa"/>
              <w:bottom w:w="40" w:type="dxa"/>
              <w:right w:w="20" w:type="dxa"/>
            </w:tcMar>
            <w:vAlign w:val="bottom"/>
          </w:tcPr>
          <w:p w14:paraId="67534D6E" w14:textId="77777777" w:rsidR="001B77DD" w:rsidRDefault="00BF0A28">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67534D6F" w14:textId="77777777" w:rsidR="001B77DD" w:rsidRDefault="00BF0A28">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67534D70" w14:textId="77777777" w:rsidR="001B77DD" w:rsidRDefault="001B77DD">
            <w:pPr>
              <w:rPr>
                <w:rFonts w:ascii="宋体"/>
                <w:vanish/>
              </w:rPr>
            </w:pPr>
          </w:p>
        </w:tc>
        <w:tc>
          <w:tcPr>
            <w:tcW w:w="0" w:type="auto"/>
            <w:shd w:val="clear" w:color="auto" w:fill="auto"/>
            <w:vAlign w:val="bottom"/>
          </w:tcPr>
          <w:p w14:paraId="67534D71" w14:textId="77777777" w:rsidR="001B77DD" w:rsidRDefault="001B77DD">
            <w:pPr>
              <w:rPr>
                <w:rFonts w:ascii="宋体"/>
                <w:vanish/>
              </w:rPr>
            </w:pPr>
          </w:p>
        </w:tc>
      </w:tr>
      <w:tr w:rsidR="001B77DD" w14:paraId="67534D77" w14:textId="77777777">
        <w:trPr>
          <w:hidden/>
        </w:trPr>
        <w:tc>
          <w:tcPr>
            <w:tcW w:w="0" w:type="auto"/>
            <w:gridSpan w:val="3"/>
            <w:shd w:val="clear" w:color="auto" w:fill="auto"/>
            <w:vAlign w:val="bottom"/>
          </w:tcPr>
          <w:p w14:paraId="67534D73" w14:textId="77777777" w:rsidR="001B77DD" w:rsidRDefault="001B77DD">
            <w:pPr>
              <w:rPr>
                <w:rFonts w:ascii="宋体"/>
                <w:vanish/>
              </w:rPr>
            </w:pPr>
          </w:p>
        </w:tc>
        <w:tc>
          <w:tcPr>
            <w:tcW w:w="0" w:type="auto"/>
            <w:gridSpan w:val="3"/>
            <w:shd w:val="clear" w:color="auto" w:fill="auto"/>
            <w:vAlign w:val="bottom"/>
          </w:tcPr>
          <w:p w14:paraId="67534D74" w14:textId="77777777" w:rsidR="001B77DD" w:rsidRDefault="001B77DD">
            <w:pPr>
              <w:rPr>
                <w:rFonts w:ascii="宋体"/>
                <w:vanish/>
              </w:rPr>
            </w:pPr>
          </w:p>
        </w:tc>
        <w:tc>
          <w:tcPr>
            <w:tcW w:w="0" w:type="auto"/>
            <w:shd w:val="clear" w:color="auto" w:fill="auto"/>
            <w:vAlign w:val="bottom"/>
          </w:tcPr>
          <w:p w14:paraId="67534D75" w14:textId="77777777" w:rsidR="001B77DD" w:rsidRDefault="001B77DD">
            <w:pPr>
              <w:rPr>
                <w:rFonts w:ascii="宋体"/>
                <w:vanish/>
              </w:rPr>
            </w:pPr>
          </w:p>
        </w:tc>
        <w:tc>
          <w:tcPr>
            <w:tcW w:w="0" w:type="auto"/>
            <w:shd w:val="clear" w:color="auto" w:fill="auto"/>
            <w:vAlign w:val="bottom"/>
          </w:tcPr>
          <w:p w14:paraId="67534D76" w14:textId="77777777" w:rsidR="001B77DD" w:rsidRDefault="001B77DD">
            <w:pPr>
              <w:rPr>
                <w:rFonts w:ascii="宋体"/>
                <w:vanish/>
              </w:rPr>
            </w:pPr>
          </w:p>
        </w:tc>
      </w:tr>
    </w:tbl>
    <w:p w14:paraId="67534D78" w14:textId="77777777" w:rsidR="001B77DD" w:rsidRDefault="001B77DD">
      <w:pPr>
        <w:rPr>
          <w:vanish/>
        </w:rPr>
      </w:pPr>
    </w:p>
    <w:tbl>
      <w:tblPr>
        <w:tblW w:w="10980" w:type="dxa"/>
        <w:tblCellMar>
          <w:top w:w="15" w:type="dxa"/>
          <w:left w:w="15" w:type="dxa"/>
          <w:bottom w:w="15" w:type="dxa"/>
          <w:right w:w="15" w:type="dxa"/>
        </w:tblCellMar>
        <w:tblLook w:val="04A0" w:firstRow="1" w:lastRow="0" w:firstColumn="1" w:lastColumn="0" w:noHBand="0" w:noVBand="1"/>
      </w:tblPr>
      <w:tblGrid>
        <w:gridCol w:w="36"/>
        <w:gridCol w:w="10908"/>
        <w:gridCol w:w="36"/>
      </w:tblGrid>
      <w:tr w:rsidR="001B77DD" w14:paraId="67534D7C" w14:textId="77777777">
        <w:tc>
          <w:tcPr>
            <w:tcW w:w="20" w:type="dxa"/>
            <w:shd w:val="clear" w:color="auto" w:fill="auto"/>
            <w:vAlign w:val="bottom"/>
          </w:tcPr>
          <w:p w14:paraId="67534D79" w14:textId="77777777" w:rsidR="001B77DD" w:rsidRDefault="001B77DD">
            <w:pPr>
              <w:rPr>
                <w:rFonts w:ascii="宋体"/>
              </w:rPr>
            </w:pPr>
          </w:p>
        </w:tc>
        <w:tc>
          <w:tcPr>
            <w:tcW w:w="10940" w:type="dxa"/>
            <w:shd w:val="clear" w:color="auto" w:fill="auto"/>
            <w:vAlign w:val="bottom"/>
          </w:tcPr>
          <w:p w14:paraId="67534D7A" w14:textId="77777777" w:rsidR="001B77DD" w:rsidRDefault="001B77DD">
            <w:pPr>
              <w:rPr>
                <w:rFonts w:ascii="宋体"/>
              </w:rPr>
            </w:pPr>
          </w:p>
        </w:tc>
        <w:tc>
          <w:tcPr>
            <w:tcW w:w="20" w:type="dxa"/>
            <w:shd w:val="clear" w:color="auto" w:fill="auto"/>
            <w:vAlign w:val="bottom"/>
          </w:tcPr>
          <w:p w14:paraId="67534D7B" w14:textId="77777777" w:rsidR="001B77DD" w:rsidRDefault="001B77DD">
            <w:pPr>
              <w:rPr>
                <w:rFonts w:ascii="宋体"/>
              </w:rPr>
            </w:pPr>
          </w:p>
        </w:tc>
      </w:tr>
      <w:tr w:rsidR="001B77DD" w14:paraId="67534D7E" w14:textId="77777777">
        <w:trPr>
          <w:trHeight w:val="280"/>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D7D" w14:textId="77777777" w:rsidR="001B77DD" w:rsidRDefault="00BF0A28">
            <w:pPr>
              <w:textAlignment w:val="bottom"/>
            </w:pPr>
            <w:r>
              <w:rPr>
                <w:rFonts w:ascii="Arial" w:eastAsia="宋体" w:hAnsi="Arial" w:cs="Arial"/>
                <w:color w:val="0068B5"/>
                <w:sz w:val="20"/>
                <w:szCs w:val="20"/>
              </w:rPr>
              <w:t>Marketing, General and Administrative</w:t>
            </w:r>
          </w:p>
        </w:tc>
      </w:tr>
    </w:tbl>
    <w:p w14:paraId="67534D7F"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77"/>
        <w:gridCol w:w="39"/>
        <w:gridCol w:w="52"/>
        <w:gridCol w:w="7919"/>
        <w:gridCol w:w="38"/>
        <w:gridCol w:w="36"/>
        <w:gridCol w:w="36"/>
      </w:tblGrid>
      <w:tr w:rsidR="001B77DD" w14:paraId="67534D88" w14:textId="77777777">
        <w:tc>
          <w:tcPr>
            <w:tcW w:w="5" w:type="pct"/>
            <w:shd w:val="clear" w:color="auto" w:fill="auto"/>
            <w:vAlign w:val="bottom"/>
          </w:tcPr>
          <w:p w14:paraId="67534D80" w14:textId="77777777" w:rsidR="001B77DD" w:rsidRDefault="001B77DD">
            <w:pPr>
              <w:rPr>
                <w:rFonts w:ascii="宋体"/>
              </w:rPr>
            </w:pPr>
          </w:p>
        </w:tc>
        <w:tc>
          <w:tcPr>
            <w:tcW w:w="126" w:type="pct"/>
            <w:shd w:val="clear" w:color="auto" w:fill="auto"/>
            <w:vAlign w:val="bottom"/>
          </w:tcPr>
          <w:p w14:paraId="67534D81" w14:textId="77777777" w:rsidR="001B77DD" w:rsidRDefault="001B77DD">
            <w:pPr>
              <w:rPr>
                <w:rFonts w:ascii="宋体"/>
              </w:rPr>
            </w:pPr>
          </w:p>
        </w:tc>
        <w:tc>
          <w:tcPr>
            <w:tcW w:w="5" w:type="pct"/>
            <w:shd w:val="clear" w:color="auto" w:fill="auto"/>
            <w:vAlign w:val="bottom"/>
          </w:tcPr>
          <w:p w14:paraId="67534D82" w14:textId="77777777" w:rsidR="001B77DD" w:rsidRDefault="001B77DD">
            <w:pPr>
              <w:rPr>
                <w:rFonts w:ascii="宋体"/>
              </w:rPr>
            </w:pPr>
          </w:p>
        </w:tc>
        <w:tc>
          <w:tcPr>
            <w:tcW w:w="50" w:type="pct"/>
            <w:shd w:val="clear" w:color="auto" w:fill="auto"/>
            <w:vAlign w:val="bottom"/>
          </w:tcPr>
          <w:p w14:paraId="67534D83" w14:textId="77777777" w:rsidR="001B77DD" w:rsidRDefault="001B77DD">
            <w:pPr>
              <w:rPr>
                <w:rFonts w:ascii="宋体"/>
              </w:rPr>
            </w:pPr>
          </w:p>
        </w:tc>
        <w:tc>
          <w:tcPr>
            <w:tcW w:w="4808" w:type="pct"/>
            <w:shd w:val="clear" w:color="auto" w:fill="auto"/>
            <w:vAlign w:val="bottom"/>
          </w:tcPr>
          <w:p w14:paraId="67534D84" w14:textId="77777777" w:rsidR="001B77DD" w:rsidRDefault="001B77DD">
            <w:pPr>
              <w:rPr>
                <w:rFonts w:ascii="宋体"/>
              </w:rPr>
            </w:pPr>
          </w:p>
        </w:tc>
        <w:tc>
          <w:tcPr>
            <w:tcW w:w="5" w:type="pct"/>
            <w:shd w:val="clear" w:color="auto" w:fill="auto"/>
            <w:vAlign w:val="bottom"/>
          </w:tcPr>
          <w:p w14:paraId="67534D85" w14:textId="77777777" w:rsidR="001B77DD" w:rsidRDefault="001B77DD">
            <w:pPr>
              <w:rPr>
                <w:rFonts w:ascii="宋体"/>
              </w:rPr>
            </w:pPr>
          </w:p>
        </w:tc>
        <w:tc>
          <w:tcPr>
            <w:tcW w:w="0" w:type="auto"/>
            <w:shd w:val="clear" w:color="auto" w:fill="auto"/>
            <w:vAlign w:val="bottom"/>
          </w:tcPr>
          <w:p w14:paraId="67534D86" w14:textId="77777777" w:rsidR="001B77DD" w:rsidRDefault="001B77DD">
            <w:pPr>
              <w:rPr>
                <w:rFonts w:ascii="宋体"/>
                <w:vanish/>
              </w:rPr>
            </w:pPr>
          </w:p>
        </w:tc>
        <w:tc>
          <w:tcPr>
            <w:tcW w:w="0" w:type="auto"/>
            <w:shd w:val="clear" w:color="auto" w:fill="auto"/>
            <w:vAlign w:val="bottom"/>
          </w:tcPr>
          <w:p w14:paraId="67534D87" w14:textId="77777777" w:rsidR="001B77DD" w:rsidRDefault="001B77DD">
            <w:pPr>
              <w:rPr>
                <w:rFonts w:ascii="宋体"/>
                <w:vanish/>
              </w:rPr>
            </w:pPr>
          </w:p>
        </w:tc>
      </w:tr>
      <w:tr w:rsidR="001B77DD" w14:paraId="67534D8C" w14:textId="77777777">
        <w:tc>
          <w:tcPr>
            <w:tcW w:w="0" w:type="auto"/>
            <w:gridSpan w:val="6"/>
            <w:shd w:val="clear" w:color="auto" w:fill="auto"/>
            <w:tcMar>
              <w:top w:w="40" w:type="dxa"/>
              <w:left w:w="20" w:type="dxa"/>
              <w:bottom w:w="40" w:type="dxa"/>
              <w:right w:w="20" w:type="dxa"/>
            </w:tcMar>
            <w:vAlign w:val="bottom"/>
          </w:tcPr>
          <w:p w14:paraId="67534D89" w14:textId="77777777" w:rsidR="001B77DD" w:rsidRDefault="00BF0A28">
            <w:pPr>
              <w:textAlignment w:val="bottom"/>
            </w:pPr>
            <w:r>
              <w:rPr>
                <w:rFonts w:ascii="Arial" w:eastAsia="宋体" w:hAnsi="Arial" w:cs="Arial"/>
                <w:color w:val="0068B5"/>
                <w:sz w:val="20"/>
                <w:szCs w:val="20"/>
              </w:rPr>
              <w:t>2021 vs. 2020</w:t>
            </w:r>
          </w:p>
        </w:tc>
        <w:tc>
          <w:tcPr>
            <w:tcW w:w="0" w:type="auto"/>
            <w:shd w:val="clear" w:color="auto" w:fill="auto"/>
            <w:vAlign w:val="bottom"/>
          </w:tcPr>
          <w:p w14:paraId="67534D8A" w14:textId="77777777" w:rsidR="001B77DD" w:rsidRDefault="001B77DD">
            <w:pPr>
              <w:rPr>
                <w:rFonts w:ascii="宋体"/>
                <w:vanish/>
              </w:rPr>
            </w:pPr>
          </w:p>
        </w:tc>
        <w:tc>
          <w:tcPr>
            <w:tcW w:w="0" w:type="auto"/>
            <w:shd w:val="clear" w:color="auto" w:fill="auto"/>
            <w:vAlign w:val="bottom"/>
          </w:tcPr>
          <w:p w14:paraId="67534D8B" w14:textId="77777777" w:rsidR="001B77DD" w:rsidRDefault="001B77DD">
            <w:pPr>
              <w:rPr>
                <w:rFonts w:ascii="宋体"/>
                <w:vanish/>
              </w:rPr>
            </w:pPr>
          </w:p>
        </w:tc>
      </w:tr>
      <w:tr w:rsidR="001B77DD" w14:paraId="67534D91" w14:textId="77777777">
        <w:trPr>
          <w:hidden/>
        </w:trPr>
        <w:tc>
          <w:tcPr>
            <w:tcW w:w="0" w:type="auto"/>
            <w:gridSpan w:val="3"/>
            <w:shd w:val="clear" w:color="auto" w:fill="auto"/>
            <w:vAlign w:val="bottom"/>
          </w:tcPr>
          <w:p w14:paraId="67534D8D" w14:textId="77777777" w:rsidR="001B77DD" w:rsidRDefault="001B77DD">
            <w:pPr>
              <w:rPr>
                <w:rFonts w:ascii="宋体"/>
                <w:vanish/>
              </w:rPr>
            </w:pPr>
          </w:p>
        </w:tc>
        <w:tc>
          <w:tcPr>
            <w:tcW w:w="0" w:type="auto"/>
            <w:gridSpan w:val="3"/>
            <w:shd w:val="clear" w:color="auto" w:fill="auto"/>
            <w:vAlign w:val="bottom"/>
          </w:tcPr>
          <w:p w14:paraId="67534D8E" w14:textId="77777777" w:rsidR="001B77DD" w:rsidRDefault="001B77DD">
            <w:pPr>
              <w:rPr>
                <w:rFonts w:ascii="宋体"/>
                <w:vanish/>
              </w:rPr>
            </w:pPr>
          </w:p>
        </w:tc>
        <w:tc>
          <w:tcPr>
            <w:tcW w:w="0" w:type="auto"/>
            <w:shd w:val="clear" w:color="auto" w:fill="auto"/>
            <w:vAlign w:val="bottom"/>
          </w:tcPr>
          <w:p w14:paraId="67534D8F" w14:textId="77777777" w:rsidR="001B77DD" w:rsidRDefault="001B77DD">
            <w:pPr>
              <w:rPr>
                <w:rFonts w:ascii="宋体"/>
                <w:vanish/>
              </w:rPr>
            </w:pPr>
          </w:p>
        </w:tc>
        <w:tc>
          <w:tcPr>
            <w:tcW w:w="0" w:type="auto"/>
            <w:shd w:val="clear" w:color="auto" w:fill="auto"/>
            <w:vAlign w:val="bottom"/>
          </w:tcPr>
          <w:p w14:paraId="67534D90" w14:textId="77777777" w:rsidR="001B77DD" w:rsidRDefault="001B77DD">
            <w:pPr>
              <w:rPr>
                <w:rFonts w:ascii="宋体"/>
                <w:vanish/>
              </w:rPr>
            </w:pPr>
          </w:p>
        </w:tc>
      </w:tr>
      <w:tr w:rsidR="001B77DD" w14:paraId="67534D95" w14:textId="77777777">
        <w:tc>
          <w:tcPr>
            <w:tcW w:w="0" w:type="auto"/>
            <w:gridSpan w:val="6"/>
            <w:shd w:val="clear" w:color="auto" w:fill="auto"/>
            <w:tcMar>
              <w:top w:w="40" w:type="dxa"/>
              <w:left w:w="20" w:type="dxa"/>
              <w:bottom w:w="40" w:type="dxa"/>
              <w:right w:w="20" w:type="dxa"/>
            </w:tcMar>
            <w:vAlign w:val="bottom"/>
          </w:tcPr>
          <w:p w14:paraId="67534D92" w14:textId="77777777" w:rsidR="001B77DD" w:rsidRDefault="00BF0A28">
            <w:pPr>
              <w:textAlignment w:val="bottom"/>
            </w:pPr>
            <w:r>
              <w:rPr>
                <w:rFonts w:ascii="Arial" w:eastAsia="宋体" w:hAnsi="Arial" w:cs="Arial"/>
                <w:color w:val="262626"/>
                <w:sz w:val="18"/>
                <w:szCs w:val="18"/>
              </w:rPr>
              <w:t xml:space="preserve">MG&amp;A </w:t>
            </w:r>
            <w:r>
              <w:rPr>
                <w:rFonts w:ascii="Arial" w:eastAsia="宋体" w:hAnsi="Arial" w:cs="Arial"/>
                <w:color w:val="262626"/>
                <w:sz w:val="18"/>
                <w:szCs w:val="18"/>
              </w:rPr>
              <w:t>spending increased by $363 million, or 5.9%, driven by the following:</w:t>
            </w:r>
          </w:p>
        </w:tc>
        <w:tc>
          <w:tcPr>
            <w:tcW w:w="0" w:type="auto"/>
            <w:shd w:val="clear" w:color="auto" w:fill="auto"/>
            <w:vAlign w:val="bottom"/>
          </w:tcPr>
          <w:p w14:paraId="67534D93" w14:textId="77777777" w:rsidR="001B77DD" w:rsidRDefault="001B77DD">
            <w:pPr>
              <w:rPr>
                <w:rFonts w:ascii="宋体"/>
                <w:vanish/>
              </w:rPr>
            </w:pPr>
          </w:p>
        </w:tc>
        <w:tc>
          <w:tcPr>
            <w:tcW w:w="0" w:type="auto"/>
            <w:shd w:val="clear" w:color="auto" w:fill="auto"/>
            <w:vAlign w:val="bottom"/>
          </w:tcPr>
          <w:p w14:paraId="67534D94" w14:textId="77777777" w:rsidR="001B77DD" w:rsidRDefault="001B77DD">
            <w:pPr>
              <w:rPr>
                <w:rFonts w:ascii="宋体"/>
                <w:vanish/>
              </w:rPr>
            </w:pPr>
          </w:p>
        </w:tc>
      </w:tr>
      <w:tr w:rsidR="001B77DD" w14:paraId="67534D9A" w14:textId="77777777">
        <w:trPr>
          <w:hidden/>
        </w:trPr>
        <w:tc>
          <w:tcPr>
            <w:tcW w:w="0" w:type="auto"/>
            <w:gridSpan w:val="3"/>
            <w:shd w:val="clear" w:color="auto" w:fill="auto"/>
            <w:vAlign w:val="bottom"/>
          </w:tcPr>
          <w:p w14:paraId="67534D96" w14:textId="77777777" w:rsidR="001B77DD" w:rsidRDefault="001B77DD">
            <w:pPr>
              <w:rPr>
                <w:rFonts w:ascii="宋体"/>
                <w:vanish/>
              </w:rPr>
            </w:pPr>
          </w:p>
        </w:tc>
        <w:tc>
          <w:tcPr>
            <w:tcW w:w="0" w:type="auto"/>
            <w:gridSpan w:val="3"/>
            <w:shd w:val="clear" w:color="auto" w:fill="auto"/>
            <w:vAlign w:val="bottom"/>
          </w:tcPr>
          <w:p w14:paraId="67534D97" w14:textId="77777777" w:rsidR="001B77DD" w:rsidRDefault="001B77DD">
            <w:pPr>
              <w:rPr>
                <w:rFonts w:ascii="宋体"/>
                <w:vanish/>
              </w:rPr>
            </w:pPr>
          </w:p>
        </w:tc>
        <w:tc>
          <w:tcPr>
            <w:tcW w:w="0" w:type="auto"/>
            <w:shd w:val="clear" w:color="auto" w:fill="auto"/>
            <w:vAlign w:val="bottom"/>
          </w:tcPr>
          <w:p w14:paraId="67534D98" w14:textId="77777777" w:rsidR="001B77DD" w:rsidRDefault="001B77DD">
            <w:pPr>
              <w:rPr>
                <w:rFonts w:ascii="宋体"/>
                <w:vanish/>
              </w:rPr>
            </w:pPr>
          </w:p>
        </w:tc>
        <w:tc>
          <w:tcPr>
            <w:tcW w:w="0" w:type="auto"/>
            <w:shd w:val="clear" w:color="auto" w:fill="auto"/>
            <w:vAlign w:val="bottom"/>
          </w:tcPr>
          <w:p w14:paraId="67534D99" w14:textId="77777777" w:rsidR="001B77DD" w:rsidRDefault="001B77DD">
            <w:pPr>
              <w:rPr>
                <w:rFonts w:ascii="宋体"/>
                <w:vanish/>
              </w:rPr>
            </w:pPr>
          </w:p>
        </w:tc>
      </w:tr>
      <w:tr w:rsidR="001B77DD" w14:paraId="67534D9F" w14:textId="77777777">
        <w:tc>
          <w:tcPr>
            <w:tcW w:w="0" w:type="auto"/>
            <w:gridSpan w:val="3"/>
            <w:shd w:val="clear" w:color="auto" w:fill="auto"/>
            <w:tcMar>
              <w:top w:w="40" w:type="dxa"/>
              <w:left w:w="20" w:type="dxa"/>
              <w:bottom w:w="40" w:type="dxa"/>
              <w:right w:w="20" w:type="dxa"/>
            </w:tcMar>
            <w:vAlign w:val="bottom"/>
          </w:tcPr>
          <w:p w14:paraId="67534D9B" w14:textId="77777777" w:rsidR="001B77DD" w:rsidRDefault="00BF0A2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67534D9C" w14:textId="77777777" w:rsidR="001B77DD" w:rsidRDefault="00BF0A28">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67534D9D" w14:textId="77777777" w:rsidR="001B77DD" w:rsidRDefault="001B77DD">
            <w:pPr>
              <w:rPr>
                <w:rFonts w:ascii="宋体"/>
                <w:vanish/>
              </w:rPr>
            </w:pPr>
          </w:p>
        </w:tc>
        <w:tc>
          <w:tcPr>
            <w:tcW w:w="0" w:type="auto"/>
            <w:shd w:val="clear" w:color="auto" w:fill="auto"/>
            <w:vAlign w:val="bottom"/>
          </w:tcPr>
          <w:p w14:paraId="67534D9E" w14:textId="77777777" w:rsidR="001B77DD" w:rsidRDefault="001B77DD">
            <w:pPr>
              <w:rPr>
                <w:rFonts w:ascii="宋体"/>
                <w:vanish/>
              </w:rPr>
            </w:pPr>
          </w:p>
        </w:tc>
      </w:tr>
      <w:tr w:rsidR="001B77DD" w14:paraId="67534DA4" w14:textId="77777777">
        <w:tc>
          <w:tcPr>
            <w:tcW w:w="0" w:type="auto"/>
            <w:gridSpan w:val="3"/>
            <w:shd w:val="clear" w:color="auto" w:fill="auto"/>
            <w:tcMar>
              <w:top w:w="40" w:type="dxa"/>
              <w:left w:w="20" w:type="dxa"/>
              <w:bottom w:w="40" w:type="dxa"/>
              <w:right w:w="20" w:type="dxa"/>
            </w:tcMar>
            <w:vAlign w:val="bottom"/>
          </w:tcPr>
          <w:p w14:paraId="67534DA0" w14:textId="77777777" w:rsidR="001B77DD" w:rsidRDefault="00BF0A28">
            <w:pPr>
              <w:jc w:val="center"/>
              <w:textAlignment w:val="bottom"/>
            </w:pPr>
            <w:r>
              <w:rPr>
                <w:rFonts w:ascii="Arial" w:eastAsia="宋体" w:hAnsi="Arial" w:cs="Arial"/>
                <w:b/>
                <w:bCs/>
                <w:color w:val="00A3F6"/>
                <w:sz w:val="18"/>
                <w:szCs w:val="18"/>
              </w:rPr>
              <w:t>+</w:t>
            </w:r>
          </w:p>
        </w:tc>
        <w:tc>
          <w:tcPr>
            <w:tcW w:w="0" w:type="auto"/>
            <w:gridSpan w:val="3"/>
            <w:shd w:val="clear" w:color="auto" w:fill="auto"/>
            <w:tcMar>
              <w:top w:w="40" w:type="dxa"/>
              <w:left w:w="20" w:type="dxa"/>
              <w:bottom w:w="40" w:type="dxa"/>
              <w:right w:w="20" w:type="dxa"/>
            </w:tcMar>
            <w:vAlign w:val="bottom"/>
          </w:tcPr>
          <w:p w14:paraId="67534DA1" w14:textId="77777777" w:rsidR="001B77DD" w:rsidRDefault="00BF0A28">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67534DA2" w14:textId="77777777" w:rsidR="001B77DD" w:rsidRDefault="001B77DD">
            <w:pPr>
              <w:rPr>
                <w:rFonts w:ascii="宋体"/>
                <w:vanish/>
              </w:rPr>
            </w:pPr>
          </w:p>
        </w:tc>
        <w:tc>
          <w:tcPr>
            <w:tcW w:w="0" w:type="auto"/>
            <w:shd w:val="clear" w:color="auto" w:fill="auto"/>
            <w:vAlign w:val="bottom"/>
          </w:tcPr>
          <w:p w14:paraId="67534DA3" w14:textId="77777777" w:rsidR="001B77DD" w:rsidRDefault="001B77DD">
            <w:pPr>
              <w:rPr>
                <w:rFonts w:ascii="宋体"/>
                <w:vanish/>
              </w:rPr>
            </w:pPr>
          </w:p>
        </w:tc>
      </w:tr>
      <w:tr w:rsidR="001B77DD" w14:paraId="67534DA9" w14:textId="77777777">
        <w:trPr>
          <w:hidden/>
        </w:trPr>
        <w:tc>
          <w:tcPr>
            <w:tcW w:w="0" w:type="auto"/>
            <w:gridSpan w:val="3"/>
            <w:shd w:val="clear" w:color="auto" w:fill="auto"/>
            <w:vAlign w:val="bottom"/>
          </w:tcPr>
          <w:p w14:paraId="67534DA5" w14:textId="77777777" w:rsidR="001B77DD" w:rsidRDefault="001B77DD">
            <w:pPr>
              <w:rPr>
                <w:rFonts w:ascii="宋体"/>
                <w:vanish/>
              </w:rPr>
            </w:pPr>
          </w:p>
        </w:tc>
        <w:tc>
          <w:tcPr>
            <w:tcW w:w="0" w:type="auto"/>
            <w:gridSpan w:val="3"/>
            <w:shd w:val="clear" w:color="auto" w:fill="auto"/>
            <w:vAlign w:val="bottom"/>
          </w:tcPr>
          <w:p w14:paraId="67534DA6" w14:textId="77777777" w:rsidR="001B77DD" w:rsidRDefault="001B77DD">
            <w:pPr>
              <w:rPr>
                <w:rFonts w:ascii="宋体"/>
                <w:vanish/>
              </w:rPr>
            </w:pPr>
          </w:p>
        </w:tc>
        <w:tc>
          <w:tcPr>
            <w:tcW w:w="0" w:type="auto"/>
            <w:shd w:val="clear" w:color="auto" w:fill="auto"/>
            <w:vAlign w:val="bottom"/>
          </w:tcPr>
          <w:p w14:paraId="67534DA7" w14:textId="77777777" w:rsidR="001B77DD" w:rsidRDefault="001B77DD">
            <w:pPr>
              <w:rPr>
                <w:rFonts w:ascii="宋体"/>
                <w:vanish/>
              </w:rPr>
            </w:pPr>
          </w:p>
        </w:tc>
        <w:tc>
          <w:tcPr>
            <w:tcW w:w="0" w:type="auto"/>
            <w:shd w:val="clear" w:color="auto" w:fill="auto"/>
            <w:vAlign w:val="bottom"/>
          </w:tcPr>
          <w:p w14:paraId="67534DA8" w14:textId="77777777" w:rsidR="001B77DD" w:rsidRDefault="001B77DD">
            <w:pPr>
              <w:rPr>
                <w:rFonts w:ascii="宋体"/>
                <w:vanish/>
              </w:rPr>
            </w:pPr>
          </w:p>
        </w:tc>
      </w:tr>
      <w:tr w:rsidR="001B77DD" w14:paraId="67534DAE" w14:textId="77777777">
        <w:trPr>
          <w:hidden/>
        </w:trPr>
        <w:tc>
          <w:tcPr>
            <w:tcW w:w="0" w:type="auto"/>
            <w:gridSpan w:val="3"/>
            <w:shd w:val="clear" w:color="auto" w:fill="auto"/>
            <w:vAlign w:val="bottom"/>
          </w:tcPr>
          <w:p w14:paraId="67534DAA" w14:textId="77777777" w:rsidR="001B77DD" w:rsidRDefault="001B77DD">
            <w:pPr>
              <w:rPr>
                <w:rFonts w:ascii="宋体"/>
                <w:vanish/>
              </w:rPr>
            </w:pPr>
          </w:p>
        </w:tc>
        <w:tc>
          <w:tcPr>
            <w:tcW w:w="0" w:type="auto"/>
            <w:gridSpan w:val="3"/>
            <w:shd w:val="clear" w:color="auto" w:fill="auto"/>
            <w:vAlign w:val="bottom"/>
          </w:tcPr>
          <w:p w14:paraId="67534DAB" w14:textId="77777777" w:rsidR="001B77DD" w:rsidRDefault="001B77DD">
            <w:pPr>
              <w:rPr>
                <w:rFonts w:ascii="宋体"/>
                <w:vanish/>
              </w:rPr>
            </w:pPr>
          </w:p>
        </w:tc>
        <w:tc>
          <w:tcPr>
            <w:tcW w:w="0" w:type="auto"/>
            <w:shd w:val="clear" w:color="auto" w:fill="auto"/>
            <w:vAlign w:val="bottom"/>
          </w:tcPr>
          <w:p w14:paraId="67534DAC" w14:textId="77777777" w:rsidR="001B77DD" w:rsidRDefault="001B77DD">
            <w:pPr>
              <w:rPr>
                <w:rFonts w:ascii="宋体"/>
                <w:vanish/>
              </w:rPr>
            </w:pPr>
          </w:p>
        </w:tc>
        <w:tc>
          <w:tcPr>
            <w:tcW w:w="0" w:type="auto"/>
            <w:shd w:val="clear" w:color="auto" w:fill="auto"/>
            <w:vAlign w:val="bottom"/>
          </w:tcPr>
          <w:p w14:paraId="67534DAD" w14:textId="77777777" w:rsidR="001B77DD" w:rsidRDefault="001B77DD">
            <w:pPr>
              <w:rPr>
                <w:rFonts w:ascii="宋体"/>
                <w:vanish/>
              </w:rPr>
            </w:pPr>
          </w:p>
        </w:tc>
      </w:tr>
      <w:tr w:rsidR="001B77DD" w14:paraId="67534DB3" w14:textId="77777777">
        <w:trPr>
          <w:trHeight w:val="60"/>
        </w:trPr>
        <w:tc>
          <w:tcPr>
            <w:tcW w:w="0" w:type="auto"/>
            <w:gridSpan w:val="3"/>
            <w:shd w:val="clear" w:color="auto" w:fill="auto"/>
            <w:tcMar>
              <w:top w:w="0" w:type="dxa"/>
              <w:left w:w="20" w:type="dxa"/>
              <w:bottom w:w="0" w:type="dxa"/>
              <w:right w:w="20" w:type="dxa"/>
            </w:tcMar>
            <w:vAlign w:val="bottom"/>
          </w:tcPr>
          <w:p w14:paraId="67534DA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4DB0" w14:textId="77777777" w:rsidR="001B77DD" w:rsidRDefault="001B77DD">
            <w:pPr>
              <w:rPr>
                <w:rFonts w:ascii="宋体"/>
              </w:rPr>
            </w:pPr>
          </w:p>
        </w:tc>
        <w:tc>
          <w:tcPr>
            <w:tcW w:w="0" w:type="auto"/>
            <w:shd w:val="clear" w:color="auto" w:fill="auto"/>
            <w:vAlign w:val="bottom"/>
          </w:tcPr>
          <w:p w14:paraId="67534DB1" w14:textId="77777777" w:rsidR="001B77DD" w:rsidRDefault="001B77DD">
            <w:pPr>
              <w:rPr>
                <w:rFonts w:ascii="宋体"/>
                <w:vanish/>
              </w:rPr>
            </w:pPr>
          </w:p>
        </w:tc>
        <w:tc>
          <w:tcPr>
            <w:tcW w:w="0" w:type="auto"/>
            <w:shd w:val="clear" w:color="auto" w:fill="auto"/>
            <w:vAlign w:val="bottom"/>
          </w:tcPr>
          <w:p w14:paraId="67534DB2" w14:textId="77777777" w:rsidR="001B77DD" w:rsidRDefault="001B77DD">
            <w:pPr>
              <w:rPr>
                <w:rFonts w:ascii="宋体"/>
                <w:vanish/>
              </w:rPr>
            </w:pPr>
          </w:p>
        </w:tc>
      </w:tr>
      <w:tr w:rsidR="001B77DD" w14:paraId="67534DB7" w14:textId="77777777">
        <w:tc>
          <w:tcPr>
            <w:tcW w:w="0" w:type="auto"/>
            <w:gridSpan w:val="6"/>
            <w:shd w:val="clear" w:color="auto" w:fill="auto"/>
            <w:tcMar>
              <w:top w:w="40" w:type="dxa"/>
              <w:left w:w="20" w:type="dxa"/>
              <w:bottom w:w="40" w:type="dxa"/>
              <w:right w:w="20" w:type="dxa"/>
            </w:tcMar>
            <w:vAlign w:val="bottom"/>
          </w:tcPr>
          <w:p w14:paraId="67534DB4" w14:textId="77777777" w:rsidR="001B77DD" w:rsidRDefault="00BF0A28">
            <w:pPr>
              <w:textAlignment w:val="bottom"/>
            </w:pPr>
            <w:r>
              <w:rPr>
                <w:rFonts w:ascii="Arial" w:eastAsia="宋体" w:hAnsi="Arial" w:cs="Arial"/>
                <w:color w:val="0068B5"/>
                <w:sz w:val="20"/>
                <w:szCs w:val="20"/>
              </w:rPr>
              <w:t>2020 vs. 2019</w:t>
            </w:r>
          </w:p>
        </w:tc>
        <w:tc>
          <w:tcPr>
            <w:tcW w:w="0" w:type="auto"/>
            <w:shd w:val="clear" w:color="auto" w:fill="auto"/>
            <w:vAlign w:val="bottom"/>
          </w:tcPr>
          <w:p w14:paraId="67534DB5" w14:textId="77777777" w:rsidR="001B77DD" w:rsidRDefault="001B77DD">
            <w:pPr>
              <w:rPr>
                <w:rFonts w:ascii="宋体"/>
                <w:vanish/>
              </w:rPr>
            </w:pPr>
          </w:p>
        </w:tc>
        <w:tc>
          <w:tcPr>
            <w:tcW w:w="0" w:type="auto"/>
            <w:shd w:val="clear" w:color="auto" w:fill="auto"/>
            <w:vAlign w:val="bottom"/>
          </w:tcPr>
          <w:p w14:paraId="67534DB6" w14:textId="77777777" w:rsidR="001B77DD" w:rsidRDefault="001B77DD">
            <w:pPr>
              <w:rPr>
                <w:rFonts w:ascii="宋体"/>
                <w:vanish/>
              </w:rPr>
            </w:pPr>
          </w:p>
        </w:tc>
      </w:tr>
      <w:tr w:rsidR="001B77DD" w14:paraId="67534DBC" w14:textId="77777777">
        <w:trPr>
          <w:hidden/>
        </w:trPr>
        <w:tc>
          <w:tcPr>
            <w:tcW w:w="0" w:type="auto"/>
            <w:gridSpan w:val="3"/>
            <w:shd w:val="clear" w:color="auto" w:fill="auto"/>
            <w:vAlign w:val="bottom"/>
          </w:tcPr>
          <w:p w14:paraId="67534DB8" w14:textId="77777777" w:rsidR="001B77DD" w:rsidRDefault="001B77DD">
            <w:pPr>
              <w:rPr>
                <w:rFonts w:ascii="宋体"/>
                <w:vanish/>
              </w:rPr>
            </w:pPr>
          </w:p>
        </w:tc>
        <w:tc>
          <w:tcPr>
            <w:tcW w:w="0" w:type="auto"/>
            <w:gridSpan w:val="3"/>
            <w:shd w:val="clear" w:color="auto" w:fill="auto"/>
            <w:vAlign w:val="bottom"/>
          </w:tcPr>
          <w:p w14:paraId="67534DB9" w14:textId="77777777" w:rsidR="001B77DD" w:rsidRDefault="001B77DD">
            <w:pPr>
              <w:rPr>
                <w:rFonts w:ascii="宋体"/>
                <w:vanish/>
              </w:rPr>
            </w:pPr>
          </w:p>
        </w:tc>
        <w:tc>
          <w:tcPr>
            <w:tcW w:w="0" w:type="auto"/>
            <w:shd w:val="clear" w:color="auto" w:fill="auto"/>
            <w:vAlign w:val="bottom"/>
          </w:tcPr>
          <w:p w14:paraId="67534DBA" w14:textId="77777777" w:rsidR="001B77DD" w:rsidRDefault="001B77DD">
            <w:pPr>
              <w:rPr>
                <w:rFonts w:ascii="宋体"/>
                <w:vanish/>
              </w:rPr>
            </w:pPr>
          </w:p>
        </w:tc>
        <w:tc>
          <w:tcPr>
            <w:tcW w:w="0" w:type="auto"/>
            <w:shd w:val="clear" w:color="auto" w:fill="auto"/>
            <w:vAlign w:val="bottom"/>
          </w:tcPr>
          <w:p w14:paraId="67534DBB" w14:textId="77777777" w:rsidR="001B77DD" w:rsidRDefault="001B77DD">
            <w:pPr>
              <w:rPr>
                <w:rFonts w:ascii="宋体"/>
                <w:vanish/>
              </w:rPr>
            </w:pPr>
          </w:p>
        </w:tc>
      </w:tr>
      <w:tr w:rsidR="001B77DD" w14:paraId="67534DC0" w14:textId="77777777">
        <w:tc>
          <w:tcPr>
            <w:tcW w:w="0" w:type="auto"/>
            <w:gridSpan w:val="6"/>
            <w:shd w:val="clear" w:color="auto" w:fill="auto"/>
            <w:tcMar>
              <w:top w:w="40" w:type="dxa"/>
              <w:left w:w="20" w:type="dxa"/>
              <w:bottom w:w="40" w:type="dxa"/>
              <w:right w:w="20" w:type="dxa"/>
            </w:tcMar>
            <w:vAlign w:val="bottom"/>
          </w:tcPr>
          <w:p w14:paraId="67534DBD" w14:textId="77777777" w:rsidR="001B77DD" w:rsidRDefault="00BF0A28">
            <w:pPr>
              <w:textAlignment w:val="bottom"/>
            </w:pPr>
            <w:r>
              <w:rPr>
                <w:rFonts w:ascii="Arial" w:eastAsia="宋体" w:hAnsi="Arial" w:cs="Arial"/>
                <w:color w:val="262626"/>
                <w:sz w:val="18"/>
                <w:szCs w:val="18"/>
              </w:rPr>
              <w:t xml:space="preserve">MG&amp;A spending decreased by $170 million, or 3%, driven by the </w:t>
            </w:r>
            <w:r>
              <w:rPr>
                <w:rFonts w:ascii="Arial" w:eastAsia="宋体" w:hAnsi="Arial" w:cs="Arial"/>
                <w:color w:val="262626"/>
                <w:sz w:val="18"/>
                <w:szCs w:val="18"/>
              </w:rPr>
              <w:t>following:</w:t>
            </w:r>
          </w:p>
        </w:tc>
        <w:tc>
          <w:tcPr>
            <w:tcW w:w="0" w:type="auto"/>
            <w:shd w:val="clear" w:color="auto" w:fill="auto"/>
            <w:vAlign w:val="bottom"/>
          </w:tcPr>
          <w:p w14:paraId="67534DBE" w14:textId="77777777" w:rsidR="001B77DD" w:rsidRDefault="001B77DD">
            <w:pPr>
              <w:rPr>
                <w:rFonts w:ascii="宋体"/>
                <w:vanish/>
              </w:rPr>
            </w:pPr>
          </w:p>
        </w:tc>
        <w:tc>
          <w:tcPr>
            <w:tcW w:w="0" w:type="auto"/>
            <w:shd w:val="clear" w:color="auto" w:fill="auto"/>
            <w:vAlign w:val="bottom"/>
          </w:tcPr>
          <w:p w14:paraId="67534DBF" w14:textId="77777777" w:rsidR="001B77DD" w:rsidRDefault="001B77DD">
            <w:pPr>
              <w:rPr>
                <w:rFonts w:ascii="宋体"/>
                <w:vanish/>
              </w:rPr>
            </w:pPr>
          </w:p>
        </w:tc>
      </w:tr>
      <w:tr w:rsidR="001B77DD" w14:paraId="67534DC5" w14:textId="77777777">
        <w:trPr>
          <w:hidden/>
        </w:trPr>
        <w:tc>
          <w:tcPr>
            <w:tcW w:w="0" w:type="auto"/>
            <w:gridSpan w:val="3"/>
            <w:shd w:val="clear" w:color="auto" w:fill="auto"/>
            <w:vAlign w:val="bottom"/>
          </w:tcPr>
          <w:p w14:paraId="67534DC1" w14:textId="77777777" w:rsidR="001B77DD" w:rsidRDefault="001B77DD">
            <w:pPr>
              <w:rPr>
                <w:rFonts w:ascii="宋体"/>
                <w:vanish/>
              </w:rPr>
            </w:pPr>
          </w:p>
        </w:tc>
        <w:tc>
          <w:tcPr>
            <w:tcW w:w="0" w:type="auto"/>
            <w:gridSpan w:val="3"/>
            <w:shd w:val="clear" w:color="auto" w:fill="auto"/>
            <w:vAlign w:val="bottom"/>
          </w:tcPr>
          <w:p w14:paraId="67534DC2" w14:textId="77777777" w:rsidR="001B77DD" w:rsidRDefault="001B77DD">
            <w:pPr>
              <w:rPr>
                <w:rFonts w:ascii="宋体"/>
                <w:vanish/>
              </w:rPr>
            </w:pPr>
          </w:p>
        </w:tc>
        <w:tc>
          <w:tcPr>
            <w:tcW w:w="0" w:type="auto"/>
            <w:shd w:val="clear" w:color="auto" w:fill="auto"/>
            <w:vAlign w:val="bottom"/>
          </w:tcPr>
          <w:p w14:paraId="67534DC3" w14:textId="77777777" w:rsidR="001B77DD" w:rsidRDefault="001B77DD">
            <w:pPr>
              <w:rPr>
                <w:rFonts w:ascii="宋体"/>
                <w:vanish/>
              </w:rPr>
            </w:pPr>
          </w:p>
        </w:tc>
        <w:tc>
          <w:tcPr>
            <w:tcW w:w="0" w:type="auto"/>
            <w:shd w:val="clear" w:color="auto" w:fill="auto"/>
            <w:vAlign w:val="bottom"/>
          </w:tcPr>
          <w:p w14:paraId="67534DC4" w14:textId="77777777" w:rsidR="001B77DD" w:rsidRDefault="001B77DD">
            <w:pPr>
              <w:rPr>
                <w:rFonts w:ascii="宋体"/>
                <w:vanish/>
              </w:rPr>
            </w:pPr>
          </w:p>
        </w:tc>
      </w:tr>
      <w:tr w:rsidR="001B77DD" w14:paraId="67534DCA" w14:textId="77777777">
        <w:tc>
          <w:tcPr>
            <w:tcW w:w="0" w:type="auto"/>
            <w:gridSpan w:val="3"/>
            <w:shd w:val="clear" w:color="auto" w:fill="auto"/>
            <w:tcMar>
              <w:top w:w="40" w:type="dxa"/>
              <w:left w:w="20" w:type="dxa"/>
              <w:bottom w:w="40" w:type="dxa"/>
              <w:right w:w="20" w:type="dxa"/>
            </w:tcMar>
            <w:vAlign w:val="bottom"/>
          </w:tcPr>
          <w:p w14:paraId="67534DC6" w14:textId="77777777" w:rsidR="001B77DD" w:rsidRDefault="00BF0A28">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67534DC7" w14:textId="77777777" w:rsidR="001B77DD" w:rsidRDefault="00BF0A28">
            <w:pPr>
              <w:textAlignment w:val="bottom"/>
            </w:pPr>
            <w:r>
              <w:rPr>
                <w:rFonts w:ascii="Arial" w:eastAsia="宋体" w:hAnsi="Arial" w:cs="Arial"/>
                <w:color w:val="262626"/>
                <w:sz w:val="18"/>
                <w:szCs w:val="18"/>
              </w:rPr>
              <w:t>Corporate spending efficiencies</w:t>
            </w:r>
          </w:p>
        </w:tc>
        <w:tc>
          <w:tcPr>
            <w:tcW w:w="0" w:type="auto"/>
            <w:shd w:val="clear" w:color="auto" w:fill="auto"/>
            <w:vAlign w:val="bottom"/>
          </w:tcPr>
          <w:p w14:paraId="67534DC8" w14:textId="77777777" w:rsidR="001B77DD" w:rsidRDefault="001B77DD">
            <w:pPr>
              <w:rPr>
                <w:rFonts w:ascii="宋体"/>
                <w:vanish/>
              </w:rPr>
            </w:pPr>
          </w:p>
        </w:tc>
        <w:tc>
          <w:tcPr>
            <w:tcW w:w="0" w:type="auto"/>
            <w:shd w:val="clear" w:color="auto" w:fill="auto"/>
            <w:vAlign w:val="bottom"/>
          </w:tcPr>
          <w:p w14:paraId="67534DC9" w14:textId="77777777" w:rsidR="001B77DD" w:rsidRDefault="001B77DD">
            <w:pPr>
              <w:rPr>
                <w:rFonts w:ascii="宋体"/>
                <w:vanish/>
              </w:rPr>
            </w:pPr>
          </w:p>
        </w:tc>
      </w:tr>
      <w:tr w:rsidR="001B77DD" w14:paraId="67534DCF" w14:textId="77777777">
        <w:trPr>
          <w:hidden/>
        </w:trPr>
        <w:tc>
          <w:tcPr>
            <w:tcW w:w="0" w:type="auto"/>
            <w:gridSpan w:val="3"/>
            <w:shd w:val="clear" w:color="auto" w:fill="auto"/>
            <w:vAlign w:val="bottom"/>
          </w:tcPr>
          <w:p w14:paraId="67534DCB" w14:textId="77777777" w:rsidR="001B77DD" w:rsidRDefault="001B77DD">
            <w:pPr>
              <w:rPr>
                <w:rFonts w:ascii="宋体"/>
                <w:vanish/>
              </w:rPr>
            </w:pPr>
          </w:p>
        </w:tc>
        <w:tc>
          <w:tcPr>
            <w:tcW w:w="0" w:type="auto"/>
            <w:gridSpan w:val="3"/>
            <w:shd w:val="clear" w:color="auto" w:fill="auto"/>
            <w:vAlign w:val="bottom"/>
          </w:tcPr>
          <w:p w14:paraId="67534DCC" w14:textId="77777777" w:rsidR="001B77DD" w:rsidRDefault="001B77DD">
            <w:pPr>
              <w:rPr>
                <w:rFonts w:ascii="宋体"/>
                <w:vanish/>
              </w:rPr>
            </w:pPr>
          </w:p>
        </w:tc>
        <w:tc>
          <w:tcPr>
            <w:tcW w:w="0" w:type="auto"/>
            <w:shd w:val="clear" w:color="auto" w:fill="auto"/>
            <w:vAlign w:val="bottom"/>
          </w:tcPr>
          <w:p w14:paraId="67534DCD" w14:textId="77777777" w:rsidR="001B77DD" w:rsidRDefault="001B77DD">
            <w:pPr>
              <w:rPr>
                <w:rFonts w:ascii="宋体"/>
                <w:vanish/>
              </w:rPr>
            </w:pPr>
          </w:p>
        </w:tc>
        <w:tc>
          <w:tcPr>
            <w:tcW w:w="0" w:type="auto"/>
            <w:shd w:val="clear" w:color="auto" w:fill="auto"/>
            <w:vAlign w:val="bottom"/>
          </w:tcPr>
          <w:p w14:paraId="67534DCE" w14:textId="77777777" w:rsidR="001B77DD" w:rsidRDefault="001B77DD">
            <w:pPr>
              <w:rPr>
                <w:rFonts w:ascii="宋体"/>
                <w:vanish/>
              </w:rPr>
            </w:pPr>
          </w:p>
        </w:tc>
      </w:tr>
      <w:tr w:rsidR="001B77DD" w14:paraId="67534DD4" w14:textId="77777777">
        <w:tc>
          <w:tcPr>
            <w:tcW w:w="0" w:type="auto"/>
            <w:gridSpan w:val="3"/>
            <w:shd w:val="clear" w:color="auto" w:fill="auto"/>
            <w:tcMar>
              <w:top w:w="40" w:type="dxa"/>
              <w:left w:w="20" w:type="dxa"/>
              <w:bottom w:w="40" w:type="dxa"/>
              <w:right w:w="20" w:type="dxa"/>
            </w:tcMar>
            <w:vAlign w:val="bottom"/>
          </w:tcPr>
          <w:p w14:paraId="67534DD0" w14:textId="77777777" w:rsidR="001B77DD" w:rsidRDefault="00BF0A28">
            <w:pPr>
              <w:jc w:val="center"/>
              <w:textAlignment w:val="bottom"/>
            </w:pPr>
            <w:r>
              <w:rPr>
                <w:rFonts w:ascii="Arial" w:eastAsia="宋体" w:hAnsi="Arial" w:cs="Arial"/>
                <w:b/>
                <w:bCs/>
                <w:color w:val="FF8F51"/>
                <w:sz w:val="18"/>
                <w:szCs w:val="18"/>
              </w:rPr>
              <w:t>-</w:t>
            </w:r>
          </w:p>
        </w:tc>
        <w:tc>
          <w:tcPr>
            <w:tcW w:w="0" w:type="auto"/>
            <w:gridSpan w:val="3"/>
            <w:shd w:val="clear" w:color="auto" w:fill="auto"/>
            <w:tcMar>
              <w:top w:w="40" w:type="dxa"/>
              <w:left w:w="20" w:type="dxa"/>
              <w:bottom w:w="40" w:type="dxa"/>
              <w:right w:w="20" w:type="dxa"/>
            </w:tcMar>
            <w:vAlign w:val="bottom"/>
          </w:tcPr>
          <w:p w14:paraId="67534DD1" w14:textId="77777777" w:rsidR="001B77DD" w:rsidRDefault="00BF0A28">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67534DD2" w14:textId="77777777" w:rsidR="001B77DD" w:rsidRDefault="001B77DD">
            <w:pPr>
              <w:rPr>
                <w:rFonts w:ascii="宋体"/>
                <w:vanish/>
              </w:rPr>
            </w:pPr>
          </w:p>
        </w:tc>
        <w:tc>
          <w:tcPr>
            <w:tcW w:w="0" w:type="auto"/>
            <w:shd w:val="clear" w:color="auto" w:fill="auto"/>
            <w:vAlign w:val="bottom"/>
          </w:tcPr>
          <w:p w14:paraId="67534DD3" w14:textId="77777777" w:rsidR="001B77DD" w:rsidRDefault="001B77DD">
            <w:pPr>
              <w:rPr>
                <w:rFonts w:ascii="宋体"/>
                <w:vanish/>
              </w:rPr>
            </w:pPr>
          </w:p>
        </w:tc>
      </w:tr>
      <w:tr w:rsidR="001B77DD" w14:paraId="67534DD9" w14:textId="77777777">
        <w:trPr>
          <w:hidden/>
        </w:trPr>
        <w:tc>
          <w:tcPr>
            <w:tcW w:w="0" w:type="auto"/>
            <w:gridSpan w:val="3"/>
            <w:shd w:val="clear" w:color="auto" w:fill="auto"/>
            <w:vAlign w:val="bottom"/>
          </w:tcPr>
          <w:p w14:paraId="67534DD5" w14:textId="77777777" w:rsidR="001B77DD" w:rsidRDefault="001B77DD">
            <w:pPr>
              <w:rPr>
                <w:rFonts w:ascii="宋体"/>
                <w:vanish/>
              </w:rPr>
            </w:pPr>
          </w:p>
        </w:tc>
        <w:tc>
          <w:tcPr>
            <w:tcW w:w="0" w:type="auto"/>
            <w:gridSpan w:val="3"/>
            <w:shd w:val="clear" w:color="auto" w:fill="auto"/>
            <w:vAlign w:val="bottom"/>
          </w:tcPr>
          <w:p w14:paraId="67534DD6" w14:textId="77777777" w:rsidR="001B77DD" w:rsidRDefault="001B77DD">
            <w:pPr>
              <w:rPr>
                <w:rFonts w:ascii="宋体"/>
                <w:vanish/>
              </w:rPr>
            </w:pPr>
          </w:p>
        </w:tc>
        <w:tc>
          <w:tcPr>
            <w:tcW w:w="0" w:type="auto"/>
            <w:shd w:val="clear" w:color="auto" w:fill="auto"/>
            <w:vAlign w:val="bottom"/>
          </w:tcPr>
          <w:p w14:paraId="67534DD7" w14:textId="77777777" w:rsidR="001B77DD" w:rsidRDefault="001B77DD">
            <w:pPr>
              <w:rPr>
                <w:rFonts w:ascii="宋体"/>
                <w:vanish/>
              </w:rPr>
            </w:pPr>
          </w:p>
        </w:tc>
        <w:tc>
          <w:tcPr>
            <w:tcW w:w="0" w:type="auto"/>
            <w:shd w:val="clear" w:color="auto" w:fill="auto"/>
            <w:vAlign w:val="bottom"/>
          </w:tcPr>
          <w:p w14:paraId="67534DD8" w14:textId="77777777" w:rsidR="001B77DD" w:rsidRDefault="001B77DD">
            <w:pPr>
              <w:rPr>
                <w:rFonts w:ascii="宋体"/>
                <w:vanish/>
              </w:rPr>
            </w:pPr>
          </w:p>
        </w:tc>
      </w:tr>
      <w:tr w:rsidR="001B77DD" w14:paraId="67534DDE" w14:textId="77777777">
        <w:trPr>
          <w:hidden/>
        </w:trPr>
        <w:tc>
          <w:tcPr>
            <w:tcW w:w="0" w:type="auto"/>
            <w:gridSpan w:val="3"/>
            <w:shd w:val="clear" w:color="auto" w:fill="auto"/>
            <w:vAlign w:val="bottom"/>
          </w:tcPr>
          <w:p w14:paraId="67534DDA" w14:textId="77777777" w:rsidR="001B77DD" w:rsidRDefault="001B77DD">
            <w:pPr>
              <w:rPr>
                <w:rFonts w:ascii="宋体"/>
                <w:vanish/>
              </w:rPr>
            </w:pPr>
          </w:p>
        </w:tc>
        <w:tc>
          <w:tcPr>
            <w:tcW w:w="0" w:type="auto"/>
            <w:gridSpan w:val="3"/>
            <w:shd w:val="clear" w:color="auto" w:fill="auto"/>
            <w:vAlign w:val="bottom"/>
          </w:tcPr>
          <w:p w14:paraId="67534DDB" w14:textId="77777777" w:rsidR="001B77DD" w:rsidRDefault="001B77DD">
            <w:pPr>
              <w:rPr>
                <w:rFonts w:ascii="宋体"/>
                <w:vanish/>
              </w:rPr>
            </w:pPr>
          </w:p>
        </w:tc>
        <w:tc>
          <w:tcPr>
            <w:tcW w:w="0" w:type="auto"/>
            <w:shd w:val="clear" w:color="auto" w:fill="auto"/>
            <w:vAlign w:val="bottom"/>
          </w:tcPr>
          <w:p w14:paraId="67534DDC" w14:textId="77777777" w:rsidR="001B77DD" w:rsidRDefault="001B77DD">
            <w:pPr>
              <w:rPr>
                <w:rFonts w:ascii="宋体"/>
                <w:vanish/>
              </w:rPr>
            </w:pPr>
          </w:p>
        </w:tc>
        <w:tc>
          <w:tcPr>
            <w:tcW w:w="0" w:type="auto"/>
            <w:shd w:val="clear" w:color="auto" w:fill="auto"/>
            <w:vAlign w:val="bottom"/>
          </w:tcPr>
          <w:p w14:paraId="67534DDD" w14:textId="77777777" w:rsidR="001B77DD" w:rsidRDefault="001B77DD">
            <w:pPr>
              <w:rPr>
                <w:rFonts w:ascii="宋体"/>
                <w:vanish/>
              </w:rPr>
            </w:pPr>
          </w:p>
        </w:tc>
      </w:tr>
      <w:tr w:rsidR="001B77DD" w14:paraId="67534DE3" w14:textId="77777777">
        <w:trPr>
          <w:hidden/>
        </w:trPr>
        <w:tc>
          <w:tcPr>
            <w:tcW w:w="0" w:type="auto"/>
            <w:gridSpan w:val="3"/>
            <w:shd w:val="clear" w:color="auto" w:fill="auto"/>
            <w:vAlign w:val="bottom"/>
          </w:tcPr>
          <w:p w14:paraId="67534DDF" w14:textId="77777777" w:rsidR="001B77DD" w:rsidRDefault="001B77DD">
            <w:pPr>
              <w:rPr>
                <w:rFonts w:ascii="宋体"/>
                <w:vanish/>
              </w:rPr>
            </w:pPr>
          </w:p>
        </w:tc>
        <w:tc>
          <w:tcPr>
            <w:tcW w:w="0" w:type="auto"/>
            <w:gridSpan w:val="3"/>
            <w:shd w:val="clear" w:color="auto" w:fill="auto"/>
            <w:vAlign w:val="bottom"/>
          </w:tcPr>
          <w:p w14:paraId="67534DE0" w14:textId="77777777" w:rsidR="001B77DD" w:rsidRDefault="001B77DD">
            <w:pPr>
              <w:rPr>
                <w:rFonts w:ascii="宋体"/>
                <w:vanish/>
              </w:rPr>
            </w:pPr>
          </w:p>
        </w:tc>
        <w:tc>
          <w:tcPr>
            <w:tcW w:w="0" w:type="auto"/>
            <w:shd w:val="clear" w:color="auto" w:fill="auto"/>
            <w:vAlign w:val="bottom"/>
          </w:tcPr>
          <w:p w14:paraId="67534DE1" w14:textId="77777777" w:rsidR="001B77DD" w:rsidRDefault="001B77DD">
            <w:pPr>
              <w:rPr>
                <w:rFonts w:ascii="宋体"/>
                <w:vanish/>
              </w:rPr>
            </w:pPr>
          </w:p>
        </w:tc>
        <w:tc>
          <w:tcPr>
            <w:tcW w:w="0" w:type="auto"/>
            <w:shd w:val="clear" w:color="auto" w:fill="auto"/>
            <w:vAlign w:val="bottom"/>
          </w:tcPr>
          <w:p w14:paraId="67534DE2" w14:textId="77777777" w:rsidR="001B77DD" w:rsidRDefault="001B77DD">
            <w:pPr>
              <w:rPr>
                <w:rFonts w:ascii="宋体"/>
                <w:vanish/>
              </w:rPr>
            </w:pPr>
          </w:p>
        </w:tc>
      </w:tr>
    </w:tbl>
    <w:p w14:paraId="67534DE4" w14:textId="77777777" w:rsidR="001B77DD" w:rsidRDefault="001B77DD">
      <w:pPr>
        <w:ind w:hanging="180"/>
      </w:pPr>
    </w:p>
    <w:p w14:paraId="67534DE5"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DEF" w14:textId="77777777">
        <w:tc>
          <w:tcPr>
            <w:tcW w:w="50" w:type="pct"/>
            <w:shd w:val="clear" w:color="auto" w:fill="auto"/>
            <w:vAlign w:val="bottom"/>
          </w:tcPr>
          <w:p w14:paraId="67534DE6" w14:textId="77777777" w:rsidR="001B77DD" w:rsidRDefault="001B77DD">
            <w:pPr>
              <w:rPr>
                <w:rFonts w:ascii="宋体"/>
              </w:rPr>
            </w:pPr>
          </w:p>
        </w:tc>
        <w:tc>
          <w:tcPr>
            <w:tcW w:w="283" w:type="pct"/>
            <w:shd w:val="clear" w:color="auto" w:fill="auto"/>
            <w:vAlign w:val="bottom"/>
          </w:tcPr>
          <w:p w14:paraId="67534DE7" w14:textId="77777777" w:rsidR="001B77DD" w:rsidRDefault="001B77DD">
            <w:pPr>
              <w:rPr>
                <w:rFonts w:ascii="宋体"/>
              </w:rPr>
            </w:pPr>
          </w:p>
        </w:tc>
        <w:tc>
          <w:tcPr>
            <w:tcW w:w="5" w:type="pct"/>
            <w:shd w:val="clear" w:color="auto" w:fill="auto"/>
            <w:vAlign w:val="bottom"/>
          </w:tcPr>
          <w:p w14:paraId="67534DE8" w14:textId="77777777" w:rsidR="001B77DD" w:rsidRDefault="001B77DD">
            <w:pPr>
              <w:rPr>
                <w:rFonts w:ascii="宋体"/>
              </w:rPr>
            </w:pPr>
          </w:p>
        </w:tc>
        <w:tc>
          <w:tcPr>
            <w:tcW w:w="50" w:type="pct"/>
            <w:shd w:val="clear" w:color="auto" w:fill="auto"/>
            <w:vAlign w:val="bottom"/>
          </w:tcPr>
          <w:p w14:paraId="67534DE9" w14:textId="77777777" w:rsidR="001B77DD" w:rsidRDefault="001B77DD">
            <w:pPr>
              <w:rPr>
                <w:rFonts w:ascii="宋体"/>
              </w:rPr>
            </w:pPr>
          </w:p>
        </w:tc>
        <w:tc>
          <w:tcPr>
            <w:tcW w:w="2656" w:type="pct"/>
            <w:shd w:val="clear" w:color="auto" w:fill="auto"/>
            <w:vAlign w:val="bottom"/>
          </w:tcPr>
          <w:p w14:paraId="67534DEA" w14:textId="77777777" w:rsidR="001B77DD" w:rsidRDefault="001B77DD">
            <w:pPr>
              <w:rPr>
                <w:rFonts w:ascii="宋体"/>
              </w:rPr>
            </w:pPr>
          </w:p>
        </w:tc>
        <w:tc>
          <w:tcPr>
            <w:tcW w:w="5" w:type="pct"/>
            <w:shd w:val="clear" w:color="auto" w:fill="auto"/>
            <w:vAlign w:val="bottom"/>
          </w:tcPr>
          <w:p w14:paraId="67534DEB" w14:textId="77777777" w:rsidR="001B77DD" w:rsidRDefault="001B77DD">
            <w:pPr>
              <w:rPr>
                <w:rFonts w:ascii="宋体"/>
              </w:rPr>
            </w:pPr>
          </w:p>
        </w:tc>
        <w:tc>
          <w:tcPr>
            <w:tcW w:w="50" w:type="pct"/>
            <w:shd w:val="clear" w:color="auto" w:fill="auto"/>
            <w:vAlign w:val="bottom"/>
          </w:tcPr>
          <w:p w14:paraId="67534DEC" w14:textId="77777777" w:rsidR="001B77DD" w:rsidRDefault="001B77DD">
            <w:pPr>
              <w:rPr>
                <w:rFonts w:ascii="宋体"/>
              </w:rPr>
            </w:pPr>
          </w:p>
        </w:tc>
        <w:tc>
          <w:tcPr>
            <w:tcW w:w="1894" w:type="pct"/>
            <w:shd w:val="clear" w:color="auto" w:fill="auto"/>
            <w:vAlign w:val="bottom"/>
          </w:tcPr>
          <w:p w14:paraId="67534DED" w14:textId="77777777" w:rsidR="001B77DD" w:rsidRDefault="001B77DD">
            <w:pPr>
              <w:rPr>
                <w:rFonts w:ascii="宋体"/>
              </w:rPr>
            </w:pPr>
          </w:p>
        </w:tc>
        <w:tc>
          <w:tcPr>
            <w:tcW w:w="5" w:type="pct"/>
            <w:shd w:val="clear" w:color="auto" w:fill="auto"/>
            <w:vAlign w:val="bottom"/>
          </w:tcPr>
          <w:p w14:paraId="67534DEE" w14:textId="77777777" w:rsidR="001B77DD" w:rsidRDefault="001B77DD">
            <w:pPr>
              <w:rPr>
                <w:rFonts w:ascii="宋体"/>
              </w:rPr>
            </w:pPr>
          </w:p>
        </w:tc>
      </w:tr>
      <w:tr w:rsidR="001B77DD" w14:paraId="67534DF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DF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B4" wp14:editId="67538EB5">
                  <wp:extent cx="304800" cy="304800"/>
                  <wp:effectExtent l="0" t="0" r="0" b="0"/>
                  <wp:docPr id="95" name="图片 20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0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DF1"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DF2" w14:textId="77777777" w:rsidR="001B77DD" w:rsidRDefault="00BF0A28">
            <w:pPr>
              <w:jc w:val="right"/>
              <w:textAlignment w:val="center"/>
            </w:pPr>
            <w:r>
              <w:rPr>
                <w:rFonts w:ascii="Arial" w:eastAsia="宋体" w:hAnsi="Arial" w:cs="Arial"/>
                <w:color w:val="262626"/>
                <w:sz w:val="16"/>
                <w:szCs w:val="16"/>
              </w:rPr>
              <w:t>40</w:t>
            </w:r>
          </w:p>
        </w:tc>
      </w:tr>
    </w:tbl>
    <w:p w14:paraId="67534DF4" w14:textId="77777777" w:rsidR="001B77DD" w:rsidRDefault="00BF0A28">
      <w:r>
        <w:pict w14:anchorId="67538EB6">
          <v:rect id="_x0000_i1066" style="width:415.3pt;height:1.5pt" o:hralign="center" o:hrstd="t" o:hr="t" fillcolor="#a0a0a0" stroked="f"/>
        </w:pict>
      </w:r>
    </w:p>
    <w:p w14:paraId="67534DF5" w14:textId="77777777" w:rsidR="001B77DD" w:rsidRDefault="00BF0A28">
      <w:pPr>
        <w:jc w:val="right"/>
      </w:pPr>
      <w:hyperlink r:id="rId98" w:anchor="i6c9ced68f6b24d58a3dcf326e8c3c699_16" w:history="1">
        <w:r>
          <w:rPr>
            <w:rStyle w:val="a5"/>
            <w:rFonts w:ascii="Arial" w:eastAsia="宋体" w:hAnsi="Arial" w:cs="Arial"/>
            <w:b/>
            <w:bCs/>
            <w:sz w:val="16"/>
            <w:szCs w:val="16"/>
          </w:rPr>
          <w:t>Table of Contents</w:t>
        </w:r>
      </w:hyperlink>
    </w:p>
    <w:p w14:paraId="67534DF6" w14:textId="77777777" w:rsidR="001B77DD" w:rsidRDefault="001B77DD">
      <w:pPr>
        <w:jc w:val="right"/>
      </w:pPr>
    </w:p>
    <w:p w14:paraId="67534DF7" w14:textId="77777777" w:rsidR="001B77DD" w:rsidRDefault="00BF0A28">
      <w:pPr>
        <w:spacing w:after="180"/>
      </w:pPr>
      <w:r>
        <w:rPr>
          <w:rFonts w:ascii="Arial" w:eastAsia="宋体" w:hAnsi="Arial" w:cs="Arial"/>
          <w:color w:val="0068B5"/>
          <w:sz w:val="28"/>
          <w:szCs w:val="28"/>
        </w:rPr>
        <w:t>Restructuring and Other Charges</w:t>
      </w:r>
    </w:p>
    <w:tbl>
      <w:tblPr>
        <w:tblW w:w="4939" w:type="pct"/>
        <w:tblCellMar>
          <w:top w:w="15" w:type="dxa"/>
          <w:left w:w="15" w:type="dxa"/>
          <w:bottom w:w="15" w:type="dxa"/>
          <w:right w:w="15" w:type="dxa"/>
        </w:tblCellMar>
        <w:tblLook w:val="04A0" w:firstRow="1" w:lastRow="0" w:firstColumn="1" w:lastColumn="0" w:noHBand="0" w:noVBand="1"/>
      </w:tblPr>
      <w:tblGrid>
        <w:gridCol w:w="38"/>
        <w:gridCol w:w="5948"/>
        <w:gridCol w:w="37"/>
        <w:gridCol w:w="36"/>
        <w:gridCol w:w="36"/>
        <w:gridCol w:w="36"/>
        <w:gridCol w:w="121"/>
        <w:gridCol w:w="804"/>
        <w:gridCol w:w="36"/>
        <w:gridCol w:w="36"/>
        <w:gridCol w:w="36"/>
        <w:gridCol w:w="36"/>
        <w:gridCol w:w="121"/>
        <w:gridCol w:w="805"/>
        <w:gridCol w:w="36"/>
        <w:gridCol w:w="36"/>
        <w:gridCol w:w="36"/>
      </w:tblGrid>
      <w:tr w:rsidR="001B77DD" w14:paraId="67534E09" w14:textId="77777777">
        <w:tc>
          <w:tcPr>
            <w:tcW w:w="50" w:type="pct"/>
            <w:shd w:val="clear" w:color="auto" w:fill="auto"/>
            <w:vAlign w:val="bottom"/>
          </w:tcPr>
          <w:p w14:paraId="67534DF8" w14:textId="77777777" w:rsidR="001B77DD" w:rsidRDefault="001B77DD">
            <w:pPr>
              <w:rPr>
                <w:rFonts w:ascii="宋体"/>
              </w:rPr>
            </w:pPr>
          </w:p>
        </w:tc>
        <w:tc>
          <w:tcPr>
            <w:tcW w:w="3672" w:type="pct"/>
            <w:shd w:val="clear" w:color="auto" w:fill="auto"/>
            <w:vAlign w:val="bottom"/>
          </w:tcPr>
          <w:p w14:paraId="67534DF9" w14:textId="77777777" w:rsidR="001B77DD" w:rsidRDefault="001B77DD">
            <w:pPr>
              <w:rPr>
                <w:rFonts w:ascii="宋体"/>
              </w:rPr>
            </w:pPr>
          </w:p>
        </w:tc>
        <w:tc>
          <w:tcPr>
            <w:tcW w:w="5" w:type="pct"/>
            <w:shd w:val="clear" w:color="auto" w:fill="auto"/>
            <w:vAlign w:val="bottom"/>
          </w:tcPr>
          <w:p w14:paraId="67534DFA" w14:textId="77777777" w:rsidR="001B77DD" w:rsidRDefault="001B77DD">
            <w:pPr>
              <w:rPr>
                <w:rFonts w:ascii="宋体"/>
              </w:rPr>
            </w:pPr>
          </w:p>
        </w:tc>
        <w:tc>
          <w:tcPr>
            <w:tcW w:w="5" w:type="pct"/>
            <w:shd w:val="clear" w:color="auto" w:fill="auto"/>
            <w:vAlign w:val="bottom"/>
          </w:tcPr>
          <w:p w14:paraId="67534DFB" w14:textId="77777777" w:rsidR="001B77DD" w:rsidRDefault="001B77DD">
            <w:pPr>
              <w:rPr>
                <w:rFonts w:ascii="宋体"/>
              </w:rPr>
            </w:pPr>
          </w:p>
        </w:tc>
        <w:tc>
          <w:tcPr>
            <w:tcW w:w="24" w:type="pct"/>
            <w:shd w:val="clear" w:color="auto" w:fill="auto"/>
            <w:vAlign w:val="bottom"/>
          </w:tcPr>
          <w:p w14:paraId="67534DFC" w14:textId="77777777" w:rsidR="001B77DD" w:rsidRDefault="001B77DD">
            <w:pPr>
              <w:rPr>
                <w:rFonts w:ascii="宋体"/>
              </w:rPr>
            </w:pPr>
          </w:p>
        </w:tc>
        <w:tc>
          <w:tcPr>
            <w:tcW w:w="5" w:type="pct"/>
            <w:shd w:val="clear" w:color="auto" w:fill="auto"/>
            <w:vAlign w:val="bottom"/>
          </w:tcPr>
          <w:p w14:paraId="67534DFD" w14:textId="77777777" w:rsidR="001B77DD" w:rsidRDefault="001B77DD">
            <w:pPr>
              <w:rPr>
                <w:rFonts w:ascii="宋体"/>
              </w:rPr>
            </w:pPr>
          </w:p>
        </w:tc>
        <w:tc>
          <w:tcPr>
            <w:tcW w:w="50" w:type="pct"/>
            <w:shd w:val="clear" w:color="auto" w:fill="auto"/>
            <w:vAlign w:val="bottom"/>
          </w:tcPr>
          <w:p w14:paraId="67534DFE" w14:textId="77777777" w:rsidR="001B77DD" w:rsidRDefault="001B77DD">
            <w:pPr>
              <w:rPr>
                <w:rFonts w:ascii="宋体"/>
              </w:rPr>
            </w:pPr>
          </w:p>
        </w:tc>
        <w:tc>
          <w:tcPr>
            <w:tcW w:w="546" w:type="pct"/>
            <w:shd w:val="clear" w:color="auto" w:fill="auto"/>
            <w:vAlign w:val="bottom"/>
          </w:tcPr>
          <w:p w14:paraId="67534DFF" w14:textId="77777777" w:rsidR="001B77DD" w:rsidRDefault="001B77DD">
            <w:pPr>
              <w:rPr>
                <w:rFonts w:ascii="宋体"/>
              </w:rPr>
            </w:pPr>
          </w:p>
        </w:tc>
        <w:tc>
          <w:tcPr>
            <w:tcW w:w="5" w:type="pct"/>
            <w:shd w:val="clear" w:color="auto" w:fill="auto"/>
            <w:vAlign w:val="bottom"/>
          </w:tcPr>
          <w:p w14:paraId="67534E00" w14:textId="77777777" w:rsidR="001B77DD" w:rsidRDefault="001B77DD">
            <w:pPr>
              <w:rPr>
                <w:rFonts w:ascii="宋体"/>
              </w:rPr>
            </w:pPr>
          </w:p>
        </w:tc>
        <w:tc>
          <w:tcPr>
            <w:tcW w:w="5" w:type="pct"/>
            <w:shd w:val="clear" w:color="auto" w:fill="auto"/>
            <w:vAlign w:val="bottom"/>
          </w:tcPr>
          <w:p w14:paraId="67534E01" w14:textId="77777777" w:rsidR="001B77DD" w:rsidRDefault="001B77DD">
            <w:pPr>
              <w:rPr>
                <w:rFonts w:ascii="宋体"/>
              </w:rPr>
            </w:pPr>
          </w:p>
        </w:tc>
        <w:tc>
          <w:tcPr>
            <w:tcW w:w="24" w:type="pct"/>
            <w:shd w:val="clear" w:color="auto" w:fill="auto"/>
            <w:vAlign w:val="bottom"/>
          </w:tcPr>
          <w:p w14:paraId="67534E02" w14:textId="77777777" w:rsidR="001B77DD" w:rsidRDefault="001B77DD">
            <w:pPr>
              <w:rPr>
                <w:rFonts w:ascii="宋体"/>
              </w:rPr>
            </w:pPr>
          </w:p>
        </w:tc>
        <w:tc>
          <w:tcPr>
            <w:tcW w:w="5" w:type="pct"/>
            <w:shd w:val="clear" w:color="auto" w:fill="auto"/>
            <w:vAlign w:val="bottom"/>
          </w:tcPr>
          <w:p w14:paraId="67534E03" w14:textId="77777777" w:rsidR="001B77DD" w:rsidRDefault="001B77DD">
            <w:pPr>
              <w:rPr>
                <w:rFonts w:ascii="宋体"/>
              </w:rPr>
            </w:pPr>
          </w:p>
        </w:tc>
        <w:tc>
          <w:tcPr>
            <w:tcW w:w="50" w:type="pct"/>
            <w:shd w:val="clear" w:color="auto" w:fill="auto"/>
            <w:vAlign w:val="bottom"/>
          </w:tcPr>
          <w:p w14:paraId="67534E04" w14:textId="77777777" w:rsidR="001B77DD" w:rsidRDefault="001B77DD">
            <w:pPr>
              <w:rPr>
                <w:rFonts w:ascii="宋体"/>
              </w:rPr>
            </w:pPr>
          </w:p>
        </w:tc>
        <w:tc>
          <w:tcPr>
            <w:tcW w:w="546" w:type="pct"/>
            <w:shd w:val="clear" w:color="auto" w:fill="auto"/>
            <w:vAlign w:val="bottom"/>
          </w:tcPr>
          <w:p w14:paraId="67534E05" w14:textId="77777777" w:rsidR="001B77DD" w:rsidRDefault="001B77DD">
            <w:pPr>
              <w:rPr>
                <w:rFonts w:ascii="宋体"/>
              </w:rPr>
            </w:pPr>
          </w:p>
        </w:tc>
        <w:tc>
          <w:tcPr>
            <w:tcW w:w="5" w:type="pct"/>
            <w:shd w:val="clear" w:color="auto" w:fill="auto"/>
            <w:vAlign w:val="bottom"/>
          </w:tcPr>
          <w:p w14:paraId="67534E06" w14:textId="77777777" w:rsidR="001B77DD" w:rsidRDefault="001B77DD">
            <w:pPr>
              <w:rPr>
                <w:rFonts w:ascii="宋体"/>
              </w:rPr>
            </w:pPr>
          </w:p>
        </w:tc>
        <w:tc>
          <w:tcPr>
            <w:tcW w:w="0" w:type="auto"/>
            <w:shd w:val="clear" w:color="auto" w:fill="auto"/>
            <w:vAlign w:val="bottom"/>
          </w:tcPr>
          <w:p w14:paraId="67534E07" w14:textId="77777777" w:rsidR="001B77DD" w:rsidRDefault="001B77DD">
            <w:pPr>
              <w:rPr>
                <w:rFonts w:ascii="宋体"/>
                <w:vanish/>
              </w:rPr>
            </w:pPr>
          </w:p>
        </w:tc>
        <w:tc>
          <w:tcPr>
            <w:tcW w:w="0" w:type="auto"/>
            <w:shd w:val="clear" w:color="auto" w:fill="auto"/>
            <w:vAlign w:val="bottom"/>
          </w:tcPr>
          <w:p w14:paraId="67534E08" w14:textId="77777777" w:rsidR="001B77DD" w:rsidRDefault="001B77DD">
            <w:pPr>
              <w:rPr>
                <w:rFonts w:ascii="宋体"/>
                <w:vanish/>
              </w:rPr>
            </w:pPr>
          </w:p>
        </w:tc>
      </w:tr>
      <w:tr w:rsidR="001B77DD" w14:paraId="67534E11" w14:textId="77777777">
        <w:tc>
          <w:tcPr>
            <w:tcW w:w="0" w:type="auto"/>
            <w:gridSpan w:val="3"/>
            <w:shd w:val="clear" w:color="auto" w:fill="auto"/>
            <w:tcMar>
              <w:top w:w="40" w:type="dxa"/>
              <w:left w:w="20" w:type="dxa"/>
              <w:bottom w:w="40" w:type="dxa"/>
              <w:right w:w="20" w:type="dxa"/>
            </w:tcMar>
            <w:vAlign w:val="bottom"/>
          </w:tcPr>
          <w:p w14:paraId="67534E0A" w14:textId="77777777" w:rsidR="001B77DD" w:rsidRDefault="00BF0A28">
            <w:pPr>
              <w:textAlignment w:val="bottom"/>
            </w:pPr>
            <w:r>
              <w:rPr>
                <w:rFonts w:ascii="Arial" w:eastAsia="宋体" w:hAnsi="Arial" w:cs="Arial"/>
                <w:b/>
                <w:bCs/>
                <w:color w:val="262626"/>
                <w:sz w:val="18"/>
                <w:szCs w:val="18"/>
              </w:rPr>
              <w:t xml:space="preserve">Years Ended (In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7534E0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E0C"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4E0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E0E"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67534E0F" w14:textId="77777777" w:rsidR="001B77DD" w:rsidRDefault="001B77DD">
            <w:pPr>
              <w:rPr>
                <w:rFonts w:ascii="宋体"/>
                <w:vanish/>
              </w:rPr>
            </w:pPr>
          </w:p>
        </w:tc>
        <w:tc>
          <w:tcPr>
            <w:tcW w:w="0" w:type="auto"/>
            <w:shd w:val="clear" w:color="auto" w:fill="auto"/>
            <w:vAlign w:val="bottom"/>
          </w:tcPr>
          <w:p w14:paraId="67534E10" w14:textId="77777777" w:rsidR="001B77DD" w:rsidRDefault="001B77DD">
            <w:pPr>
              <w:rPr>
                <w:rFonts w:ascii="宋体"/>
                <w:vanish/>
              </w:rPr>
            </w:pPr>
          </w:p>
        </w:tc>
      </w:tr>
      <w:tr w:rsidR="001B77DD" w14:paraId="67534E1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4E12" w14:textId="77777777" w:rsidR="001B77DD" w:rsidRDefault="00BF0A28">
            <w:pPr>
              <w:textAlignment w:val="bottom"/>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67534E13"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E14"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E15" w14:textId="77777777" w:rsidR="001B77DD" w:rsidRDefault="00BF0A28">
            <w:pPr>
              <w:jc w:val="right"/>
              <w:textAlignment w:val="bottom"/>
            </w:pPr>
            <w:r>
              <w:rPr>
                <w:rFonts w:ascii="Arial" w:eastAsia="宋体" w:hAnsi="Arial" w:cs="Arial"/>
                <w:color w:val="0068B5"/>
                <w:sz w:val="18"/>
                <w:szCs w:val="18"/>
              </w:rPr>
              <w:t>48 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E1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1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E18"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E19" w14:textId="77777777" w:rsidR="001B77DD" w:rsidRDefault="00BF0A28">
            <w:pPr>
              <w:jc w:val="right"/>
              <w:textAlignment w:val="bottom"/>
            </w:pPr>
            <w:r>
              <w:rPr>
                <w:rFonts w:ascii="Arial" w:eastAsia="宋体" w:hAnsi="Arial" w:cs="Arial"/>
                <w:color w:val="262626"/>
                <w:sz w:val="18"/>
                <w:szCs w:val="18"/>
              </w:rPr>
              <w:t>124 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E1A" w14:textId="77777777" w:rsidR="001B77DD" w:rsidRDefault="001B77DD">
            <w:pPr>
              <w:jc w:val="right"/>
              <w:rPr>
                <w:rFonts w:ascii="宋体"/>
              </w:rPr>
            </w:pPr>
          </w:p>
        </w:tc>
        <w:tc>
          <w:tcPr>
            <w:tcW w:w="0" w:type="auto"/>
            <w:shd w:val="clear" w:color="auto" w:fill="auto"/>
            <w:vAlign w:val="bottom"/>
          </w:tcPr>
          <w:p w14:paraId="67534E1B" w14:textId="77777777" w:rsidR="001B77DD" w:rsidRDefault="001B77DD">
            <w:pPr>
              <w:rPr>
                <w:rFonts w:ascii="宋体"/>
                <w:vanish/>
              </w:rPr>
            </w:pPr>
          </w:p>
        </w:tc>
        <w:tc>
          <w:tcPr>
            <w:tcW w:w="0" w:type="auto"/>
            <w:shd w:val="clear" w:color="auto" w:fill="auto"/>
            <w:vAlign w:val="bottom"/>
          </w:tcPr>
          <w:p w14:paraId="67534E1C" w14:textId="77777777" w:rsidR="001B77DD" w:rsidRDefault="001B77DD">
            <w:pPr>
              <w:rPr>
                <w:rFonts w:ascii="宋体"/>
                <w:vanish/>
              </w:rPr>
            </w:pPr>
          </w:p>
        </w:tc>
      </w:tr>
      <w:tr w:rsidR="001B77DD" w14:paraId="67534E27" w14:textId="77777777">
        <w:tc>
          <w:tcPr>
            <w:tcW w:w="0" w:type="auto"/>
            <w:gridSpan w:val="3"/>
            <w:shd w:val="clear" w:color="auto" w:fill="auto"/>
            <w:tcMar>
              <w:top w:w="40" w:type="dxa"/>
              <w:left w:w="20" w:type="dxa"/>
              <w:bottom w:w="40" w:type="dxa"/>
              <w:right w:w="20" w:type="dxa"/>
            </w:tcMar>
            <w:vAlign w:val="bottom"/>
          </w:tcPr>
          <w:p w14:paraId="67534E1E" w14:textId="77777777" w:rsidR="001B77DD" w:rsidRDefault="00BF0A28">
            <w:pPr>
              <w:textAlignment w:val="bottom"/>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67534E1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20" w14:textId="77777777" w:rsidR="001B77DD" w:rsidRDefault="00BF0A28">
            <w:pPr>
              <w:jc w:val="right"/>
              <w:textAlignment w:val="bottom"/>
            </w:pPr>
            <w:r>
              <w:rPr>
                <w:rFonts w:ascii="Arial" w:eastAsia="宋体" w:hAnsi="Arial" w:cs="Arial"/>
                <w:color w:val="0068B5"/>
                <w:sz w:val="18"/>
                <w:szCs w:val="18"/>
              </w:rPr>
              <w:t>2,291 </w:t>
            </w:r>
          </w:p>
        </w:tc>
        <w:tc>
          <w:tcPr>
            <w:tcW w:w="0" w:type="auto"/>
            <w:shd w:val="clear" w:color="auto" w:fill="auto"/>
            <w:tcMar>
              <w:top w:w="40" w:type="dxa"/>
              <w:left w:w="0" w:type="dxa"/>
              <w:bottom w:w="40" w:type="dxa"/>
              <w:right w:w="20" w:type="dxa"/>
            </w:tcMar>
            <w:vAlign w:val="bottom"/>
          </w:tcPr>
          <w:p w14:paraId="67534E2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2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23" w14:textId="77777777" w:rsidR="001B77DD" w:rsidRDefault="00BF0A28">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67534E24" w14:textId="77777777" w:rsidR="001B77DD" w:rsidRDefault="001B77DD">
            <w:pPr>
              <w:jc w:val="right"/>
              <w:rPr>
                <w:rFonts w:ascii="宋体"/>
              </w:rPr>
            </w:pPr>
          </w:p>
        </w:tc>
        <w:tc>
          <w:tcPr>
            <w:tcW w:w="0" w:type="auto"/>
            <w:shd w:val="clear" w:color="auto" w:fill="auto"/>
            <w:vAlign w:val="bottom"/>
          </w:tcPr>
          <w:p w14:paraId="67534E25" w14:textId="77777777" w:rsidR="001B77DD" w:rsidRDefault="001B77DD">
            <w:pPr>
              <w:rPr>
                <w:rFonts w:ascii="宋体"/>
                <w:vanish/>
              </w:rPr>
            </w:pPr>
          </w:p>
        </w:tc>
        <w:tc>
          <w:tcPr>
            <w:tcW w:w="0" w:type="auto"/>
            <w:shd w:val="clear" w:color="auto" w:fill="auto"/>
            <w:vAlign w:val="bottom"/>
          </w:tcPr>
          <w:p w14:paraId="67534E26" w14:textId="77777777" w:rsidR="001B77DD" w:rsidRDefault="001B77DD">
            <w:pPr>
              <w:rPr>
                <w:rFonts w:ascii="宋体"/>
                <w:vanish/>
              </w:rPr>
            </w:pPr>
          </w:p>
        </w:tc>
      </w:tr>
      <w:tr w:rsidR="001B77DD" w14:paraId="67534E31" w14:textId="77777777">
        <w:tc>
          <w:tcPr>
            <w:tcW w:w="0" w:type="auto"/>
            <w:gridSpan w:val="3"/>
            <w:shd w:val="clear" w:color="auto" w:fill="auto"/>
            <w:tcMar>
              <w:top w:w="40" w:type="dxa"/>
              <w:left w:w="20" w:type="dxa"/>
              <w:bottom w:w="40" w:type="dxa"/>
              <w:right w:w="20" w:type="dxa"/>
            </w:tcMar>
            <w:vAlign w:val="bottom"/>
          </w:tcPr>
          <w:p w14:paraId="67534E28" w14:textId="77777777" w:rsidR="001B77DD" w:rsidRDefault="00BF0A28">
            <w:pPr>
              <w:textAlignment w:val="bottom"/>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67534E2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2A" w14:textId="77777777" w:rsidR="001B77DD" w:rsidRDefault="00BF0A28">
            <w:pPr>
              <w:jc w:val="right"/>
              <w:textAlignment w:val="bottom"/>
            </w:pPr>
            <w:r>
              <w:rPr>
                <w:rFonts w:ascii="Arial" w:eastAsia="宋体" w:hAnsi="Arial" w:cs="Arial"/>
                <w:color w:val="0068B5"/>
                <w:sz w:val="18"/>
                <w:szCs w:val="18"/>
              </w:rPr>
              <w:t>287 </w:t>
            </w:r>
          </w:p>
        </w:tc>
        <w:tc>
          <w:tcPr>
            <w:tcW w:w="0" w:type="auto"/>
            <w:shd w:val="clear" w:color="auto" w:fill="auto"/>
            <w:tcMar>
              <w:top w:w="40" w:type="dxa"/>
              <w:left w:w="0" w:type="dxa"/>
              <w:bottom w:w="40" w:type="dxa"/>
              <w:right w:w="20" w:type="dxa"/>
            </w:tcMar>
            <w:vAlign w:val="bottom"/>
          </w:tcPr>
          <w:p w14:paraId="67534E2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2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2D" w14:textId="77777777" w:rsidR="001B77DD" w:rsidRDefault="00BF0A28">
            <w:pPr>
              <w:jc w:val="right"/>
              <w:textAlignment w:val="bottom"/>
            </w:pPr>
            <w:r>
              <w:rPr>
                <w:rFonts w:ascii="Arial" w:eastAsia="宋体" w:hAnsi="Arial" w:cs="Arial"/>
                <w:color w:val="262626"/>
                <w:sz w:val="18"/>
                <w:szCs w:val="18"/>
              </w:rPr>
              <w:t>7 </w:t>
            </w:r>
          </w:p>
        </w:tc>
        <w:tc>
          <w:tcPr>
            <w:tcW w:w="0" w:type="auto"/>
            <w:shd w:val="clear" w:color="auto" w:fill="auto"/>
            <w:tcMar>
              <w:top w:w="40" w:type="dxa"/>
              <w:left w:w="0" w:type="dxa"/>
              <w:bottom w:w="40" w:type="dxa"/>
              <w:right w:w="20" w:type="dxa"/>
            </w:tcMar>
            <w:vAlign w:val="bottom"/>
          </w:tcPr>
          <w:p w14:paraId="67534E2E" w14:textId="77777777" w:rsidR="001B77DD" w:rsidRDefault="001B77DD">
            <w:pPr>
              <w:jc w:val="right"/>
              <w:rPr>
                <w:rFonts w:ascii="宋体"/>
              </w:rPr>
            </w:pPr>
          </w:p>
        </w:tc>
        <w:tc>
          <w:tcPr>
            <w:tcW w:w="0" w:type="auto"/>
            <w:shd w:val="clear" w:color="auto" w:fill="auto"/>
            <w:vAlign w:val="bottom"/>
          </w:tcPr>
          <w:p w14:paraId="67534E2F" w14:textId="77777777" w:rsidR="001B77DD" w:rsidRDefault="001B77DD">
            <w:pPr>
              <w:rPr>
                <w:rFonts w:ascii="宋体"/>
                <w:vanish/>
              </w:rPr>
            </w:pPr>
          </w:p>
        </w:tc>
        <w:tc>
          <w:tcPr>
            <w:tcW w:w="0" w:type="auto"/>
            <w:shd w:val="clear" w:color="auto" w:fill="auto"/>
            <w:vAlign w:val="bottom"/>
          </w:tcPr>
          <w:p w14:paraId="67534E30" w14:textId="77777777" w:rsidR="001B77DD" w:rsidRDefault="001B77DD">
            <w:pPr>
              <w:rPr>
                <w:rFonts w:ascii="宋体"/>
                <w:vanish/>
              </w:rPr>
            </w:pPr>
          </w:p>
        </w:tc>
      </w:tr>
      <w:tr w:rsidR="001B77DD" w14:paraId="67534E3D" w14:textId="77777777">
        <w:tc>
          <w:tcPr>
            <w:tcW w:w="0" w:type="auto"/>
            <w:gridSpan w:val="3"/>
            <w:shd w:val="clear" w:color="auto" w:fill="auto"/>
            <w:tcMar>
              <w:top w:w="40" w:type="dxa"/>
              <w:left w:w="20" w:type="dxa"/>
              <w:bottom w:w="40" w:type="dxa"/>
              <w:right w:w="20" w:type="dxa"/>
            </w:tcMar>
            <w:vAlign w:val="bottom"/>
          </w:tcPr>
          <w:p w14:paraId="67534E32" w14:textId="77777777" w:rsidR="001B77DD" w:rsidRDefault="00BF0A28">
            <w:pPr>
              <w:textAlignment w:val="bottom"/>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67534E33"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4E34"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4E35" w14:textId="77777777" w:rsidR="001B77DD" w:rsidRDefault="00BF0A28">
            <w:pPr>
              <w:jc w:val="right"/>
              <w:textAlignment w:val="bottom"/>
            </w:pPr>
            <w:r>
              <w:rPr>
                <w:rFonts w:ascii="Arial" w:eastAsia="宋体" w:hAnsi="Arial" w:cs="Arial"/>
                <w:b/>
                <w:bCs/>
                <w:color w:val="0068B5"/>
                <w:sz w:val="18"/>
                <w:szCs w:val="18"/>
              </w:rPr>
              <w:t>2,626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4E3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37" w14:textId="77777777" w:rsidR="001B77DD" w:rsidRDefault="001B77DD">
            <w:pPr>
              <w:rPr>
                <w:rFonts w:ascii="宋体"/>
              </w:rPr>
            </w:pPr>
          </w:p>
        </w:tc>
        <w:tc>
          <w:tcPr>
            <w:tcW w:w="0" w:type="auto"/>
            <w:tcBorders>
              <w:top w:val="single" w:sz="4" w:space="0" w:color="262626"/>
              <w:bottom w:val="double" w:sz="6" w:space="0" w:color="333333"/>
            </w:tcBorders>
            <w:shd w:val="clear" w:color="auto" w:fill="auto"/>
            <w:tcMar>
              <w:top w:w="40" w:type="dxa"/>
              <w:left w:w="20" w:type="dxa"/>
              <w:bottom w:w="40" w:type="dxa"/>
              <w:right w:w="0" w:type="dxa"/>
            </w:tcMar>
            <w:vAlign w:val="bottom"/>
          </w:tcPr>
          <w:p w14:paraId="67534E38"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333333"/>
            </w:tcBorders>
            <w:shd w:val="clear" w:color="auto" w:fill="auto"/>
            <w:tcMar>
              <w:top w:w="40" w:type="dxa"/>
              <w:left w:w="0" w:type="dxa"/>
              <w:bottom w:w="40" w:type="dxa"/>
              <w:right w:w="0" w:type="dxa"/>
            </w:tcMar>
            <w:vAlign w:val="bottom"/>
          </w:tcPr>
          <w:p w14:paraId="67534E39" w14:textId="77777777" w:rsidR="001B77DD" w:rsidRDefault="00BF0A28">
            <w:pPr>
              <w:jc w:val="right"/>
              <w:textAlignment w:val="bottom"/>
            </w:pPr>
            <w:r>
              <w:rPr>
                <w:rFonts w:ascii="Arial" w:eastAsia="宋体" w:hAnsi="Arial" w:cs="Arial"/>
                <w:b/>
                <w:bCs/>
                <w:color w:val="262626"/>
                <w:sz w:val="18"/>
                <w:szCs w:val="18"/>
              </w:rPr>
              <w:t>198</w:t>
            </w:r>
            <w:r>
              <w:rPr>
                <w:rFonts w:ascii="Arial" w:eastAsia="宋体" w:hAnsi="Arial" w:cs="Arial"/>
                <w:color w:val="262626"/>
                <w:sz w:val="18"/>
                <w:szCs w:val="18"/>
              </w:rPr>
              <w:t> </w:t>
            </w:r>
          </w:p>
        </w:tc>
        <w:tc>
          <w:tcPr>
            <w:tcW w:w="0" w:type="auto"/>
            <w:tcBorders>
              <w:top w:val="single" w:sz="4" w:space="0" w:color="262626"/>
              <w:bottom w:val="double" w:sz="6" w:space="0" w:color="333333"/>
            </w:tcBorders>
            <w:shd w:val="clear" w:color="auto" w:fill="auto"/>
            <w:tcMar>
              <w:top w:w="40" w:type="dxa"/>
              <w:left w:w="0" w:type="dxa"/>
              <w:bottom w:w="40" w:type="dxa"/>
              <w:right w:w="20" w:type="dxa"/>
            </w:tcMar>
            <w:vAlign w:val="bottom"/>
          </w:tcPr>
          <w:p w14:paraId="67534E3A" w14:textId="77777777" w:rsidR="001B77DD" w:rsidRDefault="001B77DD">
            <w:pPr>
              <w:jc w:val="right"/>
              <w:rPr>
                <w:rFonts w:ascii="宋体"/>
              </w:rPr>
            </w:pPr>
          </w:p>
        </w:tc>
        <w:tc>
          <w:tcPr>
            <w:tcW w:w="0" w:type="auto"/>
            <w:shd w:val="clear" w:color="auto" w:fill="auto"/>
            <w:vAlign w:val="bottom"/>
          </w:tcPr>
          <w:p w14:paraId="67534E3B" w14:textId="77777777" w:rsidR="001B77DD" w:rsidRDefault="001B77DD">
            <w:pPr>
              <w:rPr>
                <w:rFonts w:ascii="宋体"/>
                <w:vanish/>
              </w:rPr>
            </w:pPr>
          </w:p>
        </w:tc>
        <w:tc>
          <w:tcPr>
            <w:tcW w:w="0" w:type="auto"/>
            <w:shd w:val="clear" w:color="auto" w:fill="auto"/>
            <w:vAlign w:val="bottom"/>
          </w:tcPr>
          <w:p w14:paraId="67534E3C" w14:textId="77777777" w:rsidR="001B77DD" w:rsidRDefault="001B77DD">
            <w:pPr>
              <w:rPr>
                <w:rFonts w:ascii="宋体"/>
                <w:vanish/>
              </w:rPr>
            </w:pPr>
          </w:p>
        </w:tc>
      </w:tr>
    </w:tbl>
    <w:p w14:paraId="67534E3E" w14:textId="77777777" w:rsidR="001B77DD" w:rsidRDefault="00BF0A28">
      <w:pPr>
        <w:spacing w:after="180"/>
      </w:pPr>
      <w:r>
        <w:rPr>
          <w:rFonts w:ascii="Arial" w:eastAsia="宋体" w:hAnsi="Arial" w:cs="Arial"/>
          <w:color w:val="262626"/>
          <w:sz w:val="18"/>
          <w:szCs w:val="18"/>
        </w:rPr>
        <w:t>Litigat</w:t>
      </w:r>
      <w:r>
        <w:rPr>
          <w:rFonts w:ascii="Arial" w:eastAsia="宋体" w:hAnsi="Arial" w:cs="Arial"/>
          <w:color w:val="262626"/>
          <w:sz w:val="18"/>
          <w:szCs w:val="18"/>
        </w:rPr>
        <w:t xml:space="preserve">ion charges and other includes a charge of $2.2 billion in the first quarter of 2021 related to the VLSI Technology LLC (VLSI) litigation, which is recorded as a corporate charge in the "all other" category presented in "Note 3: Operating Segments" within </w:t>
      </w:r>
      <w:r>
        <w:rPr>
          <w:rFonts w:ascii="Arial" w:eastAsia="宋体" w:hAnsi="Arial" w:cs="Arial"/>
          <w:color w:val="262626"/>
          <w:sz w:val="18"/>
          <w:szCs w:val="18"/>
        </w:rPr>
        <w:t>Notes to Consolidated Financial Statements. Refer to "Note 19: Commitments and Contingencies" within Notes to Consolidated Financial Statements for further information on legal proceedings related to the VLSI litigation.</w:t>
      </w:r>
    </w:p>
    <w:p w14:paraId="67534E3F" w14:textId="77777777" w:rsidR="001B77DD" w:rsidRDefault="00BF0A28">
      <w:pPr>
        <w:spacing w:after="180"/>
      </w:pPr>
      <w:r>
        <w:rPr>
          <w:rFonts w:ascii="Arial" w:eastAsia="宋体" w:hAnsi="Arial" w:cs="Arial"/>
          <w:color w:val="262626"/>
          <w:sz w:val="18"/>
          <w:szCs w:val="18"/>
        </w:rPr>
        <w:t>Asset impairment charges includes i</w:t>
      </w:r>
      <w:r>
        <w:rPr>
          <w:rFonts w:ascii="Arial" w:eastAsia="宋体" w:hAnsi="Arial" w:cs="Arial"/>
          <w:color w:val="262626"/>
          <w:sz w:val="18"/>
          <w:szCs w:val="18"/>
        </w:rPr>
        <w:t>mpairments related to the shutdown in the second quarter of 2021 of two of our non-strategic businesses, the results of which are included in the "all other" category presented in "Note 3: Operating Segments" within Notes to Consolidated Financial Statemen</w:t>
      </w:r>
      <w:r>
        <w:rPr>
          <w:rFonts w:ascii="Arial" w:eastAsia="宋体" w:hAnsi="Arial" w:cs="Arial"/>
          <w:color w:val="262626"/>
          <w:sz w:val="18"/>
          <w:szCs w:val="18"/>
        </w:rPr>
        <w:t>ts. The goodwill related to these businesses was impaired, resulting in a charge of $238 million recognized in the second quarter of 2021 in the "all other" category along with other impairment charges related to these businesses.</w:t>
      </w:r>
    </w:p>
    <w:p w14:paraId="67534E40" w14:textId="77777777" w:rsidR="001B77DD" w:rsidRDefault="00BF0A28">
      <w:pPr>
        <w:spacing w:before="180" w:after="180"/>
      </w:pPr>
      <w:r>
        <w:rPr>
          <w:rFonts w:ascii="Arial" w:eastAsia="宋体" w:hAnsi="Arial" w:cs="Arial"/>
          <w:color w:val="0068B5"/>
          <w:sz w:val="28"/>
          <w:szCs w:val="28"/>
        </w:rPr>
        <w:t xml:space="preserve">Gains (Losses) on </w:t>
      </w:r>
      <w:r>
        <w:rPr>
          <w:rFonts w:ascii="Arial" w:eastAsia="宋体" w:hAnsi="Arial" w:cs="Arial"/>
          <w:color w:val="0068B5"/>
          <w:sz w:val="28"/>
          <w:szCs w:val="28"/>
        </w:rPr>
        <w:t>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5048"/>
        <w:gridCol w:w="38"/>
        <w:gridCol w:w="36"/>
        <w:gridCol w:w="36"/>
        <w:gridCol w:w="36"/>
        <w:gridCol w:w="121"/>
        <w:gridCol w:w="805"/>
        <w:gridCol w:w="36"/>
        <w:gridCol w:w="36"/>
        <w:gridCol w:w="36"/>
        <w:gridCol w:w="36"/>
        <w:gridCol w:w="121"/>
        <w:gridCol w:w="805"/>
        <w:gridCol w:w="36"/>
        <w:gridCol w:w="36"/>
        <w:gridCol w:w="36"/>
        <w:gridCol w:w="36"/>
        <w:gridCol w:w="121"/>
        <w:gridCol w:w="806"/>
        <w:gridCol w:w="36"/>
      </w:tblGrid>
      <w:tr w:rsidR="001B77DD" w14:paraId="67534E56" w14:textId="77777777">
        <w:tc>
          <w:tcPr>
            <w:tcW w:w="50" w:type="pct"/>
            <w:shd w:val="clear" w:color="auto" w:fill="auto"/>
            <w:vAlign w:val="bottom"/>
          </w:tcPr>
          <w:p w14:paraId="67534E41" w14:textId="77777777" w:rsidR="001B77DD" w:rsidRDefault="001B77DD">
            <w:pPr>
              <w:rPr>
                <w:rFonts w:ascii="宋体"/>
              </w:rPr>
            </w:pPr>
          </w:p>
        </w:tc>
        <w:tc>
          <w:tcPr>
            <w:tcW w:w="3059" w:type="pct"/>
            <w:shd w:val="clear" w:color="auto" w:fill="auto"/>
            <w:vAlign w:val="bottom"/>
          </w:tcPr>
          <w:p w14:paraId="67534E42" w14:textId="77777777" w:rsidR="001B77DD" w:rsidRDefault="001B77DD">
            <w:pPr>
              <w:rPr>
                <w:rFonts w:ascii="宋体"/>
              </w:rPr>
            </w:pPr>
          </w:p>
        </w:tc>
        <w:tc>
          <w:tcPr>
            <w:tcW w:w="5" w:type="pct"/>
            <w:shd w:val="clear" w:color="auto" w:fill="auto"/>
            <w:vAlign w:val="bottom"/>
          </w:tcPr>
          <w:p w14:paraId="67534E43" w14:textId="77777777" w:rsidR="001B77DD" w:rsidRDefault="001B77DD">
            <w:pPr>
              <w:rPr>
                <w:rFonts w:ascii="宋体"/>
              </w:rPr>
            </w:pPr>
          </w:p>
        </w:tc>
        <w:tc>
          <w:tcPr>
            <w:tcW w:w="5" w:type="pct"/>
            <w:shd w:val="clear" w:color="auto" w:fill="auto"/>
            <w:vAlign w:val="bottom"/>
          </w:tcPr>
          <w:p w14:paraId="67534E44" w14:textId="77777777" w:rsidR="001B77DD" w:rsidRDefault="001B77DD">
            <w:pPr>
              <w:rPr>
                <w:rFonts w:ascii="宋体"/>
              </w:rPr>
            </w:pPr>
          </w:p>
        </w:tc>
        <w:tc>
          <w:tcPr>
            <w:tcW w:w="24" w:type="pct"/>
            <w:shd w:val="clear" w:color="auto" w:fill="auto"/>
            <w:vAlign w:val="bottom"/>
          </w:tcPr>
          <w:p w14:paraId="67534E45" w14:textId="77777777" w:rsidR="001B77DD" w:rsidRDefault="001B77DD">
            <w:pPr>
              <w:rPr>
                <w:rFonts w:ascii="宋体"/>
              </w:rPr>
            </w:pPr>
          </w:p>
        </w:tc>
        <w:tc>
          <w:tcPr>
            <w:tcW w:w="5" w:type="pct"/>
            <w:shd w:val="clear" w:color="auto" w:fill="auto"/>
            <w:vAlign w:val="bottom"/>
          </w:tcPr>
          <w:p w14:paraId="67534E46" w14:textId="77777777" w:rsidR="001B77DD" w:rsidRDefault="001B77DD">
            <w:pPr>
              <w:rPr>
                <w:rFonts w:ascii="宋体"/>
              </w:rPr>
            </w:pPr>
          </w:p>
        </w:tc>
        <w:tc>
          <w:tcPr>
            <w:tcW w:w="50" w:type="pct"/>
            <w:shd w:val="clear" w:color="auto" w:fill="auto"/>
            <w:vAlign w:val="bottom"/>
          </w:tcPr>
          <w:p w14:paraId="67534E47" w14:textId="77777777" w:rsidR="001B77DD" w:rsidRDefault="001B77DD">
            <w:pPr>
              <w:rPr>
                <w:rFonts w:ascii="宋体"/>
              </w:rPr>
            </w:pPr>
          </w:p>
        </w:tc>
        <w:tc>
          <w:tcPr>
            <w:tcW w:w="539" w:type="pct"/>
            <w:shd w:val="clear" w:color="auto" w:fill="auto"/>
            <w:vAlign w:val="bottom"/>
          </w:tcPr>
          <w:p w14:paraId="67534E48" w14:textId="77777777" w:rsidR="001B77DD" w:rsidRDefault="001B77DD">
            <w:pPr>
              <w:rPr>
                <w:rFonts w:ascii="宋体"/>
              </w:rPr>
            </w:pPr>
          </w:p>
        </w:tc>
        <w:tc>
          <w:tcPr>
            <w:tcW w:w="5" w:type="pct"/>
            <w:shd w:val="clear" w:color="auto" w:fill="auto"/>
            <w:vAlign w:val="bottom"/>
          </w:tcPr>
          <w:p w14:paraId="67534E49" w14:textId="77777777" w:rsidR="001B77DD" w:rsidRDefault="001B77DD">
            <w:pPr>
              <w:rPr>
                <w:rFonts w:ascii="宋体"/>
              </w:rPr>
            </w:pPr>
          </w:p>
        </w:tc>
        <w:tc>
          <w:tcPr>
            <w:tcW w:w="5" w:type="pct"/>
            <w:shd w:val="clear" w:color="auto" w:fill="auto"/>
            <w:vAlign w:val="bottom"/>
          </w:tcPr>
          <w:p w14:paraId="67534E4A" w14:textId="77777777" w:rsidR="001B77DD" w:rsidRDefault="001B77DD">
            <w:pPr>
              <w:rPr>
                <w:rFonts w:ascii="宋体"/>
              </w:rPr>
            </w:pPr>
          </w:p>
        </w:tc>
        <w:tc>
          <w:tcPr>
            <w:tcW w:w="24" w:type="pct"/>
            <w:shd w:val="clear" w:color="auto" w:fill="auto"/>
            <w:vAlign w:val="bottom"/>
          </w:tcPr>
          <w:p w14:paraId="67534E4B" w14:textId="77777777" w:rsidR="001B77DD" w:rsidRDefault="001B77DD">
            <w:pPr>
              <w:rPr>
                <w:rFonts w:ascii="宋体"/>
              </w:rPr>
            </w:pPr>
          </w:p>
        </w:tc>
        <w:tc>
          <w:tcPr>
            <w:tcW w:w="5" w:type="pct"/>
            <w:shd w:val="clear" w:color="auto" w:fill="auto"/>
            <w:vAlign w:val="bottom"/>
          </w:tcPr>
          <w:p w14:paraId="67534E4C" w14:textId="77777777" w:rsidR="001B77DD" w:rsidRDefault="001B77DD">
            <w:pPr>
              <w:rPr>
                <w:rFonts w:ascii="宋体"/>
              </w:rPr>
            </w:pPr>
          </w:p>
        </w:tc>
        <w:tc>
          <w:tcPr>
            <w:tcW w:w="50" w:type="pct"/>
            <w:shd w:val="clear" w:color="auto" w:fill="auto"/>
            <w:vAlign w:val="bottom"/>
          </w:tcPr>
          <w:p w14:paraId="67534E4D" w14:textId="77777777" w:rsidR="001B77DD" w:rsidRDefault="001B77DD">
            <w:pPr>
              <w:rPr>
                <w:rFonts w:ascii="宋体"/>
              </w:rPr>
            </w:pPr>
          </w:p>
        </w:tc>
        <w:tc>
          <w:tcPr>
            <w:tcW w:w="539" w:type="pct"/>
            <w:shd w:val="clear" w:color="auto" w:fill="auto"/>
            <w:vAlign w:val="bottom"/>
          </w:tcPr>
          <w:p w14:paraId="67534E4E" w14:textId="77777777" w:rsidR="001B77DD" w:rsidRDefault="001B77DD">
            <w:pPr>
              <w:rPr>
                <w:rFonts w:ascii="宋体"/>
              </w:rPr>
            </w:pPr>
          </w:p>
        </w:tc>
        <w:tc>
          <w:tcPr>
            <w:tcW w:w="5" w:type="pct"/>
            <w:shd w:val="clear" w:color="auto" w:fill="auto"/>
            <w:vAlign w:val="bottom"/>
          </w:tcPr>
          <w:p w14:paraId="67534E4F" w14:textId="77777777" w:rsidR="001B77DD" w:rsidRDefault="001B77DD">
            <w:pPr>
              <w:rPr>
                <w:rFonts w:ascii="宋体"/>
              </w:rPr>
            </w:pPr>
          </w:p>
        </w:tc>
        <w:tc>
          <w:tcPr>
            <w:tcW w:w="5" w:type="pct"/>
            <w:shd w:val="clear" w:color="auto" w:fill="auto"/>
            <w:vAlign w:val="bottom"/>
          </w:tcPr>
          <w:p w14:paraId="67534E50" w14:textId="77777777" w:rsidR="001B77DD" w:rsidRDefault="001B77DD">
            <w:pPr>
              <w:rPr>
                <w:rFonts w:ascii="宋体"/>
              </w:rPr>
            </w:pPr>
          </w:p>
        </w:tc>
        <w:tc>
          <w:tcPr>
            <w:tcW w:w="24" w:type="pct"/>
            <w:shd w:val="clear" w:color="auto" w:fill="auto"/>
            <w:vAlign w:val="bottom"/>
          </w:tcPr>
          <w:p w14:paraId="67534E51" w14:textId="77777777" w:rsidR="001B77DD" w:rsidRDefault="001B77DD">
            <w:pPr>
              <w:rPr>
                <w:rFonts w:ascii="宋体"/>
              </w:rPr>
            </w:pPr>
          </w:p>
        </w:tc>
        <w:tc>
          <w:tcPr>
            <w:tcW w:w="5" w:type="pct"/>
            <w:shd w:val="clear" w:color="auto" w:fill="auto"/>
            <w:vAlign w:val="bottom"/>
          </w:tcPr>
          <w:p w14:paraId="67534E52" w14:textId="77777777" w:rsidR="001B77DD" w:rsidRDefault="001B77DD">
            <w:pPr>
              <w:rPr>
                <w:rFonts w:ascii="宋体"/>
              </w:rPr>
            </w:pPr>
          </w:p>
        </w:tc>
        <w:tc>
          <w:tcPr>
            <w:tcW w:w="50" w:type="pct"/>
            <w:shd w:val="clear" w:color="auto" w:fill="auto"/>
            <w:vAlign w:val="bottom"/>
          </w:tcPr>
          <w:p w14:paraId="67534E53" w14:textId="77777777" w:rsidR="001B77DD" w:rsidRDefault="001B77DD">
            <w:pPr>
              <w:rPr>
                <w:rFonts w:ascii="宋体"/>
              </w:rPr>
            </w:pPr>
          </w:p>
        </w:tc>
        <w:tc>
          <w:tcPr>
            <w:tcW w:w="539" w:type="pct"/>
            <w:shd w:val="clear" w:color="auto" w:fill="auto"/>
            <w:vAlign w:val="bottom"/>
          </w:tcPr>
          <w:p w14:paraId="67534E54" w14:textId="77777777" w:rsidR="001B77DD" w:rsidRDefault="001B77DD">
            <w:pPr>
              <w:rPr>
                <w:rFonts w:ascii="宋体"/>
              </w:rPr>
            </w:pPr>
          </w:p>
        </w:tc>
        <w:tc>
          <w:tcPr>
            <w:tcW w:w="5" w:type="pct"/>
            <w:shd w:val="clear" w:color="auto" w:fill="auto"/>
            <w:vAlign w:val="bottom"/>
          </w:tcPr>
          <w:p w14:paraId="67534E55" w14:textId="77777777" w:rsidR="001B77DD" w:rsidRDefault="001B77DD">
            <w:pPr>
              <w:rPr>
                <w:rFonts w:ascii="宋体"/>
              </w:rPr>
            </w:pPr>
          </w:p>
        </w:tc>
      </w:tr>
      <w:tr w:rsidR="001B77DD" w14:paraId="67534E5E" w14:textId="77777777">
        <w:tc>
          <w:tcPr>
            <w:tcW w:w="0" w:type="auto"/>
            <w:gridSpan w:val="3"/>
            <w:shd w:val="clear" w:color="auto" w:fill="auto"/>
            <w:tcMar>
              <w:top w:w="40" w:type="dxa"/>
              <w:left w:w="20" w:type="dxa"/>
              <w:bottom w:w="40" w:type="dxa"/>
              <w:right w:w="20" w:type="dxa"/>
            </w:tcMar>
            <w:vAlign w:val="bottom"/>
          </w:tcPr>
          <w:p w14:paraId="67534E57"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67534E5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E59"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4E5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E5B"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4E5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E5D"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4E6C"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7534E5F" w14:textId="77777777" w:rsidR="001B77DD" w:rsidRDefault="00BF0A28">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67534E60"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E61"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E62" w14:textId="77777777" w:rsidR="001B77DD" w:rsidRDefault="00BF0A28">
            <w:pPr>
              <w:jc w:val="right"/>
              <w:textAlignment w:val="bottom"/>
            </w:pPr>
            <w:r>
              <w:rPr>
                <w:rFonts w:ascii="Arial" w:eastAsia="宋体" w:hAnsi="Arial" w:cs="Arial"/>
                <w:color w:val="0068B5"/>
                <w:sz w:val="18"/>
                <w:szCs w:val="18"/>
              </w:rPr>
              <w:t>(130)</w:t>
            </w:r>
          </w:p>
        </w:tc>
        <w:tc>
          <w:tcPr>
            <w:tcW w:w="0" w:type="auto"/>
            <w:tcBorders>
              <w:top w:val="single" w:sz="8" w:space="0" w:color="0068B5"/>
            </w:tcBorders>
            <w:shd w:val="clear" w:color="auto" w:fill="auto"/>
            <w:tcMar>
              <w:top w:w="40" w:type="dxa"/>
              <w:left w:w="0" w:type="dxa"/>
              <w:bottom w:w="40" w:type="dxa"/>
              <w:right w:w="20" w:type="dxa"/>
            </w:tcMar>
            <w:vAlign w:val="bottom"/>
          </w:tcPr>
          <w:p w14:paraId="67534E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6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E65"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E66" w14:textId="77777777" w:rsidR="001B77DD" w:rsidRDefault="00BF0A28">
            <w:pPr>
              <w:jc w:val="right"/>
              <w:textAlignment w:val="bottom"/>
            </w:pPr>
            <w:r>
              <w:rPr>
                <w:rFonts w:ascii="Arial" w:eastAsia="宋体" w:hAnsi="Arial" w:cs="Arial"/>
                <w:color w:val="262626"/>
                <w:sz w:val="18"/>
                <w:szCs w:val="18"/>
              </w:rPr>
              <w:t>(133)</w:t>
            </w:r>
          </w:p>
        </w:tc>
        <w:tc>
          <w:tcPr>
            <w:tcW w:w="0" w:type="auto"/>
            <w:tcBorders>
              <w:top w:val="single" w:sz="8" w:space="0" w:color="0068B5"/>
            </w:tcBorders>
            <w:shd w:val="clear" w:color="auto" w:fill="auto"/>
            <w:tcMar>
              <w:top w:w="40" w:type="dxa"/>
              <w:left w:w="0" w:type="dxa"/>
              <w:bottom w:w="40" w:type="dxa"/>
              <w:right w:w="20" w:type="dxa"/>
            </w:tcMar>
            <w:vAlign w:val="bottom"/>
          </w:tcPr>
          <w:p w14:paraId="67534E6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68"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E69"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E6A" w14:textId="77777777" w:rsidR="001B77DD" w:rsidRDefault="00BF0A28">
            <w:pPr>
              <w:jc w:val="right"/>
              <w:textAlignment w:val="bottom"/>
            </w:pPr>
            <w:r>
              <w:rPr>
                <w:rFonts w:ascii="Arial" w:eastAsia="宋体" w:hAnsi="Arial" w:cs="Arial"/>
                <w:color w:val="262626"/>
                <w:sz w:val="18"/>
                <w:szCs w:val="18"/>
              </w:rPr>
              <w:t>277 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E6B" w14:textId="77777777" w:rsidR="001B77DD" w:rsidRDefault="001B77DD">
            <w:pPr>
              <w:jc w:val="right"/>
              <w:rPr>
                <w:rFonts w:ascii="宋体"/>
              </w:rPr>
            </w:pPr>
          </w:p>
        </w:tc>
      </w:tr>
      <w:tr w:rsidR="001B77DD" w14:paraId="67534E77" w14:textId="77777777">
        <w:tc>
          <w:tcPr>
            <w:tcW w:w="0" w:type="auto"/>
            <w:gridSpan w:val="3"/>
            <w:shd w:val="clear" w:color="auto" w:fill="auto"/>
            <w:tcMar>
              <w:top w:w="40" w:type="dxa"/>
              <w:left w:w="20" w:type="dxa"/>
              <w:bottom w:w="40" w:type="dxa"/>
              <w:right w:w="20" w:type="dxa"/>
            </w:tcMar>
            <w:vAlign w:val="bottom"/>
          </w:tcPr>
          <w:p w14:paraId="67534E6D" w14:textId="77777777" w:rsidR="001B77DD" w:rsidRDefault="00BF0A28">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vAlign w:val="bottom"/>
          </w:tcPr>
          <w:p w14:paraId="67534E6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6F" w14:textId="77777777" w:rsidR="001B77DD" w:rsidRDefault="00BF0A2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67534E7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7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72" w14:textId="77777777" w:rsidR="001B77DD" w:rsidRDefault="00BF0A28">
            <w:pPr>
              <w:jc w:val="right"/>
              <w:textAlignment w:val="bottom"/>
            </w:pPr>
            <w:r>
              <w:rPr>
                <w:rFonts w:ascii="Arial" w:eastAsia="宋体" w:hAnsi="Arial" w:cs="Arial"/>
                <w:color w:val="262626"/>
                <w:sz w:val="18"/>
                <w:szCs w:val="18"/>
              </w:rPr>
              <w:t>176 </w:t>
            </w:r>
          </w:p>
        </w:tc>
        <w:tc>
          <w:tcPr>
            <w:tcW w:w="0" w:type="auto"/>
            <w:shd w:val="clear" w:color="auto" w:fill="auto"/>
            <w:tcMar>
              <w:top w:w="40" w:type="dxa"/>
              <w:left w:w="0" w:type="dxa"/>
              <w:bottom w:w="40" w:type="dxa"/>
              <w:right w:w="20" w:type="dxa"/>
            </w:tcMar>
            <w:vAlign w:val="bottom"/>
          </w:tcPr>
          <w:p w14:paraId="67534E7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7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75" w14:textId="77777777" w:rsidR="001B77DD" w:rsidRDefault="00BF0A28">
            <w:pPr>
              <w:jc w:val="right"/>
              <w:textAlignment w:val="bottom"/>
            </w:pPr>
            <w:r>
              <w:rPr>
                <w:rFonts w:ascii="Arial" w:eastAsia="宋体" w:hAnsi="Arial" w:cs="Arial"/>
                <w:color w:val="262626"/>
                <w:sz w:val="18"/>
                <w:szCs w:val="18"/>
              </w:rPr>
              <w:t>293 </w:t>
            </w:r>
          </w:p>
        </w:tc>
        <w:tc>
          <w:tcPr>
            <w:tcW w:w="0" w:type="auto"/>
            <w:shd w:val="clear" w:color="auto" w:fill="auto"/>
            <w:tcMar>
              <w:top w:w="40" w:type="dxa"/>
              <w:left w:w="0" w:type="dxa"/>
              <w:bottom w:w="40" w:type="dxa"/>
              <w:right w:w="20" w:type="dxa"/>
            </w:tcMar>
            <w:vAlign w:val="bottom"/>
          </w:tcPr>
          <w:p w14:paraId="67534E76" w14:textId="77777777" w:rsidR="001B77DD" w:rsidRDefault="001B77DD">
            <w:pPr>
              <w:jc w:val="right"/>
              <w:rPr>
                <w:rFonts w:ascii="宋体"/>
              </w:rPr>
            </w:pPr>
          </w:p>
        </w:tc>
      </w:tr>
      <w:tr w:rsidR="001B77DD" w14:paraId="67534E82" w14:textId="77777777">
        <w:tc>
          <w:tcPr>
            <w:tcW w:w="0" w:type="auto"/>
            <w:gridSpan w:val="3"/>
            <w:shd w:val="clear" w:color="auto" w:fill="auto"/>
            <w:tcMar>
              <w:top w:w="40" w:type="dxa"/>
              <w:left w:w="20" w:type="dxa"/>
              <w:bottom w:w="40" w:type="dxa"/>
              <w:right w:w="20" w:type="dxa"/>
            </w:tcMar>
            <w:vAlign w:val="bottom"/>
          </w:tcPr>
          <w:p w14:paraId="67534E78" w14:textId="77777777" w:rsidR="001B77DD" w:rsidRDefault="00BF0A28">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67534E7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7A" w14:textId="77777777" w:rsidR="001B77DD" w:rsidRDefault="00BF0A28">
            <w:pPr>
              <w:jc w:val="right"/>
              <w:textAlignment w:val="bottom"/>
            </w:pPr>
            <w:r>
              <w:rPr>
                <w:rFonts w:ascii="Arial" w:eastAsia="宋体" w:hAnsi="Arial" w:cs="Arial"/>
                <w:color w:val="0068B5"/>
                <w:sz w:val="18"/>
                <w:szCs w:val="18"/>
              </w:rPr>
              <w:t>(154)</w:t>
            </w:r>
          </w:p>
        </w:tc>
        <w:tc>
          <w:tcPr>
            <w:tcW w:w="0" w:type="auto"/>
            <w:shd w:val="clear" w:color="auto" w:fill="auto"/>
            <w:tcMar>
              <w:top w:w="40" w:type="dxa"/>
              <w:left w:w="0" w:type="dxa"/>
              <w:bottom w:w="40" w:type="dxa"/>
              <w:right w:w="20" w:type="dxa"/>
            </w:tcMar>
            <w:vAlign w:val="bottom"/>
          </w:tcPr>
          <w:p w14:paraId="67534E7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7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7D" w14:textId="77777777" w:rsidR="001B77DD" w:rsidRDefault="00BF0A28">
            <w:pPr>
              <w:jc w:val="right"/>
              <w:textAlignment w:val="bottom"/>
            </w:pPr>
            <w:r>
              <w:rPr>
                <w:rFonts w:ascii="Arial" w:eastAsia="宋体" w:hAnsi="Arial" w:cs="Arial"/>
                <w:color w:val="262626"/>
                <w:sz w:val="18"/>
                <w:szCs w:val="18"/>
              </w:rPr>
              <w:t>(303)</w:t>
            </w:r>
          </w:p>
        </w:tc>
        <w:tc>
          <w:tcPr>
            <w:tcW w:w="0" w:type="auto"/>
            <w:shd w:val="clear" w:color="auto" w:fill="auto"/>
            <w:tcMar>
              <w:top w:w="40" w:type="dxa"/>
              <w:left w:w="0" w:type="dxa"/>
              <w:bottom w:w="40" w:type="dxa"/>
              <w:right w:w="20" w:type="dxa"/>
            </w:tcMar>
            <w:vAlign w:val="bottom"/>
          </w:tcPr>
          <w:p w14:paraId="67534E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7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80" w14:textId="77777777" w:rsidR="001B77DD" w:rsidRDefault="00BF0A28">
            <w:pPr>
              <w:jc w:val="right"/>
              <w:textAlignment w:val="bottom"/>
            </w:pPr>
            <w:r>
              <w:rPr>
                <w:rFonts w:ascii="Arial" w:eastAsia="宋体" w:hAnsi="Arial" w:cs="Arial"/>
                <w:color w:val="262626"/>
                <w:sz w:val="18"/>
                <w:szCs w:val="18"/>
              </w:rPr>
              <w:t>(122)</w:t>
            </w:r>
          </w:p>
        </w:tc>
        <w:tc>
          <w:tcPr>
            <w:tcW w:w="0" w:type="auto"/>
            <w:shd w:val="clear" w:color="auto" w:fill="auto"/>
            <w:tcMar>
              <w:top w:w="40" w:type="dxa"/>
              <w:left w:w="0" w:type="dxa"/>
              <w:bottom w:w="40" w:type="dxa"/>
              <w:right w:w="20" w:type="dxa"/>
            </w:tcMar>
            <w:vAlign w:val="bottom"/>
          </w:tcPr>
          <w:p w14:paraId="67534E81" w14:textId="77777777" w:rsidR="001B77DD" w:rsidRDefault="001B77DD">
            <w:pPr>
              <w:jc w:val="right"/>
              <w:rPr>
                <w:rFonts w:ascii="宋体"/>
              </w:rPr>
            </w:pPr>
          </w:p>
        </w:tc>
      </w:tr>
      <w:tr w:rsidR="001B77DD" w14:paraId="67534E8D" w14:textId="77777777">
        <w:tc>
          <w:tcPr>
            <w:tcW w:w="0" w:type="auto"/>
            <w:gridSpan w:val="3"/>
            <w:shd w:val="clear" w:color="auto" w:fill="auto"/>
            <w:tcMar>
              <w:top w:w="40" w:type="dxa"/>
              <w:left w:w="20" w:type="dxa"/>
              <w:bottom w:w="40" w:type="dxa"/>
              <w:right w:w="20" w:type="dxa"/>
            </w:tcMar>
            <w:vAlign w:val="bottom"/>
          </w:tcPr>
          <w:p w14:paraId="67534E83" w14:textId="77777777" w:rsidR="001B77DD" w:rsidRDefault="00BF0A28">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vAlign w:val="bottom"/>
          </w:tcPr>
          <w:p w14:paraId="67534E8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85" w14:textId="77777777" w:rsidR="001B77DD" w:rsidRDefault="00BF0A28">
            <w:pPr>
              <w:jc w:val="right"/>
              <w:textAlignment w:val="bottom"/>
            </w:pPr>
            <w:r>
              <w:rPr>
                <w:rFonts w:ascii="Arial" w:eastAsia="宋体" w:hAnsi="Arial" w:cs="Arial"/>
                <w:color w:val="0068B5"/>
                <w:sz w:val="18"/>
                <w:szCs w:val="18"/>
              </w:rPr>
              <w:t>2,263 </w:t>
            </w:r>
          </w:p>
        </w:tc>
        <w:tc>
          <w:tcPr>
            <w:tcW w:w="0" w:type="auto"/>
            <w:shd w:val="clear" w:color="auto" w:fill="auto"/>
            <w:tcMar>
              <w:top w:w="40" w:type="dxa"/>
              <w:left w:w="0" w:type="dxa"/>
              <w:bottom w:w="40" w:type="dxa"/>
              <w:right w:w="20" w:type="dxa"/>
            </w:tcMar>
            <w:vAlign w:val="bottom"/>
          </w:tcPr>
          <w:p w14:paraId="67534E8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8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88" w14:textId="77777777" w:rsidR="001B77DD" w:rsidRDefault="00BF0A28">
            <w:pPr>
              <w:jc w:val="right"/>
              <w:textAlignment w:val="bottom"/>
            </w:pPr>
            <w:r>
              <w:rPr>
                <w:rFonts w:ascii="Arial" w:eastAsia="宋体" w:hAnsi="Arial" w:cs="Arial"/>
                <w:color w:val="262626"/>
                <w:sz w:val="18"/>
                <w:szCs w:val="18"/>
              </w:rPr>
              <w:t>2,164 </w:t>
            </w:r>
          </w:p>
        </w:tc>
        <w:tc>
          <w:tcPr>
            <w:tcW w:w="0" w:type="auto"/>
            <w:shd w:val="clear" w:color="auto" w:fill="auto"/>
            <w:tcMar>
              <w:top w:w="40" w:type="dxa"/>
              <w:left w:w="0" w:type="dxa"/>
              <w:bottom w:w="40" w:type="dxa"/>
              <w:right w:w="20" w:type="dxa"/>
            </w:tcMar>
            <w:vAlign w:val="bottom"/>
          </w:tcPr>
          <w:p w14:paraId="67534E8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8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8B" w14:textId="77777777" w:rsidR="001B77DD" w:rsidRDefault="00BF0A28">
            <w:pPr>
              <w:jc w:val="right"/>
              <w:textAlignment w:val="bottom"/>
            </w:pPr>
            <w:r>
              <w:rPr>
                <w:rFonts w:ascii="Arial" w:eastAsia="宋体" w:hAnsi="Arial" w:cs="Arial"/>
                <w:color w:val="262626"/>
                <w:sz w:val="18"/>
                <w:szCs w:val="18"/>
              </w:rPr>
              <w:t>1,091 </w:t>
            </w:r>
          </w:p>
        </w:tc>
        <w:tc>
          <w:tcPr>
            <w:tcW w:w="0" w:type="auto"/>
            <w:shd w:val="clear" w:color="auto" w:fill="auto"/>
            <w:tcMar>
              <w:top w:w="40" w:type="dxa"/>
              <w:left w:w="0" w:type="dxa"/>
              <w:bottom w:w="40" w:type="dxa"/>
              <w:right w:w="20" w:type="dxa"/>
            </w:tcMar>
            <w:vAlign w:val="bottom"/>
          </w:tcPr>
          <w:p w14:paraId="67534E8C" w14:textId="77777777" w:rsidR="001B77DD" w:rsidRDefault="001B77DD">
            <w:pPr>
              <w:jc w:val="right"/>
              <w:rPr>
                <w:rFonts w:ascii="宋体"/>
              </w:rPr>
            </w:pPr>
          </w:p>
        </w:tc>
      </w:tr>
      <w:tr w:rsidR="001B77DD" w14:paraId="67534E9B" w14:textId="77777777">
        <w:tc>
          <w:tcPr>
            <w:tcW w:w="0" w:type="auto"/>
            <w:gridSpan w:val="3"/>
            <w:shd w:val="clear" w:color="auto" w:fill="auto"/>
            <w:tcMar>
              <w:top w:w="40" w:type="dxa"/>
              <w:left w:w="20" w:type="dxa"/>
              <w:bottom w:w="40" w:type="dxa"/>
              <w:right w:w="20" w:type="dxa"/>
            </w:tcMar>
            <w:vAlign w:val="bottom"/>
          </w:tcPr>
          <w:p w14:paraId="67534E8E" w14:textId="77777777" w:rsidR="001B77DD" w:rsidRDefault="00BF0A28">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7534E8F"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4E90"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E91" w14:textId="77777777" w:rsidR="001B77DD" w:rsidRDefault="00BF0A28">
            <w:pPr>
              <w:jc w:val="right"/>
              <w:textAlignment w:val="bottom"/>
            </w:pPr>
            <w:r>
              <w:rPr>
                <w:rFonts w:ascii="Arial" w:eastAsia="宋体" w:hAnsi="Arial" w:cs="Arial"/>
                <w:b/>
                <w:bCs/>
                <w:color w:val="0068B5"/>
                <w:sz w:val="18"/>
                <w:szCs w:val="18"/>
              </w:rPr>
              <w:t>2,729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E9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93"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4E94"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E95" w14:textId="77777777" w:rsidR="001B77DD" w:rsidRDefault="00BF0A28">
            <w:pPr>
              <w:jc w:val="right"/>
              <w:textAlignment w:val="bottom"/>
            </w:pPr>
            <w:r>
              <w:rPr>
                <w:rFonts w:ascii="Arial" w:eastAsia="宋体" w:hAnsi="Arial" w:cs="Arial"/>
                <w:b/>
                <w:bCs/>
                <w:color w:val="262626"/>
                <w:sz w:val="18"/>
                <w:szCs w:val="18"/>
              </w:rPr>
              <w:t>1,904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E9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97"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4E98"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E99" w14:textId="77777777" w:rsidR="001B77DD" w:rsidRDefault="00BF0A28">
            <w:pPr>
              <w:jc w:val="right"/>
              <w:textAlignment w:val="bottom"/>
            </w:pPr>
            <w:r>
              <w:rPr>
                <w:rFonts w:ascii="Arial" w:eastAsia="宋体" w:hAnsi="Arial" w:cs="Arial"/>
                <w:b/>
                <w:bCs/>
                <w:color w:val="262626"/>
                <w:sz w:val="18"/>
                <w:szCs w:val="18"/>
              </w:rPr>
              <w:t>1,539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E9A" w14:textId="77777777" w:rsidR="001B77DD" w:rsidRDefault="001B77DD">
            <w:pPr>
              <w:jc w:val="right"/>
              <w:rPr>
                <w:rFonts w:ascii="宋体"/>
              </w:rPr>
            </w:pPr>
          </w:p>
        </w:tc>
      </w:tr>
      <w:tr w:rsidR="001B77DD" w14:paraId="67534EA3" w14:textId="77777777">
        <w:trPr>
          <w:hidden/>
        </w:trPr>
        <w:tc>
          <w:tcPr>
            <w:tcW w:w="0" w:type="auto"/>
            <w:gridSpan w:val="3"/>
            <w:shd w:val="clear" w:color="auto" w:fill="auto"/>
            <w:vAlign w:val="bottom"/>
          </w:tcPr>
          <w:p w14:paraId="67534E9C" w14:textId="77777777" w:rsidR="001B77DD" w:rsidRDefault="001B77DD">
            <w:pPr>
              <w:rPr>
                <w:rFonts w:ascii="宋体"/>
                <w:vanish/>
              </w:rPr>
            </w:pPr>
          </w:p>
        </w:tc>
        <w:tc>
          <w:tcPr>
            <w:tcW w:w="0" w:type="auto"/>
            <w:gridSpan w:val="3"/>
            <w:shd w:val="clear" w:color="auto" w:fill="auto"/>
            <w:vAlign w:val="bottom"/>
          </w:tcPr>
          <w:p w14:paraId="67534E9D" w14:textId="77777777" w:rsidR="001B77DD" w:rsidRDefault="001B77DD">
            <w:pPr>
              <w:rPr>
                <w:rFonts w:ascii="宋体"/>
                <w:vanish/>
              </w:rPr>
            </w:pPr>
          </w:p>
        </w:tc>
        <w:tc>
          <w:tcPr>
            <w:tcW w:w="0" w:type="auto"/>
            <w:gridSpan w:val="3"/>
            <w:shd w:val="clear" w:color="auto" w:fill="auto"/>
            <w:vAlign w:val="bottom"/>
          </w:tcPr>
          <w:p w14:paraId="67534E9E" w14:textId="77777777" w:rsidR="001B77DD" w:rsidRDefault="001B77DD">
            <w:pPr>
              <w:rPr>
                <w:rFonts w:ascii="宋体"/>
                <w:vanish/>
              </w:rPr>
            </w:pPr>
          </w:p>
        </w:tc>
        <w:tc>
          <w:tcPr>
            <w:tcW w:w="0" w:type="auto"/>
            <w:gridSpan w:val="3"/>
            <w:shd w:val="clear" w:color="auto" w:fill="auto"/>
            <w:vAlign w:val="bottom"/>
          </w:tcPr>
          <w:p w14:paraId="67534E9F" w14:textId="77777777" w:rsidR="001B77DD" w:rsidRDefault="001B77DD">
            <w:pPr>
              <w:rPr>
                <w:rFonts w:ascii="宋体"/>
                <w:vanish/>
              </w:rPr>
            </w:pPr>
          </w:p>
        </w:tc>
        <w:tc>
          <w:tcPr>
            <w:tcW w:w="0" w:type="auto"/>
            <w:gridSpan w:val="3"/>
            <w:shd w:val="clear" w:color="auto" w:fill="auto"/>
            <w:vAlign w:val="bottom"/>
          </w:tcPr>
          <w:p w14:paraId="67534EA0" w14:textId="77777777" w:rsidR="001B77DD" w:rsidRDefault="001B77DD">
            <w:pPr>
              <w:rPr>
                <w:rFonts w:ascii="宋体"/>
                <w:vanish/>
              </w:rPr>
            </w:pPr>
          </w:p>
        </w:tc>
        <w:tc>
          <w:tcPr>
            <w:tcW w:w="0" w:type="auto"/>
            <w:gridSpan w:val="3"/>
            <w:shd w:val="clear" w:color="auto" w:fill="auto"/>
            <w:vAlign w:val="bottom"/>
          </w:tcPr>
          <w:p w14:paraId="67534EA1" w14:textId="77777777" w:rsidR="001B77DD" w:rsidRDefault="001B77DD">
            <w:pPr>
              <w:rPr>
                <w:rFonts w:ascii="宋体"/>
                <w:vanish/>
              </w:rPr>
            </w:pPr>
          </w:p>
        </w:tc>
        <w:tc>
          <w:tcPr>
            <w:tcW w:w="0" w:type="auto"/>
            <w:gridSpan w:val="3"/>
            <w:shd w:val="clear" w:color="auto" w:fill="auto"/>
            <w:vAlign w:val="bottom"/>
          </w:tcPr>
          <w:p w14:paraId="67534EA2" w14:textId="77777777" w:rsidR="001B77DD" w:rsidRDefault="001B77DD">
            <w:pPr>
              <w:rPr>
                <w:rFonts w:ascii="宋体"/>
                <w:vanish/>
              </w:rPr>
            </w:pPr>
          </w:p>
        </w:tc>
      </w:tr>
      <w:tr w:rsidR="001B77DD" w14:paraId="67534EB1" w14:textId="77777777">
        <w:tc>
          <w:tcPr>
            <w:tcW w:w="0" w:type="auto"/>
            <w:gridSpan w:val="3"/>
            <w:shd w:val="clear" w:color="auto" w:fill="auto"/>
            <w:tcMar>
              <w:top w:w="40" w:type="dxa"/>
              <w:left w:w="20" w:type="dxa"/>
              <w:bottom w:w="40" w:type="dxa"/>
              <w:right w:w="20" w:type="dxa"/>
            </w:tcMar>
            <w:vAlign w:val="bottom"/>
          </w:tcPr>
          <w:p w14:paraId="67534EA4" w14:textId="77777777" w:rsidR="001B77DD" w:rsidRDefault="00BF0A28">
            <w:pPr>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7534EA5"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4EA6" w14:textId="77777777" w:rsidR="001B77DD" w:rsidRDefault="00BF0A2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4EA7" w14:textId="77777777" w:rsidR="001B77DD" w:rsidRDefault="00BF0A28">
            <w:pPr>
              <w:jc w:val="right"/>
              <w:textAlignment w:val="bottom"/>
            </w:pPr>
            <w:r>
              <w:rPr>
                <w:rFonts w:ascii="Arial" w:eastAsia="宋体" w:hAnsi="Arial" w:cs="Arial"/>
                <w:b/>
                <w:bCs/>
                <w:color w:val="0068B5"/>
                <w:sz w:val="18"/>
                <w:szCs w:val="18"/>
              </w:rPr>
              <w:t>(482)</w:t>
            </w:r>
          </w:p>
        </w:tc>
        <w:tc>
          <w:tcPr>
            <w:tcW w:w="0" w:type="auto"/>
            <w:tcBorders>
              <w:top w:val="double" w:sz="6" w:space="0" w:color="262626"/>
            </w:tcBorders>
            <w:shd w:val="clear" w:color="auto" w:fill="auto"/>
            <w:tcMar>
              <w:top w:w="40" w:type="dxa"/>
              <w:left w:w="0" w:type="dxa"/>
              <w:bottom w:w="40" w:type="dxa"/>
              <w:right w:w="20" w:type="dxa"/>
            </w:tcMar>
            <w:vAlign w:val="bottom"/>
          </w:tcPr>
          <w:p w14:paraId="67534EA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A9"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4EAA"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4EAB" w14:textId="77777777" w:rsidR="001B77DD" w:rsidRDefault="00BF0A28">
            <w:pPr>
              <w:jc w:val="right"/>
              <w:textAlignment w:val="bottom"/>
            </w:pPr>
            <w:r>
              <w:rPr>
                <w:rFonts w:ascii="Arial" w:eastAsia="宋体" w:hAnsi="Arial" w:cs="Arial"/>
                <w:b/>
                <w:bCs/>
                <w:color w:val="262626"/>
                <w:sz w:val="18"/>
                <w:szCs w:val="18"/>
              </w:rPr>
              <w:t>(504)</w:t>
            </w:r>
          </w:p>
        </w:tc>
        <w:tc>
          <w:tcPr>
            <w:tcW w:w="0" w:type="auto"/>
            <w:tcBorders>
              <w:top w:val="double" w:sz="6" w:space="0" w:color="262626"/>
            </w:tcBorders>
            <w:shd w:val="clear" w:color="auto" w:fill="auto"/>
            <w:tcMar>
              <w:top w:w="40" w:type="dxa"/>
              <w:left w:w="0" w:type="dxa"/>
              <w:bottom w:w="40" w:type="dxa"/>
              <w:right w:w="20" w:type="dxa"/>
            </w:tcMar>
            <w:vAlign w:val="bottom"/>
          </w:tcPr>
          <w:p w14:paraId="67534EA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AD"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4EAE"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4EAF" w14:textId="77777777" w:rsidR="001B77DD" w:rsidRDefault="00BF0A28">
            <w:pPr>
              <w:jc w:val="right"/>
              <w:textAlignment w:val="bottom"/>
            </w:pPr>
            <w:r>
              <w:rPr>
                <w:rFonts w:ascii="Arial" w:eastAsia="宋体" w:hAnsi="Arial" w:cs="Arial"/>
                <w:b/>
                <w:bCs/>
                <w:color w:val="262626"/>
                <w:sz w:val="18"/>
                <w:szCs w:val="18"/>
              </w:rPr>
              <w:t>484</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7534EB0" w14:textId="77777777" w:rsidR="001B77DD" w:rsidRDefault="001B77DD">
            <w:pPr>
              <w:jc w:val="right"/>
              <w:rPr>
                <w:rFonts w:ascii="宋体"/>
              </w:rPr>
            </w:pPr>
          </w:p>
        </w:tc>
      </w:tr>
    </w:tbl>
    <w:p w14:paraId="67534EB2" w14:textId="77777777" w:rsidR="001B77DD" w:rsidRDefault="00BF0A28">
      <w:pPr>
        <w:spacing w:after="120"/>
      </w:pPr>
      <w:r>
        <w:rPr>
          <w:rFonts w:ascii="Arial" w:eastAsia="宋体" w:hAnsi="Arial" w:cs="Arial"/>
          <w:color w:val="0068B5"/>
        </w:rPr>
        <w:t xml:space="preserve">Gains (Losses) on Equity Investments, Net </w:t>
      </w:r>
    </w:p>
    <w:p w14:paraId="67534EB3" w14:textId="77777777" w:rsidR="001B77DD" w:rsidRDefault="00BF0A28">
      <w:pPr>
        <w:spacing w:after="180"/>
      </w:pPr>
      <w:r>
        <w:rPr>
          <w:rFonts w:ascii="Arial" w:eastAsia="宋体" w:hAnsi="Arial" w:cs="Arial"/>
          <w:color w:val="262626"/>
          <w:sz w:val="18"/>
          <w:szCs w:val="18"/>
        </w:rPr>
        <w:t>Ongoing mark-to-market net gains and losses reported during 2021 were primarily driven by Montage Technology, Co. Ltd. (Montage); 2020 and 2019 net gains and losse</w:t>
      </w:r>
      <w:r>
        <w:rPr>
          <w:rFonts w:ascii="Arial" w:eastAsia="宋体" w:hAnsi="Arial" w:cs="Arial"/>
          <w:color w:val="262626"/>
          <w:sz w:val="18"/>
          <w:szCs w:val="18"/>
        </w:rPr>
        <w:t xml:space="preserve">s were primarily driven by Montage and Cloudera. We sold our interest in Cloudera in 2020. </w:t>
      </w:r>
    </w:p>
    <w:p w14:paraId="67534EB4" w14:textId="77777777" w:rsidR="001B77DD" w:rsidRDefault="00BF0A28">
      <w:pPr>
        <w:spacing w:after="180"/>
      </w:pPr>
      <w:r>
        <w:rPr>
          <w:rFonts w:ascii="Arial" w:eastAsia="宋体" w:hAnsi="Arial" w:cs="Arial"/>
          <w:color w:val="262626"/>
          <w:sz w:val="18"/>
          <w:szCs w:val="18"/>
        </w:rPr>
        <w:t>In the first quarter of 2021, we recognized $471 million in observable price adjustments in our investment in Beijing Unisoc Technology Ltd.</w:t>
      </w:r>
    </w:p>
    <w:p w14:paraId="67534EB5" w14:textId="77777777" w:rsidR="001B77DD" w:rsidRDefault="00BF0A28">
      <w:pPr>
        <w:spacing w:after="180"/>
      </w:pPr>
      <w:r>
        <w:rPr>
          <w:rFonts w:ascii="Arial" w:eastAsia="宋体" w:hAnsi="Arial" w:cs="Arial"/>
          <w:color w:val="262626"/>
          <w:sz w:val="18"/>
          <w:szCs w:val="18"/>
        </w:rPr>
        <w:t>In sale of equity inves</w:t>
      </w:r>
      <w:r>
        <w:rPr>
          <w:rFonts w:ascii="Arial" w:eastAsia="宋体" w:hAnsi="Arial" w:cs="Arial"/>
          <w:color w:val="262626"/>
          <w:sz w:val="18"/>
          <w:szCs w:val="18"/>
        </w:rPr>
        <w:t>tments and other, we recognized $447 million of initial fair value adjustments related to four companies that went public in 2021; in 2020 we recognized $1.1 billion from Montage becoming marketable and $606 million related to four other equity investments</w:t>
      </w:r>
      <w:r>
        <w:rPr>
          <w:rFonts w:ascii="Arial" w:eastAsia="宋体" w:hAnsi="Arial" w:cs="Arial"/>
          <w:color w:val="262626"/>
          <w:sz w:val="18"/>
          <w:szCs w:val="18"/>
        </w:rPr>
        <w:t xml:space="preserve"> that went public. During 2021, we recognized McAfee Corp. (McAfee) dividends of $1.3 billion, which included a special dividend of $1.1 billion paid in connection with the sale of McAfee's Enterprise Business to Symphony Technology Group, and recognized $</w:t>
      </w:r>
      <w:r>
        <w:rPr>
          <w:rFonts w:ascii="Arial" w:eastAsia="宋体" w:hAnsi="Arial" w:cs="Arial"/>
          <w:color w:val="262626"/>
          <w:sz w:val="18"/>
          <w:szCs w:val="18"/>
        </w:rPr>
        <w:t>228 million related to the partial sale of our investment in McAfee. We recognized McAfee dividends of $126 million in 2020 and $632 million in 2019. In November 2021, McAfee announced an agreement to be acquired by an investor group, which is subject to c</w:t>
      </w:r>
      <w:r>
        <w:rPr>
          <w:rFonts w:ascii="Arial" w:eastAsia="宋体" w:hAnsi="Arial" w:cs="Arial"/>
          <w:color w:val="262626"/>
          <w:sz w:val="18"/>
          <w:szCs w:val="18"/>
        </w:rPr>
        <w:t>losing conditions.</w:t>
      </w:r>
    </w:p>
    <w:p w14:paraId="67534EB6" w14:textId="77777777" w:rsidR="001B77DD" w:rsidRDefault="00BF0A28">
      <w:pPr>
        <w:spacing w:before="180" w:after="120"/>
      </w:pPr>
      <w:r>
        <w:rPr>
          <w:rFonts w:ascii="Arial" w:eastAsia="宋体" w:hAnsi="Arial" w:cs="Arial"/>
          <w:color w:val="0068B5"/>
        </w:rPr>
        <w:t>Interest and Other, Net</w:t>
      </w:r>
    </w:p>
    <w:p w14:paraId="67534EB7" w14:textId="77777777" w:rsidR="001B77DD" w:rsidRDefault="00BF0A28">
      <w:pPr>
        <w:spacing w:after="180"/>
      </w:pPr>
      <w:r>
        <w:rPr>
          <w:rFonts w:ascii="Arial" w:eastAsia="宋体" w:hAnsi="Arial" w:cs="Arial"/>
          <w:color w:val="262626"/>
          <w:sz w:val="18"/>
          <w:szCs w:val="18"/>
        </w:rPr>
        <w:t>The net loss in interest and other, net in 2021 was relatively flat compared to 2020.</w:t>
      </w:r>
    </w:p>
    <w:p w14:paraId="67534EB8" w14:textId="77777777" w:rsidR="001B77DD" w:rsidRDefault="00BF0A28">
      <w:pPr>
        <w:spacing w:after="180"/>
      </w:pPr>
      <w:r>
        <w:rPr>
          <w:rFonts w:ascii="Arial" w:eastAsia="宋体" w:hAnsi="Arial" w:cs="Arial"/>
          <w:color w:val="262626"/>
          <w:sz w:val="18"/>
          <w:szCs w:val="18"/>
        </w:rPr>
        <w:t xml:space="preserve">We recognized a net loss in interest and other, net in 2020 compared to a net gain in 2019, primarily due to lower divestiture </w:t>
      </w:r>
      <w:r>
        <w:rPr>
          <w:rFonts w:ascii="Arial" w:eastAsia="宋体" w:hAnsi="Arial" w:cs="Arial"/>
          <w:color w:val="262626"/>
          <w:sz w:val="18"/>
          <w:szCs w:val="18"/>
        </w:rPr>
        <w:t>gains in 2020 compared to 2019.</w:t>
      </w:r>
    </w:p>
    <w:p w14:paraId="67534EB9" w14:textId="77777777" w:rsidR="001B77DD" w:rsidRDefault="00BF0A28">
      <w:pPr>
        <w:spacing w:before="180" w:after="180"/>
      </w:pPr>
      <w:r>
        <w:rPr>
          <w:rFonts w:ascii="Arial" w:eastAsia="宋体" w:hAnsi="Arial" w:cs="Arial"/>
          <w:color w:val="0068B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4942"/>
        <w:gridCol w:w="36"/>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1B77DD" w14:paraId="67534ECF" w14:textId="77777777">
        <w:tc>
          <w:tcPr>
            <w:tcW w:w="50" w:type="pct"/>
            <w:shd w:val="clear" w:color="auto" w:fill="auto"/>
            <w:vAlign w:val="bottom"/>
          </w:tcPr>
          <w:p w14:paraId="67534EBA" w14:textId="77777777" w:rsidR="001B77DD" w:rsidRDefault="001B77DD">
            <w:pPr>
              <w:rPr>
                <w:rFonts w:ascii="宋体"/>
              </w:rPr>
            </w:pPr>
          </w:p>
        </w:tc>
        <w:tc>
          <w:tcPr>
            <w:tcW w:w="3059" w:type="pct"/>
            <w:shd w:val="clear" w:color="auto" w:fill="auto"/>
            <w:vAlign w:val="bottom"/>
          </w:tcPr>
          <w:p w14:paraId="67534EBB" w14:textId="77777777" w:rsidR="001B77DD" w:rsidRDefault="001B77DD">
            <w:pPr>
              <w:rPr>
                <w:rFonts w:ascii="宋体"/>
              </w:rPr>
            </w:pPr>
          </w:p>
        </w:tc>
        <w:tc>
          <w:tcPr>
            <w:tcW w:w="5" w:type="pct"/>
            <w:shd w:val="clear" w:color="auto" w:fill="auto"/>
            <w:vAlign w:val="bottom"/>
          </w:tcPr>
          <w:p w14:paraId="67534EBC" w14:textId="77777777" w:rsidR="001B77DD" w:rsidRDefault="001B77DD">
            <w:pPr>
              <w:rPr>
                <w:rFonts w:ascii="宋体"/>
              </w:rPr>
            </w:pPr>
          </w:p>
        </w:tc>
        <w:tc>
          <w:tcPr>
            <w:tcW w:w="5" w:type="pct"/>
            <w:shd w:val="clear" w:color="auto" w:fill="auto"/>
            <w:vAlign w:val="bottom"/>
          </w:tcPr>
          <w:p w14:paraId="67534EBD" w14:textId="77777777" w:rsidR="001B77DD" w:rsidRDefault="001B77DD">
            <w:pPr>
              <w:rPr>
                <w:rFonts w:ascii="宋体"/>
              </w:rPr>
            </w:pPr>
          </w:p>
        </w:tc>
        <w:tc>
          <w:tcPr>
            <w:tcW w:w="24" w:type="pct"/>
            <w:shd w:val="clear" w:color="auto" w:fill="auto"/>
            <w:vAlign w:val="bottom"/>
          </w:tcPr>
          <w:p w14:paraId="67534EBE" w14:textId="77777777" w:rsidR="001B77DD" w:rsidRDefault="001B77DD">
            <w:pPr>
              <w:rPr>
                <w:rFonts w:ascii="宋体"/>
              </w:rPr>
            </w:pPr>
          </w:p>
        </w:tc>
        <w:tc>
          <w:tcPr>
            <w:tcW w:w="5" w:type="pct"/>
            <w:shd w:val="clear" w:color="auto" w:fill="auto"/>
            <w:vAlign w:val="bottom"/>
          </w:tcPr>
          <w:p w14:paraId="67534EBF" w14:textId="77777777" w:rsidR="001B77DD" w:rsidRDefault="001B77DD">
            <w:pPr>
              <w:rPr>
                <w:rFonts w:ascii="宋体"/>
              </w:rPr>
            </w:pPr>
          </w:p>
        </w:tc>
        <w:tc>
          <w:tcPr>
            <w:tcW w:w="50" w:type="pct"/>
            <w:shd w:val="clear" w:color="auto" w:fill="auto"/>
            <w:vAlign w:val="bottom"/>
          </w:tcPr>
          <w:p w14:paraId="67534EC0" w14:textId="77777777" w:rsidR="001B77DD" w:rsidRDefault="001B77DD">
            <w:pPr>
              <w:rPr>
                <w:rFonts w:ascii="宋体"/>
              </w:rPr>
            </w:pPr>
          </w:p>
        </w:tc>
        <w:tc>
          <w:tcPr>
            <w:tcW w:w="539" w:type="pct"/>
            <w:shd w:val="clear" w:color="auto" w:fill="auto"/>
            <w:vAlign w:val="bottom"/>
          </w:tcPr>
          <w:p w14:paraId="67534EC1" w14:textId="77777777" w:rsidR="001B77DD" w:rsidRDefault="001B77DD">
            <w:pPr>
              <w:rPr>
                <w:rFonts w:ascii="宋体"/>
              </w:rPr>
            </w:pPr>
          </w:p>
        </w:tc>
        <w:tc>
          <w:tcPr>
            <w:tcW w:w="5" w:type="pct"/>
            <w:shd w:val="clear" w:color="auto" w:fill="auto"/>
            <w:vAlign w:val="bottom"/>
          </w:tcPr>
          <w:p w14:paraId="67534EC2" w14:textId="77777777" w:rsidR="001B77DD" w:rsidRDefault="001B77DD">
            <w:pPr>
              <w:rPr>
                <w:rFonts w:ascii="宋体"/>
              </w:rPr>
            </w:pPr>
          </w:p>
        </w:tc>
        <w:tc>
          <w:tcPr>
            <w:tcW w:w="5" w:type="pct"/>
            <w:shd w:val="clear" w:color="auto" w:fill="auto"/>
            <w:vAlign w:val="bottom"/>
          </w:tcPr>
          <w:p w14:paraId="67534EC3" w14:textId="77777777" w:rsidR="001B77DD" w:rsidRDefault="001B77DD">
            <w:pPr>
              <w:rPr>
                <w:rFonts w:ascii="宋体"/>
              </w:rPr>
            </w:pPr>
          </w:p>
        </w:tc>
        <w:tc>
          <w:tcPr>
            <w:tcW w:w="24" w:type="pct"/>
            <w:shd w:val="clear" w:color="auto" w:fill="auto"/>
            <w:vAlign w:val="bottom"/>
          </w:tcPr>
          <w:p w14:paraId="67534EC4" w14:textId="77777777" w:rsidR="001B77DD" w:rsidRDefault="001B77DD">
            <w:pPr>
              <w:rPr>
                <w:rFonts w:ascii="宋体"/>
              </w:rPr>
            </w:pPr>
          </w:p>
        </w:tc>
        <w:tc>
          <w:tcPr>
            <w:tcW w:w="5" w:type="pct"/>
            <w:shd w:val="clear" w:color="auto" w:fill="auto"/>
            <w:vAlign w:val="bottom"/>
          </w:tcPr>
          <w:p w14:paraId="67534EC5" w14:textId="77777777" w:rsidR="001B77DD" w:rsidRDefault="001B77DD">
            <w:pPr>
              <w:rPr>
                <w:rFonts w:ascii="宋体"/>
              </w:rPr>
            </w:pPr>
          </w:p>
        </w:tc>
        <w:tc>
          <w:tcPr>
            <w:tcW w:w="50" w:type="pct"/>
            <w:shd w:val="clear" w:color="auto" w:fill="auto"/>
            <w:vAlign w:val="bottom"/>
          </w:tcPr>
          <w:p w14:paraId="67534EC6" w14:textId="77777777" w:rsidR="001B77DD" w:rsidRDefault="001B77DD">
            <w:pPr>
              <w:rPr>
                <w:rFonts w:ascii="宋体"/>
              </w:rPr>
            </w:pPr>
          </w:p>
        </w:tc>
        <w:tc>
          <w:tcPr>
            <w:tcW w:w="539" w:type="pct"/>
            <w:shd w:val="clear" w:color="auto" w:fill="auto"/>
            <w:vAlign w:val="bottom"/>
          </w:tcPr>
          <w:p w14:paraId="67534EC7" w14:textId="77777777" w:rsidR="001B77DD" w:rsidRDefault="001B77DD">
            <w:pPr>
              <w:rPr>
                <w:rFonts w:ascii="宋体"/>
              </w:rPr>
            </w:pPr>
          </w:p>
        </w:tc>
        <w:tc>
          <w:tcPr>
            <w:tcW w:w="5" w:type="pct"/>
            <w:shd w:val="clear" w:color="auto" w:fill="auto"/>
            <w:vAlign w:val="bottom"/>
          </w:tcPr>
          <w:p w14:paraId="67534EC8" w14:textId="77777777" w:rsidR="001B77DD" w:rsidRDefault="001B77DD">
            <w:pPr>
              <w:rPr>
                <w:rFonts w:ascii="宋体"/>
              </w:rPr>
            </w:pPr>
          </w:p>
        </w:tc>
        <w:tc>
          <w:tcPr>
            <w:tcW w:w="5" w:type="pct"/>
            <w:shd w:val="clear" w:color="auto" w:fill="auto"/>
            <w:vAlign w:val="bottom"/>
          </w:tcPr>
          <w:p w14:paraId="67534EC9" w14:textId="77777777" w:rsidR="001B77DD" w:rsidRDefault="001B77DD">
            <w:pPr>
              <w:rPr>
                <w:rFonts w:ascii="宋体"/>
              </w:rPr>
            </w:pPr>
          </w:p>
        </w:tc>
        <w:tc>
          <w:tcPr>
            <w:tcW w:w="24" w:type="pct"/>
            <w:shd w:val="clear" w:color="auto" w:fill="auto"/>
            <w:vAlign w:val="bottom"/>
          </w:tcPr>
          <w:p w14:paraId="67534ECA" w14:textId="77777777" w:rsidR="001B77DD" w:rsidRDefault="001B77DD">
            <w:pPr>
              <w:rPr>
                <w:rFonts w:ascii="宋体"/>
              </w:rPr>
            </w:pPr>
          </w:p>
        </w:tc>
        <w:tc>
          <w:tcPr>
            <w:tcW w:w="5" w:type="pct"/>
            <w:shd w:val="clear" w:color="auto" w:fill="auto"/>
            <w:vAlign w:val="bottom"/>
          </w:tcPr>
          <w:p w14:paraId="67534ECB" w14:textId="77777777" w:rsidR="001B77DD" w:rsidRDefault="001B77DD">
            <w:pPr>
              <w:rPr>
                <w:rFonts w:ascii="宋体"/>
              </w:rPr>
            </w:pPr>
          </w:p>
        </w:tc>
        <w:tc>
          <w:tcPr>
            <w:tcW w:w="50" w:type="pct"/>
            <w:shd w:val="clear" w:color="auto" w:fill="auto"/>
            <w:vAlign w:val="bottom"/>
          </w:tcPr>
          <w:p w14:paraId="67534ECC" w14:textId="77777777" w:rsidR="001B77DD" w:rsidRDefault="001B77DD">
            <w:pPr>
              <w:rPr>
                <w:rFonts w:ascii="宋体"/>
              </w:rPr>
            </w:pPr>
          </w:p>
        </w:tc>
        <w:tc>
          <w:tcPr>
            <w:tcW w:w="539" w:type="pct"/>
            <w:shd w:val="clear" w:color="auto" w:fill="auto"/>
            <w:vAlign w:val="bottom"/>
          </w:tcPr>
          <w:p w14:paraId="67534ECD" w14:textId="77777777" w:rsidR="001B77DD" w:rsidRDefault="001B77DD">
            <w:pPr>
              <w:rPr>
                <w:rFonts w:ascii="宋体"/>
              </w:rPr>
            </w:pPr>
          </w:p>
        </w:tc>
        <w:tc>
          <w:tcPr>
            <w:tcW w:w="5" w:type="pct"/>
            <w:shd w:val="clear" w:color="auto" w:fill="auto"/>
            <w:vAlign w:val="bottom"/>
          </w:tcPr>
          <w:p w14:paraId="67534ECE" w14:textId="77777777" w:rsidR="001B77DD" w:rsidRDefault="001B77DD">
            <w:pPr>
              <w:rPr>
                <w:rFonts w:ascii="宋体"/>
              </w:rPr>
            </w:pPr>
          </w:p>
        </w:tc>
      </w:tr>
      <w:tr w:rsidR="001B77DD" w14:paraId="67534ED7" w14:textId="77777777">
        <w:tc>
          <w:tcPr>
            <w:tcW w:w="0" w:type="auto"/>
            <w:gridSpan w:val="3"/>
            <w:shd w:val="clear" w:color="auto" w:fill="auto"/>
            <w:tcMar>
              <w:top w:w="40" w:type="dxa"/>
              <w:left w:w="20" w:type="dxa"/>
              <w:bottom w:w="40" w:type="dxa"/>
              <w:right w:w="20" w:type="dxa"/>
            </w:tcMar>
            <w:vAlign w:val="bottom"/>
          </w:tcPr>
          <w:p w14:paraId="67534ED0" w14:textId="77777777" w:rsidR="001B77DD" w:rsidRDefault="00BF0A28">
            <w:pPr>
              <w:textAlignment w:val="bottom"/>
            </w:pPr>
            <w:r>
              <w:rPr>
                <w:rFonts w:ascii="Arial" w:eastAsia="宋体" w:hAnsi="Arial" w:cs="Arial"/>
                <w:b/>
                <w:bCs/>
                <w:color w:val="262626"/>
                <w:sz w:val="18"/>
                <w:szCs w:val="18"/>
              </w:rPr>
              <w:t>Year</w:t>
            </w:r>
            <w:r>
              <w:rPr>
                <w:rFonts w:ascii="Arial" w:eastAsia="宋体" w:hAnsi="Arial" w:cs="Arial"/>
                <w:b/>
                <w:bCs/>
                <w:color w:val="262626"/>
                <w:sz w:val="18"/>
                <w:szCs w:val="18"/>
              </w:rPr>
              <w:t>s Ended (Dollars in Millions)</w:t>
            </w:r>
          </w:p>
        </w:tc>
        <w:tc>
          <w:tcPr>
            <w:tcW w:w="0" w:type="auto"/>
            <w:gridSpan w:val="3"/>
            <w:shd w:val="clear" w:color="auto" w:fill="auto"/>
            <w:tcMar>
              <w:top w:w="0" w:type="dxa"/>
              <w:left w:w="20" w:type="dxa"/>
              <w:bottom w:w="0" w:type="dxa"/>
              <w:right w:w="20" w:type="dxa"/>
            </w:tcMar>
            <w:vAlign w:val="bottom"/>
          </w:tcPr>
          <w:p w14:paraId="67534E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ED2"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4ED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ED4"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4ED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ED6"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4EE5" w14:textId="77777777">
        <w:tc>
          <w:tcPr>
            <w:tcW w:w="0" w:type="auto"/>
            <w:gridSpan w:val="3"/>
            <w:tcBorders>
              <w:top w:val="single" w:sz="8" w:space="0" w:color="0068B5"/>
            </w:tcBorders>
            <w:shd w:val="clear" w:color="auto" w:fill="auto"/>
            <w:tcMar>
              <w:top w:w="40" w:type="dxa"/>
              <w:left w:w="20" w:type="dxa"/>
              <w:bottom w:w="40" w:type="dxa"/>
              <w:right w:w="20" w:type="dxa"/>
            </w:tcMar>
          </w:tcPr>
          <w:p w14:paraId="67534ED8" w14:textId="77777777" w:rsidR="001B77DD" w:rsidRDefault="00BF0A28">
            <w:pPr>
              <w:textAlignment w:val="top"/>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67534ED9"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EDA"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EDB" w14:textId="77777777" w:rsidR="001B77DD" w:rsidRDefault="00BF0A28">
            <w:pPr>
              <w:jc w:val="right"/>
              <w:textAlignment w:val="bottom"/>
            </w:pPr>
            <w:r>
              <w:rPr>
                <w:rFonts w:ascii="Arial" w:eastAsia="宋体" w:hAnsi="Arial" w:cs="Arial"/>
                <w:color w:val="0068B5"/>
                <w:sz w:val="18"/>
                <w:szCs w:val="18"/>
              </w:rPr>
              <w:t>21,703 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ED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DD"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EDE"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EDF" w14:textId="77777777" w:rsidR="001B77DD" w:rsidRDefault="00BF0A28">
            <w:pPr>
              <w:jc w:val="right"/>
              <w:textAlignment w:val="bottom"/>
            </w:pPr>
            <w:r>
              <w:rPr>
                <w:rFonts w:ascii="Arial" w:eastAsia="宋体" w:hAnsi="Arial" w:cs="Arial"/>
                <w:color w:val="262626"/>
                <w:sz w:val="18"/>
                <w:szCs w:val="18"/>
              </w:rPr>
              <w:t>25,078 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EE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E1"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EE2"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EE3" w14:textId="77777777" w:rsidR="001B77DD" w:rsidRDefault="00BF0A28">
            <w:pPr>
              <w:jc w:val="right"/>
              <w:textAlignment w:val="bottom"/>
            </w:pPr>
            <w:r>
              <w:rPr>
                <w:rFonts w:ascii="Arial" w:eastAsia="宋体" w:hAnsi="Arial" w:cs="Arial"/>
                <w:color w:val="262626"/>
                <w:sz w:val="18"/>
                <w:szCs w:val="18"/>
              </w:rPr>
              <w:t>24,058 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EE4" w14:textId="77777777" w:rsidR="001B77DD" w:rsidRDefault="001B77DD">
            <w:pPr>
              <w:jc w:val="right"/>
              <w:rPr>
                <w:rFonts w:ascii="宋体"/>
              </w:rPr>
            </w:pPr>
          </w:p>
        </w:tc>
      </w:tr>
      <w:tr w:rsidR="001B77DD" w14:paraId="67534EF3" w14:textId="77777777">
        <w:tc>
          <w:tcPr>
            <w:tcW w:w="0" w:type="auto"/>
            <w:gridSpan w:val="3"/>
            <w:shd w:val="clear" w:color="auto" w:fill="auto"/>
            <w:tcMar>
              <w:top w:w="40" w:type="dxa"/>
              <w:left w:w="20" w:type="dxa"/>
              <w:bottom w:w="40" w:type="dxa"/>
              <w:right w:w="20" w:type="dxa"/>
            </w:tcMar>
          </w:tcPr>
          <w:p w14:paraId="67534EE6" w14:textId="77777777" w:rsidR="001B77DD" w:rsidRDefault="00BF0A28">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67534EE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4EE8"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4EE9" w14:textId="77777777" w:rsidR="001B77DD" w:rsidRDefault="00BF0A28">
            <w:pPr>
              <w:jc w:val="right"/>
              <w:textAlignment w:val="bottom"/>
            </w:pPr>
            <w:r>
              <w:rPr>
                <w:rFonts w:ascii="Arial" w:eastAsia="宋体" w:hAnsi="Arial" w:cs="Arial"/>
                <w:color w:val="0068B5"/>
                <w:sz w:val="18"/>
                <w:szCs w:val="18"/>
              </w:rPr>
              <w:t>1,835 </w:t>
            </w:r>
          </w:p>
        </w:tc>
        <w:tc>
          <w:tcPr>
            <w:tcW w:w="0" w:type="auto"/>
            <w:shd w:val="clear" w:color="auto" w:fill="auto"/>
            <w:tcMar>
              <w:top w:w="40" w:type="dxa"/>
              <w:left w:w="0" w:type="dxa"/>
              <w:bottom w:w="40" w:type="dxa"/>
              <w:right w:w="20" w:type="dxa"/>
            </w:tcMar>
            <w:vAlign w:val="bottom"/>
          </w:tcPr>
          <w:p w14:paraId="67534E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E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4EEC"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4EED" w14:textId="77777777" w:rsidR="001B77DD" w:rsidRDefault="00BF0A28">
            <w:pPr>
              <w:jc w:val="right"/>
              <w:textAlignment w:val="bottom"/>
            </w:pPr>
            <w:r>
              <w:rPr>
                <w:rFonts w:ascii="Arial" w:eastAsia="宋体" w:hAnsi="Arial" w:cs="Arial"/>
                <w:color w:val="262626"/>
                <w:sz w:val="18"/>
                <w:szCs w:val="18"/>
              </w:rPr>
              <w:t>4,179 </w:t>
            </w:r>
          </w:p>
        </w:tc>
        <w:tc>
          <w:tcPr>
            <w:tcW w:w="0" w:type="auto"/>
            <w:shd w:val="clear" w:color="auto" w:fill="auto"/>
            <w:tcMar>
              <w:top w:w="40" w:type="dxa"/>
              <w:left w:w="0" w:type="dxa"/>
              <w:bottom w:w="40" w:type="dxa"/>
              <w:right w:w="20" w:type="dxa"/>
            </w:tcMar>
            <w:vAlign w:val="bottom"/>
          </w:tcPr>
          <w:p w14:paraId="67534EE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EEF"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4EF0"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4EF1" w14:textId="77777777" w:rsidR="001B77DD" w:rsidRDefault="00BF0A28">
            <w:pPr>
              <w:jc w:val="right"/>
              <w:textAlignment w:val="bottom"/>
            </w:pPr>
            <w:r>
              <w:rPr>
                <w:rFonts w:ascii="Arial" w:eastAsia="宋体" w:hAnsi="Arial" w:cs="Arial"/>
                <w:color w:val="262626"/>
                <w:sz w:val="18"/>
                <w:szCs w:val="18"/>
              </w:rPr>
              <w:t>3,010 </w:t>
            </w:r>
          </w:p>
        </w:tc>
        <w:tc>
          <w:tcPr>
            <w:tcW w:w="0" w:type="auto"/>
            <w:shd w:val="clear" w:color="auto" w:fill="auto"/>
            <w:tcMar>
              <w:top w:w="40" w:type="dxa"/>
              <w:left w:w="0" w:type="dxa"/>
              <w:bottom w:w="40" w:type="dxa"/>
              <w:right w:w="20" w:type="dxa"/>
            </w:tcMar>
            <w:vAlign w:val="bottom"/>
          </w:tcPr>
          <w:p w14:paraId="67534EF2" w14:textId="77777777" w:rsidR="001B77DD" w:rsidRDefault="001B77DD">
            <w:pPr>
              <w:jc w:val="right"/>
              <w:rPr>
                <w:rFonts w:ascii="宋体"/>
              </w:rPr>
            </w:pPr>
          </w:p>
        </w:tc>
      </w:tr>
      <w:tr w:rsidR="001B77DD" w14:paraId="67534EFE" w14:textId="77777777">
        <w:tc>
          <w:tcPr>
            <w:tcW w:w="0" w:type="auto"/>
            <w:gridSpan w:val="3"/>
            <w:shd w:val="clear" w:color="auto" w:fill="auto"/>
            <w:tcMar>
              <w:top w:w="40" w:type="dxa"/>
              <w:left w:w="20" w:type="dxa"/>
              <w:bottom w:w="40" w:type="dxa"/>
              <w:right w:w="20" w:type="dxa"/>
            </w:tcMar>
          </w:tcPr>
          <w:p w14:paraId="67534EF4" w14:textId="77777777" w:rsidR="001B77DD" w:rsidRDefault="00BF0A28">
            <w:pPr>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67534EF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F6" w14:textId="77777777" w:rsidR="001B77DD" w:rsidRDefault="00BF0A28">
            <w:pPr>
              <w:jc w:val="right"/>
              <w:textAlignment w:val="bottom"/>
            </w:pPr>
            <w:r>
              <w:rPr>
                <w:rFonts w:ascii="Arial" w:eastAsia="宋体" w:hAnsi="Arial" w:cs="Arial"/>
                <w:color w:val="0068B5"/>
                <w:sz w:val="18"/>
                <w:szCs w:val="18"/>
              </w:rPr>
              <w:t>8.5 </w:t>
            </w:r>
          </w:p>
        </w:tc>
        <w:tc>
          <w:tcPr>
            <w:tcW w:w="0" w:type="auto"/>
            <w:shd w:val="clear" w:color="auto" w:fill="auto"/>
            <w:tcMar>
              <w:top w:w="40" w:type="dxa"/>
              <w:left w:w="0" w:type="dxa"/>
              <w:bottom w:w="40" w:type="dxa"/>
              <w:right w:w="20" w:type="dxa"/>
            </w:tcMar>
            <w:vAlign w:val="bottom"/>
          </w:tcPr>
          <w:p w14:paraId="67534EF7"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4EF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F9" w14:textId="77777777" w:rsidR="001B77DD" w:rsidRDefault="00BF0A28">
            <w:pPr>
              <w:jc w:val="right"/>
              <w:textAlignment w:val="bottom"/>
            </w:pPr>
            <w:r>
              <w:rPr>
                <w:rFonts w:ascii="Arial" w:eastAsia="宋体" w:hAnsi="Arial" w:cs="Arial"/>
                <w:color w:val="262626"/>
                <w:sz w:val="18"/>
                <w:szCs w:val="18"/>
              </w:rPr>
              <w:t>16.7 </w:t>
            </w:r>
          </w:p>
        </w:tc>
        <w:tc>
          <w:tcPr>
            <w:tcW w:w="0" w:type="auto"/>
            <w:shd w:val="clear" w:color="auto" w:fill="auto"/>
            <w:tcMar>
              <w:top w:w="40" w:type="dxa"/>
              <w:left w:w="0" w:type="dxa"/>
              <w:bottom w:w="40" w:type="dxa"/>
              <w:right w:w="20" w:type="dxa"/>
            </w:tcMar>
            <w:vAlign w:val="bottom"/>
          </w:tcPr>
          <w:p w14:paraId="67534EFA"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4EF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EFC" w14:textId="77777777" w:rsidR="001B77DD" w:rsidRDefault="00BF0A28">
            <w:pPr>
              <w:jc w:val="right"/>
              <w:textAlignment w:val="bottom"/>
            </w:pPr>
            <w:r>
              <w:rPr>
                <w:rFonts w:ascii="Arial" w:eastAsia="宋体" w:hAnsi="Arial" w:cs="Arial"/>
                <w:color w:val="262626"/>
                <w:sz w:val="18"/>
                <w:szCs w:val="18"/>
              </w:rPr>
              <w:t>12.5 </w:t>
            </w:r>
          </w:p>
        </w:tc>
        <w:tc>
          <w:tcPr>
            <w:tcW w:w="0" w:type="auto"/>
            <w:shd w:val="clear" w:color="auto" w:fill="auto"/>
            <w:tcMar>
              <w:top w:w="40" w:type="dxa"/>
              <w:left w:w="0" w:type="dxa"/>
              <w:bottom w:w="40" w:type="dxa"/>
              <w:right w:w="20" w:type="dxa"/>
            </w:tcMar>
            <w:vAlign w:val="bottom"/>
          </w:tcPr>
          <w:p w14:paraId="67534EFD" w14:textId="77777777" w:rsidR="001B77DD" w:rsidRDefault="00BF0A28">
            <w:pPr>
              <w:jc w:val="right"/>
              <w:textAlignment w:val="bottom"/>
            </w:pPr>
            <w:r>
              <w:rPr>
                <w:rFonts w:ascii="Arial" w:eastAsia="宋体" w:hAnsi="Arial" w:cs="Arial"/>
                <w:color w:val="262626"/>
                <w:sz w:val="18"/>
                <w:szCs w:val="18"/>
              </w:rPr>
              <w:t>%</w:t>
            </w:r>
          </w:p>
        </w:tc>
      </w:tr>
    </w:tbl>
    <w:p w14:paraId="67534EFF"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F09" w14:textId="77777777">
        <w:tc>
          <w:tcPr>
            <w:tcW w:w="50" w:type="pct"/>
            <w:shd w:val="clear" w:color="auto" w:fill="auto"/>
            <w:vAlign w:val="bottom"/>
          </w:tcPr>
          <w:p w14:paraId="67534F00" w14:textId="77777777" w:rsidR="001B77DD" w:rsidRDefault="001B77DD">
            <w:pPr>
              <w:rPr>
                <w:rFonts w:ascii="宋体"/>
              </w:rPr>
            </w:pPr>
          </w:p>
        </w:tc>
        <w:tc>
          <w:tcPr>
            <w:tcW w:w="283" w:type="pct"/>
            <w:shd w:val="clear" w:color="auto" w:fill="auto"/>
            <w:vAlign w:val="bottom"/>
          </w:tcPr>
          <w:p w14:paraId="67534F01" w14:textId="77777777" w:rsidR="001B77DD" w:rsidRDefault="001B77DD">
            <w:pPr>
              <w:rPr>
                <w:rFonts w:ascii="宋体"/>
              </w:rPr>
            </w:pPr>
          </w:p>
        </w:tc>
        <w:tc>
          <w:tcPr>
            <w:tcW w:w="5" w:type="pct"/>
            <w:shd w:val="clear" w:color="auto" w:fill="auto"/>
            <w:vAlign w:val="bottom"/>
          </w:tcPr>
          <w:p w14:paraId="67534F02" w14:textId="77777777" w:rsidR="001B77DD" w:rsidRDefault="001B77DD">
            <w:pPr>
              <w:rPr>
                <w:rFonts w:ascii="宋体"/>
              </w:rPr>
            </w:pPr>
          </w:p>
        </w:tc>
        <w:tc>
          <w:tcPr>
            <w:tcW w:w="50" w:type="pct"/>
            <w:shd w:val="clear" w:color="auto" w:fill="auto"/>
            <w:vAlign w:val="bottom"/>
          </w:tcPr>
          <w:p w14:paraId="67534F03" w14:textId="77777777" w:rsidR="001B77DD" w:rsidRDefault="001B77DD">
            <w:pPr>
              <w:rPr>
                <w:rFonts w:ascii="宋体"/>
              </w:rPr>
            </w:pPr>
          </w:p>
        </w:tc>
        <w:tc>
          <w:tcPr>
            <w:tcW w:w="2656" w:type="pct"/>
            <w:shd w:val="clear" w:color="auto" w:fill="auto"/>
            <w:vAlign w:val="bottom"/>
          </w:tcPr>
          <w:p w14:paraId="67534F04" w14:textId="77777777" w:rsidR="001B77DD" w:rsidRDefault="001B77DD">
            <w:pPr>
              <w:rPr>
                <w:rFonts w:ascii="宋体"/>
              </w:rPr>
            </w:pPr>
          </w:p>
        </w:tc>
        <w:tc>
          <w:tcPr>
            <w:tcW w:w="5" w:type="pct"/>
            <w:shd w:val="clear" w:color="auto" w:fill="auto"/>
            <w:vAlign w:val="bottom"/>
          </w:tcPr>
          <w:p w14:paraId="67534F05" w14:textId="77777777" w:rsidR="001B77DD" w:rsidRDefault="001B77DD">
            <w:pPr>
              <w:rPr>
                <w:rFonts w:ascii="宋体"/>
              </w:rPr>
            </w:pPr>
          </w:p>
        </w:tc>
        <w:tc>
          <w:tcPr>
            <w:tcW w:w="50" w:type="pct"/>
            <w:shd w:val="clear" w:color="auto" w:fill="auto"/>
            <w:vAlign w:val="bottom"/>
          </w:tcPr>
          <w:p w14:paraId="67534F06" w14:textId="77777777" w:rsidR="001B77DD" w:rsidRDefault="001B77DD">
            <w:pPr>
              <w:rPr>
                <w:rFonts w:ascii="宋体"/>
              </w:rPr>
            </w:pPr>
          </w:p>
        </w:tc>
        <w:tc>
          <w:tcPr>
            <w:tcW w:w="1894" w:type="pct"/>
            <w:shd w:val="clear" w:color="auto" w:fill="auto"/>
            <w:vAlign w:val="bottom"/>
          </w:tcPr>
          <w:p w14:paraId="67534F07" w14:textId="77777777" w:rsidR="001B77DD" w:rsidRDefault="001B77DD">
            <w:pPr>
              <w:rPr>
                <w:rFonts w:ascii="宋体"/>
              </w:rPr>
            </w:pPr>
          </w:p>
        </w:tc>
        <w:tc>
          <w:tcPr>
            <w:tcW w:w="5" w:type="pct"/>
            <w:shd w:val="clear" w:color="auto" w:fill="auto"/>
            <w:vAlign w:val="bottom"/>
          </w:tcPr>
          <w:p w14:paraId="67534F08" w14:textId="77777777" w:rsidR="001B77DD" w:rsidRDefault="001B77DD">
            <w:pPr>
              <w:rPr>
                <w:rFonts w:ascii="宋体"/>
              </w:rPr>
            </w:pPr>
          </w:p>
        </w:tc>
      </w:tr>
      <w:tr w:rsidR="001B77DD" w14:paraId="67534F0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F0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B7" wp14:editId="67538EB8">
                  <wp:extent cx="304800" cy="304800"/>
                  <wp:effectExtent l="0" t="0" r="0" b="0"/>
                  <wp:docPr id="78" name="图片 20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0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F0B"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F0C" w14:textId="77777777" w:rsidR="001B77DD" w:rsidRDefault="00BF0A28">
            <w:pPr>
              <w:jc w:val="right"/>
              <w:textAlignment w:val="center"/>
            </w:pPr>
            <w:r>
              <w:rPr>
                <w:rFonts w:ascii="Arial" w:eastAsia="宋体" w:hAnsi="Arial" w:cs="Arial"/>
                <w:color w:val="262626"/>
                <w:sz w:val="16"/>
                <w:szCs w:val="16"/>
              </w:rPr>
              <w:t>41</w:t>
            </w:r>
          </w:p>
        </w:tc>
      </w:tr>
    </w:tbl>
    <w:p w14:paraId="67534F0E" w14:textId="77777777" w:rsidR="001B77DD" w:rsidRDefault="00BF0A28">
      <w:r>
        <w:pict w14:anchorId="67538EB9">
          <v:rect id="_x0000_i1067" style="width:415.3pt;height:1.5pt" o:hralign="center" o:hrstd="t" o:hr="t" fillcolor="#a0a0a0" stroked="f"/>
        </w:pict>
      </w:r>
    </w:p>
    <w:p w14:paraId="67534F0F" w14:textId="77777777" w:rsidR="001B77DD" w:rsidRDefault="00BF0A28">
      <w:pPr>
        <w:jc w:val="right"/>
      </w:pPr>
      <w:hyperlink r:id="rId99" w:anchor="i6c9ced68f6b24d58a3dcf326e8c3c699_16" w:history="1">
        <w:r>
          <w:rPr>
            <w:rStyle w:val="a5"/>
            <w:rFonts w:ascii="Arial" w:eastAsia="宋体" w:hAnsi="Arial" w:cs="Arial"/>
            <w:b/>
            <w:bCs/>
            <w:sz w:val="16"/>
            <w:szCs w:val="16"/>
          </w:rPr>
          <w:t>Table of Contents</w:t>
        </w:r>
      </w:hyperlink>
    </w:p>
    <w:p w14:paraId="67534F10" w14:textId="77777777" w:rsidR="001B77DD" w:rsidRDefault="001B77DD">
      <w:pPr>
        <w:jc w:val="right"/>
      </w:pPr>
    </w:p>
    <w:p w14:paraId="67534F11" w14:textId="77777777" w:rsidR="001B77DD" w:rsidRDefault="00BF0A28">
      <w:pPr>
        <w:spacing w:after="180"/>
      </w:pPr>
      <w:r>
        <w:rPr>
          <w:rFonts w:ascii="Arial" w:eastAsia="宋体" w:hAnsi="Arial" w:cs="Arial"/>
          <w:color w:val="262626"/>
          <w:sz w:val="18"/>
          <w:szCs w:val="18"/>
        </w:rPr>
        <w:t>Our effective tax rate decreased in 2021 compared to 2020, primarily driven by one-time tax benefits due to the restructuring of certain non-US subsidiaries as well as a higher proportion of our income in non-US jurisdictions. As a result of the restructur</w:t>
      </w:r>
      <w:r>
        <w:rPr>
          <w:rFonts w:ascii="Arial" w:eastAsia="宋体" w:hAnsi="Arial" w:cs="Arial"/>
          <w:color w:val="262626"/>
          <w:sz w:val="18"/>
          <w:szCs w:val="18"/>
        </w:rPr>
        <w:t>ing, we established deferred tax assets and released the valuation allowances of certain foreign deferred tax assets. The majority of these deferred tax assets established in 2021 fully offset the deferred tax liabilities recognized in 2020 driven by a cha</w:t>
      </w:r>
      <w:r>
        <w:rPr>
          <w:rFonts w:ascii="Arial" w:eastAsia="宋体" w:hAnsi="Arial" w:cs="Arial"/>
          <w:color w:val="262626"/>
          <w:sz w:val="18"/>
          <w:szCs w:val="18"/>
        </w:rPr>
        <w:t xml:space="preserve">nge in our permanent reinvestment assertion with respect to undistributed earnings in China, as a result of our planned divestiture of our NAND memory business. </w:t>
      </w:r>
    </w:p>
    <w:p w14:paraId="67534F12" w14:textId="77777777" w:rsidR="001B77DD" w:rsidRDefault="00BF0A28">
      <w:pPr>
        <w:spacing w:after="180"/>
      </w:pPr>
      <w:r>
        <w:rPr>
          <w:rFonts w:ascii="Arial" w:eastAsia="宋体" w:hAnsi="Arial" w:cs="Arial"/>
          <w:color w:val="262626"/>
          <w:sz w:val="18"/>
          <w:szCs w:val="18"/>
        </w:rPr>
        <w:t>Our effective tax rate increased in 2020 compared to 2019, primarily driven by a change in our</w:t>
      </w:r>
      <w:r>
        <w:rPr>
          <w:rFonts w:ascii="Arial" w:eastAsia="宋体" w:hAnsi="Arial" w:cs="Arial"/>
          <w:color w:val="262626"/>
          <w:sz w:val="18"/>
          <w:szCs w:val="18"/>
        </w:rPr>
        <w:t xml:space="preserve"> permanent reinvestment assertion with respect to undistributed earnings in China, as a result of our planned divestiture of our NAND memory business. It also increased due to the reduction in our foreign derived intangible income benefit in 2020.</w:t>
      </w:r>
    </w:p>
    <w:p w14:paraId="67534F13" w14:textId="77777777" w:rsidR="001B77DD" w:rsidRDefault="001B77DD"/>
    <w:p w14:paraId="67534F14" w14:textId="77777777" w:rsidR="001B77DD" w:rsidRDefault="00BF0A28">
      <w:pPr>
        <w:spacing w:after="180"/>
      </w:pPr>
      <w:r>
        <w:rPr>
          <w:rFonts w:ascii="Arial" w:eastAsia="宋体" w:hAnsi="Arial" w:cs="Arial"/>
          <w:color w:val="0068B5"/>
          <w:sz w:val="28"/>
          <w:szCs w:val="28"/>
        </w:rPr>
        <w:t>Liquidi</w:t>
      </w:r>
      <w:r>
        <w:rPr>
          <w:rFonts w:ascii="Arial" w:eastAsia="宋体" w:hAnsi="Arial" w:cs="Arial"/>
          <w:color w:val="0068B5"/>
          <w:sz w:val="28"/>
          <w:szCs w:val="28"/>
        </w:rPr>
        <w:t>ty and Capital Resources</w:t>
      </w:r>
    </w:p>
    <w:p w14:paraId="67534F15" w14:textId="77777777" w:rsidR="001B77DD" w:rsidRDefault="00BF0A28">
      <w:pPr>
        <w:spacing w:after="180"/>
      </w:pPr>
      <w:r>
        <w:rPr>
          <w:rFonts w:ascii="Arial" w:eastAsia="宋体" w:hAnsi="Arial" w:cs="Arial"/>
          <w:color w:val="262626"/>
          <w:sz w:val="18"/>
          <w:szCs w:val="18"/>
        </w:rPr>
        <w:t>We believe we have sufficient sources of funding to meet our business requirements for the next 12 months and in the longer term. Cash generated by operations, supplemented by our total cash and investments</w:t>
      </w:r>
      <w:r>
        <w:rPr>
          <w:rFonts w:ascii="Arial" w:eastAsia="宋体" w:hAnsi="Arial" w:cs="Arial"/>
          <w:color w:val="262626"/>
          <w:sz w:val="11"/>
          <w:szCs w:val="11"/>
        </w:rPr>
        <w:t>1</w:t>
      </w:r>
      <w:r>
        <w:rPr>
          <w:rFonts w:ascii="Arial" w:eastAsia="宋体" w:hAnsi="Arial" w:cs="Arial"/>
          <w:color w:val="262626"/>
          <w:sz w:val="18"/>
          <w:szCs w:val="18"/>
        </w:rPr>
        <w:t xml:space="preserve">, is our primary source </w:t>
      </w:r>
      <w:r>
        <w:rPr>
          <w:rFonts w:ascii="Arial" w:eastAsia="宋体" w:hAnsi="Arial" w:cs="Arial"/>
          <w:color w:val="262626"/>
          <w:sz w:val="18"/>
          <w:szCs w:val="18"/>
        </w:rPr>
        <w:t>of liquidity for funding our strategic business requirements. Our short-term requirements include capital expenditures for worldwide manufacturing and assembly and test, including investments in our process technology roadmap; working capital requirements;</w:t>
      </w:r>
      <w:r>
        <w:rPr>
          <w:rFonts w:ascii="Arial" w:eastAsia="宋体" w:hAnsi="Arial" w:cs="Arial"/>
          <w:color w:val="262626"/>
          <w:sz w:val="18"/>
          <w:szCs w:val="18"/>
        </w:rPr>
        <w:t xml:space="preserve"> and potential acquisitions, strategic investments, and dividends. Our long-term requirements incrementally contemplate additional investments in the significant manufacturing expansion plans we announced as part of our IDM 2.0 strategy and additional inve</w:t>
      </w:r>
      <w:r>
        <w:rPr>
          <w:rFonts w:ascii="Arial" w:eastAsia="宋体" w:hAnsi="Arial" w:cs="Arial"/>
          <w:color w:val="262626"/>
          <w:sz w:val="18"/>
          <w:szCs w:val="18"/>
        </w:rPr>
        <w:t>stments to accelerate our process technology. These plans include investment to build two new fabs in Arizona as well as plans for a next phase of capacity expansions in Ohio, Europe, and other global locations. Our plans include utilizing a "smart capital</w:t>
      </w:r>
      <w:r>
        <w:rPr>
          <w:rFonts w:ascii="Arial" w:eastAsia="宋体" w:hAnsi="Arial" w:cs="Arial"/>
          <w:color w:val="262626"/>
          <w:sz w:val="18"/>
          <w:szCs w:val="18"/>
        </w:rPr>
        <w:t>" strategy in which we focus first on aggressively building out fab shells, which are the smaller portion of the overall cost of a fab but have the longest lead time, giving us flexibility in how and when we bring additional capacity and tools online. Addi</w:t>
      </w:r>
      <w:r>
        <w:rPr>
          <w:rFonts w:ascii="Arial" w:eastAsia="宋体" w:hAnsi="Arial" w:cs="Arial"/>
          <w:color w:val="262626"/>
          <w:sz w:val="18"/>
          <w:szCs w:val="18"/>
        </w:rPr>
        <w:t>tionally, as we have faced industry shortages of substrates and other components, we have increasingly entered into long-term agreements with suppliers and foundry service providers, some of which involve prepayments that will help us secure future supply.</w:t>
      </w:r>
      <w:r>
        <w:rPr>
          <w:rFonts w:ascii="Arial" w:eastAsia="宋体" w:hAnsi="Arial" w:cs="Arial"/>
          <w:color w:val="262626"/>
          <w:sz w:val="18"/>
          <w:szCs w:val="18"/>
        </w:rPr>
        <w:t xml:space="preserve"> </w:t>
      </w:r>
    </w:p>
    <w:p w14:paraId="67534F16" w14:textId="77777777" w:rsidR="001B77DD" w:rsidRDefault="00BF0A28">
      <w:pPr>
        <w:spacing w:after="180"/>
      </w:pPr>
      <w:r>
        <w:rPr>
          <w:rFonts w:ascii="Arial" w:eastAsia="宋体" w:hAnsi="Arial" w:cs="Arial"/>
          <w:color w:val="262626"/>
          <w:sz w:val="18"/>
          <w:szCs w:val="18"/>
        </w:rPr>
        <w:t>As we invest in these expansions and in the acceleration of our process technology roadmap, we expect our capital expenditures to increase above historical levels for the next several years. The prepayments for future supply of substrates and other compone</w:t>
      </w:r>
      <w:r>
        <w:rPr>
          <w:rFonts w:ascii="Arial" w:eastAsia="宋体" w:hAnsi="Arial" w:cs="Arial"/>
          <w:color w:val="262626"/>
          <w:sz w:val="18"/>
          <w:szCs w:val="18"/>
        </w:rPr>
        <w:t xml:space="preserve">nts accelerate cash outflows into the near term, and we expect to apply the prepayments to future purchases, resulting in a positive impact on our liquidity in subsequent periods. </w:t>
      </w:r>
    </w:p>
    <w:p w14:paraId="67534F17" w14:textId="77777777" w:rsidR="001B77DD" w:rsidRDefault="00BF0A28">
      <w:pPr>
        <w:spacing w:after="180"/>
      </w:pPr>
      <w:r>
        <w:rPr>
          <w:rFonts w:ascii="Arial" w:eastAsia="宋体" w:hAnsi="Arial" w:cs="Arial"/>
          <w:color w:val="262626"/>
          <w:sz w:val="18"/>
          <w:szCs w:val="18"/>
        </w:rPr>
        <w:t xml:space="preserve">We expect our capital expenditures to increase above historical levels for </w:t>
      </w:r>
      <w:r>
        <w:rPr>
          <w:rFonts w:ascii="Arial" w:eastAsia="宋体" w:hAnsi="Arial" w:cs="Arial"/>
          <w:color w:val="262626"/>
          <w:sz w:val="18"/>
          <w:szCs w:val="18"/>
        </w:rPr>
        <w:t>the next several years. As of December 25, 2021 we had commitments for capital expenditures of $22.3 billion for 2022, and we expect our total capital expenditures for 2022 to be above that amount. We also had $4.6 billion in capital expenditures committed</w:t>
      </w:r>
      <w:r>
        <w:rPr>
          <w:rFonts w:ascii="Arial" w:eastAsia="宋体" w:hAnsi="Arial" w:cs="Arial"/>
          <w:color w:val="262626"/>
          <w:sz w:val="18"/>
          <w:szCs w:val="18"/>
        </w:rPr>
        <w:t xml:space="preserve"> in the long term. As of December 25, 2021, other purchase obligations and commitments in 2022 under our binding commitments for purchases of goods and services were $3.1 billion with an additional $9.3 billion committed in the long term.</w:t>
      </w:r>
    </w:p>
    <w:p w14:paraId="67534F18" w14:textId="77777777" w:rsidR="001B77DD" w:rsidRDefault="00BF0A28">
      <w:pPr>
        <w:spacing w:after="180"/>
      </w:pPr>
      <w:r>
        <w:rPr>
          <w:rFonts w:ascii="Arial" w:eastAsia="宋体" w:hAnsi="Arial" w:cs="Arial"/>
          <w:color w:val="262626"/>
          <w:sz w:val="18"/>
          <w:szCs w:val="18"/>
        </w:rPr>
        <w:t>We have additiona</w:t>
      </w:r>
      <w:r>
        <w:rPr>
          <w:rFonts w:ascii="Arial" w:eastAsia="宋体" w:hAnsi="Arial" w:cs="Arial"/>
          <w:color w:val="262626"/>
          <w:sz w:val="18"/>
          <w:szCs w:val="18"/>
        </w:rPr>
        <w:t>l obligations as part of our ordinary course of business, beyond those committed for capital expenditures and other purchase obligations and commitments for purchases of goods and services. For example, see "Note 19: Commitments and Contingencies" within C</w:t>
      </w:r>
      <w:r>
        <w:rPr>
          <w:rFonts w:ascii="Arial" w:eastAsia="宋体" w:hAnsi="Arial" w:cs="Arial"/>
          <w:color w:val="262626"/>
          <w:sz w:val="18"/>
          <w:szCs w:val="18"/>
        </w:rPr>
        <w:t>onsolidated Financial Statements for information about our lease obligations, which include supply agreements structured as leases, "Note 8: Income Taxes" within Consolidated Financial Statements for information about our tax obligations related to Tax Ref</w:t>
      </w:r>
      <w:r>
        <w:rPr>
          <w:rFonts w:ascii="Arial" w:eastAsia="宋体" w:hAnsi="Arial" w:cs="Arial"/>
          <w:color w:val="262626"/>
          <w:sz w:val="18"/>
          <w:szCs w:val="18"/>
        </w:rPr>
        <w:t>orm enacted in 2017 for the one-time transition tax on previously untaxed foreign earnings, and "Note 13: Borrowings" within Consolidated Financial Statements for information about our long-term debt obligations. The expected timing of payments of our obli</w:t>
      </w:r>
      <w:r>
        <w:rPr>
          <w:rFonts w:ascii="Arial" w:eastAsia="宋体" w:hAnsi="Arial" w:cs="Arial"/>
          <w:color w:val="262626"/>
          <w:sz w:val="18"/>
          <w:szCs w:val="18"/>
        </w:rPr>
        <w:t>gations is estimated based on current information. Timing of payments and actual amounts paid may be different, depending on the timing of receipt of goods or services, or changes to agreed-upon amounts for some obligations. In addition, some of our purcha</w:t>
      </w:r>
      <w:r>
        <w:rPr>
          <w:rFonts w:ascii="Arial" w:eastAsia="宋体" w:hAnsi="Arial" w:cs="Arial"/>
          <w:color w:val="262626"/>
          <w:sz w:val="18"/>
          <w:szCs w:val="18"/>
        </w:rPr>
        <w:t>sing requirements are not current obligations and are therefore not included in the amounts above. For example, some of these requirements are not handled through binding contracts or are fulfilled by vendors on a purchase order basis within short time hor</w:t>
      </w:r>
      <w:r>
        <w:rPr>
          <w:rFonts w:ascii="Arial" w:eastAsia="宋体" w:hAnsi="Arial" w:cs="Arial"/>
          <w:color w:val="262626"/>
          <w:sz w:val="18"/>
          <w:szCs w:val="18"/>
        </w:rPr>
        <w:t>izons.</w:t>
      </w:r>
    </w:p>
    <w:p w14:paraId="67534F19" w14:textId="77777777" w:rsidR="001B77DD" w:rsidRDefault="00BF0A28">
      <w:pPr>
        <w:spacing w:after="120"/>
      </w:pPr>
      <w:r>
        <w:rPr>
          <w:rFonts w:ascii="Arial" w:eastAsia="宋体" w:hAnsi="Arial" w:cs="Arial"/>
          <w:color w:val="262626"/>
          <w:sz w:val="18"/>
          <w:szCs w:val="18"/>
        </w:rPr>
        <w:t>We anticipate that we will continue to primarily rely on operating cash flows, supplemented by our total cash and investments</w:t>
      </w:r>
      <w:r>
        <w:rPr>
          <w:rFonts w:ascii="Arial" w:eastAsia="宋体" w:hAnsi="Arial" w:cs="Arial"/>
          <w:color w:val="262626"/>
          <w:sz w:val="11"/>
          <w:szCs w:val="11"/>
        </w:rPr>
        <w:t>1</w:t>
      </w:r>
      <w:r>
        <w:rPr>
          <w:rFonts w:ascii="Arial" w:eastAsia="宋体" w:hAnsi="Arial" w:cs="Arial"/>
          <w:color w:val="262626"/>
          <w:sz w:val="18"/>
          <w:szCs w:val="18"/>
        </w:rPr>
        <w:t>, to fund IDM 2.0 and other cash requirements in the ordinary course of business. We also expect to benefit from government</w:t>
      </w:r>
      <w:r>
        <w:rPr>
          <w:rFonts w:ascii="Arial" w:eastAsia="宋体" w:hAnsi="Arial" w:cs="Arial"/>
          <w:color w:val="262626"/>
          <w:sz w:val="18"/>
          <w:szCs w:val="18"/>
        </w:rPr>
        <w:t xml:space="preserve"> incentives under pending legislation, and any incentives above our current expectations would enable us to increase the pace and size of our IDM 2.0 investments. Conversely, incentives below our expectations would increase our anticipated cash requirement</w:t>
      </w:r>
      <w:r>
        <w:rPr>
          <w:rFonts w:ascii="Arial" w:eastAsia="宋体" w:hAnsi="Arial" w:cs="Arial"/>
          <w:color w:val="262626"/>
          <w:sz w:val="18"/>
          <w:szCs w:val="18"/>
        </w:rPr>
        <w:t>s. We expect our increased capital investments to pressure our free cash flow in the short term. When assessing our current sources of liquidity, we include our total cash and investments</w:t>
      </w:r>
      <w:r>
        <w:rPr>
          <w:rFonts w:ascii="Arial" w:eastAsia="宋体" w:hAnsi="Arial" w:cs="Arial"/>
          <w:color w:val="262626"/>
          <w:sz w:val="11"/>
          <w:szCs w:val="11"/>
        </w:rPr>
        <w:t>1</w:t>
      </w:r>
      <w:r>
        <w:rPr>
          <w:rFonts w:ascii="Arial" w:eastAsia="宋体" w:hAnsi="Arial" w:cs="Arial"/>
          <w:color w:val="262626"/>
          <w:sz w:val="18"/>
          <w:szCs w:val="18"/>
        </w:rPr>
        <w:t xml:space="preserve"> as shown in the following table: </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1B77DD" w14:paraId="67534F29" w14:textId="77777777">
        <w:tc>
          <w:tcPr>
            <w:tcW w:w="50" w:type="pct"/>
            <w:shd w:val="clear" w:color="auto" w:fill="auto"/>
            <w:vAlign w:val="bottom"/>
          </w:tcPr>
          <w:p w14:paraId="67534F1A" w14:textId="77777777" w:rsidR="001B77DD" w:rsidRDefault="001B77DD">
            <w:pPr>
              <w:rPr>
                <w:rFonts w:ascii="宋体"/>
              </w:rPr>
            </w:pPr>
          </w:p>
        </w:tc>
        <w:tc>
          <w:tcPr>
            <w:tcW w:w="3688" w:type="pct"/>
            <w:shd w:val="clear" w:color="auto" w:fill="auto"/>
            <w:vAlign w:val="bottom"/>
          </w:tcPr>
          <w:p w14:paraId="67534F1B" w14:textId="77777777" w:rsidR="001B77DD" w:rsidRDefault="001B77DD">
            <w:pPr>
              <w:rPr>
                <w:rFonts w:ascii="宋体"/>
              </w:rPr>
            </w:pPr>
          </w:p>
        </w:tc>
        <w:tc>
          <w:tcPr>
            <w:tcW w:w="5" w:type="pct"/>
            <w:shd w:val="clear" w:color="auto" w:fill="auto"/>
            <w:vAlign w:val="bottom"/>
          </w:tcPr>
          <w:p w14:paraId="67534F1C" w14:textId="77777777" w:rsidR="001B77DD" w:rsidRDefault="001B77DD">
            <w:pPr>
              <w:rPr>
                <w:rFonts w:ascii="宋体"/>
              </w:rPr>
            </w:pPr>
          </w:p>
        </w:tc>
        <w:tc>
          <w:tcPr>
            <w:tcW w:w="5" w:type="pct"/>
            <w:shd w:val="clear" w:color="auto" w:fill="auto"/>
            <w:vAlign w:val="bottom"/>
          </w:tcPr>
          <w:p w14:paraId="67534F1D" w14:textId="77777777" w:rsidR="001B77DD" w:rsidRDefault="001B77DD">
            <w:pPr>
              <w:rPr>
                <w:rFonts w:ascii="宋体"/>
              </w:rPr>
            </w:pPr>
          </w:p>
        </w:tc>
        <w:tc>
          <w:tcPr>
            <w:tcW w:w="24" w:type="pct"/>
            <w:shd w:val="clear" w:color="auto" w:fill="auto"/>
            <w:vAlign w:val="bottom"/>
          </w:tcPr>
          <w:p w14:paraId="67534F1E" w14:textId="77777777" w:rsidR="001B77DD" w:rsidRDefault="001B77DD">
            <w:pPr>
              <w:rPr>
                <w:rFonts w:ascii="宋体"/>
              </w:rPr>
            </w:pPr>
          </w:p>
        </w:tc>
        <w:tc>
          <w:tcPr>
            <w:tcW w:w="5" w:type="pct"/>
            <w:shd w:val="clear" w:color="auto" w:fill="auto"/>
            <w:vAlign w:val="bottom"/>
          </w:tcPr>
          <w:p w14:paraId="67534F1F" w14:textId="77777777" w:rsidR="001B77DD" w:rsidRDefault="001B77DD">
            <w:pPr>
              <w:rPr>
                <w:rFonts w:ascii="宋体"/>
              </w:rPr>
            </w:pPr>
          </w:p>
        </w:tc>
        <w:tc>
          <w:tcPr>
            <w:tcW w:w="50" w:type="pct"/>
            <w:shd w:val="clear" w:color="auto" w:fill="auto"/>
            <w:vAlign w:val="bottom"/>
          </w:tcPr>
          <w:p w14:paraId="67534F20" w14:textId="77777777" w:rsidR="001B77DD" w:rsidRDefault="001B77DD">
            <w:pPr>
              <w:rPr>
                <w:rFonts w:ascii="宋体"/>
              </w:rPr>
            </w:pPr>
          </w:p>
        </w:tc>
        <w:tc>
          <w:tcPr>
            <w:tcW w:w="539" w:type="pct"/>
            <w:shd w:val="clear" w:color="auto" w:fill="auto"/>
            <w:vAlign w:val="bottom"/>
          </w:tcPr>
          <w:p w14:paraId="67534F21" w14:textId="77777777" w:rsidR="001B77DD" w:rsidRDefault="001B77DD">
            <w:pPr>
              <w:rPr>
                <w:rFonts w:ascii="宋体"/>
              </w:rPr>
            </w:pPr>
          </w:p>
        </w:tc>
        <w:tc>
          <w:tcPr>
            <w:tcW w:w="5" w:type="pct"/>
            <w:shd w:val="clear" w:color="auto" w:fill="auto"/>
            <w:vAlign w:val="bottom"/>
          </w:tcPr>
          <w:p w14:paraId="67534F22" w14:textId="77777777" w:rsidR="001B77DD" w:rsidRDefault="001B77DD">
            <w:pPr>
              <w:rPr>
                <w:rFonts w:ascii="宋体"/>
              </w:rPr>
            </w:pPr>
          </w:p>
        </w:tc>
        <w:tc>
          <w:tcPr>
            <w:tcW w:w="5" w:type="pct"/>
            <w:shd w:val="clear" w:color="auto" w:fill="auto"/>
            <w:vAlign w:val="bottom"/>
          </w:tcPr>
          <w:p w14:paraId="67534F23" w14:textId="77777777" w:rsidR="001B77DD" w:rsidRDefault="001B77DD">
            <w:pPr>
              <w:rPr>
                <w:rFonts w:ascii="宋体"/>
              </w:rPr>
            </w:pPr>
          </w:p>
        </w:tc>
        <w:tc>
          <w:tcPr>
            <w:tcW w:w="24" w:type="pct"/>
            <w:shd w:val="clear" w:color="auto" w:fill="auto"/>
            <w:vAlign w:val="bottom"/>
          </w:tcPr>
          <w:p w14:paraId="67534F24" w14:textId="77777777" w:rsidR="001B77DD" w:rsidRDefault="001B77DD">
            <w:pPr>
              <w:rPr>
                <w:rFonts w:ascii="宋体"/>
              </w:rPr>
            </w:pPr>
          </w:p>
        </w:tc>
        <w:tc>
          <w:tcPr>
            <w:tcW w:w="5" w:type="pct"/>
            <w:shd w:val="clear" w:color="auto" w:fill="auto"/>
            <w:vAlign w:val="bottom"/>
          </w:tcPr>
          <w:p w14:paraId="67534F25" w14:textId="77777777" w:rsidR="001B77DD" w:rsidRDefault="001B77DD">
            <w:pPr>
              <w:rPr>
                <w:rFonts w:ascii="宋体"/>
              </w:rPr>
            </w:pPr>
          </w:p>
        </w:tc>
        <w:tc>
          <w:tcPr>
            <w:tcW w:w="50" w:type="pct"/>
            <w:shd w:val="clear" w:color="auto" w:fill="auto"/>
            <w:vAlign w:val="bottom"/>
          </w:tcPr>
          <w:p w14:paraId="67534F26" w14:textId="77777777" w:rsidR="001B77DD" w:rsidRDefault="001B77DD">
            <w:pPr>
              <w:rPr>
                <w:rFonts w:ascii="宋体"/>
              </w:rPr>
            </w:pPr>
          </w:p>
        </w:tc>
        <w:tc>
          <w:tcPr>
            <w:tcW w:w="539" w:type="pct"/>
            <w:shd w:val="clear" w:color="auto" w:fill="auto"/>
            <w:vAlign w:val="bottom"/>
          </w:tcPr>
          <w:p w14:paraId="67534F27" w14:textId="77777777" w:rsidR="001B77DD" w:rsidRDefault="001B77DD">
            <w:pPr>
              <w:rPr>
                <w:rFonts w:ascii="宋体"/>
              </w:rPr>
            </w:pPr>
          </w:p>
        </w:tc>
        <w:tc>
          <w:tcPr>
            <w:tcW w:w="5" w:type="pct"/>
            <w:shd w:val="clear" w:color="auto" w:fill="auto"/>
            <w:vAlign w:val="bottom"/>
          </w:tcPr>
          <w:p w14:paraId="67534F28" w14:textId="77777777" w:rsidR="001B77DD" w:rsidRDefault="001B77DD">
            <w:pPr>
              <w:rPr>
                <w:rFonts w:ascii="宋体"/>
              </w:rPr>
            </w:pPr>
          </w:p>
        </w:tc>
      </w:tr>
      <w:tr w:rsidR="001B77DD" w14:paraId="67534F2F" w14:textId="77777777">
        <w:tc>
          <w:tcPr>
            <w:tcW w:w="0" w:type="auto"/>
            <w:gridSpan w:val="3"/>
            <w:shd w:val="clear" w:color="auto" w:fill="auto"/>
            <w:tcMar>
              <w:top w:w="40" w:type="dxa"/>
              <w:left w:w="20" w:type="dxa"/>
              <w:bottom w:w="40" w:type="dxa"/>
              <w:right w:w="20" w:type="dxa"/>
            </w:tcMar>
            <w:vAlign w:val="bottom"/>
          </w:tcPr>
          <w:p w14:paraId="67534F2A" w14:textId="77777777" w:rsidR="001B77DD" w:rsidRDefault="00BF0A28">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7534F2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F2C"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4F2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F2E"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4F3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4F30" w14:textId="77777777" w:rsidR="001B77DD" w:rsidRDefault="00BF0A28">
            <w:pPr>
              <w:textAlignment w:val="bottom"/>
            </w:pP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67534F31"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F32"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F33" w14:textId="77777777" w:rsidR="001B77DD" w:rsidRDefault="00BF0A28">
            <w:pPr>
              <w:jc w:val="right"/>
              <w:textAlignment w:val="bottom"/>
            </w:pPr>
            <w:r>
              <w:rPr>
                <w:rFonts w:ascii="Arial" w:eastAsia="宋体" w:hAnsi="Arial" w:cs="Arial"/>
                <w:color w:val="0068B5"/>
                <w:sz w:val="18"/>
                <w:szCs w:val="18"/>
              </w:rPr>
              <w:t>4,827 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F3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35"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F36"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F37" w14:textId="77777777" w:rsidR="001B77DD" w:rsidRDefault="00BF0A28">
            <w:pPr>
              <w:jc w:val="right"/>
              <w:textAlignment w:val="bottom"/>
            </w:pPr>
            <w:r>
              <w:rPr>
                <w:rFonts w:ascii="Arial" w:eastAsia="宋体" w:hAnsi="Arial" w:cs="Arial"/>
                <w:color w:val="262626"/>
                <w:sz w:val="18"/>
                <w:szCs w:val="18"/>
              </w:rPr>
              <w:t>5,865 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F38" w14:textId="77777777" w:rsidR="001B77DD" w:rsidRDefault="001B77DD">
            <w:pPr>
              <w:jc w:val="right"/>
              <w:rPr>
                <w:rFonts w:ascii="宋体"/>
              </w:rPr>
            </w:pPr>
          </w:p>
        </w:tc>
      </w:tr>
      <w:tr w:rsidR="001B77DD" w14:paraId="67534F41" w14:textId="77777777">
        <w:tc>
          <w:tcPr>
            <w:tcW w:w="0" w:type="auto"/>
            <w:gridSpan w:val="3"/>
            <w:shd w:val="clear" w:color="auto" w:fill="auto"/>
            <w:tcMar>
              <w:top w:w="40" w:type="dxa"/>
              <w:left w:w="20" w:type="dxa"/>
              <w:bottom w:w="40" w:type="dxa"/>
              <w:right w:w="20" w:type="dxa"/>
            </w:tcMar>
            <w:vAlign w:val="bottom"/>
          </w:tcPr>
          <w:p w14:paraId="67534F3A" w14:textId="77777777" w:rsidR="001B77DD" w:rsidRDefault="00BF0A28">
            <w:pPr>
              <w:textAlignment w:val="bottom"/>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67534F3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3C" w14:textId="77777777" w:rsidR="001B77DD" w:rsidRDefault="00BF0A28">
            <w:pPr>
              <w:jc w:val="right"/>
              <w:textAlignment w:val="bottom"/>
            </w:pPr>
            <w:r>
              <w:rPr>
                <w:rFonts w:ascii="Arial" w:eastAsia="宋体" w:hAnsi="Arial" w:cs="Arial"/>
                <w:color w:val="0068B5"/>
                <w:sz w:val="18"/>
                <w:szCs w:val="18"/>
              </w:rPr>
              <w:t>2,103 </w:t>
            </w:r>
          </w:p>
        </w:tc>
        <w:tc>
          <w:tcPr>
            <w:tcW w:w="0" w:type="auto"/>
            <w:shd w:val="clear" w:color="auto" w:fill="auto"/>
            <w:tcMar>
              <w:top w:w="40" w:type="dxa"/>
              <w:left w:w="0" w:type="dxa"/>
              <w:bottom w:w="40" w:type="dxa"/>
              <w:right w:w="20" w:type="dxa"/>
            </w:tcMar>
            <w:vAlign w:val="bottom"/>
          </w:tcPr>
          <w:p w14:paraId="67534F3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3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3F" w14:textId="77777777" w:rsidR="001B77DD" w:rsidRDefault="00BF0A28">
            <w:pPr>
              <w:jc w:val="right"/>
              <w:textAlignment w:val="bottom"/>
            </w:pPr>
            <w:r>
              <w:rPr>
                <w:rFonts w:ascii="Arial" w:eastAsia="宋体" w:hAnsi="Arial" w:cs="Arial"/>
                <w:color w:val="262626"/>
                <w:sz w:val="18"/>
                <w:szCs w:val="18"/>
              </w:rPr>
              <w:t>2,292 </w:t>
            </w:r>
          </w:p>
        </w:tc>
        <w:tc>
          <w:tcPr>
            <w:tcW w:w="0" w:type="auto"/>
            <w:shd w:val="clear" w:color="auto" w:fill="auto"/>
            <w:tcMar>
              <w:top w:w="40" w:type="dxa"/>
              <w:left w:w="0" w:type="dxa"/>
              <w:bottom w:w="40" w:type="dxa"/>
              <w:right w:w="20" w:type="dxa"/>
            </w:tcMar>
            <w:vAlign w:val="bottom"/>
          </w:tcPr>
          <w:p w14:paraId="67534F40" w14:textId="77777777" w:rsidR="001B77DD" w:rsidRDefault="001B77DD">
            <w:pPr>
              <w:jc w:val="right"/>
              <w:rPr>
                <w:rFonts w:ascii="宋体"/>
              </w:rPr>
            </w:pPr>
          </w:p>
        </w:tc>
      </w:tr>
      <w:tr w:rsidR="001B77DD" w14:paraId="67534F49" w14:textId="77777777">
        <w:tc>
          <w:tcPr>
            <w:tcW w:w="0" w:type="auto"/>
            <w:gridSpan w:val="3"/>
            <w:shd w:val="clear" w:color="auto" w:fill="auto"/>
            <w:tcMar>
              <w:top w:w="40" w:type="dxa"/>
              <w:left w:w="20" w:type="dxa"/>
              <w:bottom w:w="40" w:type="dxa"/>
              <w:right w:w="20" w:type="dxa"/>
            </w:tcMar>
          </w:tcPr>
          <w:p w14:paraId="67534F42" w14:textId="77777777" w:rsidR="001B77DD" w:rsidRDefault="00BF0A28">
            <w:pPr>
              <w:textAlignment w:val="top"/>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67534F4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44" w14:textId="77777777" w:rsidR="001B77DD" w:rsidRDefault="00BF0A28">
            <w:pPr>
              <w:jc w:val="right"/>
              <w:textAlignment w:val="bottom"/>
            </w:pPr>
            <w:r>
              <w:rPr>
                <w:rFonts w:ascii="Arial" w:eastAsia="宋体" w:hAnsi="Arial" w:cs="Arial"/>
                <w:color w:val="0068B5"/>
                <w:sz w:val="18"/>
                <w:szCs w:val="18"/>
              </w:rPr>
              <w:t>21,483 </w:t>
            </w:r>
          </w:p>
        </w:tc>
        <w:tc>
          <w:tcPr>
            <w:tcW w:w="0" w:type="auto"/>
            <w:shd w:val="clear" w:color="auto" w:fill="auto"/>
            <w:tcMar>
              <w:top w:w="40" w:type="dxa"/>
              <w:left w:w="0" w:type="dxa"/>
              <w:bottom w:w="40" w:type="dxa"/>
              <w:right w:w="20" w:type="dxa"/>
            </w:tcMar>
            <w:vAlign w:val="bottom"/>
          </w:tcPr>
          <w:p w14:paraId="67534F4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4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47" w14:textId="77777777" w:rsidR="001B77DD" w:rsidRDefault="00BF0A28">
            <w:pPr>
              <w:jc w:val="right"/>
              <w:textAlignment w:val="bottom"/>
            </w:pPr>
            <w:r>
              <w:rPr>
                <w:rFonts w:ascii="Arial" w:eastAsia="宋体" w:hAnsi="Arial" w:cs="Arial"/>
                <w:color w:val="262626"/>
                <w:sz w:val="18"/>
                <w:szCs w:val="18"/>
              </w:rPr>
              <w:t>15,738 </w:t>
            </w:r>
          </w:p>
        </w:tc>
        <w:tc>
          <w:tcPr>
            <w:tcW w:w="0" w:type="auto"/>
            <w:shd w:val="clear" w:color="auto" w:fill="auto"/>
            <w:tcMar>
              <w:top w:w="40" w:type="dxa"/>
              <w:left w:w="0" w:type="dxa"/>
              <w:bottom w:w="40" w:type="dxa"/>
              <w:right w:w="20" w:type="dxa"/>
            </w:tcMar>
            <w:vAlign w:val="bottom"/>
          </w:tcPr>
          <w:p w14:paraId="67534F48" w14:textId="77777777" w:rsidR="001B77DD" w:rsidRDefault="001B77DD">
            <w:pPr>
              <w:jc w:val="right"/>
              <w:rPr>
                <w:rFonts w:ascii="宋体"/>
              </w:rPr>
            </w:pPr>
          </w:p>
        </w:tc>
      </w:tr>
      <w:tr w:rsidR="001B77DD" w14:paraId="67534F51" w14:textId="77777777">
        <w:tc>
          <w:tcPr>
            <w:tcW w:w="0" w:type="auto"/>
            <w:gridSpan w:val="3"/>
            <w:shd w:val="clear" w:color="auto" w:fill="auto"/>
            <w:tcMar>
              <w:top w:w="40" w:type="dxa"/>
              <w:left w:w="20" w:type="dxa"/>
              <w:bottom w:w="40" w:type="dxa"/>
              <w:right w:w="20" w:type="dxa"/>
            </w:tcMar>
          </w:tcPr>
          <w:p w14:paraId="67534F4A" w14:textId="77777777" w:rsidR="001B77DD" w:rsidRDefault="00BF0A28">
            <w:pPr>
              <w:textAlignment w:val="top"/>
            </w:pPr>
            <w:r>
              <w:rPr>
                <w:rFonts w:ascii="Arial" w:eastAsia="宋体" w:hAnsi="Arial" w:cs="Arial"/>
                <w:color w:val="262626"/>
                <w:sz w:val="18"/>
                <w:szCs w:val="18"/>
              </w:rPr>
              <w:t>Other long-term investments</w:t>
            </w:r>
          </w:p>
        </w:tc>
        <w:tc>
          <w:tcPr>
            <w:tcW w:w="0" w:type="auto"/>
            <w:gridSpan w:val="3"/>
            <w:shd w:val="clear" w:color="auto" w:fill="auto"/>
            <w:tcMar>
              <w:top w:w="0" w:type="dxa"/>
              <w:left w:w="20" w:type="dxa"/>
              <w:bottom w:w="0" w:type="dxa"/>
              <w:right w:w="20" w:type="dxa"/>
            </w:tcMar>
            <w:vAlign w:val="bottom"/>
          </w:tcPr>
          <w:p w14:paraId="67534F4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4C" w14:textId="77777777" w:rsidR="001B77DD" w:rsidRDefault="00BF0A28">
            <w:pPr>
              <w:jc w:val="right"/>
              <w:textAlignment w:val="bottom"/>
            </w:pPr>
            <w:r>
              <w:rPr>
                <w:rFonts w:ascii="Arial" w:eastAsia="宋体" w:hAnsi="Arial" w:cs="Arial"/>
                <w:color w:val="0068B5"/>
                <w:sz w:val="18"/>
                <w:szCs w:val="18"/>
              </w:rPr>
              <w:t>840 </w:t>
            </w:r>
          </w:p>
        </w:tc>
        <w:tc>
          <w:tcPr>
            <w:tcW w:w="0" w:type="auto"/>
            <w:shd w:val="clear" w:color="auto" w:fill="auto"/>
            <w:tcMar>
              <w:top w:w="40" w:type="dxa"/>
              <w:left w:w="0" w:type="dxa"/>
              <w:bottom w:w="40" w:type="dxa"/>
              <w:right w:w="20" w:type="dxa"/>
            </w:tcMar>
            <w:vAlign w:val="bottom"/>
          </w:tcPr>
          <w:p w14:paraId="67534F4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4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4F" w14:textId="77777777" w:rsidR="001B77DD" w:rsidRDefault="00BF0A28">
            <w:pPr>
              <w:jc w:val="right"/>
              <w:textAlignment w:val="bottom"/>
            </w:pPr>
            <w:r>
              <w:rPr>
                <w:rFonts w:ascii="Arial" w:eastAsia="宋体" w:hAnsi="Arial" w:cs="Arial"/>
                <w:color w:val="262626"/>
                <w:sz w:val="18"/>
                <w:szCs w:val="18"/>
              </w:rPr>
              <w:t>2,192 </w:t>
            </w:r>
          </w:p>
        </w:tc>
        <w:tc>
          <w:tcPr>
            <w:tcW w:w="0" w:type="auto"/>
            <w:shd w:val="clear" w:color="auto" w:fill="auto"/>
            <w:tcMar>
              <w:top w:w="40" w:type="dxa"/>
              <w:left w:w="0" w:type="dxa"/>
              <w:bottom w:w="40" w:type="dxa"/>
              <w:right w:w="20" w:type="dxa"/>
            </w:tcMar>
            <w:vAlign w:val="bottom"/>
          </w:tcPr>
          <w:p w14:paraId="67534F50" w14:textId="77777777" w:rsidR="001B77DD" w:rsidRDefault="001B77DD">
            <w:pPr>
              <w:jc w:val="right"/>
              <w:rPr>
                <w:rFonts w:ascii="宋体"/>
              </w:rPr>
            </w:pPr>
          </w:p>
        </w:tc>
      </w:tr>
      <w:tr w:rsidR="001B77DD" w14:paraId="67534F59" w14:textId="77777777">
        <w:tc>
          <w:tcPr>
            <w:tcW w:w="0" w:type="auto"/>
            <w:gridSpan w:val="3"/>
            <w:shd w:val="clear" w:color="auto" w:fill="auto"/>
            <w:tcMar>
              <w:top w:w="40" w:type="dxa"/>
              <w:left w:w="20" w:type="dxa"/>
              <w:bottom w:w="40" w:type="dxa"/>
              <w:right w:w="20" w:type="dxa"/>
            </w:tcMar>
          </w:tcPr>
          <w:p w14:paraId="67534F52" w14:textId="77777777" w:rsidR="001B77DD" w:rsidRDefault="00BF0A28">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vAlign w:val="bottom"/>
          </w:tcPr>
          <w:p w14:paraId="67534F5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54" w14:textId="77777777" w:rsidR="001B77DD" w:rsidRDefault="00BF0A28">
            <w:pPr>
              <w:jc w:val="right"/>
              <w:textAlignment w:val="bottom"/>
            </w:pPr>
            <w:r>
              <w:rPr>
                <w:rFonts w:ascii="Arial" w:eastAsia="宋体" w:hAnsi="Arial" w:cs="Arial"/>
                <w:color w:val="0068B5"/>
                <w:sz w:val="18"/>
                <w:szCs w:val="18"/>
              </w:rPr>
              <w:t>240 </w:t>
            </w:r>
          </w:p>
        </w:tc>
        <w:tc>
          <w:tcPr>
            <w:tcW w:w="0" w:type="auto"/>
            <w:shd w:val="clear" w:color="auto" w:fill="auto"/>
            <w:tcMar>
              <w:top w:w="40" w:type="dxa"/>
              <w:left w:w="0" w:type="dxa"/>
              <w:bottom w:w="40" w:type="dxa"/>
              <w:right w:w="20" w:type="dxa"/>
            </w:tcMar>
            <w:vAlign w:val="bottom"/>
          </w:tcPr>
          <w:p w14:paraId="67534F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5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57" w14:textId="77777777" w:rsidR="001B77DD" w:rsidRDefault="00BF0A28">
            <w:pPr>
              <w:jc w:val="right"/>
              <w:textAlignment w:val="bottom"/>
            </w:pPr>
            <w:r>
              <w:rPr>
                <w:rFonts w:ascii="Arial" w:eastAsia="宋体" w:hAnsi="Arial" w:cs="Arial"/>
                <w:color w:val="262626"/>
                <w:sz w:val="18"/>
                <w:szCs w:val="18"/>
              </w:rPr>
              <w:t>947 </w:t>
            </w:r>
          </w:p>
        </w:tc>
        <w:tc>
          <w:tcPr>
            <w:tcW w:w="0" w:type="auto"/>
            <w:shd w:val="clear" w:color="auto" w:fill="auto"/>
            <w:tcMar>
              <w:top w:w="40" w:type="dxa"/>
              <w:left w:w="0" w:type="dxa"/>
              <w:bottom w:w="40" w:type="dxa"/>
              <w:right w:w="20" w:type="dxa"/>
            </w:tcMar>
            <w:vAlign w:val="bottom"/>
          </w:tcPr>
          <w:p w14:paraId="67534F58" w14:textId="77777777" w:rsidR="001B77DD" w:rsidRDefault="001B77DD">
            <w:pPr>
              <w:jc w:val="right"/>
              <w:rPr>
                <w:rFonts w:ascii="宋体"/>
              </w:rPr>
            </w:pPr>
          </w:p>
        </w:tc>
      </w:tr>
      <w:tr w:rsidR="001B77DD" w14:paraId="67534F63" w14:textId="77777777">
        <w:tc>
          <w:tcPr>
            <w:tcW w:w="0" w:type="auto"/>
            <w:gridSpan w:val="3"/>
            <w:shd w:val="clear" w:color="auto" w:fill="auto"/>
            <w:tcMar>
              <w:top w:w="40" w:type="dxa"/>
              <w:left w:w="20" w:type="dxa"/>
              <w:bottom w:w="40" w:type="dxa"/>
              <w:right w:w="20" w:type="dxa"/>
            </w:tcMar>
          </w:tcPr>
          <w:p w14:paraId="67534F5A" w14:textId="77777777" w:rsidR="001B77DD" w:rsidRDefault="00BF0A28">
            <w:pPr>
              <w:textAlignment w:val="top"/>
            </w:pPr>
            <w:r>
              <w:rPr>
                <w:rFonts w:ascii="Arial" w:eastAsia="宋体" w:hAnsi="Arial" w:cs="Arial"/>
                <w:b/>
                <w:bCs/>
                <w:color w:val="262626"/>
                <w:sz w:val="18"/>
                <w:szCs w:val="18"/>
              </w:rPr>
              <w:t>Total cash and investments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67534F5B"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4F5C"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F5D" w14:textId="77777777" w:rsidR="001B77DD" w:rsidRDefault="00BF0A28">
            <w:pPr>
              <w:jc w:val="right"/>
              <w:textAlignment w:val="bottom"/>
            </w:pPr>
            <w:r>
              <w:rPr>
                <w:rFonts w:ascii="Arial" w:eastAsia="宋体" w:hAnsi="Arial" w:cs="Arial"/>
                <w:b/>
                <w:bCs/>
                <w:color w:val="0068B5"/>
                <w:sz w:val="18"/>
                <w:szCs w:val="18"/>
              </w:rPr>
              <w:t>29,493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F5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5F"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4F60"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4F61" w14:textId="77777777" w:rsidR="001B77DD" w:rsidRDefault="00BF0A28">
            <w:pPr>
              <w:jc w:val="right"/>
              <w:textAlignment w:val="bottom"/>
            </w:pPr>
            <w:r>
              <w:rPr>
                <w:rFonts w:ascii="Arial" w:eastAsia="宋体" w:hAnsi="Arial" w:cs="Arial"/>
                <w:b/>
                <w:bCs/>
                <w:color w:val="262626"/>
                <w:sz w:val="18"/>
                <w:szCs w:val="18"/>
              </w:rPr>
              <w:t>27,034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4F62" w14:textId="77777777" w:rsidR="001B77DD" w:rsidRDefault="001B77DD">
            <w:pPr>
              <w:jc w:val="right"/>
              <w:rPr>
                <w:rFonts w:ascii="宋体"/>
              </w:rPr>
            </w:pPr>
          </w:p>
        </w:tc>
      </w:tr>
      <w:tr w:rsidR="001B77DD" w14:paraId="67534F6D" w14:textId="77777777">
        <w:tc>
          <w:tcPr>
            <w:tcW w:w="0" w:type="auto"/>
            <w:gridSpan w:val="3"/>
            <w:shd w:val="clear" w:color="auto" w:fill="auto"/>
            <w:tcMar>
              <w:top w:w="40" w:type="dxa"/>
              <w:left w:w="20" w:type="dxa"/>
              <w:bottom w:w="40" w:type="dxa"/>
              <w:right w:w="20" w:type="dxa"/>
            </w:tcMar>
          </w:tcPr>
          <w:p w14:paraId="67534F64" w14:textId="77777777" w:rsidR="001B77DD" w:rsidRDefault="00BF0A28">
            <w:pPr>
              <w:textAlignment w:val="top"/>
            </w:pPr>
            <w:r>
              <w:rPr>
                <w:rFonts w:ascii="Arial" w:eastAsia="宋体" w:hAnsi="Arial" w:cs="Arial"/>
                <w:b/>
                <w:bCs/>
                <w:color w:val="262626"/>
                <w:sz w:val="18"/>
                <w:szCs w:val="18"/>
              </w:rPr>
              <w:t>Total debt</w:t>
            </w:r>
          </w:p>
        </w:tc>
        <w:tc>
          <w:tcPr>
            <w:tcW w:w="0" w:type="auto"/>
            <w:gridSpan w:val="3"/>
            <w:shd w:val="clear" w:color="auto" w:fill="auto"/>
            <w:tcMar>
              <w:top w:w="0" w:type="dxa"/>
              <w:left w:w="20" w:type="dxa"/>
              <w:bottom w:w="0" w:type="dxa"/>
              <w:right w:w="20" w:type="dxa"/>
            </w:tcMar>
            <w:vAlign w:val="bottom"/>
          </w:tcPr>
          <w:p w14:paraId="67534F65" w14:textId="77777777" w:rsidR="001B77DD" w:rsidRDefault="001B77DD">
            <w:pPr>
              <w:rPr>
                <w:rFonts w:ascii="宋体"/>
              </w:rPr>
            </w:pPr>
          </w:p>
        </w:tc>
        <w:tc>
          <w:tcPr>
            <w:tcW w:w="0" w:type="auto"/>
            <w:tcBorders>
              <w:top w:val="double" w:sz="6" w:space="0" w:color="000000"/>
            </w:tcBorders>
            <w:shd w:val="clear" w:color="auto" w:fill="auto"/>
            <w:tcMar>
              <w:top w:w="40" w:type="dxa"/>
              <w:left w:w="20" w:type="dxa"/>
              <w:bottom w:w="40" w:type="dxa"/>
              <w:right w:w="0" w:type="dxa"/>
            </w:tcMar>
            <w:vAlign w:val="bottom"/>
          </w:tcPr>
          <w:p w14:paraId="67534F66" w14:textId="77777777" w:rsidR="001B77DD" w:rsidRDefault="00BF0A28">
            <w:pPr>
              <w:textAlignment w:val="bottom"/>
            </w:pPr>
            <w:r>
              <w:rPr>
                <w:rFonts w:ascii="Arial" w:eastAsia="宋体" w:hAnsi="Arial" w:cs="Arial"/>
                <w:b/>
                <w:bCs/>
                <w:color w:val="0068B5"/>
                <w:sz w:val="18"/>
                <w:szCs w:val="18"/>
              </w:rPr>
              <w:t>$</w:t>
            </w:r>
          </w:p>
        </w:tc>
        <w:tc>
          <w:tcPr>
            <w:tcW w:w="0" w:type="auto"/>
            <w:tcBorders>
              <w:top w:val="double" w:sz="6" w:space="0" w:color="000000"/>
            </w:tcBorders>
            <w:shd w:val="clear" w:color="auto" w:fill="auto"/>
            <w:tcMar>
              <w:top w:w="40" w:type="dxa"/>
              <w:left w:w="0" w:type="dxa"/>
              <w:bottom w:w="40" w:type="dxa"/>
              <w:right w:w="0" w:type="dxa"/>
            </w:tcMar>
            <w:vAlign w:val="bottom"/>
          </w:tcPr>
          <w:p w14:paraId="67534F67" w14:textId="77777777" w:rsidR="001B77DD" w:rsidRDefault="00BF0A28">
            <w:pPr>
              <w:jc w:val="right"/>
              <w:textAlignment w:val="bottom"/>
            </w:pPr>
            <w:r>
              <w:rPr>
                <w:rFonts w:ascii="Arial" w:eastAsia="宋体" w:hAnsi="Arial" w:cs="Arial"/>
                <w:b/>
                <w:bCs/>
                <w:color w:val="0068B5"/>
                <w:sz w:val="18"/>
                <w:szCs w:val="18"/>
              </w:rPr>
              <w:t>38,101</w:t>
            </w:r>
            <w:r>
              <w:rPr>
                <w:rFonts w:ascii="Arial" w:eastAsia="宋体" w:hAnsi="Arial" w:cs="Arial"/>
                <w:color w:val="0068B5"/>
                <w:sz w:val="18"/>
                <w:szCs w:val="18"/>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67534F6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69" w14:textId="77777777" w:rsidR="001B77DD" w:rsidRDefault="001B77DD">
            <w:pPr>
              <w:rPr>
                <w:rFonts w:ascii="宋体"/>
              </w:rPr>
            </w:pPr>
          </w:p>
        </w:tc>
        <w:tc>
          <w:tcPr>
            <w:tcW w:w="0" w:type="auto"/>
            <w:tcBorders>
              <w:top w:val="double" w:sz="6" w:space="0" w:color="000000"/>
            </w:tcBorders>
            <w:shd w:val="clear" w:color="auto" w:fill="auto"/>
            <w:tcMar>
              <w:top w:w="40" w:type="dxa"/>
              <w:left w:w="20" w:type="dxa"/>
              <w:bottom w:w="40" w:type="dxa"/>
              <w:right w:w="0" w:type="dxa"/>
            </w:tcMar>
            <w:vAlign w:val="bottom"/>
          </w:tcPr>
          <w:p w14:paraId="67534F6A"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000000"/>
            </w:tcBorders>
            <w:shd w:val="clear" w:color="auto" w:fill="auto"/>
            <w:tcMar>
              <w:top w:w="40" w:type="dxa"/>
              <w:left w:w="0" w:type="dxa"/>
              <w:bottom w:w="40" w:type="dxa"/>
              <w:right w:w="0" w:type="dxa"/>
            </w:tcMar>
            <w:vAlign w:val="bottom"/>
          </w:tcPr>
          <w:p w14:paraId="67534F6B" w14:textId="77777777" w:rsidR="001B77DD" w:rsidRDefault="00BF0A28">
            <w:pPr>
              <w:jc w:val="right"/>
              <w:textAlignment w:val="bottom"/>
            </w:pPr>
            <w:r>
              <w:rPr>
                <w:rFonts w:ascii="Arial" w:eastAsia="宋体" w:hAnsi="Arial" w:cs="Arial"/>
                <w:b/>
                <w:bCs/>
                <w:color w:val="262626"/>
                <w:sz w:val="18"/>
                <w:szCs w:val="18"/>
              </w:rPr>
              <w:t>36,401</w:t>
            </w:r>
            <w:r>
              <w:rPr>
                <w:rFonts w:ascii="Arial" w:eastAsia="宋体" w:hAnsi="Arial" w:cs="Arial"/>
                <w:color w:val="262626"/>
                <w:sz w:val="18"/>
                <w:szCs w:val="18"/>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67534F6C" w14:textId="77777777" w:rsidR="001B77DD" w:rsidRDefault="001B77DD">
            <w:pPr>
              <w:jc w:val="right"/>
              <w:rPr>
                <w:rFonts w:ascii="宋体"/>
              </w:rPr>
            </w:pPr>
          </w:p>
        </w:tc>
      </w:tr>
      <w:tr w:rsidR="001B77DD" w14:paraId="67534F73" w14:textId="77777777">
        <w:trPr>
          <w:hidden/>
        </w:trPr>
        <w:tc>
          <w:tcPr>
            <w:tcW w:w="0" w:type="auto"/>
            <w:gridSpan w:val="3"/>
            <w:shd w:val="clear" w:color="auto" w:fill="auto"/>
            <w:vAlign w:val="bottom"/>
          </w:tcPr>
          <w:p w14:paraId="67534F6E" w14:textId="77777777" w:rsidR="001B77DD" w:rsidRDefault="001B77DD">
            <w:pPr>
              <w:rPr>
                <w:rFonts w:ascii="宋体"/>
                <w:vanish/>
              </w:rPr>
            </w:pPr>
          </w:p>
        </w:tc>
        <w:tc>
          <w:tcPr>
            <w:tcW w:w="0" w:type="auto"/>
            <w:gridSpan w:val="3"/>
            <w:shd w:val="clear" w:color="auto" w:fill="auto"/>
            <w:vAlign w:val="bottom"/>
          </w:tcPr>
          <w:p w14:paraId="67534F6F" w14:textId="77777777" w:rsidR="001B77DD" w:rsidRDefault="001B77DD">
            <w:pPr>
              <w:rPr>
                <w:rFonts w:ascii="宋体"/>
                <w:vanish/>
              </w:rPr>
            </w:pPr>
          </w:p>
        </w:tc>
        <w:tc>
          <w:tcPr>
            <w:tcW w:w="0" w:type="auto"/>
            <w:gridSpan w:val="3"/>
            <w:shd w:val="clear" w:color="auto" w:fill="auto"/>
            <w:vAlign w:val="bottom"/>
          </w:tcPr>
          <w:p w14:paraId="67534F70" w14:textId="77777777" w:rsidR="001B77DD" w:rsidRDefault="001B77DD">
            <w:pPr>
              <w:rPr>
                <w:rFonts w:ascii="宋体"/>
                <w:vanish/>
              </w:rPr>
            </w:pPr>
          </w:p>
        </w:tc>
        <w:tc>
          <w:tcPr>
            <w:tcW w:w="0" w:type="auto"/>
            <w:gridSpan w:val="3"/>
            <w:shd w:val="clear" w:color="auto" w:fill="auto"/>
            <w:vAlign w:val="bottom"/>
          </w:tcPr>
          <w:p w14:paraId="67534F71" w14:textId="77777777" w:rsidR="001B77DD" w:rsidRDefault="001B77DD">
            <w:pPr>
              <w:rPr>
                <w:rFonts w:ascii="宋体"/>
                <w:vanish/>
              </w:rPr>
            </w:pPr>
          </w:p>
        </w:tc>
        <w:tc>
          <w:tcPr>
            <w:tcW w:w="0" w:type="auto"/>
            <w:gridSpan w:val="3"/>
            <w:shd w:val="clear" w:color="auto" w:fill="auto"/>
            <w:vAlign w:val="bottom"/>
          </w:tcPr>
          <w:p w14:paraId="67534F72" w14:textId="77777777" w:rsidR="001B77DD" w:rsidRDefault="001B77DD">
            <w:pPr>
              <w:rPr>
                <w:rFonts w:ascii="宋体"/>
                <w:vanish/>
              </w:rPr>
            </w:pPr>
          </w:p>
        </w:tc>
      </w:tr>
      <w:tr w:rsidR="001B77DD" w14:paraId="67534F79" w14:textId="77777777">
        <w:trPr>
          <w:hidden/>
        </w:trPr>
        <w:tc>
          <w:tcPr>
            <w:tcW w:w="0" w:type="auto"/>
            <w:gridSpan w:val="3"/>
            <w:shd w:val="clear" w:color="auto" w:fill="auto"/>
            <w:vAlign w:val="bottom"/>
          </w:tcPr>
          <w:p w14:paraId="67534F74" w14:textId="77777777" w:rsidR="001B77DD" w:rsidRDefault="001B77DD">
            <w:pPr>
              <w:rPr>
                <w:rFonts w:ascii="宋体"/>
                <w:vanish/>
              </w:rPr>
            </w:pPr>
          </w:p>
        </w:tc>
        <w:tc>
          <w:tcPr>
            <w:tcW w:w="0" w:type="auto"/>
            <w:gridSpan w:val="3"/>
            <w:shd w:val="clear" w:color="auto" w:fill="auto"/>
            <w:vAlign w:val="bottom"/>
          </w:tcPr>
          <w:p w14:paraId="67534F75" w14:textId="77777777" w:rsidR="001B77DD" w:rsidRDefault="001B77DD">
            <w:pPr>
              <w:rPr>
                <w:rFonts w:ascii="宋体"/>
                <w:vanish/>
              </w:rPr>
            </w:pPr>
          </w:p>
        </w:tc>
        <w:tc>
          <w:tcPr>
            <w:tcW w:w="0" w:type="auto"/>
            <w:gridSpan w:val="3"/>
            <w:shd w:val="clear" w:color="auto" w:fill="auto"/>
            <w:vAlign w:val="bottom"/>
          </w:tcPr>
          <w:p w14:paraId="67534F76" w14:textId="77777777" w:rsidR="001B77DD" w:rsidRDefault="001B77DD">
            <w:pPr>
              <w:rPr>
                <w:rFonts w:ascii="宋体"/>
                <w:vanish/>
              </w:rPr>
            </w:pPr>
          </w:p>
        </w:tc>
        <w:tc>
          <w:tcPr>
            <w:tcW w:w="0" w:type="auto"/>
            <w:gridSpan w:val="3"/>
            <w:shd w:val="clear" w:color="auto" w:fill="auto"/>
            <w:vAlign w:val="bottom"/>
          </w:tcPr>
          <w:p w14:paraId="67534F77" w14:textId="77777777" w:rsidR="001B77DD" w:rsidRDefault="001B77DD">
            <w:pPr>
              <w:rPr>
                <w:rFonts w:ascii="宋体"/>
                <w:vanish/>
              </w:rPr>
            </w:pPr>
          </w:p>
        </w:tc>
        <w:tc>
          <w:tcPr>
            <w:tcW w:w="0" w:type="auto"/>
            <w:gridSpan w:val="3"/>
            <w:shd w:val="clear" w:color="auto" w:fill="auto"/>
            <w:vAlign w:val="bottom"/>
          </w:tcPr>
          <w:p w14:paraId="67534F78" w14:textId="77777777" w:rsidR="001B77DD" w:rsidRDefault="001B77DD">
            <w:pPr>
              <w:rPr>
                <w:rFonts w:ascii="宋体"/>
                <w:vanish/>
              </w:rPr>
            </w:pPr>
          </w:p>
        </w:tc>
      </w:tr>
    </w:tbl>
    <w:p w14:paraId="67534F7A" w14:textId="77777777" w:rsidR="001B77DD" w:rsidRDefault="00BF0A28">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F84" w14:textId="77777777">
        <w:tc>
          <w:tcPr>
            <w:tcW w:w="50" w:type="pct"/>
            <w:shd w:val="clear" w:color="auto" w:fill="auto"/>
            <w:vAlign w:val="bottom"/>
          </w:tcPr>
          <w:p w14:paraId="67534F7B" w14:textId="77777777" w:rsidR="001B77DD" w:rsidRDefault="001B77DD">
            <w:pPr>
              <w:rPr>
                <w:rFonts w:ascii="宋体"/>
              </w:rPr>
            </w:pPr>
          </w:p>
        </w:tc>
        <w:tc>
          <w:tcPr>
            <w:tcW w:w="283" w:type="pct"/>
            <w:shd w:val="clear" w:color="auto" w:fill="auto"/>
            <w:vAlign w:val="bottom"/>
          </w:tcPr>
          <w:p w14:paraId="67534F7C" w14:textId="77777777" w:rsidR="001B77DD" w:rsidRDefault="001B77DD">
            <w:pPr>
              <w:rPr>
                <w:rFonts w:ascii="宋体"/>
              </w:rPr>
            </w:pPr>
          </w:p>
        </w:tc>
        <w:tc>
          <w:tcPr>
            <w:tcW w:w="5" w:type="pct"/>
            <w:shd w:val="clear" w:color="auto" w:fill="auto"/>
            <w:vAlign w:val="bottom"/>
          </w:tcPr>
          <w:p w14:paraId="67534F7D" w14:textId="77777777" w:rsidR="001B77DD" w:rsidRDefault="001B77DD">
            <w:pPr>
              <w:rPr>
                <w:rFonts w:ascii="宋体"/>
              </w:rPr>
            </w:pPr>
          </w:p>
        </w:tc>
        <w:tc>
          <w:tcPr>
            <w:tcW w:w="50" w:type="pct"/>
            <w:shd w:val="clear" w:color="auto" w:fill="auto"/>
            <w:vAlign w:val="bottom"/>
          </w:tcPr>
          <w:p w14:paraId="67534F7E" w14:textId="77777777" w:rsidR="001B77DD" w:rsidRDefault="001B77DD">
            <w:pPr>
              <w:rPr>
                <w:rFonts w:ascii="宋体"/>
              </w:rPr>
            </w:pPr>
          </w:p>
        </w:tc>
        <w:tc>
          <w:tcPr>
            <w:tcW w:w="2656" w:type="pct"/>
            <w:shd w:val="clear" w:color="auto" w:fill="auto"/>
            <w:vAlign w:val="bottom"/>
          </w:tcPr>
          <w:p w14:paraId="67534F7F" w14:textId="77777777" w:rsidR="001B77DD" w:rsidRDefault="001B77DD">
            <w:pPr>
              <w:rPr>
                <w:rFonts w:ascii="宋体"/>
              </w:rPr>
            </w:pPr>
          </w:p>
        </w:tc>
        <w:tc>
          <w:tcPr>
            <w:tcW w:w="5" w:type="pct"/>
            <w:shd w:val="clear" w:color="auto" w:fill="auto"/>
            <w:vAlign w:val="bottom"/>
          </w:tcPr>
          <w:p w14:paraId="67534F80" w14:textId="77777777" w:rsidR="001B77DD" w:rsidRDefault="001B77DD">
            <w:pPr>
              <w:rPr>
                <w:rFonts w:ascii="宋体"/>
              </w:rPr>
            </w:pPr>
          </w:p>
        </w:tc>
        <w:tc>
          <w:tcPr>
            <w:tcW w:w="50" w:type="pct"/>
            <w:shd w:val="clear" w:color="auto" w:fill="auto"/>
            <w:vAlign w:val="bottom"/>
          </w:tcPr>
          <w:p w14:paraId="67534F81" w14:textId="77777777" w:rsidR="001B77DD" w:rsidRDefault="001B77DD">
            <w:pPr>
              <w:rPr>
                <w:rFonts w:ascii="宋体"/>
              </w:rPr>
            </w:pPr>
          </w:p>
        </w:tc>
        <w:tc>
          <w:tcPr>
            <w:tcW w:w="1894" w:type="pct"/>
            <w:shd w:val="clear" w:color="auto" w:fill="auto"/>
            <w:vAlign w:val="bottom"/>
          </w:tcPr>
          <w:p w14:paraId="67534F82" w14:textId="77777777" w:rsidR="001B77DD" w:rsidRDefault="001B77DD">
            <w:pPr>
              <w:rPr>
                <w:rFonts w:ascii="宋体"/>
              </w:rPr>
            </w:pPr>
          </w:p>
        </w:tc>
        <w:tc>
          <w:tcPr>
            <w:tcW w:w="5" w:type="pct"/>
            <w:shd w:val="clear" w:color="auto" w:fill="auto"/>
            <w:vAlign w:val="bottom"/>
          </w:tcPr>
          <w:p w14:paraId="67534F83" w14:textId="77777777" w:rsidR="001B77DD" w:rsidRDefault="001B77DD">
            <w:pPr>
              <w:rPr>
                <w:rFonts w:ascii="宋体"/>
              </w:rPr>
            </w:pPr>
          </w:p>
        </w:tc>
      </w:tr>
      <w:tr w:rsidR="001B77DD" w14:paraId="67534F8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F85"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BA" wp14:editId="67538EBB">
                  <wp:extent cx="304800" cy="304800"/>
                  <wp:effectExtent l="0" t="0" r="0" b="0"/>
                  <wp:docPr id="209" name="图片 21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1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F86"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F87" w14:textId="77777777" w:rsidR="001B77DD" w:rsidRDefault="00BF0A28">
            <w:pPr>
              <w:jc w:val="right"/>
              <w:textAlignment w:val="center"/>
            </w:pPr>
            <w:r>
              <w:rPr>
                <w:rFonts w:ascii="Arial" w:eastAsia="宋体" w:hAnsi="Arial" w:cs="Arial"/>
                <w:color w:val="262626"/>
                <w:sz w:val="16"/>
                <w:szCs w:val="16"/>
              </w:rPr>
              <w:t>42</w:t>
            </w:r>
          </w:p>
        </w:tc>
      </w:tr>
    </w:tbl>
    <w:p w14:paraId="67534F89" w14:textId="77777777" w:rsidR="001B77DD" w:rsidRDefault="00BF0A28">
      <w:r>
        <w:pict w14:anchorId="67538EBC">
          <v:rect id="_x0000_i1068" style="width:415.3pt;height:1.5pt" o:hralign="center" o:hrstd="t" o:hr="t" fillcolor="#a0a0a0" stroked="f"/>
        </w:pict>
      </w:r>
    </w:p>
    <w:p w14:paraId="67534F8A" w14:textId="77777777" w:rsidR="001B77DD" w:rsidRDefault="00BF0A28">
      <w:pPr>
        <w:jc w:val="right"/>
      </w:pPr>
      <w:hyperlink r:id="rId100" w:anchor="i6c9ced68f6b24d58a3dcf326e8c3c699_16" w:history="1">
        <w:r>
          <w:rPr>
            <w:rStyle w:val="a5"/>
            <w:rFonts w:ascii="Arial" w:eastAsia="宋体" w:hAnsi="Arial" w:cs="Arial"/>
            <w:b/>
            <w:bCs/>
            <w:sz w:val="16"/>
            <w:szCs w:val="16"/>
          </w:rPr>
          <w:t>Table of Contents</w:t>
        </w:r>
      </w:hyperlink>
    </w:p>
    <w:p w14:paraId="67534F8B" w14:textId="77777777" w:rsidR="001B77DD" w:rsidRDefault="001B77DD">
      <w:pPr>
        <w:jc w:val="right"/>
      </w:pPr>
    </w:p>
    <w:p w14:paraId="67534F8C" w14:textId="77777777" w:rsidR="001B77DD" w:rsidRDefault="00BF0A28">
      <w:pPr>
        <w:spacing w:after="180"/>
      </w:pPr>
      <w:r>
        <w:rPr>
          <w:rFonts w:ascii="Arial" w:eastAsia="宋体" w:hAnsi="Arial" w:cs="Arial"/>
          <w:color w:val="262626"/>
          <w:sz w:val="18"/>
          <w:szCs w:val="18"/>
        </w:rPr>
        <w:t>Other potential sources of liquidity include our commercial paper program and our a</w:t>
      </w:r>
      <w:r>
        <w:rPr>
          <w:rFonts w:ascii="Arial" w:eastAsia="宋体" w:hAnsi="Arial" w:cs="Arial"/>
          <w:color w:val="262626"/>
          <w:sz w:val="18"/>
          <w:szCs w:val="18"/>
        </w:rPr>
        <w:t>utomatic shelf registration statement on file with the SEC, pursuant to which we may offer an unspecified amount of debt, equity, and other securities. Under our commercial paper program, we have an ongoing authorization from our Board of Directors to borr</w:t>
      </w:r>
      <w:r>
        <w:rPr>
          <w:rFonts w:ascii="Arial" w:eastAsia="宋体" w:hAnsi="Arial" w:cs="Arial"/>
          <w:color w:val="262626"/>
          <w:sz w:val="18"/>
          <w:szCs w:val="18"/>
        </w:rPr>
        <w:t>ow up to $10.0 billion. During 2021, we issued a total of $5.0 billion aggregate principal amount of senior notes, and entered into a $5.0 billion variable-rate revolving credit facility that matures in March 2026. We repaid $500 million of our 1.70% senio</w:t>
      </w:r>
      <w:r>
        <w:rPr>
          <w:rFonts w:ascii="Arial" w:eastAsia="宋体" w:hAnsi="Arial" w:cs="Arial"/>
          <w:color w:val="262626"/>
          <w:sz w:val="18"/>
          <w:szCs w:val="18"/>
        </w:rPr>
        <w:t>r notes that matured in May 2021 and $2.0 billion of our 3.30% senior notes that matured in October 2021. As of December 25, 2021, we had no outstanding commercial paper or borrowing on the revolving credit facility.</w:t>
      </w:r>
    </w:p>
    <w:p w14:paraId="67534F8D" w14:textId="77777777" w:rsidR="001B77DD" w:rsidRDefault="00BF0A28">
      <w:pPr>
        <w:spacing w:after="180"/>
      </w:pPr>
      <w:r>
        <w:rPr>
          <w:rFonts w:ascii="Arial" w:eastAsia="宋体" w:hAnsi="Arial" w:cs="Arial"/>
          <w:color w:val="262626"/>
          <w:sz w:val="18"/>
          <w:szCs w:val="18"/>
        </w:rPr>
        <w:t>We maintain a diverse investment portfo</w:t>
      </w:r>
      <w:r>
        <w:rPr>
          <w:rFonts w:ascii="Arial" w:eastAsia="宋体" w:hAnsi="Arial" w:cs="Arial"/>
          <w:color w:val="262626"/>
          <w:sz w:val="18"/>
          <w:szCs w:val="18"/>
        </w:rPr>
        <w:t>lio that we continually analyze based on issuer, industry, and country. Substantially all of our investments in debt instruments are in investment-grade securities.</w:t>
      </w:r>
    </w:p>
    <w:p w14:paraId="67534F8E" w14:textId="77777777" w:rsidR="001B77DD" w:rsidRDefault="00BF0A28">
      <w:pPr>
        <w:spacing w:after="180"/>
      </w:pPr>
      <w:r>
        <w:rPr>
          <w:rFonts w:ascii="Arial" w:eastAsia="宋体" w:hAnsi="Arial" w:cs="Arial"/>
          <w:color w:val="262626"/>
          <w:sz w:val="18"/>
          <w:szCs w:val="18"/>
        </w:rPr>
        <w:t>In the first quarter of 2021, we repurchased the remaining $2.4 billion in shares of our pl</w:t>
      </w:r>
      <w:r>
        <w:rPr>
          <w:rFonts w:ascii="Arial" w:eastAsia="宋体" w:hAnsi="Arial" w:cs="Arial"/>
          <w:color w:val="262626"/>
          <w:sz w:val="18"/>
          <w:szCs w:val="18"/>
        </w:rPr>
        <w:t xml:space="preserve">anned $20.0 billion share repurchases announced in October 2019. We expect our future stock repurchases to be significantly below our levels from the last few years. </w:t>
      </w:r>
    </w:p>
    <w:tbl>
      <w:tblPr>
        <w:tblW w:w="10980" w:type="dxa"/>
        <w:jc w:val="center"/>
        <w:tblCellMar>
          <w:top w:w="15" w:type="dxa"/>
          <w:left w:w="15" w:type="dxa"/>
          <w:bottom w:w="15" w:type="dxa"/>
          <w:right w:w="15" w:type="dxa"/>
        </w:tblCellMar>
        <w:tblLook w:val="04A0" w:firstRow="1" w:lastRow="0" w:firstColumn="1" w:lastColumn="0" w:noHBand="0" w:noVBand="1"/>
      </w:tblPr>
      <w:tblGrid>
        <w:gridCol w:w="36"/>
        <w:gridCol w:w="10872"/>
        <w:gridCol w:w="36"/>
        <w:gridCol w:w="36"/>
      </w:tblGrid>
      <w:tr w:rsidR="001B77DD" w14:paraId="67534F93" w14:textId="77777777">
        <w:trPr>
          <w:jc w:val="center"/>
        </w:trPr>
        <w:tc>
          <w:tcPr>
            <w:tcW w:w="20" w:type="dxa"/>
            <w:shd w:val="clear" w:color="auto" w:fill="auto"/>
            <w:vAlign w:val="bottom"/>
          </w:tcPr>
          <w:p w14:paraId="67534F8F" w14:textId="77777777" w:rsidR="001B77DD" w:rsidRDefault="001B77DD">
            <w:pPr>
              <w:rPr>
                <w:rFonts w:ascii="宋体"/>
              </w:rPr>
            </w:pPr>
          </w:p>
        </w:tc>
        <w:tc>
          <w:tcPr>
            <w:tcW w:w="10940" w:type="dxa"/>
            <w:shd w:val="clear" w:color="auto" w:fill="auto"/>
            <w:vAlign w:val="bottom"/>
          </w:tcPr>
          <w:p w14:paraId="67534F90" w14:textId="77777777" w:rsidR="001B77DD" w:rsidRDefault="001B77DD">
            <w:pPr>
              <w:rPr>
                <w:rFonts w:ascii="宋体"/>
              </w:rPr>
            </w:pPr>
          </w:p>
        </w:tc>
        <w:tc>
          <w:tcPr>
            <w:tcW w:w="20" w:type="dxa"/>
            <w:shd w:val="clear" w:color="auto" w:fill="auto"/>
            <w:vAlign w:val="bottom"/>
          </w:tcPr>
          <w:p w14:paraId="67534F91" w14:textId="77777777" w:rsidR="001B77DD" w:rsidRDefault="001B77DD">
            <w:pPr>
              <w:rPr>
                <w:rFonts w:ascii="宋体"/>
              </w:rPr>
            </w:pPr>
          </w:p>
        </w:tc>
        <w:tc>
          <w:tcPr>
            <w:tcW w:w="0" w:type="auto"/>
            <w:shd w:val="clear" w:color="auto" w:fill="auto"/>
            <w:vAlign w:val="bottom"/>
          </w:tcPr>
          <w:p w14:paraId="67534F92" w14:textId="77777777" w:rsidR="001B77DD" w:rsidRDefault="001B77DD">
            <w:pPr>
              <w:rPr>
                <w:rFonts w:ascii="宋体"/>
                <w:vanish/>
              </w:rPr>
            </w:pPr>
          </w:p>
        </w:tc>
      </w:tr>
      <w:tr w:rsidR="001B77DD" w14:paraId="67534F97" w14:textId="77777777">
        <w:trPr>
          <w:trHeight w:val="460"/>
          <w:jc w:val="center"/>
        </w:trPr>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7534F94" w14:textId="77777777" w:rsidR="001B77DD" w:rsidRDefault="00BF0A28">
            <w:pPr>
              <w:jc w:val="center"/>
              <w:textAlignment w:val="bottom"/>
            </w:pPr>
            <w:r>
              <w:rPr>
                <w:rFonts w:ascii="Arial" w:eastAsia="宋体" w:hAnsi="Arial" w:cs="Arial"/>
                <w:color w:val="0068B5"/>
                <w:sz w:val="18"/>
                <w:szCs w:val="18"/>
              </w:rPr>
              <w:t>Sources and Uses of Cash</w:t>
            </w:r>
          </w:p>
          <w:p w14:paraId="67534F95" w14:textId="77777777" w:rsidR="001B77DD" w:rsidRDefault="00BF0A28">
            <w:pPr>
              <w:jc w:val="center"/>
              <w:textAlignment w:val="bottom"/>
            </w:pPr>
            <w:r>
              <w:rPr>
                <w:rFonts w:ascii="Arial" w:eastAsia="宋体" w:hAnsi="Arial" w:cs="Arial"/>
                <w:color w:val="0068B5"/>
                <w:sz w:val="16"/>
                <w:szCs w:val="16"/>
              </w:rPr>
              <w:t>(In Millions)</w:t>
            </w:r>
          </w:p>
        </w:tc>
        <w:tc>
          <w:tcPr>
            <w:tcW w:w="0" w:type="auto"/>
            <w:shd w:val="clear" w:color="auto" w:fill="auto"/>
            <w:vAlign w:val="bottom"/>
          </w:tcPr>
          <w:p w14:paraId="67534F96" w14:textId="77777777" w:rsidR="001B77DD" w:rsidRDefault="001B77DD">
            <w:pPr>
              <w:rPr>
                <w:rFonts w:ascii="宋体"/>
                <w:vanish/>
              </w:rPr>
            </w:pPr>
          </w:p>
        </w:tc>
      </w:tr>
    </w:tbl>
    <w:p w14:paraId="67534F98"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Viewer4_files/intc-20211225_g96.jpg"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BD" wp14:editId="67538EBE">
            <wp:extent cx="304800" cy="304800"/>
            <wp:effectExtent l="0" t="0" r="0" b="0"/>
            <wp:docPr id="210" name="图片 212"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2" descr="IMG_3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4FA2" w14:textId="77777777">
        <w:tc>
          <w:tcPr>
            <w:tcW w:w="50" w:type="pct"/>
            <w:shd w:val="clear" w:color="auto" w:fill="auto"/>
            <w:vAlign w:val="bottom"/>
          </w:tcPr>
          <w:p w14:paraId="67534F99" w14:textId="77777777" w:rsidR="001B77DD" w:rsidRDefault="001B77DD">
            <w:pPr>
              <w:rPr>
                <w:rFonts w:ascii="宋体"/>
              </w:rPr>
            </w:pPr>
          </w:p>
        </w:tc>
        <w:tc>
          <w:tcPr>
            <w:tcW w:w="283" w:type="pct"/>
            <w:shd w:val="clear" w:color="auto" w:fill="auto"/>
            <w:vAlign w:val="bottom"/>
          </w:tcPr>
          <w:p w14:paraId="67534F9A" w14:textId="77777777" w:rsidR="001B77DD" w:rsidRDefault="001B77DD">
            <w:pPr>
              <w:rPr>
                <w:rFonts w:ascii="宋体"/>
              </w:rPr>
            </w:pPr>
          </w:p>
        </w:tc>
        <w:tc>
          <w:tcPr>
            <w:tcW w:w="5" w:type="pct"/>
            <w:shd w:val="clear" w:color="auto" w:fill="auto"/>
            <w:vAlign w:val="bottom"/>
          </w:tcPr>
          <w:p w14:paraId="67534F9B" w14:textId="77777777" w:rsidR="001B77DD" w:rsidRDefault="001B77DD">
            <w:pPr>
              <w:rPr>
                <w:rFonts w:ascii="宋体"/>
              </w:rPr>
            </w:pPr>
          </w:p>
        </w:tc>
        <w:tc>
          <w:tcPr>
            <w:tcW w:w="50" w:type="pct"/>
            <w:shd w:val="clear" w:color="auto" w:fill="auto"/>
            <w:vAlign w:val="bottom"/>
          </w:tcPr>
          <w:p w14:paraId="67534F9C" w14:textId="77777777" w:rsidR="001B77DD" w:rsidRDefault="001B77DD">
            <w:pPr>
              <w:rPr>
                <w:rFonts w:ascii="宋体"/>
              </w:rPr>
            </w:pPr>
          </w:p>
        </w:tc>
        <w:tc>
          <w:tcPr>
            <w:tcW w:w="2656" w:type="pct"/>
            <w:shd w:val="clear" w:color="auto" w:fill="auto"/>
            <w:vAlign w:val="bottom"/>
          </w:tcPr>
          <w:p w14:paraId="67534F9D" w14:textId="77777777" w:rsidR="001B77DD" w:rsidRDefault="001B77DD">
            <w:pPr>
              <w:rPr>
                <w:rFonts w:ascii="宋体"/>
              </w:rPr>
            </w:pPr>
          </w:p>
        </w:tc>
        <w:tc>
          <w:tcPr>
            <w:tcW w:w="5" w:type="pct"/>
            <w:shd w:val="clear" w:color="auto" w:fill="auto"/>
            <w:vAlign w:val="bottom"/>
          </w:tcPr>
          <w:p w14:paraId="67534F9E" w14:textId="77777777" w:rsidR="001B77DD" w:rsidRDefault="001B77DD">
            <w:pPr>
              <w:rPr>
                <w:rFonts w:ascii="宋体"/>
              </w:rPr>
            </w:pPr>
          </w:p>
        </w:tc>
        <w:tc>
          <w:tcPr>
            <w:tcW w:w="50" w:type="pct"/>
            <w:shd w:val="clear" w:color="auto" w:fill="auto"/>
            <w:vAlign w:val="bottom"/>
          </w:tcPr>
          <w:p w14:paraId="67534F9F" w14:textId="77777777" w:rsidR="001B77DD" w:rsidRDefault="001B77DD">
            <w:pPr>
              <w:rPr>
                <w:rFonts w:ascii="宋体"/>
              </w:rPr>
            </w:pPr>
          </w:p>
        </w:tc>
        <w:tc>
          <w:tcPr>
            <w:tcW w:w="1894" w:type="pct"/>
            <w:shd w:val="clear" w:color="auto" w:fill="auto"/>
            <w:vAlign w:val="bottom"/>
          </w:tcPr>
          <w:p w14:paraId="67534FA0" w14:textId="77777777" w:rsidR="001B77DD" w:rsidRDefault="001B77DD">
            <w:pPr>
              <w:rPr>
                <w:rFonts w:ascii="宋体"/>
              </w:rPr>
            </w:pPr>
          </w:p>
        </w:tc>
        <w:tc>
          <w:tcPr>
            <w:tcW w:w="5" w:type="pct"/>
            <w:shd w:val="clear" w:color="auto" w:fill="auto"/>
            <w:vAlign w:val="bottom"/>
          </w:tcPr>
          <w:p w14:paraId="67534FA1" w14:textId="77777777" w:rsidR="001B77DD" w:rsidRDefault="001B77DD">
            <w:pPr>
              <w:rPr>
                <w:rFonts w:ascii="宋体"/>
              </w:rPr>
            </w:pPr>
          </w:p>
        </w:tc>
      </w:tr>
      <w:tr w:rsidR="001B77DD" w14:paraId="67534FA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4FA3"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BF" wp14:editId="67538EC0">
                  <wp:extent cx="304800" cy="304800"/>
                  <wp:effectExtent l="0" t="0" r="0" b="0"/>
                  <wp:docPr id="211" name="图片 21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FA4"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4FA5" w14:textId="77777777" w:rsidR="001B77DD" w:rsidRDefault="00BF0A28">
            <w:pPr>
              <w:jc w:val="right"/>
              <w:textAlignment w:val="center"/>
            </w:pPr>
            <w:r>
              <w:rPr>
                <w:rFonts w:ascii="Arial" w:eastAsia="宋体" w:hAnsi="Arial" w:cs="Arial"/>
                <w:color w:val="262626"/>
                <w:sz w:val="16"/>
                <w:szCs w:val="16"/>
              </w:rPr>
              <w:t>43</w:t>
            </w:r>
          </w:p>
        </w:tc>
      </w:tr>
    </w:tbl>
    <w:p w14:paraId="67534FA7" w14:textId="77777777" w:rsidR="001B77DD" w:rsidRDefault="00BF0A28">
      <w:r>
        <w:pict w14:anchorId="67538EC1">
          <v:rect id="_x0000_i1069" style="width:415.3pt;height:1.5pt" o:hralign="center" o:hrstd="t" o:hr="t" fillcolor="#a0a0a0" stroked="f"/>
        </w:pict>
      </w:r>
    </w:p>
    <w:p w14:paraId="67534FA8" w14:textId="77777777" w:rsidR="001B77DD" w:rsidRDefault="00BF0A28">
      <w:pPr>
        <w:jc w:val="right"/>
      </w:pPr>
      <w:hyperlink r:id="rId101" w:anchor="i6c9ced68f6b24d58a3dcf326e8c3c699_16" w:history="1">
        <w:r>
          <w:rPr>
            <w:rStyle w:val="a5"/>
            <w:rFonts w:ascii="Arial" w:eastAsia="宋体" w:hAnsi="Arial" w:cs="Arial"/>
            <w:b/>
            <w:bCs/>
            <w:sz w:val="16"/>
            <w:szCs w:val="16"/>
          </w:rPr>
          <w:t>Table of Contents</w:t>
        </w:r>
      </w:hyperlink>
    </w:p>
    <w:p w14:paraId="67534FA9" w14:textId="77777777" w:rsidR="001B77DD" w:rsidRDefault="001B77DD">
      <w:pPr>
        <w:jc w:val="right"/>
      </w:pPr>
    </w:p>
    <w:p w14:paraId="67534FAA" w14:textId="77777777" w:rsidR="001B77DD" w:rsidRDefault="00BF0A28">
      <w:pPr>
        <w:spacing w:before="180" w:after="120"/>
      </w:pPr>
      <w:r>
        <w:rPr>
          <w:rFonts w:ascii="Arial" w:eastAsia="宋体" w:hAnsi="Arial" w:cs="Arial"/>
          <w:color w:val="262626"/>
          <w:sz w:val="18"/>
          <w:szCs w:val="18"/>
        </w:rPr>
        <w:t>In summary, our cash flows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1B77DD" w14:paraId="67534FC0" w14:textId="77777777">
        <w:tc>
          <w:tcPr>
            <w:tcW w:w="50" w:type="pct"/>
            <w:shd w:val="clear" w:color="auto" w:fill="auto"/>
            <w:vAlign w:val="bottom"/>
          </w:tcPr>
          <w:p w14:paraId="67534FAB" w14:textId="77777777" w:rsidR="001B77DD" w:rsidRDefault="001B77DD">
            <w:pPr>
              <w:rPr>
                <w:rFonts w:ascii="宋体"/>
              </w:rPr>
            </w:pPr>
          </w:p>
        </w:tc>
        <w:tc>
          <w:tcPr>
            <w:tcW w:w="3059" w:type="pct"/>
            <w:shd w:val="clear" w:color="auto" w:fill="auto"/>
            <w:vAlign w:val="bottom"/>
          </w:tcPr>
          <w:p w14:paraId="67534FAC" w14:textId="77777777" w:rsidR="001B77DD" w:rsidRDefault="001B77DD">
            <w:pPr>
              <w:rPr>
                <w:rFonts w:ascii="宋体"/>
              </w:rPr>
            </w:pPr>
          </w:p>
        </w:tc>
        <w:tc>
          <w:tcPr>
            <w:tcW w:w="5" w:type="pct"/>
            <w:shd w:val="clear" w:color="auto" w:fill="auto"/>
            <w:vAlign w:val="bottom"/>
          </w:tcPr>
          <w:p w14:paraId="67534FAD" w14:textId="77777777" w:rsidR="001B77DD" w:rsidRDefault="001B77DD">
            <w:pPr>
              <w:rPr>
                <w:rFonts w:ascii="宋体"/>
              </w:rPr>
            </w:pPr>
          </w:p>
        </w:tc>
        <w:tc>
          <w:tcPr>
            <w:tcW w:w="5" w:type="pct"/>
            <w:shd w:val="clear" w:color="auto" w:fill="auto"/>
            <w:vAlign w:val="bottom"/>
          </w:tcPr>
          <w:p w14:paraId="67534FAE" w14:textId="77777777" w:rsidR="001B77DD" w:rsidRDefault="001B77DD">
            <w:pPr>
              <w:rPr>
                <w:rFonts w:ascii="宋体"/>
              </w:rPr>
            </w:pPr>
          </w:p>
        </w:tc>
        <w:tc>
          <w:tcPr>
            <w:tcW w:w="24" w:type="pct"/>
            <w:shd w:val="clear" w:color="auto" w:fill="auto"/>
            <w:vAlign w:val="bottom"/>
          </w:tcPr>
          <w:p w14:paraId="67534FAF" w14:textId="77777777" w:rsidR="001B77DD" w:rsidRDefault="001B77DD">
            <w:pPr>
              <w:rPr>
                <w:rFonts w:ascii="宋体"/>
              </w:rPr>
            </w:pPr>
          </w:p>
        </w:tc>
        <w:tc>
          <w:tcPr>
            <w:tcW w:w="5" w:type="pct"/>
            <w:shd w:val="clear" w:color="auto" w:fill="auto"/>
            <w:vAlign w:val="bottom"/>
          </w:tcPr>
          <w:p w14:paraId="67534FB0" w14:textId="77777777" w:rsidR="001B77DD" w:rsidRDefault="001B77DD">
            <w:pPr>
              <w:rPr>
                <w:rFonts w:ascii="宋体"/>
              </w:rPr>
            </w:pPr>
          </w:p>
        </w:tc>
        <w:tc>
          <w:tcPr>
            <w:tcW w:w="50" w:type="pct"/>
            <w:shd w:val="clear" w:color="auto" w:fill="auto"/>
            <w:vAlign w:val="bottom"/>
          </w:tcPr>
          <w:p w14:paraId="67534FB1" w14:textId="77777777" w:rsidR="001B77DD" w:rsidRDefault="001B77DD">
            <w:pPr>
              <w:rPr>
                <w:rFonts w:ascii="宋体"/>
              </w:rPr>
            </w:pPr>
          </w:p>
        </w:tc>
        <w:tc>
          <w:tcPr>
            <w:tcW w:w="539" w:type="pct"/>
            <w:shd w:val="clear" w:color="auto" w:fill="auto"/>
            <w:vAlign w:val="bottom"/>
          </w:tcPr>
          <w:p w14:paraId="67534FB2" w14:textId="77777777" w:rsidR="001B77DD" w:rsidRDefault="001B77DD">
            <w:pPr>
              <w:rPr>
                <w:rFonts w:ascii="宋体"/>
              </w:rPr>
            </w:pPr>
          </w:p>
        </w:tc>
        <w:tc>
          <w:tcPr>
            <w:tcW w:w="5" w:type="pct"/>
            <w:shd w:val="clear" w:color="auto" w:fill="auto"/>
            <w:vAlign w:val="bottom"/>
          </w:tcPr>
          <w:p w14:paraId="67534FB3" w14:textId="77777777" w:rsidR="001B77DD" w:rsidRDefault="001B77DD">
            <w:pPr>
              <w:rPr>
                <w:rFonts w:ascii="宋体"/>
              </w:rPr>
            </w:pPr>
          </w:p>
        </w:tc>
        <w:tc>
          <w:tcPr>
            <w:tcW w:w="5" w:type="pct"/>
            <w:shd w:val="clear" w:color="auto" w:fill="auto"/>
            <w:vAlign w:val="bottom"/>
          </w:tcPr>
          <w:p w14:paraId="67534FB4" w14:textId="77777777" w:rsidR="001B77DD" w:rsidRDefault="001B77DD">
            <w:pPr>
              <w:rPr>
                <w:rFonts w:ascii="宋体"/>
              </w:rPr>
            </w:pPr>
          </w:p>
        </w:tc>
        <w:tc>
          <w:tcPr>
            <w:tcW w:w="24" w:type="pct"/>
            <w:shd w:val="clear" w:color="auto" w:fill="auto"/>
            <w:vAlign w:val="bottom"/>
          </w:tcPr>
          <w:p w14:paraId="67534FB5" w14:textId="77777777" w:rsidR="001B77DD" w:rsidRDefault="001B77DD">
            <w:pPr>
              <w:rPr>
                <w:rFonts w:ascii="宋体"/>
              </w:rPr>
            </w:pPr>
          </w:p>
        </w:tc>
        <w:tc>
          <w:tcPr>
            <w:tcW w:w="5" w:type="pct"/>
            <w:shd w:val="clear" w:color="auto" w:fill="auto"/>
            <w:vAlign w:val="bottom"/>
          </w:tcPr>
          <w:p w14:paraId="67534FB6" w14:textId="77777777" w:rsidR="001B77DD" w:rsidRDefault="001B77DD">
            <w:pPr>
              <w:rPr>
                <w:rFonts w:ascii="宋体"/>
              </w:rPr>
            </w:pPr>
          </w:p>
        </w:tc>
        <w:tc>
          <w:tcPr>
            <w:tcW w:w="50" w:type="pct"/>
            <w:shd w:val="clear" w:color="auto" w:fill="auto"/>
            <w:vAlign w:val="bottom"/>
          </w:tcPr>
          <w:p w14:paraId="67534FB7" w14:textId="77777777" w:rsidR="001B77DD" w:rsidRDefault="001B77DD">
            <w:pPr>
              <w:rPr>
                <w:rFonts w:ascii="宋体"/>
              </w:rPr>
            </w:pPr>
          </w:p>
        </w:tc>
        <w:tc>
          <w:tcPr>
            <w:tcW w:w="539" w:type="pct"/>
            <w:shd w:val="clear" w:color="auto" w:fill="auto"/>
            <w:vAlign w:val="bottom"/>
          </w:tcPr>
          <w:p w14:paraId="67534FB8" w14:textId="77777777" w:rsidR="001B77DD" w:rsidRDefault="001B77DD">
            <w:pPr>
              <w:rPr>
                <w:rFonts w:ascii="宋体"/>
              </w:rPr>
            </w:pPr>
          </w:p>
        </w:tc>
        <w:tc>
          <w:tcPr>
            <w:tcW w:w="5" w:type="pct"/>
            <w:shd w:val="clear" w:color="auto" w:fill="auto"/>
            <w:vAlign w:val="bottom"/>
          </w:tcPr>
          <w:p w14:paraId="67534FB9" w14:textId="77777777" w:rsidR="001B77DD" w:rsidRDefault="001B77DD">
            <w:pPr>
              <w:rPr>
                <w:rFonts w:ascii="宋体"/>
              </w:rPr>
            </w:pPr>
          </w:p>
        </w:tc>
        <w:tc>
          <w:tcPr>
            <w:tcW w:w="5" w:type="pct"/>
            <w:shd w:val="clear" w:color="auto" w:fill="auto"/>
            <w:vAlign w:val="bottom"/>
          </w:tcPr>
          <w:p w14:paraId="67534FBA" w14:textId="77777777" w:rsidR="001B77DD" w:rsidRDefault="001B77DD">
            <w:pPr>
              <w:rPr>
                <w:rFonts w:ascii="宋体"/>
              </w:rPr>
            </w:pPr>
          </w:p>
        </w:tc>
        <w:tc>
          <w:tcPr>
            <w:tcW w:w="24" w:type="pct"/>
            <w:shd w:val="clear" w:color="auto" w:fill="auto"/>
            <w:vAlign w:val="bottom"/>
          </w:tcPr>
          <w:p w14:paraId="67534FBB" w14:textId="77777777" w:rsidR="001B77DD" w:rsidRDefault="001B77DD">
            <w:pPr>
              <w:rPr>
                <w:rFonts w:ascii="宋体"/>
              </w:rPr>
            </w:pPr>
          </w:p>
        </w:tc>
        <w:tc>
          <w:tcPr>
            <w:tcW w:w="5" w:type="pct"/>
            <w:shd w:val="clear" w:color="auto" w:fill="auto"/>
            <w:vAlign w:val="bottom"/>
          </w:tcPr>
          <w:p w14:paraId="67534FBC" w14:textId="77777777" w:rsidR="001B77DD" w:rsidRDefault="001B77DD">
            <w:pPr>
              <w:rPr>
                <w:rFonts w:ascii="宋体"/>
              </w:rPr>
            </w:pPr>
          </w:p>
        </w:tc>
        <w:tc>
          <w:tcPr>
            <w:tcW w:w="50" w:type="pct"/>
            <w:shd w:val="clear" w:color="auto" w:fill="auto"/>
            <w:vAlign w:val="bottom"/>
          </w:tcPr>
          <w:p w14:paraId="67534FBD" w14:textId="77777777" w:rsidR="001B77DD" w:rsidRDefault="001B77DD">
            <w:pPr>
              <w:rPr>
                <w:rFonts w:ascii="宋体"/>
              </w:rPr>
            </w:pPr>
          </w:p>
        </w:tc>
        <w:tc>
          <w:tcPr>
            <w:tcW w:w="539" w:type="pct"/>
            <w:shd w:val="clear" w:color="auto" w:fill="auto"/>
            <w:vAlign w:val="bottom"/>
          </w:tcPr>
          <w:p w14:paraId="67534FBE" w14:textId="77777777" w:rsidR="001B77DD" w:rsidRDefault="001B77DD">
            <w:pPr>
              <w:rPr>
                <w:rFonts w:ascii="宋体"/>
              </w:rPr>
            </w:pPr>
          </w:p>
        </w:tc>
        <w:tc>
          <w:tcPr>
            <w:tcW w:w="5" w:type="pct"/>
            <w:shd w:val="clear" w:color="auto" w:fill="auto"/>
            <w:vAlign w:val="bottom"/>
          </w:tcPr>
          <w:p w14:paraId="67534FBF" w14:textId="77777777" w:rsidR="001B77DD" w:rsidRDefault="001B77DD">
            <w:pPr>
              <w:rPr>
                <w:rFonts w:ascii="宋体"/>
              </w:rPr>
            </w:pPr>
          </w:p>
        </w:tc>
      </w:tr>
      <w:tr w:rsidR="001B77DD" w14:paraId="67534FC8" w14:textId="77777777">
        <w:tc>
          <w:tcPr>
            <w:tcW w:w="0" w:type="auto"/>
            <w:gridSpan w:val="3"/>
            <w:shd w:val="clear" w:color="auto" w:fill="auto"/>
            <w:tcMar>
              <w:top w:w="40" w:type="dxa"/>
              <w:left w:w="20" w:type="dxa"/>
              <w:bottom w:w="40" w:type="dxa"/>
              <w:right w:w="20" w:type="dxa"/>
            </w:tcMar>
            <w:vAlign w:val="bottom"/>
          </w:tcPr>
          <w:p w14:paraId="67534FC1"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67534FC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FC3"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4FC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FC5"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4FC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4FC7"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4FD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4FC9" w14:textId="77777777" w:rsidR="001B77DD" w:rsidRDefault="00BF0A28">
            <w:pPr>
              <w:textAlignment w:val="bottom"/>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67534FC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FCB"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FCC" w14:textId="77777777" w:rsidR="001B77DD" w:rsidRDefault="00BF0A28">
            <w:pPr>
              <w:jc w:val="right"/>
              <w:textAlignment w:val="bottom"/>
            </w:pPr>
            <w:r>
              <w:rPr>
                <w:rFonts w:ascii="Arial" w:eastAsia="宋体" w:hAnsi="Arial" w:cs="Arial"/>
                <w:color w:val="0068B5"/>
                <w:sz w:val="18"/>
                <w:szCs w:val="18"/>
              </w:rPr>
              <w:t>29,991 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F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C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FCF"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FD0" w14:textId="77777777" w:rsidR="001B77DD" w:rsidRDefault="00BF0A28">
            <w:pPr>
              <w:jc w:val="right"/>
              <w:textAlignment w:val="bottom"/>
            </w:pPr>
            <w:r>
              <w:rPr>
                <w:rFonts w:ascii="Arial" w:eastAsia="宋体" w:hAnsi="Arial" w:cs="Arial"/>
                <w:color w:val="262626"/>
                <w:sz w:val="18"/>
                <w:szCs w:val="18"/>
              </w:rPr>
              <w:t>35,384 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FD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D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4FD3"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4FD4" w14:textId="77777777" w:rsidR="001B77DD" w:rsidRDefault="00BF0A28">
            <w:pPr>
              <w:jc w:val="right"/>
              <w:textAlignment w:val="bottom"/>
            </w:pPr>
            <w:r>
              <w:rPr>
                <w:rFonts w:ascii="Arial" w:eastAsia="宋体" w:hAnsi="Arial" w:cs="Arial"/>
                <w:color w:val="262626"/>
                <w:sz w:val="18"/>
                <w:szCs w:val="18"/>
              </w:rPr>
              <w:t>33,145 </w:t>
            </w:r>
          </w:p>
        </w:tc>
        <w:tc>
          <w:tcPr>
            <w:tcW w:w="0" w:type="auto"/>
            <w:tcBorders>
              <w:top w:val="single" w:sz="8" w:space="0" w:color="0068B5"/>
            </w:tcBorders>
            <w:shd w:val="clear" w:color="auto" w:fill="auto"/>
            <w:tcMar>
              <w:top w:w="40" w:type="dxa"/>
              <w:left w:w="0" w:type="dxa"/>
              <w:bottom w:w="40" w:type="dxa"/>
              <w:right w:w="20" w:type="dxa"/>
            </w:tcMar>
            <w:vAlign w:val="bottom"/>
          </w:tcPr>
          <w:p w14:paraId="67534FD5" w14:textId="77777777" w:rsidR="001B77DD" w:rsidRDefault="001B77DD">
            <w:pPr>
              <w:jc w:val="right"/>
              <w:rPr>
                <w:rFonts w:ascii="宋体"/>
              </w:rPr>
            </w:pPr>
          </w:p>
        </w:tc>
      </w:tr>
      <w:tr w:rsidR="001B77DD" w14:paraId="67534FE1" w14:textId="77777777">
        <w:tc>
          <w:tcPr>
            <w:tcW w:w="0" w:type="auto"/>
            <w:gridSpan w:val="3"/>
            <w:shd w:val="clear" w:color="auto" w:fill="auto"/>
            <w:tcMar>
              <w:top w:w="40" w:type="dxa"/>
              <w:left w:w="20" w:type="dxa"/>
              <w:bottom w:w="40" w:type="dxa"/>
              <w:right w:w="20" w:type="dxa"/>
            </w:tcMar>
          </w:tcPr>
          <w:p w14:paraId="67534FD7" w14:textId="77777777" w:rsidR="001B77DD" w:rsidRDefault="00BF0A28">
            <w:pPr>
              <w:textAlignment w:val="top"/>
            </w:pPr>
            <w:r>
              <w:rPr>
                <w:rFonts w:ascii="Arial" w:eastAsia="宋体" w:hAnsi="Arial" w:cs="Arial"/>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67534FD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D9" w14:textId="77777777" w:rsidR="001B77DD" w:rsidRDefault="00BF0A28">
            <w:pPr>
              <w:jc w:val="right"/>
              <w:textAlignment w:val="bottom"/>
            </w:pPr>
            <w:r>
              <w:rPr>
                <w:rFonts w:ascii="Arial" w:eastAsia="宋体" w:hAnsi="Arial" w:cs="Arial"/>
                <w:color w:val="0068B5"/>
                <w:sz w:val="18"/>
                <w:szCs w:val="18"/>
              </w:rPr>
              <w:t>(25,167)</w:t>
            </w:r>
          </w:p>
        </w:tc>
        <w:tc>
          <w:tcPr>
            <w:tcW w:w="0" w:type="auto"/>
            <w:shd w:val="clear" w:color="auto" w:fill="auto"/>
            <w:tcMar>
              <w:top w:w="40" w:type="dxa"/>
              <w:left w:w="0" w:type="dxa"/>
              <w:bottom w:w="40" w:type="dxa"/>
              <w:right w:w="20" w:type="dxa"/>
            </w:tcMar>
            <w:vAlign w:val="bottom"/>
          </w:tcPr>
          <w:p w14:paraId="67534FD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D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DC" w14:textId="77777777" w:rsidR="001B77DD" w:rsidRDefault="00BF0A28">
            <w:pPr>
              <w:jc w:val="right"/>
              <w:textAlignment w:val="bottom"/>
            </w:pPr>
            <w:r>
              <w:rPr>
                <w:rFonts w:ascii="Arial" w:eastAsia="宋体" w:hAnsi="Arial" w:cs="Arial"/>
                <w:color w:val="262626"/>
                <w:sz w:val="18"/>
                <w:szCs w:val="18"/>
              </w:rPr>
              <w:t>(20,796)</w:t>
            </w:r>
          </w:p>
        </w:tc>
        <w:tc>
          <w:tcPr>
            <w:tcW w:w="0" w:type="auto"/>
            <w:shd w:val="clear" w:color="auto" w:fill="auto"/>
            <w:tcMar>
              <w:top w:w="40" w:type="dxa"/>
              <w:left w:w="0" w:type="dxa"/>
              <w:bottom w:w="40" w:type="dxa"/>
              <w:right w:w="20" w:type="dxa"/>
            </w:tcMar>
            <w:vAlign w:val="bottom"/>
          </w:tcPr>
          <w:p w14:paraId="67534FD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D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DF" w14:textId="77777777" w:rsidR="001B77DD" w:rsidRDefault="00BF0A28">
            <w:pPr>
              <w:jc w:val="right"/>
              <w:textAlignment w:val="bottom"/>
            </w:pPr>
            <w:r>
              <w:rPr>
                <w:rFonts w:ascii="Arial" w:eastAsia="宋体" w:hAnsi="Arial" w:cs="Arial"/>
                <w:color w:val="262626"/>
                <w:sz w:val="18"/>
                <w:szCs w:val="18"/>
              </w:rPr>
              <w:t>(14,405)</w:t>
            </w:r>
          </w:p>
        </w:tc>
        <w:tc>
          <w:tcPr>
            <w:tcW w:w="0" w:type="auto"/>
            <w:shd w:val="clear" w:color="auto" w:fill="auto"/>
            <w:tcMar>
              <w:top w:w="40" w:type="dxa"/>
              <w:left w:w="0" w:type="dxa"/>
              <w:bottom w:w="40" w:type="dxa"/>
              <w:right w:w="20" w:type="dxa"/>
            </w:tcMar>
            <w:vAlign w:val="bottom"/>
          </w:tcPr>
          <w:p w14:paraId="67534FE0" w14:textId="77777777" w:rsidR="001B77DD" w:rsidRDefault="001B77DD">
            <w:pPr>
              <w:jc w:val="right"/>
              <w:rPr>
                <w:rFonts w:ascii="宋体"/>
              </w:rPr>
            </w:pPr>
          </w:p>
        </w:tc>
      </w:tr>
      <w:tr w:rsidR="001B77DD" w14:paraId="67534FEC" w14:textId="77777777">
        <w:tc>
          <w:tcPr>
            <w:tcW w:w="0" w:type="auto"/>
            <w:gridSpan w:val="3"/>
            <w:shd w:val="clear" w:color="auto" w:fill="auto"/>
            <w:tcMar>
              <w:top w:w="40" w:type="dxa"/>
              <w:left w:w="20" w:type="dxa"/>
              <w:bottom w:w="40" w:type="dxa"/>
              <w:right w:w="20" w:type="dxa"/>
            </w:tcMar>
          </w:tcPr>
          <w:p w14:paraId="67534FE2" w14:textId="77777777" w:rsidR="001B77DD" w:rsidRDefault="00BF0A28">
            <w:pPr>
              <w:textAlignment w:val="top"/>
            </w:pPr>
            <w:r>
              <w:rPr>
                <w:rFonts w:ascii="Arial" w:eastAsia="宋体" w:hAnsi="Arial" w:cs="Arial"/>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67534FE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E4" w14:textId="77777777" w:rsidR="001B77DD" w:rsidRDefault="00BF0A28">
            <w:pPr>
              <w:jc w:val="right"/>
              <w:textAlignment w:val="bottom"/>
            </w:pPr>
            <w:r>
              <w:rPr>
                <w:rFonts w:ascii="Arial" w:eastAsia="宋体" w:hAnsi="Arial" w:cs="Arial"/>
                <w:color w:val="0068B5"/>
                <w:sz w:val="18"/>
                <w:szCs w:val="18"/>
              </w:rPr>
              <w:t>(5,862)</w:t>
            </w:r>
          </w:p>
        </w:tc>
        <w:tc>
          <w:tcPr>
            <w:tcW w:w="0" w:type="auto"/>
            <w:shd w:val="clear" w:color="auto" w:fill="auto"/>
            <w:tcMar>
              <w:top w:w="40" w:type="dxa"/>
              <w:left w:w="0" w:type="dxa"/>
              <w:bottom w:w="40" w:type="dxa"/>
              <w:right w:w="20" w:type="dxa"/>
            </w:tcMar>
            <w:vAlign w:val="bottom"/>
          </w:tcPr>
          <w:p w14:paraId="67534FE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E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E7" w14:textId="77777777" w:rsidR="001B77DD" w:rsidRDefault="00BF0A28">
            <w:pPr>
              <w:jc w:val="right"/>
              <w:textAlignment w:val="bottom"/>
            </w:pPr>
            <w:r>
              <w:rPr>
                <w:rFonts w:ascii="Arial" w:eastAsia="宋体" w:hAnsi="Arial" w:cs="Arial"/>
                <w:color w:val="262626"/>
                <w:sz w:val="18"/>
                <w:szCs w:val="18"/>
              </w:rPr>
              <w:t>(12,917)</w:t>
            </w:r>
          </w:p>
        </w:tc>
        <w:tc>
          <w:tcPr>
            <w:tcW w:w="0" w:type="auto"/>
            <w:shd w:val="clear" w:color="auto" w:fill="auto"/>
            <w:tcMar>
              <w:top w:w="40" w:type="dxa"/>
              <w:left w:w="0" w:type="dxa"/>
              <w:bottom w:w="40" w:type="dxa"/>
              <w:right w:w="20" w:type="dxa"/>
            </w:tcMar>
            <w:vAlign w:val="bottom"/>
          </w:tcPr>
          <w:p w14:paraId="67534FE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E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4FEA" w14:textId="77777777" w:rsidR="001B77DD" w:rsidRDefault="00BF0A28">
            <w:pPr>
              <w:jc w:val="right"/>
              <w:textAlignment w:val="bottom"/>
            </w:pPr>
            <w:r>
              <w:rPr>
                <w:rFonts w:ascii="Arial" w:eastAsia="宋体" w:hAnsi="Arial" w:cs="Arial"/>
                <w:color w:val="262626"/>
                <w:sz w:val="18"/>
                <w:szCs w:val="18"/>
              </w:rPr>
              <w:t>(17,565)</w:t>
            </w:r>
          </w:p>
        </w:tc>
        <w:tc>
          <w:tcPr>
            <w:tcW w:w="0" w:type="auto"/>
            <w:shd w:val="clear" w:color="auto" w:fill="auto"/>
            <w:tcMar>
              <w:top w:w="40" w:type="dxa"/>
              <w:left w:w="0" w:type="dxa"/>
              <w:bottom w:w="40" w:type="dxa"/>
              <w:right w:w="20" w:type="dxa"/>
            </w:tcMar>
            <w:vAlign w:val="bottom"/>
          </w:tcPr>
          <w:p w14:paraId="67534FEB" w14:textId="77777777" w:rsidR="001B77DD" w:rsidRDefault="001B77DD">
            <w:pPr>
              <w:jc w:val="right"/>
              <w:rPr>
                <w:rFonts w:ascii="宋体"/>
              </w:rPr>
            </w:pPr>
          </w:p>
        </w:tc>
      </w:tr>
      <w:tr w:rsidR="001B77DD" w14:paraId="67534FF4" w14:textId="77777777">
        <w:trPr>
          <w:hidden/>
        </w:trPr>
        <w:tc>
          <w:tcPr>
            <w:tcW w:w="0" w:type="auto"/>
            <w:gridSpan w:val="3"/>
            <w:shd w:val="clear" w:color="auto" w:fill="auto"/>
            <w:vAlign w:val="bottom"/>
          </w:tcPr>
          <w:p w14:paraId="67534FED" w14:textId="77777777" w:rsidR="001B77DD" w:rsidRDefault="001B77DD">
            <w:pPr>
              <w:rPr>
                <w:rFonts w:ascii="宋体"/>
                <w:vanish/>
              </w:rPr>
            </w:pPr>
          </w:p>
        </w:tc>
        <w:tc>
          <w:tcPr>
            <w:tcW w:w="0" w:type="auto"/>
            <w:gridSpan w:val="3"/>
            <w:shd w:val="clear" w:color="auto" w:fill="auto"/>
            <w:vAlign w:val="bottom"/>
          </w:tcPr>
          <w:p w14:paraId="67534FEE" w14:textId="77777777" w:rsidR="001B77DD" w:rsidRDefault="001B77DD">
            <w:pPr>
              <w:rPr>
                <w:rFonts w:ascii="宋体"/>
                <w:vanish/>
              </w:rPr>
            </w:pPr>
          </w:p>
        </w:tc>
        <w:tc>
          <w:tcPr>
            <w:tcW w:w="0" w:type="auto"/>
            <w:gridSpan w:val="3"/>
            <w:shd w:val="clear" w:color="auto" w:fill="auto"/>
            <w:vAlign w:val="bottom"/>
          </w:tcPr>
          <w:p w14:paraId="67534FEF" w14:textId="77777777" w:rsidR="001B77DD" w:rsidRDefault="001B77DD">
            <w:pPr>
              <w:rPr>
                <w:rFonts w:ascii="宋体"/>
                <w:vanish/>
              </w:rPr>
            </w:pPr>
          </w:p>
        </w:tc>
        <w:tc>
          <w:tcPr>
            <w:tcW w:w="0" w:type="auto"/>
            <w:gridSpan w:val="3"/>
            <w:shd w:val="clear" w:color="auto" w:fill="auto"/>
            <w:vAlign w:val="bottom"/>
          </w:tcPr>
          <w:p w14:paraId="67534FF0" w14:textId="77777777" w:rsidR="001B77DD" w:rsidRDefault="001B77DD">
            <w:pPr>
              <w:rPr>
                <w:rFonts w:ascii="宋体"/>
                <w:vanish/>
              </w:rPr>
            </w:pPr>
          </w:p>
        </w:tc>
        <w:tc>
          <w:tcPr>
            <w:tcW w:w="0" w:type="auto"/>
            <w:gridSpan w:val="3"/>
            <w:shd w:val="clear" w:color="auto" w:fill="auto"/>
            <w:vAlign w:val="bottom"/>
          </w:tcPr>
          <w:p w14:paraId="67534FF1" w14:textId="77777777" w:rsidR="001B77DD" w:rsidRDefault="001B77DD">
            <w:pPr>
              <w:rPr>
                <w:rFonts w:ascii="宋体"/>
                <w:vanish/>
              </w:rPr>
            </w:pPr>
          </w:p>
        </w:tc>
        <w:tc>
          <w:tcPr>
            <w:tcW w:w="0" w:type="auto"/>
            <w:gridSpan w:val="3"/>
            <w:shd w:val="clear" w:color="auto" w:fill="auto"/>
            <w:vAlign w:val="bottom"/>
          </w:tcPr>
          <w:p w14:paraId="67534FF2" w14:textId="77777777" w:rsidR="001B77DD" w:rsidRDefault="001B77DD">
            <w:pPr>
              <w:rPr>
                <w:rFonts w:ascii="宋体"/>
                <w:vanish/>
              </w:rPr>
            </w:pPr>
          </w:p>
        </w:tc>
        <w:tc>
          <w:tcPr>
            <w:tcW w:w="0" w:type="auto"/>
            <w:gridSpan w:val="3"/>
            <w:shd w:val="clear" w:color="auto" w:fill="auto"/>
            <w:vAlign w:val="bottom"/>
          </w:tcPr>
          <w:p w14:paraId="67534FF3" w14:textId="77777777" w:rsidR="001B77DD" w:rsidRDefault="001B77DD">
            <w:pPr>
              <w:rPr>
                <w:rFonts w:ascii="宋体"/>
                <w:vanish/>
              </w:rPr>
            </w:pPr>
          </w:p>
        </w:tc>
      </w:tr>
      <w:tr w:rsidR="001B77DD" w14:paraId="67535002" w14:textId="77777777">
        <w:tc>
          <w:tcPr>
            <w:tcW w:w="0" w:type="auto"/>
            <w:gridSpan w:val="3"/>
            <w:shd w:val="clear" w:color="auto" w:fill="auto"/>
            <w:tcMar>
              <w:top w:w="40" w:type="dxa"/>
              <w:left w:w="20" w:type="dxa"/>
              <w:bottom w:w="40" w:type="dxa"/>
              <w:right w:w="20" w:type="dxa"/>
            </w:tcMar>
          </w:tcPr>
          <w:p w14:paraId="67534FF5" w14:textId="77777777" w:rsidR="001B77DD" w:rsidRDefault="00BF0A28">
            <w:pPr>
              <w:textAlignment w:val="top"/>
            </w:pPr>
            <w:r>
              <w:rPr>
                <w:rFonts w:ascii="Arial" w:eastAsia="宋体" w:hAnsi="Arial" w:cs="Arial"/>
                <w:b/>
                <w:bCs/>
                <w:color w:val="262626"/>
                <w:sz w:val="18"/>
                <w:szCs w:val="18"/>
              </w:rPr>
              <w:t xml:space="preserve">Net increase </w:t>
            </w:r>
            <w:r>
              <w:rPr>
                <w:rFonts w:ascii="Arial" w:eastAsia="宋体" w:hAnsi="Arial" w:cs="Arial"/>
                <w:b/>
                <w:bCs/>
                <w:color w:val="262626"/>
                <w:sz w:val="18"/>
                <w:szCs w:val="18"/>
              </w:rPr>
              <w:t>(decrease) in cash and cash equivalents</w:t>
            </w:r>
          </w:p>
        </w:tc>
        <w:tc>
          <w:tcPr>
            <w:tcW w:w="0" w:type="auto"/>
            <w:gridSpan w:val="3"/>
            <w:shd w:val="clear" w:color="auto" w:fill="auto"/>
            <w:tcMar>
              <w:top w:w="0" w:type="dxa"/>
              <w:left w:w="20" w:type="dxa"/>
              <w:bottom w:w="0" w:type="dxa"/>
              <w:right w:w="20" w:type="dxa"/>
            </w:tcMar>
            <w:vAlign w:val="bottom"/>
          </w:tcPr>
          <w:p w14:paraId="67534FF6"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4FF7"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4FF8" w14:textId="77777777" w:rsidR="001B77DD" w:rsidRDefault="00BF0A28">
            <w:pPr>
              <w:jc w:val="right"/>
              <w:textAlignment w:val="bottom"/>
            </w:pPr>
            <w:r>
              <w:rPr>
                <w:rFonts w:ascii="Arial" w:eastAsia="宋体" w:hAnsi="Arial" w:cs="Arial"/>
                <w:b/>
                <w:bCs/>
                <w:color w:val="0068B5"/>
                <w:sz w:val="18"/>
                <w:szCs w:val="18"/>
              </w:rPr>
              <w:t>(1,038)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4FF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FA"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4FF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4FFC" w14:textId="77777777" w:rsidR="001B77DD" w:rsidRDefault="00BF0A28">
            <w:pPr>
              <w:jc w:val="right"/>
              <w:textAlignment w:val="bottom"/>
            </w:pPr>
            <w:r>
              <w:rPr>
                <w:rFonts w:ascii="Arial" w:eastAsia="宋体" w:hAnsi="Arial" w:cs="Arial"/>
                <w:b/>
                <w:bCs/>
                <w:color w:val="262626"/>
                <w:sz w:val="18"/>
                <w:szCs w:val="18"/>
              </w:rPr>
              <w:t>1,671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4FF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4FFE"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4FF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000" w14:textId="77777777" w:rsidR="001B77DD" w:rsidRDefault="00BF0A28">
            <w:pPr>
              <w:jc w:val="right"/>
              <w:textAlignment w:val="bottom"/>
            </w:pPr>
            <w:r>
              <w:rPr>
                <w:rFonts w:ascii="Arial" w:eastAsia="宋体" w:hAnsi="Arial" w:cs="Arial"/>
                <w:b/>
                <w:bCs/>
                <w:color w:val="262626"/>
                <w:sz w:val="18"/>
                <w:szCs w:val="18"/>
              </w:rPr>
              <w:t>1,175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001" w14:textId="77777777" w:rsidR="001B77DD" w:rsidRDefault="001B77DD">
            <w:pPr>
              <w:jc w:val="right"/>
              <w:rPr>
                <w:rFonts w:ascii="宋体"/>
              </w:rPr>
            </w:pPr>
          </w:p>
        </w:tc>
      </w:tr>
    </w:tbl>
    <w:p w14:paraId="67535003" w14:textId="77777777" w:rsidR="001B77DD" w:rsidRDefault="00BF0A28">
      <w:pPr>
        <w:spacing w:after="180"/>
      </w:pPr>
      <w:r>
        <w:rPr>
          <w:rFonts w:ascii="Arial" w:eastAsia="宋体" w:hAnsi="Arial" w:cs="Arial"/>
          <w:color w:val="0068B5"/>
        </w:rPr>
        <w:t>Operating Activities</w:t>
      </w:r>
    </w:p>
    <w:p w14:paraId="67535004" w14:textId="77777777" w:rsidR="001B77DD" w:rsidRDefault="00BF0A28">
      <w:pPr>
        <w:spacing w:after="180"/>
      </w:pPr>
      <w:r>
        <w:rPr>
          <w:rFonts w:ascii="Arial" w:eastAsia="宋体" w:hAnsi="Arial" w:cs="Arial"/>
          <w:color w:val="262626"/>
          <w:sz w:val="18"/>
          <w:szCs w:val="18"/>
        </w:rPr>
        <w:t>Cash provided by operating activities is net income adjusted for certain non-cash items and changes in assets and liabilities.</w:t>
      </w:r>
    </w:p>
    <w:p w14:paraId="67535005" w14:textId="77777777" w:rsidR="001B77DD" w:rsidRDefault="00BF0A28">
      <w:pPr>
        <w:spacing w:after="180"/>
      </w:pPr>
      <w:r>
        <w:rPr>
          <w:rFonts w:ascii="Arial" w:eastAsia="宋体" w:hAnsi="Arial" w:cs="Arial"/>
          <w:color w:val="262626"/>
          <w:sz w:val="18"/>
          <w:szCs w:val="18"/>
        </w:rPr>
        <w:t>For 2021 compared to 2020, the $5.4 b</w:t>
      </w:r>
      <w:r>
        <w:rPr>
          <w:rFonts w:ascii="Arial" w:eastAsia="宋体" w:hAnsi="Arial" w:cs="Arial"/>
          <w:color w:val="262626"/>
          <w:sz w:val="18"/>
          <w:szCs w:val="18"/>
        </w:rPr>
        <w:t xml:space="preserve">illion decrease in cash provided by operating activities was primarily driven by a decrease in net working capital contributions and cash paid to settle a prepaid customer supply agreement in Q1 2021, partially offset by a McAfee special dividend received </w:t>
      </w:r>
      <w:r>
        <w:rPr>
          <w:rFonts w:ascii="Arial" w:eastAsia="宋体" w:hAnsi="Arial" w:cs="Arial"/>
          <w:color w:val="262626"/>
          <w:sz w:val="18"/>
          <w:szCs w:val="18"/>
        </w:rPr>
        <w:t>in Q3 2021.</w:t>
      </w:r>
    </w:p>
    <w:p w14:paraId="67535006" w14:textId="77777777" w:rsidR="001B77DD" w:rsidRDefault="00BF0A28">
      <w:pPr>
        <w:spacing w:after="180"/>
      </w:pPr>
      <w:r>
        <w:rPr>
          <w:rFonts w:ascii="Arial" w:eastAsia="宋体" w:hAnsi="Arial" w:cs="Arial"/>
          <w:color w:val="262626"/>
          <w:sz w:val="18"/>
          <w:szCs w:val="18"/>
        </w:rPr>
        <w:t>For 2020 compared to 2019, the $2.2 billion increase in cash provided by operating activities was primarily due to changes in working capital. Changes in working capital were driven by accounts receivable, inventory, and income taxes, offset by</w:t>
      </w:r>
      <w:r>
        <w:rPr>
          <w:rFonts w:ascii="Arial" w:eastAsia="宋体" w:hAnsi="Arial" w:cs="Arial"/>
          <w:color w:val="262626"/>
          <w:sz w:val="18"/>
          <w:szCs w:val="18"/>
        </w:rPr>
        <w:t xml:space="preserve"> other assets and liabilities.</w:t>
      </w:r>
    </w:p>
    <w:p w14:paraId="67535007" w14:textId="77777777" w:rsidR="001B77DD" w:rsidRDefault="00BF0A28">
      <w:pPr>
        <w:spacing w:after="120"/>
      </w:pPr>
      <w:r>
        <w:rPr>
          <w:rFonts w:ascii="Arial" w:eastAsia="宋体" w:hAnsi="Arial" w:cs="Arial"/>
          <w:color w:val="0068B5"/>
        </w:rPr>
        <w:t>Investing Activities</w:t>
      </w:r>
    </w:p>
    <w:p w14:paraId="67535008" w14:textId="77777777" w:rsidR="001B77DD" w:rsidRDefault="00BF0A28">
      <w:pPr>
        <w:spacing w:after="180"/>
      </w:pPr>
      <w:r>
        <w:rPr>
          <w:rFonts w:ascii="Arial" w:eastAsia="宋体" w:hAnsi="Arial" w:cs="Arial"/>
          <w:color w:val="262626"/>
          <w:sz w:val="18"/>
          <w:szCs w:val="18"/>
        </w:rPr>
        <w:t>Investing cash flows consist primarily of capital expenditures, investment purchases, sales, maturities, and disposals, and proceeds from divestitures and cash used for acquisitions. Our capital expenditu</w:t>
      </w:r>
      <w:r>
        <w:rPr>
          <w:rFonts w:ascii="Arial" w:eastAsia="宋体" w:hAnsi="Arial" w:cs="Arial"/>
          <w:color w:val="262626"/>
          <w:sz w:val="18"/>
          <w:szCs w:val="18"/>
        </w:rPr>
        <w:t xml:space="preserve">res were $18.7 billion in 2021 ($14.3 billion in 2020 and $16.2 billion in 2019). </w:t>
      </w:r>
    </w:p>
    <w:p w14:paraId="67535009" w14:textId="77777777" w:rsidR="001B77DD" w:rsidRDefault="00BF0A28">
      <w:pPr>
        <w:spacing w:after="180"/>
      </w:pPr>
      <w:r>
        <w:rPr>
          <w:rFonts w:ascii="Arial" w:eastAsia="宋体" w:hAnsi="Arial" w:cs="Arial"/>
          <w:color w:val="262626"/>
          <w:sz w:val="18"/>
          <w:szCs w:val="18"/>
        </w:rPr>
        <w:t>The increase in cash used for investing activities in 2021 compared to 2020 was primarily due to an increase in capital expenditures, partially offset by a decrease in purch</w:t>
      </w:r>
      <w:r>
        <w:rPr>
          <w:rFonts w:ascii="Arial" w:eastAsia="宋体" w:hAnsi="Arial" w:cs="Arial"/>
          <w:color w:val="262626"/>
          <w:sz w:val="18"/>
          <w:szCs w:val="18"/>
        </w:rPr>
        <w:t>ases of available-for-sale debt investments.</w:t>
      </w:r>
    </w:p>
    <w:p w14:paraId="6753500A" w14:textId="77777777" w:rsidR="001B77DD" w:rsidRDefault="00BF0A28">
      <w:pPr>
        <w:spacing w:after="180"/>
      </w:pPr>
      <w:r>
        <w:rPr>
          <w:rFonts w:ascii="Arial" w:eastAsia="宋体" w:hAnsi="Arial" w:cs="Arial"/>
          <w:color w:val="262626"/>
          <w:sz w:val="18"/>
          <w:szCs w:val="18"/>
        </w:rPr>
        <w:t>The increase in cash used for investing activities in 2020 compared to 2019 was primarily due to an increase in purchases of available-for-sale debt investments and trading assets, offset by an increase in matur</w:t>
      </w:r>
      <w:r>
        <w:rPr>
          <w:rFonts w:ascii="Arial" w:eastAsia="宋体" w:hAnsi="Arial" w:cs="Arial"/>
          <w:color w:val="262626"/>
          <w:sz w:val="18"/>
          <w:szCs w:val="18"/>
        </w:rPr>
        <w:t>ities and sales of available-for-sale debt investments and trading assets, and a decrease in capital expenditures and cash paid for acquisitions.</w:t>
      </w:r>
    </w:p>
    <w:p w14:paraId="6753500B" w14:textId="77777777" w:rsidR="001B77DD" w:rsidRDefault="00BF0A28">
      <w:pPr>
        <w:spacing w:after="120"/>
      </w:pPr>
      <w:r>
        <w:rPr>
          <w:rFonts w:ascii="Arial" w:eastAsia="宋体" w:hAnsi="Arial" w:cs="Arial"/>
          <w:color w:val="0068B5"/>
        </w:rPr>
        <w:t>Financing Activities</w:t>
      </w:r>
    </w:p>
    <w:p w14:paraId="6753500C" w14:textId="77777777" w:rsidR="001B77DD" w:rsidRDefault="00BF0A28">
      <w:pPr>
        <w:spacing w:after="180"/>
      </w:pPr>
      <w:r>
        <w:rPr>
          <w:rFonts w:ascii="Arial" w:eastAsia="宋体" w:hAnsi="Arial" w:cs="Arial"/>
          <w:color w:val="262626"/>
          <w:sz w:val="18"/>
          <w:szCs w:val="18"/>
        </w:rPr>
        <w:t xml:space="preserve">Financing cash flows consist primarily of payment of dividends to stockholders, issuance </w:t>
      </w:r>
      <w:r>
        <w:rPr>
          <w:rFonts w:ascii="Arial" w:eastAsia="宋体" w:hAnsi="Arial" w:cs="Arial"/>
          <w:color w:val="262626"/>
          <w:sz w:val="18"/>
          <w:szCs w:val="18"/>
        </w:rPr>
        <w:t>and repayment of short-term and long-term debt, repurchases of common stock, and proceeds from the sale of shares of common stock through employee equity incentive plans.</w:t>
      </w:r>
    </w:p>
    <w:p w14:paraId="6753500D" w14:textId="77777777" w:rsidR="001B77DD" w:rsidRDefault="00BF0A28">
      <w:pPr>
        <w:spacing w:after="180"/>
      </w:pPr>
      <w:r>
        <w:rPr>
          <w:rFonts w:ascii="Arial" w:eastAsia="宋体" w:hAnsi="Arial" w:cs="Arial"/>
          <w:color w:val="262626"/>
          <w:sz w:val="18"/>
          <w:szCs w:val="18"/>
        </w:rPr>
        <w:t>The decrease in cash used for financing activities in 2021 compared to 2020 was prima</w:t>
      </w:r>
      <w:r>
        <w:rPr>
          <w:rFonts w:ascii="Arial" w:eastAsia="宋体" w:hAnsi="Arial" w:cs="Arial"/>
          <w:color w:val="262626"/>
          <w:sz w:val="18"/>
          <w:szCs w:val="18"/>
        </w:rPr>
        <w:t>rily due to a decrease in repurchases of common stock and a decrease in repayments of debt and debt conversions, partially offset by a decrease in cash provided by long-term debt issuances.</w:t>
      </w:r>
    </w:p>
    <w:p w14:paraId="6753500E" w14:textId="77777777" w:rsidR="001B77DD" w:rsidRDefault="00BF0A28">
      <w:pPr>
        <w:spacing w:after="180"/>
      </w:pPr>
      <w:r>
        <w:rPr>
          <w:rFonts w:ascii="Arial" w:eastAsia="宋体" w:hAnsi="Arial" w:cs="Arial"/>
          <w:color w:val="262626"/>
          <w:sz w:val="18"/>
          <w:szCs w:val="18"/>
        </w:rPr>
        <w:t>During 2021, we repurchased $2.4 billion of common stock under our authorized common stock repurchase program, compared to $14.2 billion in 2020. Our total dividend payments were $5.6 billion in 2021 compared to $5.6 billion in 2020. We have paid a cash di</w:t>
      </w:r>
      <w:r>
        <w:rPr>
          <w:rFonts w:ascii="Arial" w:eastAsia="宋体" w:hAnsi="Arial" w:cs="Arial"/>
          <w:color w:val="262626"/>
          <w:sz w:val="18"/>
          <w:szCs w:val="18"/>
        </w:rPr>
        <w:t xml:space="preserve">vidend in each of the past 117 quarters. </w:t>
      </w:r>
    </w:p>
    <w:p w14:paraId="6753500F" w14:textId="77777777" w:rsidR="001B77DD" w:rsidRDefault="00BF0A28">
      <w:pPr>
        <w:spacing w:after="180"/>
      </w:pPr>
      <w:r>
        <w:rPr>
          <w:rFonts w:ascii="Arial" w:eastAsia="宋体" w:hAnsi="Arial" w:cs="Arial"/>
          <w:color w:val="262626"/>
          <w:sz w:val="18"/>
          <w:szCs w:val="18"/>
        </w:rPr>
        <w:t>The decrease in cash used for financing activities in 2020 compared to 2019 was primarily due to an increase in cash provided by long-term debt issuances, offset by an increase in repayments of debt and debt conver</w:t>
      </w:r>
      <w:r>
        <w:rPr>
          <w:rFonts w:ascii="Arial" w:eastAsia="宋体" w:hAnsi="Arial" w:cs="Arial"/>
          <w:color w:val="262626"/>
          <w:sz w:val="18"/>
          <w:szCs w:val="18"/>
        </w:rPr>
        <w:t>sions and an increase in repurchases of common stock.</w:t>
      </w:r>
    </w:p>
    <w:p w14:paraId="67535010" w14:textId="77777777" w:rsidR="001B77DD" w:rsidRDefault="00BF0A28">
      <w:pPr>
        <w:spacing w:before="180" w:after="180"/>
      </w:pPr>
      <w:r>
        <w:rPr>
          <w:rFonts w:ascii="Arial" w:eastAsia="宋体" w:hAnsi="Arial" w:cs="Arial"/>
          <w:color w:val="0068B5"/>
          <w:sz w:val="28"/>
          <w:szCs w:val="28"/>
        </w:rPr>
        <w:t>Critical Accounting Estimates</w:t>
      </w:r>
    </w:p>
    <w:p w14:paraId="67535011" w14:textId="77777777" w:rsidR="001B77DD" w:rsidRDefault="00BF0A28">
      <w:pPr>
        <w:spacing w:after="180"/>
      </w:pPr>
      <w:r>
        <w:rPr>
          <w:rFonts w:ascii="Arial" w:eastAsia="宋体" w:hAnsi="Arial" w:cs="Arial"/>
          <w:color w:val="262626"/>
          <w:sz w:val="18"/>
          <w:szCs w:val="18"/>
        </w:rPr>
        <w:t>The methods, assumptions, and estimates that we use in applying our accounting policies may require us to apply judgments regarding matters that are inherently uncertain. W</w:t>
      </w:r>
      <w:r>
        <w:rPr>
          <w:rFonts w:ascii="Arial" w:eastAsia="宋体" w:hAnsi="Arial" w:cs="Arial"/>
          <w:color w:val="262626"/>
          <w:sz w:val="18"/>
          <w:szCs w:val="18"/>
        </w:rPr>
        <w:t>e consider an accounting policy to be a critical estimate if: (1) we must make assumptions that were uncertain when the judgment was made, and (2) changes in the estimate assumptions, or selection of a different estimate methodology, could have a significa</w:t>
      </w:r>
      <w:r>
        <w:rPr>
          <w:rFonts w:ascii="Arial" w:eastAsia="宋体" w:hAnsi="Arial" w:cs="Arial"/>
          <w:color w:val="262626"/>
          <w:sz w:val="18"/>
          <w:szCs w:val="18"/>
        </w:rPr>
        <w:t>nt impact on our financial position and the results that we report in our Consolidated Financial Statements. While we believe that our estimates, assumptions, and judgments are reasonable, they are based on information available when the estimate was made.</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501B" w14:textId="77777777">
        <w:tc>
          <w:tcPr>
            <w:tcW w:w="50" w:type="pct"/>
            <w:shd w:val="clear" w:color="auto" w:fill="auto"/>
            <w:vAlign w:val="bottom"/>
          </w:tcPr>
          <w:p w14:paraId="67535012" w14:textId="77777777" w:rsidR="001B77DD" w:rsidRDefault="001B77DD">
            <w:pPr>
              <w:rPr>
                <w:rFonts w:ascii="宋体"/>
              </w:rPr>
            </w:pPr>
          </w:p>
        </w:tc>
        <w:tc>
          <w:tcPr>
            <w:tcW w:w="283" w:type="pct"/>
            <w:shd w:val="clear" w:color="auto" w:fill="auto"/>
            <w:vAlign w:val="bottom"/>
          </w:tcPr>
          <w:p w14:paraId="67535013" w14:textId="77777777" w:rsidR="001B77DD" w:rsidRDefault="001B77DD">
            <w:pPr>
              <w:rPr>
                <w:rFonts w:ascii="宋体"/>
              </w:rPr>
            </w:pPr>
          </w:p>
        </w:tc>
        <w:tc>
          <w:tcPr>
            <w:tcW w:w="5" w:type="pct"/>
            <w:shd w:val="clear" w:color="auto" w:fill="auto"/>
            <w:vAlign w:val="bottom"/>
          </w:tcPr>
          <w:p w14:paraId="67535014" w14:textId="77777777" w:rsidR="001B77DD" w:rsidRDefault="001B77DD">
            <w:pPr>
              <w:rPr>
                <w:rFonts w:ascii="宋体"/>
              </w:rPr>
            </w:pPr>
          </w:p>
        </w:tc>
        <w:tc>
          <w:tcPr>
            <w:tcW w:w="50" w:type="pct"/>
            <w:shd w:val="clear" w:color="auto" w:fill="auto"/>
            <w:vAlign w:val="bottom"/>
          </w:tcPr>
          <w:p w14:paraId="67535015" w14:textId="77777777" w:rsidR="001B77DD" w:rsidRDefault="001B77DD">
            <w:pPr>
              <w:rPr>
                <w:rFonts w:ascii="宋体"/>
              </w:rPr>
            </w:pPr>
          </w:p>
        </w:tc>
        <w:tc>
          <w:tcPr>
            <w:tcW w:w="2656" w:type="pct"/>
            <w:shd w:val="clear" w:color="auto" w:fill="auto"/>
            <w:vAlign w:val="bottom"/>
          </w:tcPr>
          <w:p w14:paraId="67535016" w14:textId="77777777" w:rsidR="001B77DD" w:rsidRDefault="001B77DD">
            <w:pPr>
              <w:rPr>
                <w:rFonts w:ascii="宋体"/>
              </w:rPr>
            </w:pPr>
          </w:p>
        </w:tc>
        <w:tc>
          <w:tcPr>
            <w:tcW w:w="5" w:type="pct"/>
            <w:shd w:val="clear" w:color="auto" w:fill="auto"/>
            <w:vAlign w:val="bottom"/>
          </w:tcPr>
          <w:p w14:paraId="67535017" w14:textId="77777777" w:rsidR="001B77DD" w:rsidRDefault="001B77DD">
            <w:pPr>
              <w:rPr>
                <w:rFonts w:ascii="宋体"/>
              </w:rPr>
            </w:pPr>
          </w:p>
        </w:tc>
        <w:tc>
          <w:tcPr>
            <w:tcW w:w="50" w:type="pct"/>
            <w:shd w:val="clear" w:color="auto" w:fill="auto"/>
            <w:vAlign w:val="bottom"/>
          </w:tcPr>
          <w:p w14:paraId="67535018" w14:textId="77777777" w:rsidR="001B77DD" w:rsidRDefault="001B77DD">
            <w:pPr>
              <w:rPr>
                <w:rFonts w:ascii="宋体"/>
              </w:rPr>
            </w:pPr>
          </w:p>
        </w:tc>
        <w:tc>
          <w:tcPr>
            <w:tcW w:w="1894" w:type="pct"/>
            <w:shd w:val="clear" w:color="auto" w:fill="auto"/>
            <w:vAlign w:val="bottom"/>
          </w:tcPr>
          <w:p w14:paraId="67535019" w14:textId="77777777" w:rsidR="001B77DD" w:rsidRDefault="001B77DD">
            <w:pPr>
              <w:rPr>
                <w:rFonts w:ascii="宋体"/>
              </w:rPr>
            </w:pPr>
          </w:p>
        </w:tc>
        <w:tc>
          <w:tcPr>
            <w:tcW w:w="5" w:type="pct"/>
            <w:shd w:val="clear" w:color="auto" w:fill="auto"/>
            <w:vAlign w:val="bottom"/>
          </w:tcPr>
          <w:p w14:paraId="6753501A" w14:textId="77777777" w:rsidR="001B77DD" w:rsidRDefault="001B77DD">
            <w:pPr>
              <w:rPr>
                <w:rFonts w:ascii="宋体"/>
              </w:rPr>
            </w:pPr>
          </w:p>
        </w:tc>
      </w:tr>
      <w:tr w:rsidR="001B77DD" w14:paraId="6753501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01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C2" wp14:editId="67538EC3">
                  <wp:extent cx="304800" cy="304800"/>
                  <wp:effectExtent l="0" t="0" r="0" b="0"/>
                  <wp:docPr id="213" name="图片 21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5"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01D"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01E" w14:textId="77777777" w:rsidR="001B77DD" w:rsidRDefault="00BF0A28">
            <w:pPr>
              <w:jc w:val="right"/>
              <w:textAlignment w:val="center"/>
            </w:pPr>
            <w:r>
              <w:rPr>
                <w:rFonts w:ascii="Arial" w:eastAsia="宋体" w:hAnsi="Arial" w:cs="Arial"/>
                <w:color w:val="262626"/>
                <w:sz w:val="16"/>
                <w:szCs w:val="16"/>
              </w:rPr>
              <w:t>44</w:t>
            </w:r>
          </w:p>
        </w:tc>
      </w:tr>
    </w:tbl>
    <w:p w14:paraId="67535020" w14:textId="77777777" w:rsidR="001B77DD" w:rsidRDefault="00BF0A28">
      <w:r>
        <w:pict w14:anchorId="67538EC4">
          <v:rect id="_x0000_i1070" style="width:415.3pt;height:1.5pt" o:hralign="center" o:hrstd="t" o:hr="t" fillcolor="#a0a0a0" stroked="f"/>
        </w:pict>
      </w:r>
    </w:p>
    <w:p w14:paraId="67535021" w14:textId="77777777" w:rsidR="001B77DD" w:rsidRDefault="00BF0A28">
      <w:pPr>
        <w:jc w:val="right"/>
      </w:pPr>
      <w:hyperlink r:id="rId102" w:anchor="i6c9ced68f6b24d58a3dcf326e8c3c699_16" w:history="1">
        <w:r>
          <w:rPr>
            <w:rStyle w:val="a5"/>
            <w:rFonts w:ascii="Arial" w:eastAsia="宋体" w:hAnsi="Arial" w:cs="Arial"/>
            <w:b/>
            <w:bCs/>
            <w:sz w:val="16"/>
            <w:szCs w:val="16"/>
          </w:rPr>
          <w:t>Table of Contents</w:t>
        </w:r>
      </w:hyperlink>
    </w:p>
    <w:p w14:paraId="67535022" w14:textId="77777777" w:rsidR="001B77DD" w:rsidRDefault="001B77DD">
      <w:pPr>
        <w:jc w:val="right"/>
      </w:pPr>
    </w:p>
    <w:p w14:paraId="67535023" w14:textId="77777777" w:rsidR="001B77DD" w:rsidRDefault="00BF0A28">
      <w:pPr>
        <w:spacing w:after="120"/>
      </w:pPr>
      <w:r>
        <w:rPr>
          <w:rFonts w:ascii="Arial" w:eastAsia="宋体" w:hAnsi="Arial" w:cs="Arial"/>
          <w:color w:val="262626"/>
          <w:sz w:val="18"/>
          <w:szCs w:val="18"/>
        </w:rPr>
        <w:t>Refer to "Note 2: Accounting Policies" within the Consolidated Financial Statements</w:t>
      </w:r>
      <w:r>
        <w:rPr>
          <w:rFonts w:ascii="Arial" w:eastAsia="宋体" w:hAnsi="Arial" w:cs="Arial"/>
          <w:color w:val="262626"/>
          <w:sz w:val="18"/>
          <w:szCs w:val="18"/>
        </w:rPr>
        <w:t xml:space="preserve"> for further information on our critical accounting estimates and policies, which are as follows:</w:t>
      </w:r>
    </w:p>
    <w:p w14:paraId="67535024"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Inventories</w:t>
      </w:r>
      <w:r>
        <w:rPr>
          <w:rFonts w:ascii="Arial" w:eastAsia="宋体" w:hAnsi="Arial" w:cs="Arial"/>
          <w:color w:val="262626"/>
          <w:sz w:val="18"/>
          <w:szCs w:val="18"/>
        </w:rPr>
        <w:t>—the transition of manufacturing costs to inventory, excluding factory excess capacity costs. Inventory reflected at the lower of cost or net real</w:t>
      </w:r>
      <w:r>
        <w:rPr>
          <w:rFonts w:ascii="Arial" w:eastAsia="宋体" w:hAnsi="Arial" w:cs="Arial"/>
          <w:color w:val="262626"/>
          <w:sz w:val="18"/>
          <w:szCs w:val="18"/>
        </w:rPr>
        <w:t xml:space="preserve">izable value considering future demand and market conditions; </w:t>
      </w:r>
    </w:p>
    <w:p w14:paraId="67535025"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Long-lived assets</w:t>
      </w:r>
      <w:r>
        <w:rPr>
          <w:rFonts w:ascii="Arial" w:eastAsia="宋体" w:hAnsi="Arial" w:cs="Arial"/>
          <w:color w:val="262626"/>
          <w:sz w:val="18"/>
          <w:szCs w:val="18"/>
        </w:rPr>
        <w:t xml:space="preserve">—the valuation methods and assumptions used in assessing the impairment of property, plant and equipment, identified intangibles, and goodwill, including the determination of </w:t>
      </w:r>
      <w:r>
        <w:rPr>
          <w:rFonts w:ascii="Arial" w:eastAsia="宋体" w:hAnsi="Arial" w:cs="Arial"/>
          <w:color w:val="262626"/>
          <w:sz w:val="18"/>
          <w:szCs w:val="18"/>
        </w:rPr>
        <w:t>asset groupings and the identification and allocation of goodwill to reporting units;</w:t>
      </w:r>
    </w:p>
    <w:p w14:paraId="67535026"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equity investments</w:t>
      </w:r>
      <w:r>
        <w:rPr>
          <w:rFonts w:ascii="Arial" w:eastAsia="宋体" w:hAnsi="Arial" w:cs="Arial"/>
          <w:color w:val="262626"/>
          <w:sz w:val="18"/>
          <w:szCs w:val="18"/>
        </w:rPr>
        <w:t>—the valuation estimates and assessment of impairment and observable price adjustments; and</w:t>
      </w:r>
    </w:p>
    <w:p w14:paraId="67535027" w14:textId="77777777" w:rsidR="001B77DD" w:rsidRDefault="00BF0A28">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Loss contingencies</w:t>
      </w:r>
      <w:r>
        <w:rPr>
          <w:rFonts w:ascii="Arial" w:eastAsia="宋体" w:hAnsi="Arial" w:cs="Arial"/>
          <w:color w:val="262626"/>
          <w:sz w:val="18"/>
          <w:szCs w:val="18"/>
        </w:rPr>
        <w:t xml:space="preserve">—the estimation of </w:t>
      </w:r>
      <w:r>
        <w:rPr>
          <w:rFonts w:ascii="Arial" w:eastAsia="宋体" w:hAnsi="Arial" w:cs="Arial"/>
          <w:color w:val="262626"/>
          <w:sz w:val="18"/>
          <w:szCs w:val="18"/>
        </w:rPr>
        <w:t>when a loss is probable and reasonably estimable.</w:t>
      </w:r>
    </w:p>
    <w:p w14:paraId="67535028" w14:textId="77777777" w:rsidR="001B77DD" w:rsidRDefault="00BF0A28">
      <w:pPr>
        <w:spacing w:before="180" w:after="180"/>
      </w:pPr>
      <w:r>
        <w:rPr>
          <w:rFonts w:ascii="Arial" w:eastAsia="宋体" w:hAnsi="Arial" w:cs="Arial"/>
          <w:color w:val="0068B5"/>
          <w:sz w:val="28"/>
          <w:szCs w:val="28"/>
        </w:rPr>
        <w:t>Non-GAAP Financial Measures</w:t>
      </w:r>
    </w:p>
    <w:p w14:paraId="67535029" w14:textId="77777777" w:rsidR="001B77DD" w:rsidRDefault="00BF0A28">
      <w:pPr>
        <w:spacing w:after="180"/>
      </w:pPr>
      <w:r>
        <w:rPr>
          <w:rFonts w:ascii="Arial" w:eastAsia="宋体" w:hAnsi="Arial" w:cs="Arial"/>
          <w:color w:val="262626"/>
          <w:sz w:val="18"/>
          <w:szCs w:val="18"/>
        </w:rPr>
        <w:t>In addition to disclosing financial results in accordance with US GAAP, this document contains references to the non-GAAP financial measures below. We believe these non-GAAP fina</w:t>
      </w:r>
      <w:r>
        <w:rPr>
          <w:rFonts w:ascii="Arial" w:eastAsia="宋体" w:hAnsi="Arial" w:cs="Arial"/>
          <w:color w:val="262626"/>
          <w:sz w:val="18"/>
          <w:szCs w:val="18"/>
        </w:rPr>
        <w:t>ncial measures provide investors with useful supplemental information about our operating performance, enable comparison of financial trends and results between periods where certain items may vary independent of business performance, and allow for greater</w:t>
      </w:r>
      <w:r>
        <w:rPr>
          <w:rFonts w:ascii="Arial" w:eastAsia="宋体" w:hAnsi="Arial" w:cs="Arial"/>
          <w:color w:val="262626"/>
          <w:sz w:val="18"/>
          <w:szCs w:val="18"/>
        </w:rPr>
        <w:t xml:space="preserve"> transparency with respect to key metrics used by management in operating our business and measuring our performance. Certain of these non-GAAP financial measures are used in our performance-based RSUs and our annual cash bonus plan.</w:t>
      </w:r>
    </w:p>
    <w:p w14:paraId="6753502A" w14:textId="77777777" w:rsidR="001B77DD" w:rsidRDefault="00BF0A28">
      <w:pPr>
        <w:spacing w:after="180"/>
      </w:pPr>
      <w:r>
        <w:rPr>
          <w:rFonts w:ascii="Arial" w:eastAsia="宋体" w:hAnsi="Arial" w:cs="Arial"/>
          <w:color w:val="262626"/>
          <w:sz w:val="18"/>
          <w:szCs w:val="18"/>
        </w:rPr>
        <w:t>Long-term gross margin</w:t>
      </w:r>
      <w:r>
        <w:rPr>
          <w:rFonts w:ascii="Arial" w:eastAsia="宋体" w:hAnsi="Arial" w:cs="Arial"/>
          <w:color w:val="262626"/>
          <w:sz w:val="18"/>
          <w:szCs w:val="18"/>
        </w:rPr>
        <w:t xml:space="preserve"> outlook range is provided on a non-GAAP basis and excludes the impact of amortization of acquisition-related intangible assets and share-based compensation expense. We are unable to provide a full reconciliation of this measure to the corresponding GAAP m</w:t>
      </w:r>
      <w:r>
        <w:rPr>
          <w:rFonts w:ascii="Arial" w:eastAsia="宋体" w:hAnsi="Arial" w:cs="Arial"/>
          <w:color w:val="262626"/>
          <w:sz w:val="18"/>
          <w:szCs w:val="18"/>
        </w:rPr>
        <w:t>easure without unreasonable efforts, as the amount and timing of such adjustments on a long-term basis are subject to considerable uncertainty. We believe such a reconciliation would also imply a degree of precision that is inappropriate for this forward-l</w:t>
      </w:r>
      <w:r>
        <w:rPr>
          <w:rFonts w:ascii="Arial" w:eastAsia="宋体" w:hAnsi="Arial" w:cs="Arial"/>
          <w:color w:val="262626"/>
          <w:sz w:val="18"/>
          <w:szCs w:val="18"/>
        </w:rPr>
        <w:t xml:space="preserve">ooking measure. </w:t>
      </w:r>
    </w:p>
    <w:p w14:paraId="6753502B" w14:textId="77777777" w:rsidR="001B77DD" w:rsidRDefault="00BF0A28">
      <w:pPr>
        <w:spacing w:after="180"/>
      </w:pPr>
      <w:r>
        <w:rPr>
          <w:rFonts w:ascii="Arial" w:eastAsia="宋体" w:hAnsi="Arial" w:cs="Arial"/>
          <w:color w:val="262626"/>
          <w:sz w:val="18"/>
          <w:szCs w:val="18"/>
        </w:rPr>
        <w:t>Our non-GAAP financial measures reflect adjustments based on one or more of the following items, as well as the related income tax effects where applicable. Income tax effects have been calculated using an appropriate tax rate for each adj</w:t>
      </w:r>
      <w:r>
        <w:rPr>
          <w:rFonts w:ascii="Arial" w:eastAsia="宋体" w:hAnsi="Arial" w:cs="Arial"/>
          <w:color w:val="262626"/>
          <w:sz w:val="18"/>
          <w:szCs w:val="18"/>
        </w:rPr>
        <w:t>ustment. These non-GAAP financial measures should not be considered a substitute for, or superior to, financial measures calculated in accordance with US GAAP, and the financial results calculated in accordance with US GAAP and reconciliations from these r</w:t>
      </w:r>
      <w:r>
        <w:rPr>
          <w:rFonts w:ascii="Arial" w:eastAsia="宋体" w:hAnsi="Arial" w:cs="Arial"/>
          <w:color w:val="262626"/>
          <w:sz w:val="18"/>
          <w:szCs w:val="18"/>
        </w:rPr>
        <w:t>esults should be carefully evaluated.</w:t>
      </w:r>
    </w:p>
    <w:tbl>
      <w:tblPr>
        <w:tblW w:w="5000" w:type="pct"/>
        <w:tblCellMar>
          <w:top w:w="15" w:type="dxa"/>
          <w:left w:w="15" w:type="dxa"/>
          <w:bottom w:w="15" w:type="dxa"/>
          <w:right w:w="15" w:type="dxa"/>
        </w:tblCellMar>
        <w:tblLook w:val="04A0" w:firstRow="1" w:lastRow="0" w:firstColumn="1" w:lastColumn="0" w:noHBand="0" w:noVBand="1"/>
      </w:tblPr>
      <w:tblGrid>
        <w:gridCol w:w="104"/>
        <w:gridCol w:w="1408"/>
        <w:gridCol w:w="37"/>
        <w:gridCol w:w="39"/>
        <w:gridCol w:w="3317"/>
        <w:gridCol w:w="37"/>
        <w:gridCol w:w="38"/>
        <w:gridCol w:w="3319"/>
        <w:gridCol w:w="37"/>
      </w:tblGrid>
      <w:tr w:rsidR="001B77DD" w14:paraId="67535035" w14:textId="77777777">
        <w:tc>
          <w:tcPr>
            <w:tcW w:w="50" w:type="pct"/>
            <w:shd w:val="clear" w:color="auto" w:fill="auto"/>
            <w:vAlign w:val="bottom"/>
          </w:tcPr>
          <w:p w14:paraId="6753502C" w14:textId="77777777" w:rsidR="001B77DD" w:rsidRDefault="001B77DD">
            <w:pPr>
              <w:rPr>
                <w:rFonts w:ascii="宋体"/>
              </w:rPr>
            </w:pPr>
          </w:p>
        </w:tc>
        <w:tc>
          <w:tcPr>
            <w:tcW w:w="682" w:type="pct"/>
            <w:shd w:val="clear" w:color="auto" w:fill="auto"/>
            <w:vAlign w:val="bottom"/>
          </w:tcPr>
          <w:p w14:paraId="6753502D" w14:textId="77777777" w:rsidR="001B77DD" w:rsidRDefault="001B77DD">
            <w:pPr>
              <w:rPr>
                <w:rFonts w:ascii="宋体"/>
              </w:rPr>
            </w:pPr>
          </w:p>
        </w:tc>
        <w:tc>
          <w:tcPr>
            <w:tcW w:w="5" w:type="pct"/>
            <w:shd w:val="clear" w:color="auto" w:fill="auto"/>
            <w:vAlign w:val="bottom"/>
          </w:tcPr>
          <w:p w14:paraId="6753502E" w14:textId="77777777" w:rsidR="001B77DD" w:rsidRDefault="001B77DD">
            <w:pPr>
              <w:rPr>
                <w:rFonts w:ascii="宋体"/>
              </w:rPr>
            </w:pPr>
          </w:p>
        </w:tc>
        <w:tc>
          <w:tcPr>
            <w:tcW w:w="50" w:type="pct"/>
            <w:shd w:val="clear" w:color="auto" w:fill="auto"/>
            <w:vAlign w:val="bottom"/>
          </w:tcPr>
          <w:p w14:paraId="6753502F" w14:textId="77777777" w:rsidR="001B77DD" w:rsidRDefault="001B77DD">
            <w:pPr>
              <w:rPr>
                <w:rFonts w:ascii="宋体"/>
              </w:rPr>
            </w:pPr>
          </w:p>
        </w:tc>
        <w:tc>
          <w:tcPr>
            <w:tcW w:w="2076" w:type="pct"/>
            <w:shd w:val="clear" w:color="auto" w:fill="auto"/>
            <w:vAlign w:val="bottom"/>
          </w:tcPr>
          <w:p w14:paraId="67535030" w14:textId="77777777" w:rsidR="001B77DD" w:rsidRDefault="001B77DD">
            <w:pPr>
              <w:rPr>
                <w:rFonts w:ascii="宋体"/>
              </w:rPr>
            </w:pPr>
          </w:p>
        </w:tc>
        <w:tc>
          <w:tcPr>
            <w:tcW w:w="5" w:type="pct"/>
            <w:shd w:val="clear" w:color="auto" w:fill="auto"/>
            <w:vAlign w:val="bottom"/>
          </w:tcPr>
          <w:p w14:paraId="67535031" w14:textId="77777777" w:rsidR="001B77DD" w:rsidRDefault="001B77DD">
            <w:pPr>
              <w:rPr>
                <w:rFonts w:ascii="宋体"/>
              </w:rPr>
            </w:pPr>
          </w:p>
        </w:tc>
        <w:tc>
          <w:tcPr>
            <w:tcW w:w="50" w:type="pct"/>
            <w:shd w:val="clear" w:color="auto" w:fill="auto"/>
            <w:vAlign w:val="bottom"/>
          </w:tcPr>
          <w:p w14:paraId="67535032" w14:textId="77777777" w:rsidR="001B77DD" w:rsidRDefault="001B77DD">
            <w:pPr>
              <w:rPr>
                <w:rFonts w:ascii="宋体"/>
              </w:rPr>
            </w:pPr>
          </w:p>
        </w:tc>
        <w:tc>
          <w:tcPr>
            <w:tcW w:w="2076" w:type="pct"/>
            <w:shd w:val="clear" w:color="auto" w:fill="auto"/>
            <w:vAlign w:val="bottom"/>
          </w:tcPr>
          <w:p w14:paraId="67535033" w14:textId="77777777" w:rsidR="001B77DD" w:rsidRDefault="001B77DD">
            <w:pPr>
              <w:rPr>
                <w:rFonts w:ascii="宋体"/>
              </w:rPr>
            </w:pPr>
          </w:p>
        </w:tc>
        <w:tc>
          <w:tcPr>
            <w:tcW w:w="5" w:type="pct"/>
            <w:shd w:val="clear" w:color="auto" w:fill="auto"/>
            <w:vAlign w:val="bottom"/>
          </w:tcPr>
          <w:p w14:paraId="67535034" w14:textId="77777777" w:rsidR="001B77DD" w:rsidRDefault="001B77DD">
            <w:pPr>
              <w:rPr>
                <w:rFonts w:ascii="宋体"/>
              </w:rPr>
            </w:pPr>
          </w:p>
        </w:tc>
      </w:tr>
      <w:tr w:rsidR="001B77DD" w14:paraId="67535039" w14:textId="77777777">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vAlign w:val="bottom"/>
          </w:tcPr>
          <w:p w14:paraId="67535036" w14:textId="77777777" w:rsidR="001B77DD" w:rsidRDefault="00BF0A28">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vAlign w:val="bottom"/>
          </w:tcPr>
          <w:p w14:paraId="67535037" w14:textId="77777777" w:rsidR="001B77DD" w:rsidRDefault="00BF0A28">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Mar>
              <w:top w:w="40" w:type="dxa"/>
              <w:left w:w="20" w:type="dxa"/>
              <w:bottom w:w="40" w:type="dxa"/>
              <w:right w:w="20" w:type="dxa"/>
            </w:tcMar>
            <w:vAlign w:val="bottom"/>
          </w:tcPr>
          <w:p w14:paraId="67535038" w14:textId="77777777" w:rsidR="001B77DD" w:rsidRDefault="00BF0A28">
            <w:pPr>
              <w:jc w:val="center"/>
              <w:textAlignment w:val="bottom"/>
            </w:pPr>
            <w:r>
              <w:rPr>
                <w:rFonts w:ascii="Arial" w:eastAsia="宋体" w:hAnsi="Arial" w:cs="Arial"/>
                <w:b/>
                <w:bCs/>
                <w:color w:val="262626"/>
                <w:sz w:val="18"/>
                <w:szCs w:val="18"/>
              </w:rPr>
              <w:t>Usefulness to management and investors</w:t>
            </w:r>
          </w:p>
        </w:tc>
      </w:tr>
      <w:tr w:rsidR="001B77DD" w14:paraId="6753503D"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3A" w14:textId="77777777" w:rsidR="001B77DD" w:rsidRDefault="00BF0A28">
            <w:pPr>
              <w:textAlignment w:val="top"/>
            </w:pPr>
            <w:r>
              <w:rPr>
                <w:rFonts w:ascii="Arial" w:eastAsia="宋体" w:hAnsi="Arial" w:cs="Arial"/>
                <w:color w:val="262626"/>
                <w:sz w:val="18"/>
                <w:szCs w:val="18"/>
              </w:rPr>
              <w:t>NAND memory business</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3B" w14:textId="77777777" w:rsidR="001B77DD" w:rsidRDefault="00BF0A28">
            <w:pPr>
              <w:textAlignment w:val="top"/>
            </w:pPr>
            <w:r>
              <w:rPr>
                <w:rFonts w:ascii="Arial" w:eastAsia="宋体" w:hAnsi="Arial" w:cs="Arial"/>
                <w:color w:val="262626"/>
                <w:sz w:val="18"/>
                <w:szCs w:val="18"/>
              </w:rPr>
              <w:t>Our NAND memory business is subject to a pending sale to SK hynix, as announced in October 2020. While the second closing of the sale is still pending, we completed the first closing on December 29, 2021, subsequent to our fiscal 2021 year-end. We will ful</w:t>
            </w:r>
            <w:r>
              <w:rPr>
                <w:rFonts w:ascii="Arial" w:eastAsia="宋体" w:hAnsi="Arial" w:cs="Arial"/>
                <w:color w:val="262626"/>
                <w:sz w:val="18"/>
                <w:szCs w:val="18"/>
              </w:rPr>
              <w:t xml:space="preserve">ly deconsolidate our ongoing interests in the NAND OpCo Business in the first quarter of 2022. </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6753503C" w14:textId="77777777" w:rsidR="001B77DD" w:rsidRDefault="00BF0A28">
            <w:pPr>
              <w:textAlignment w:val="top"/>
            </w:pPr>
            <w:r>
              <w:rPr>
                <w:rFonts w:ascii="Arial" w:eastAsia="宋体" w:hAnsi="Arial" w:cs="Arial"/>
                <w:color w:val="262626"/>
                <w:sz w:val="18"/>
                <w:szCs w:val="18"/>
              </w:rPr>
              <w:t>We exclude the impact of our NAND memory business in certain non-GAAP measures. While the second closing of the sale is still pending and subject to closing con</w:t>
            </w:r>
            <w:r>
              <w:rPr>
                <w:rFonts w:ascii="Arial" w:eastAsia="宋体" w:hAnsi="Arial" w:cs="Arial"/>
                <w:color w:val="262626"/>
                <w:sz w:val="18"/>
                <w:szCs w:val="18"/>
              </w:rPr>
              <w:t>ditions, management does not currently view the business as part of the company’s core operations or its long-term strategic direction. We believe these adjustments provide investors with a useful view, through the eyes of management, of the company’s core</w:t>
            </w:r>
            <w:r>
              <w:rPr>
                <w:rFonts w:ascii="Arial" w:eastAsia="宋体" w:hAnsi="Arial" w:cs="Arial"/>
                <w:color w:val="262626"/>
                <w:sz w:val="18"/>
                <w:szCs w:val="18"/>
              </w:rPr>
              <w:t xml:space="preserve"> business model and how management currently evaluates core operational performance. We believe they also provide investors with an additional means to understand the potential impact of the divestiture over time. In making these adjustments, we have not m</w:t>
            </w:r>
            <w:r>
              <w:rPr>
                <w:rFonts w:ascii="Arial" w:eastAsia="宋体" w:hAnsi="Arial" w:cs="Arial"/>
                <w:color w:val="262626"/>
                <w:sz w:val="18"/>
                <w:szCs w:val="18"/>
              </w:rPr>
              <w:t>ade any changes to our methods for measuring and calculating revenue or other financial statement amounts.</w:t>
            </w:r>
          </w:p>
        </w:tc>
      </w:tr>
      <w:tr w:rsidR="001B77DD" w14:paraId="67535041" w14:textId="77777777">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6753503E" w14:textId="77777777" w:rsidR="001B77DD" w:rsidRDefault="00BF0A28">
            <w:pPr>
              <w:textAlignment w:val="top"/>
            </w:pPr>
            <w:r>
              <w:rPr>
                <w:rFonts w:ascii="Arial" w:eastAsia="宋体" w:hAnsi="Arial" w:cs="Arial"/>
                <w:color w:val="262626"/>
                <w:sz w:val="18"/>
                <w:szCs w:val="18"/>
              </w:rPr>
              <w:t>Acquisition-related adjustments</w:t>
            </w:r>
          </w:p>
        </w:tc>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6753503F" w14:textId="77777777" w:rsidR="001B77DD" w:rsidRDefault="00BF0A28">
            <w:pPr>
              <w:textAlignment w:val="top"/>
            </w:pPr>
            <w:r>
              <w:rPr>
                <w:rFonts w:ascii="Arial" w:eastAsia="宋体" w:hAnsi="Arial" w:cs="Arial"/>
                <w:color w:val="262626"/>
                <w:sz w:val="18"/>
                <w:szCs w:val="18"/>
              </w:rPr>
              <w:t xml:space="preserve">Amortization of acquisition-related intangible assets consists of amortization of intangible assets such as </w:t>
            </w:r>
            <w:r>
              <w:rPr>
                <w:rFonts w:ascii="Arial" w:eastAsia="宋体" w:hAnsi="Arial" w:cs="Arial"/>
                <w:color w:val="262626"/>
                <w:sz w:val="18"/>
                <w:szCs w:val="18"/>
              </w:rPr>
              <w:t>developed technology, brands, and customer relationships acquired in connection with business combinations. Charges related to the amortization of these intangibles are recorded within both cost of sales and MG&amp;A in our US GAAP financial statements. Amorti</w:t>
            </w:r>
            <w:r>
              <w:rPr>
                <w:rFonts w:ascii="Arial" w:eastAsia="宋体" w:hAnsi="Arial" w:cs="Arial"/>
                <w:color w:val="262626"/>
                <w:sz w:val="18"/>
                <w:szCs w:val="18"/>
              </w:rPr>
              <w:t>zation charges are recorded over the estimated useful life of the related acquired intangible asset, and thus are generally recorded over multiple years.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Mar>
              <w:top w:w="40" w:type="dxa"/>
              <w:left w:w="20" w:type="dxa"/>
              <w:bottom w:w="40" w:type="dxa"/>
              <w:right w:w="20" w:type="dxa"/>
            </w:tcMar>
          </w:tcPr>
          <w:p w14:paraId="67535040" w14:textId="77777777" w:rsidR="001B77DD" w:rsidRDefault="00BF0A28">
            <w:pPr>
              <w:textAlignment w:val="top"/>
            </w:pPr>
            <w:r>
              <w:rPr>
                <w:rFonts w:ascii="Arial" w:eastAsia="宋体" w:hAnsi="Arial" w:cs="Arial"/>
                <w:color w:val="262626"/>
                <w:sz w:val="18"/>
                <w:szCs w:val="18"/>
              </w:rPr>
              <w:t>We exclude amortization charges for our acquisition-related intangible assets for purposes of calculat</w:t>
            </w:r>
            <w:r>
              <w:rPr>
                <w:rFonts w:ascii="Arial" w:eastAsia="宋体" w:hAnsi="Arial" w:cs="Arial"/>
                <w:color w:val="262626"/>
                <w:sz w:val="18"/>
                <w:szCs w:val="18"/>
              </w:rPr>
              <w:t>ing certain non-GAAP measures because these charges are inconsistent in size and are significantly impacted by the timing and valuation of our acquisitions. These adjustments facilitate a useful evaluation of our current operating performance and compariso</w:t>
            </w:r>
            <w:r>
              <w:rPr>
                <w:rFonts w:ascii="Arial" w:eastAsia="宋体" w:hAnsi="Arial" w:cs="Arial"/>
                <w:color w:val="262626"/>
                <w:sz w:val="18"/>
                <w:szCs w:val="18"/>
              </w:rPr>
              <w:t>n to our past operating performance and provide investors with additional means to evaluate cost and expense trends.</w:t>
            </w:r>
          </w:p>
        </w:tc>
      </w:tr>
    </w:tbl>
    <w:p w14:paraId="67535042"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504C" w14:textId="77777777">
        <w:tc>
          <w:tcPr>
            <w:tcW w:w="50" w:type="pct"/>
            <w:shd w:val="clear" w:color="auto" w:fill="auto"/>
            <w:vAlign w:val="bottom"/>
          </w:tcPr>
          <w:p w14:paraId="67535043" w14:textId="77777777" w:rsidR="001B77DD" w:rsidRDefault="001B77DD">
            <w:pPr>
              <w:rPr>
                <w:rFonts w:ascii="宋体"/>
              </w:rPr>
            </w:pPr>
          </w:p>
        </w:tc>
        <w:tc>
          <w:tcPr>
            <w:tcW w:w="283" w:type="pct"/>
            <w:shd w:val="clear" w:color="auto" w:fill="auto"/>
            <w:vAlign w:val="bottom"/>
          </w:tcPr>
          <w:p w14:paraId="67535044" w14:textId="77777777" w:rsidR="001B77DD" w:rsidRDefault="001B77DD">
            <w:pPr>
              <w:rPr>
                <w:rFonts w:ascii="宋体"/>
              </w:rPr>
            </w:pPr>
          </w:p>
        </w:tc>
        <w:tc>
          <w:tcPr>
            <w:tcW w:w="5" w:type="pct"/>
            <w:shd w:val="clear" w:color="auto" w:fill="auto"/>
            <w:vAlign w:val="bottom"/>
          </w:tcPr>
          <w:p w14:paraId="67535045" w14:textId="77777777" w:rsidR="001B77DD" w:rsidRDefault="001B77DD">
            <w:pPr>
              <w:rPr>
                <w:rFonts w:ascii="宋体"/>
              </w:rPr>
            </w:pPr>
          </w:p>
        </w:tc>
        <w:tc>
          <w:tcPr>
            <w:tcW w:w="50" w:type="pct"/>
            <w:shd w:val="clear" w:color="auto" w:fill="auto"/>
            <w:vAlign w:val="bottom"/>
          </w:tcPr>
          <w:p w14:paraId="67535046" w14:textId="77777777" w:rsidR="001B77DD" w:rsidRDefault="001B77DD">
            <w:pPr>
              <w:rPr>
                <w:rFonts w:ascii="宋体"/>
              </w:rPr>
            </w:pPr>
          </w:p>
        </w:tc>
        <w:tc>
          <w:tcPr>
            <w:tcW w:w="2656" w:type="pct"/>
            <w:shd w:val="clear" w:color="auto" w:fill="auto"/>
            <w:vAlign w:val="bottom"/>
          </w:tcPr>
          <w:p w14:paraId="67535047" w14:textId="77777777" w:rsidR="001B77DD" w:rsidRDefault="001B77DD">
            <w:pPr>
              <w:rPr>
                <w:rFonts w:ascii="宋体"/>
              </w:rPr>
            </w:pPr>
          </w:p>
        </w:tc>
        <w:tc>
          <w:tcPr>
            <w:tcW w:w="5" w:type="pct"/>
            <w:shd w:val="clear" w:color="auto" w:fill="auto"/>
            <w:vAlign w:val="bottom"/>
          </w:tcPr>
          <w:p w14:paraId="67535048" w14:textId="77777777" w:rsidR="001B77DD" w:rsidRDefault="001B77DD">
            <w:pPr>
              <w:rPr>
                <w:rFonts w:ascii="宋体"/>
              </w:rPr>
            </w:pPr>
          </w:p>
        </w:tc>
        <w:tc>
          <w:tcPr>
            <w:tcW w:w="50" w:type="pct"/>
            <w:shd w:val="clear" w:color="auto" w:fill="auto"/>
            <w:vAlign w:val="bottom"/>
          </w:tcPr>
          <w:p w14:paraId="67535049" w14:textId="77777777" w:rsidR="001B77DD" w:rsidRDefault="001B77DD">
            <w:pPr>
              <w:rPr>
                <w:rFonts w:ascii="宋体"/>
              </w:rPr>
            </w:pPr>
          </w:p>
        </w:tc>
        <w:tc>
          <w:tcPr>
            <w:tcW w:w="1894" w:type="pct"/>
            <w:shd w:val="clear" w:color="auto" w:fill="auto"/>
            <w:vAlign w:val="bottom"/>
          </w:tcPr>
          <w:p w14:paraId="6753504A" w14:textId="77777777" w:rsidR="001B77DD" w:rsidRDefault="001B77DD">
            <w:pPr>
              <w:rPr>
                <w:rFonts w:ascii="宋体"/>
              </w:rPr>
            </w:pPr>
          </w:p>
        </w:tc>
        <w:tc>
          <w:tcPr>
            <w:tcW w:w="5" w:type="pct"/>
            <w:shd w:val="clear" w:color="auto" w:fill="auto"/>
            <w:vAlign w:val="bottom"/>
          </w:tcPr>
          <w:p w14:paraId="6753504B" w14:textId="77777777" w:rsidR="001B77DD" w:rsidRDefault="001B77DD">
            <w:pPr>
              <w:rPr>
                <w:rFonts w:ascii="宋体"/>
              </w:rPr>
            </w:pPr>
          </w:p>
        </w:tc>
      </w:tr>
      <w:tr w:rsidR="001B77DD" w14:paraId="6753505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04D"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C5" wp14:editId="67538EC6">
                  <wp:extent cx="304800" cy="304800"/>
                  <wp:effectExtent l="0" t="0" r="0" b="0"/>
                  <wp:docPr id="212" name="图片 21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04E"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04F" w14:textId="77777777" w:rsidR="001B77DD" w:rsidRDefault="00BF0A28">
            <w:pPr>
              <w:jc w:val="right"/>
              <w:textAlignment w:val="center"/>
            </w:pPr>
            <w:r>
              <w:rPr>
                <w:rFonts w:ascii="Arial" w:eastAsia="宋体" w:hAnsi="Arial" w:cs="Arial"/>
                <w:color w:val="262626"/>
                <w:sz w:val="16"/>
                <w:szCs w:val="16"/>
              </w:rPr>
              <w:t>45</w:t>
            </w:r>
          </w:p>
        </w:tc>
      </w:tr>
    </w:tbl>
    <w:p w14:paraId="67535051" w14:textId="77777777" w:rsidR="001B77DD" w:rsidRDefault="00BF0A28">
      <w:r>
        <w:pict w14:anchorId="67538EC7">
          <v:rect id="_x0000_i1071" style="width:415.3pt;height:1.5pt" o:hralign="center" o:hrstd="t" o:hr="t" fillcolor="#a0a0a0" stroked="f"/>
        </w:pict>
      </w:r>
    </w:p>
    <w:p w14:paraId="67535052" w14:textId="77777777" w:rsidR="001B77DD" w:rsidRDefault="00BF0A28">
      <w:pPr>
        <w:jc w:val="right"/>
      </w:pPr>
      <w:hyperlink r:id="rId103" w:anchor="i6c9ced68f6b24d58a3dcf326e8c3c699_16" w:history="1">
        <w:r>
          <w:rPr>
            <w:rStyle w:val="a5"/>
            <w:rFonts w:ascii="Arial" w:eastAsia="宋体" w:hAnsi="Arial" w:cs="Arial"/>
            <w:b/>
            <w:bCs/>
            <w:sz w:val="16"/>
            <w:szCs w:val="16"/>
          </w:rPr>
          <w:t>Table of Contents</w:t>
        </w:r>
      </w:hyperlink>
    </w:p>
    <w:p w14:paraId="67535053"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86"/>
        <w:gridCol w:w="1167"/>
        <w:gridCol w:w="38"/>
        <w:gridCol w:w="54"/>
        <w:gridCol w:w="3432"/>
        <w:gridCol w:w="37"/>
        <w:gridCol w:w="54"/>
        <w:gridCol w:w="3432"/>
        <w:gridCol w:w="36"/>
      </w:tblGrid>
      <w:tr w:rsidR="001B77DD" w14:paraId="6753505D" w14:textId="77777777">
        <w:tc>
          <w:tcPr>
            <w:tcW w:w="50" w:type="pct"/>
            <w:shd w:val="clear" w:color="auto" w:fill="auto"/>
            <w:vAlign w:val="bottom"/>
          </w:tcPr>
          <w:p w14:paraId="67535054" w14:textId="77777777" w:rsidR="001B77DD" w:rsidRDefault="001B77DD">
            <w:pPr>
              <w:rPr>
                <w:rFonts w:ascii="宋体"/>
              </w:rPr>
            </w:pPr>
          </w:p>
        </w:tc>
        <w:tc>
          <w:tcPr>
            <w:tcW w:w="682" w:type="pct"/>
            <w:shd w:val="clear" w:color="auto" w:fill="auto"/>
            <w:vAlign w:val="bottom"/>
          </w:tcPr>
          <w:p w14:paraId="67535055" w14:textId="77777777" w:rsidR="001B77DD" w:rsidRDefault="001B77DD">
            <w:pPr>
              <w:rPr>
                <w:rFonts w:ascii="宋体"/>
              </w:rPr>
            </w:pPr>
          </w:p>
        </w:tc>
        <w:tc>
          <w:tcPr>
            <w:tcW w:w="5" w:type="pct"/>
            <w:shd w:val="clear" w:color="auto" w:fill="auto"/>
            <w:vAlign w:val="bottom"/>
          </w:tcPr>
          <w:p w14:paraId="67535056" w14:textId="77777777" w:rsidR="001B77DD" w:rsidRDefault="001B77DD">
            <w:pPr>
              <w:rPr>
                <w:rFonts w:ascii="宋体"/>
              </w:rPr>
            </w:pPr>
          </w:p>
        </w:tc>
        <w:tc>
          <w:tcPr>
            <w:tcW w:w="50" w:type="pct"/>
            <w:shd w:val="clear" w:color="auto" w:fill="auto"/>
            <w:vAlign w:val="bottom"/>
          </w:tcPr>
          <w:p w14:paraId="67535057" w14:textId="77777777" w:rsidR="001B77DD" w:rsidRDefault="001B77DD">
            <w:pPr>
              <w:rPr>
                <w:rFonts w:ascii="宋体"/>
              </w:rPr>
            </w:pPr>
          </w:p>
        </w:tc>
        <w:tc>
          <w:tcPr>
            <w:tcW w:w="2076" w:type="pct"/>
            <w:shd w:val="clear" w:color="auto" w:fill="auto"/>
            <w:vAlign w:val="bottom"/>
          </w:tcPr>
          <w:p w14:paraId="67535058" w14:textId="77777777" w:rsidR="001B77DD" w:rsidRDefault="001B77DD">
            <w:pPr>
              <w:rPr>
                <w:rFonts w:ascii="宋体"/>
              </w:rPr>
            </w:pPr>
          </w:p>
        </w:tc>
        <w:tc>
          <w:tcPr>
            <w:tcW w:w="5" w:type="pct"/>
            <w:shd w:val="clear" w:color="auto" w:fill="auto"/>
            <w:vAlign w:val="bottom"/>
          </w:tcPr>
          <w:p w14:paraId="67535059" w14:textId="77777777" w:rsidR="001B77DD" w:rsidRDefault="001B77DD">
            <w:pPr>
              <w:rPr>
                <w:rFonts w:ascii="宋体"/>
              </w:rPr>
            </w:pPr>
          </w:p>
        </w:tc>
        <w:tc>
          <w:tcPr>
            <w:tcW w:w="50" w:type="pct"/>
            <w:shd w:val="clear" w:color="auto" w:fill="auto"/>
            <w:vAlign w:val="bottom"/>
          </w:tcPr>
          <w:p w14:paraId="6753505A" w14:textId="77777777" w:rsidR="001B77DD" w:rsidRDefault="001B77DD">
            <w:pPr>
              <w:rPr>
                <w:rFonts w:ascii="宋体"/>
              </w:rPr>
            </w:pPr>
          </w:p>
        </w:tc>
        <w:tc>
          <w:tcPr>
            <w:tcW w:w="2076" w:type="pct"/>
            <w:shd w:val="clear" w:color="auto" w:fill="auto"/>
            <w:vAlign w:val="bottom"/>
          </w:tcPr>
          <w:p w14:paraId="6753505B" w14:textId="77777777" w:rsidR="001B77DD" w:rsidRDefault="001B77DD">
            <w:pPr>
              <w:rPr>
                <w:rFonts w:ascii="宋体"/>
              </w:rPr>
            </w:pPr>
          </w:p>
        </w:tc>
        <w:tc>
          <w:tcPr>
            <w:tcW w:w="5" w:type="pct"/>
            <w:shd w:val="clear" w:color="auto" w:fill="auto"/>
            <w:vAlign w:val="bottom"/>
          </w:tcPr>
          <w:p w14:paraId="6753505C" w14:textId="77777777" w:rsidR="001B77DD" w:rsidRDefault="001B77DD">
            <w:pPr>
              <w:rPr>
                <w:rFonts w:ascii="宋体"/>
              </w:rPr>
            </w:pPr>
          </w:p>
        </w:tc>
      </w:tr>
      <w:tr w:rsidR="001B77DD" w14:paraId="67535061"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vAlign w:val="bottom"/>
          </w:tcPr>
          <w:p w14:paraId="6753505E" w14:textId="77777777" w:rsidR="001B77DD" w:rsidRDefault="00BF0A28">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vAlign w:val="bottom"/>
          </w:tcPr>
          <w:p w14:paraId="6753505F" w14:textId="77777777" w:rsidR="001B77DD" w:rsidRDefault="00BF0A28">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vAlign w:val="bottom"/>
          </w:tcPr>
          <w:p w14:paraId="67535060" w14:textId="77777777" w:rsidR="001B77DD" w:rsidRDefault="00BF0A28">
            <w:pPr>
              <w:jc w:val="center"/>
              <w:textAlignment w:val="bottom"/>
            </w:pPr>
            <w:r>
              <w:rPr>
                <w:rFonts w:ascii="Arial" w:eastAsia="宋体" w:hAnsi="Arial" w:cs="Arial"/>
                <w:b/>
                <w:bCs/>
                <w:color w:val="262626"/>
                <w:sz w:val="18"/>
                <w:szCs w:val="18"/>
              </w:rPr>
              <w:t xml:space="preserve">Usefulness to </w:t>
            </w:r>
            <w:r>
              <w:rPr>
                <w:rFonts w:ascii="Arial" w:eastAsia="宋体" w:hAnsi="Arial" w:cs="Arial"/>
                <w:b/>
                <w:bCs/>
                <w:color w:val="262626"/>
                <w:sz w:val="18"/>
                <w:szCs w:val="18"/>
              </w:rPr>
              <w:t>management and investors</w:t>
            </w:r>
          </w:p>
        </w:tc>
      </w:tr>
      <w:tr w:rsidR="001B77DD" w14:paraId="67535065"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62" w14:textId="77777777" w:rsidR="001B77DD" w:rsidRDefault="00BF0A28">
            <w:pPr>
              <w:textAlignment w:val="top"/>
            </w:pPr>
            <w:r>
              <w:rPr>
                <w:rFonts w:ascii="Arial" w:eastAsia="宋体" w:hAnsi="Arial" w:cs="Arial"/>
                <w:color w:val="262626"/>
                <w:sz w:val="18"/>
                <w:szCs w:val="18"/>
              </w:rPr>
              <w:t>Restructuring and other charges</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63" w14:textId="77777777" w:rsidR="001B77DD" w:rsidRDefault="00BF0A28">
            <w:pPr>
              <w:textAlignment w:val="top"/>
            </w:pPr>
            <w:r>
              <w:rPr>
                <w:rFonts w:ascii="Arial" w:eastAsia="宋体" w:hAnsi="Arial" w:cs="Arial"/>
                <w:color w:val="262626"/>
                <w:sz w:val="18"/>
                <w:szCs w:val="18"/>
              </w:rPr>
              <w:t xml:space="preserve">Restructuring charges are costs associated with a formal restructuring plan and are primarily related to employee severance and benefit arrangements. Other charges include a charge related to the </w:t>
            </w:r>
            <w:r>
              <w:rPr>
                <w:rFonts w:ascii="Arial" w:eastAsia="宋体" w:hAnsi="Arial" w:cs="Arial"/>
                <w:color w:val="262626"/>
                <w:sz w:val="18"/>
                <w:szCs w:val="18"/>
              </w:rPr>
              <w:t>VLSI litigation, goodwill and asset impairments, pension charges, and costs associated with restructuring activity.</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67535064" w14:textId="77777777" w:rsidR="001B77DD" w:rsidRDefault="00BF0A28">
            <w:pPr>
              <w:textAlignment w:val="top"/>
            </w:pPr>
            <w:r>
              <w:rPr>
                <w:rFonts w:ascii="Arial" w:eastAsia="宋体" w:hAnsi="Arial" w:cs="Arial"/>
                <w:color w:val="262626"/>
                <w:sz w:val="18"/>
                <w:szCs w:val="18"/>
              </w:rPr>
              <w:t>We exclude restructuring and other charges, including any adjustments to charges recorded in prior periods, for purposes of calculating cert</w:t>
            </w:r>
            <w:r>
              <w:rPr>
                <w:rFonts w:ascii="Arial" w:eastAsia="宋体" w:hAnsi="Arial" w:cs="Arial"/>
                <w:color w:val="262626"/>
                <w:sz w:val="18"/>
                <w:szCs w:val="18"/>
              </w:rPr>
              <w:t>ain non-GAAP measures because these costs do not reflect our core operating performance. These adjustments facilitate a useful evaluation of our core operating performance and comparisons to past operating results and provide investors with additional mean</w:t>
            </w:r>
            <w:r>
              <w:rPr>
                <w:rFonts w:ascii="Arial" w:eastAsia="宋体" w:hAnsi="Arial" w:cs="Arial"/>
                <w:color w:val="262626"/>
                <w:sz w:val="18"/>
                <w:szCs w:val="18"/>
              </w:rPr>
              <w:t>s to evaluate expense trends.</w:t>
            </w:r>
          </w:p>
        </w:tc>
      </w:tr>
      <w:tr w:rsidR="001B77DD" w14:paraId="67535069" w14:textId="77777777">
        <w:trPr>
          <w:hidden/>
        </w:trPr>
        <w:tc>
          <w:tcPr>
            <w:tcW w:w="0" w:type="auto"/>
            <w:gridSpan w:val="3"/>
            <w:shd w:val="clear" w:color="auto" w:fill="auto"/>
            <w:vAlign w:val="bottom"/>
          </w:tcPr>
          <w:p w14:paraId="67535066" w14:textId="77777777" w:rsidR="001B77DD" w:rsidRDefault="001B77DD">
            <w:pPr>
              <w:rPr>
                <w:rFonts w:ascii="宋体"/>
                <w:vanish/>
              </w:rPr>
            </w:pPr>
          </w:p>
        </w:tc>
        <w:tc>
          <w:tcPr>
            <w:tcW w:w="0" w:type="auto"/>
            <w:gridSpan w:val="3"/>
            <w:shd w:val="clear" w:color="auto" w:fill="auto"/>
            <w:vAlign w:val="bottom"/>
          </w:tcPr>
          <w:p w14:paraId="67535067" w14:textId="77777777" w:rsidR="001B77DD" w:rsidRDefault="001B77DD">
            <w:pPr>
              <w:rPr>
                <w:rFonts w:ascii="宋体"/>
                <w:vanish/>
              </w:rPr>
            </w:pPr>
          </w:p>
        </w:tc>
        <w:tc>
          <w:tcPr>
            <w:tcW w:w="0" w:type="auto"/>
            <w:gridSpan w:val="3"/>
            <w:shd w:val="clear" w:color="auto" w:fill="auto"/>
            <w:vAlign w:val="bottom"/>
          </w:tcPr>
          <w:p w14:paraId="67535068" w14:textId="77777777" w:rsidR="001B77DD" w:rsidRDefault="001B77DD">
            <w:pPr>
              <w:rPr>
                <w:rFonts w:ascii="宋体"/>
                <w:vanish/>
              </w:rPr>
            </w:pPr>
          </w:p>
        </w:tc>
      </w:tr>
      <w:tr w:rsidR="001B77DD" w14:paraId="6753506D"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6A" w14:textId="77777777" w:rsidR="001B77DD" w:rsidRDefault="00BF0A28">
            <w:pPr>
              <w:textAlignment w:val="top"/>
            </w:pPr>
            <w:r>
              <w:rPr>
                <w:rFonts w:ascii="Arial" w:eastAsia="宋体" w:hAnsi="Arial" w:cs="Arial"/>
                <w:color w:val="262626"/>
                <w:sz w:val="18"/>
                <w:szCs w:val="18"/>
              </w:rPr>
              <w:t>(Gains) losses from divestiture</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6B" w14:textId="77777777" w:rsidR="001B77DD" w:rsidRDefault="00BF0A28">
            <w:pPr>
              <w:textAlignment w:val="top"/>
            </w:pPr>
            <w:r>
              <w:rPr>
                <w:rFonts w:ascii="Arial" w:eastAsia="宋体" w:hAnsi="Arial" w:cs="Arial"/>
                <w:color w:val="262626"/>
                <w:sz w:val="18"/>
                <w:szCs w:val="18"/>
              </w:rPr>
              <w:t>Gains or losses are recognized in connection with a divestiture.</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6753506C" w14:textId="77777777" w:rsidR="001B77DD" w:rsidRDefault="00BF0A28">
            <w:pPr>
              <w:textAlignment w:val="top"/>
            </w:pPr>
            <w:r>
              <w:rPr>
                <w:rFonts w:ascii="Arial" w:eastAsia="宋体" w:hAnsi="Arial" w:cs="Arial"/>
                <w:color w:val="262626"/>
                <w:sz w:val="18"/>
                <w:szCs w:val="18"/>
              </w:rPr>
              <w:t xml:space="preserve">We exclude gains or losses resulting from divestitures for purposes of calculating certain non-GAAP measures because </w:t>
            </w:r>
            <w:r>
              <w:rPr>
                <w:rFonts w:ascii="Arial" w:eastAsia="宋体" w:hAnsi="Arial" w:cs="Arial"/>
                <w:color w:val="262626"/>
                <w:sz w:val="18"/>
                <w:szCs w:val="18"/>
              </w:rPr>
              <w:t>they do not reflect our current operating performance. These adjustments facilitate a useful evaluation of our current operating performance and comparisons to past operating results.</w:t>
            </w:r>
          </w:p>
        </w:tc>
      </w:tr>
      <w:tr w:rsidR="001B77DD" w14:paraId="67535071"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6E" w14:textId="77777777" w:rsidR="001B77DD" w:rsidRDefault="00BF0A28">
            <w:pPr>
              <w:textAlignment w:val="top"/>
            </w:pPr>
            <w:r>
              <w:rPr>
                <w:rFonts w:ascii="Arial" w:eastAsia="宋体" w:hAnsi="Arial" w:cs="Arial"/>
                <w:color w:val="262626"/>
                <w:sz w:val="18"/>
                <w:szCs w:val="18"/>
              </w:rPr>
              <w:t>Ongoing mark-to-market on marketable equity securities</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6F" w14:textId="77777777" w:rsidR="001B77DD" w:rsidRDefault="00BF0A28">
            <w:pPr>
              <w:textAlignment w:val="top"/>
            </w:pPr>
            <w:r>
              <w:rPr>
                <w:rFonts w:ascii="Arial" w:eastAsia="宋体" w:hAnsi="Arial" w:cs="Arial"/>
                <w:color w:val="262626"/>
                <w:sz w:val="18"/>
                <w:szCs w:val="18"/>
              </w:rPr>
              <w:t xml:space="preserve">After the initial mark-to-market adjustment is recorded upon a security becoming marketable, gains and losses are recognized from ongoing mark-to-market adjustments of our marketable equity securities. </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67535070" w14:textId="77777777" w:rsidR="001B77DD" w:rsidRDefault="00BF0A28">
            <w:pPr>
              <w:textAlignment w:val="top"/>
            </w:pPr>
            <w:r>
              <w:rPr>
                <w:rFonts w:ascii="Arial" w:eastAsia="宋体" w:hAnsi="Arial" w:cs="Arial"/>
                <w:color w:val="262626"/>
                <w:sz w:val="18"/>
                <w:szCs w:val="18"/>
              </w:rPr>
              <w:t>We exclude these ongoing gains and losses for purpose</w:t>
            </w:r>
            <w:r>
              <w:rPr>
                <w:rFonts w:ascii="Arial" w:eastAsia="宋体" w:hAnsi="Arial" w:cs="Arial"/>
                <w:color w:val="262626"/>
                <w:sz w:val="18"/>
                <w:szCs w:val="18"/>
              </w:rPr>
              <w:t>s of calculating certain non-GAAP measures because we do not believe this volatility correlates to our core operational performance. These adjustments facilitate a useful evaluation of our current operating performance and comparisons to past operating res</w:t>
            </w:r>
            <w:r>
              <w:rPr>
                <w:rFonts w:ascii="Arial" w:eastAsia="宋体" w:hAnsi="Arial" w:cs="Arial"/>
                <w:color w:val="262626"/>
                <w:sz w:val="18"/>
                <w:szCs w:val="18"/>
              </w:rPr>
              <w:t xml:space="preserve">ults. </w:t>
            </w:r>
          </w:p>
        </w:tc>
      </w:tr>
      <w:tr w:rsidR="001B77DD" w14:paraId="67535075" w14:textId="77777777">
        <w:trPr>
          <w:hidden/>
        </w:trPr>
        <w:tc>
          <w:tcPr>
            <w:tcW w:w="0" w:type="auto"/>
            <w:gridSpan w:val="3"/>
            <w:shd w:val="clear" w:color="auto" w:fill="auto"/>
            <w:vAlign w:val="bottom"/>
          </w:tcPr>
          <w:p w14:paraId="67535072" w14:textId="77777777" w:rsidR="001B77DD" w:rsidRDefault="001B77DD">
            <w:pPr>
              <w:rPr>
                <w:rFonts w:ascii="宋体"/>
                <w:vanish/>
              </w:rPr>
            </w:pPr>
          </w:p>
        </w:tc>
        <w:tc>
          <w:tcPr>
            <w:tcW w:w="0" w:type="auto"/>
            <w:gridSpan w:val="3"/>
            <w:shd w:val="clear" w:color="auto" w:fill="auto"/>
            <w:vAlign w:val="bottom"/>
          </w:tcPr>
          <w:p w14:paraId="67535073" w14:textId="77777777" w:rsidR="001B77DD" w:rsidRDefault="001B77DD">
            <w:pPr>
              <w:rPr>
                <w:rFonts w:ascii="宋体"/>
                <w:vanish/>
              </w:rPr>
            </w:pPr>
          </w:p>
        </w:tc>
        <w:tc>
          <w:tcPr>
            <w:tcW w:w="0" w:type="auto"/>
            <w:gridSpan w:val="3"/>
            <w:shd w:val="clear" w:color="auto" w:fill="auto"/>
            <w:vAlign w:val="bottom"/>
          </w:tcPr>
          <w:p w14:paraId="67535074" w14:textId="77777777" w:rsidR="001B77DD" w:rsidRDefault="001B77DD">
            <w:pPr>
              <w:rPr>
                <w:rFonts w:ascii="宋体"/>
                <w:vanish/>
              </w:rPr>
            </w:pPr>
          </w:p>
        </w:tc>
      </w:tr>
      <w:tr w:rsidR="001B77DD" w14:paraId="67535079" w14:textId="77777777">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76" w14:textId="77777777" w:rsidR="001B77DD" w:rsidRDefault="00BF0A28">
            <w:pPr>
              <w:textAlignment w:val="top"/>
            </w:pPr>
            <w:r>
              <w:rPr>
                <w:rFonts w:ascii="Arial" w:eastAsia="宋体" w:hAnsi="Arial" w:cs="Arial"/>
                <w:color w:val="262626"/>
                <w:sz w:val="18"/>
                <w:szCs w:val="18"/>
              </w:rPr>
              <w:t>Free cash flow</w:t>
            </w:r>
          </w:p>
        </w:tc>
        <w:tc>
          <w:tcPr>
            <w:tcW w:w="0" w:type="auto"/>
            <w:gridSpan w:val="3"/>
            <w:tcBorders>
              <w:top w:val="single" w:sz="4" w:space="0" w:color="000000"/>
              <w:left w:val="single" w:sz="4" w:space="0" w:color="000000"/>
            </w:tcBorders>
            <w:shd w:val="clear" w:color="auto" w:fill="auto"/>
            <w:tcMar>
              <w:top w:w="40" w:type="dxa"/>
              <w:left w:w="20" w:type="dxa"/>
              <w:bottom w:w="40" w:type="dxa"/>
              <w:right w:w="20" w:type="dxa"/>
            </w:tcMar>
          </w:tcPr>
          <w:p w14:paraId="67535077" w14:textId="77777777" w:rsidR="001B77DD" w:rsidRDefault="00BF0A28">
            <w:pPr>
              <w:textAlignment w:val="top"/>
            </w:pPr>
            <w:r>
              <w:rPr>
                <w:rFonts w:ascii="Arial" w:eastAsia="宋体" w:hAnsi="Arial" w:cs="Arial"/>
                <w:color w:val="262626"/>
                <w:sz w:val="18"/>
                <w:szCs w:val="18"/>
              </w:rPr>
              <w:t>We reference a non-GAAP financial measure of free cash flow, which is used by management when assessing our sources of liquidity, capital resources, and quality of earnings. Free cash flow is operating cash flow adjusted to exclu</w:t>
            </w:r>
            <w:r>
              <w:rPr>
                <w:rFonts w:ascii="Arial" w:eastAsia="宋体" w:hAnsi="Arial" w:cs="Arial"/>
                <w:color w:val="262626"/>
                <w:sz w:val="18"/>
                <w:szCs w:val="18"/>
              </w:rPr>
              <w:t>de additions to property, plant and equipment.</w:t>
            </w:r>
          </w:p>
        </w:tc>
        <w:tc>
          <w:tcPr>
            <w:tcW w:w="0" w:type="auto"/>
            <w:gridSpan w:val="3"/>
            <w:tcBorders>
              <w:top w:val="single" w:sz="4" w:space="0" w:color="000000"/>
              <w:left w:val="single" w:sz="4" w:space="0" w:color="000000"/>
              <w:right w:val="single" w:sz="4" w:space="0" w:color="000000"/>
            </w:tcBorders>
            <w:shd w:val="clear" w:color="auto" w:fill="auto"/>
            <w:tcMar>
              <w:top w:w="40" w:type="dxa"/>
              <w:left w:w="20" w:type="dxa"/>
              <w:bottom w:w="40" w:type="dxa"/>
              <w:right w:w="20" w:type="dxa"/>
            </w:tcMar>
          </w:tcPr>
          <w:p w14:paraId="67535078" w14:textId="77777777" w:rsidR="001B77DD" w:rsidRDefault="00BF0A28">
            <w:pPr>
              <w:textAlignment w:val="top"/>
            </w:pPr>
            <w:r>
              <w:rPr>
                <w:rFonts w:ascii="Arial" w:eastAsia="宋体" w:hAnsi="Arial" w:cs="Arial"/>
                <w:color w:val="262626"/>
                <w:sz w:val="18"/>
                <w:szCs w:val="18"/>
              </w:rPr>
              <w:t>This non-GAAP financial measure is helpful in understanding our capital requirements and provides an additional means to evaluate the cash flow trends of our business. We exclude additions to held for sale NAND property, plant and equipment because the add</w:t>
            </w:r>
            <w:r>
              <w:rPr>
                <w:rFonts w:ascii="Arial" w:eastAsia="宋体" w:hAnsi="Arial" w:cs="Arial"/>
                <w:color w:val="262626"/>
                <w:sz w:val="18"/>
                <w:szCs w:val="18"/>
              </w:rPr>
              <w:t xml:space="preserve">itions are not representative of our long-term capital requirements and these assets were sold upon the first closing of the transaction that occurred on December 29, 2021, subsequent to our fiscal 2021 year-end. </w:t>
            </w:r>
          </w:p>
        </w:tc>
      </w:tr>
      <w:tr w:rsidR="001B77DD" w14:paraId="6753507D" w14:textId="77777777">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6753507A" w14:textId="77777777" w:rsidR="001B77DD" w:rsidRDefault="00BF0A28">
            <w:pPr>
              <w:textAlignment w:val="top"/>
            </w:pPr>
            <w:r>
              <w:rPr>
                <w:rFonts w:ascii="Arial" w:eastAsia="宋体" w:hAnsi="Arial" w:cs="Arial"/>
                <w:color w:val="262626"/>
                <w:sz w:val="18"/>
                <w:szCs w:val="18"/>
              </w:rPr>
              <w:t>Total cash and investments</w:t>
            </w:r>
          </w:p>
        </w:tc>
        <w:tc>
          <w:tcPr>
            <w:tcW w:w="0" w:type="auto"/>
            <w:gridSpan w:val="3"/>
            <w:tcBorders>
              <w:top w:val="single" w:sz="4" w:space="0" w:color="000000"/>
              <w:left w:val="single" w:sz="4" w:space="0" w:color="000000"/>
              <w:bottom w:val="single" w:sz="4" w:space="0" w:color="000000"/>
            </w:tcBorders>
            <w:shd w:val="clear" w:color="auto" w:fill="auto"/>
            <w:tcMar>
              <w:top w:w="40" w:type="dxa"/>
              <w:left w:w="20" w:type="dxa"/>
              <w:bottom w:w="40" w:type="dxa"/>
              <w:right w:w="20" w:type="dxa"/>
            </w:tcMar>
          </w:tcPr>
          <w:p w14:paraId="6753507B" w14:textId="77777777" w:rsidR="001B77DD" w:rsidRDefault="00BF0A28">
            <w:pPr>
              <w:textAlignment w:val="top"/>
            </w:pPr>
            <w:r>
              <w:rPr>
                <w:rFonts w:ascii="Arial" w:eastAsia="宋体" w:hAnsi="Arial" w:cs="Arial"/>
                <w:color w:val="262626"/>
                <w:sz w:val="18"/>
                <w:szCs w:val="18"/>
              </w:rPr>
              <w:t>Total cash and</w:t>
            </w:r>
            <w:r>
              <w:rPr>
                <w:rFonts w:ascii="Arial" w:eastAsia="宋体" w:hAnsi="Arial" w:cs="Arial"/>
                <w:color w:val="262626"/>
                <w:sz w:val="18"/>
                <w:szCs w:val="18"/>
              </w:rPr>
              <w:t xml:space="preserve"> investments is used by management when assessing our sources of liquidity, which includes cash and cash equivalents, short-term investments, trading assets, other long-term investments, and loans receivable and other.</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auto"/>
            <w:tcMar>
              <w:top w:w="40" w:type="dxa"/>
              <w:left w:w="20" w:type="dxa"/>
              <w:bottom w:w="40" w:type="dxa"/>
              <w:right w:w="20" w:type="dxa"/>
            </w:tcMar>
          </w:tcPr>
          <w:p w14:paraId="6753507C" w14:textId="77777777" w:rsidR="001B77DD" w:rsidRDefault="00BF0A28">
            <w:pPr>
              <w:textAlignment w:val="top"/>
            </w:pPr>
            <w:r>
              <w:rPr>
                <w:rFonts w:ascii="Arial" w:eastAsia="宋体" w:hAnsi="Arial" w:cs="Arial"/>
                <w:color w:val="262626"/>
                <w:sz w:val="18"/>
                <w:szCs w:val="18"/>
              </w:rPr>
              <w:t>This non-GAAP measure is helpful in u</w:t>
            </w:r>
            <w:r>
              <w:rPr>
                <w:rFonts w:ascii="Arial" w:eastAsia="宋体" w:hAnsi="Arial" w:cs="Arial"/>
                <w:color w:val="262626"/>
                <w:sz w:val="18"/>
                <w:szCs w:val="18"/>
              </w:rPr>
              <w:t>nderstanding our capital resources and liquidity position.</w:t>
            </w:r>
          </w:p>
        </w:tc>
      </w:tr>
    </w:tbl>
    <w:p w14:paraId="6753507E"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5088" w14:textId="77777777">
        <w:tc>
          <w:tcPr>
            <w:tcW w:w="50" w:type="pct"/>
            <w:shd w:val="clear" w:color="auto" w:fill="auto"/>
            <w:vAlign w:val="bottom"/>
          </w:tcPr>
          <w:p w14:paraId="6753507F" w14:textId="77777777" w:rsidR="001B77DD" w:rsidRDefault="001B77DD">
            <w:pPr>
              <w:rPr>
                <w:rFonts w:ascii="宋体"/>
              </w:rPr>
            </w:pPr>
          </w:p>
        </w:tc>
        <w:tc>
          <w:tcPr>
            <w:tcW w:w="283" w:type="pct"/>
            <w:shd w:val="clear" w:color="auto" w:fill="auto"/>
            <w:vAlign w:val="bottom"/>
          </w:tcPr>
          <w:p w14:paraId="67535080" w14:textId="77777777" w:rsidR="001B77DD" w:rsidRDefault="001B77DD">
            <w:pPr>
              <w:rPr>
                <w:rFonts w:ascii="宋体"/>
              </w:rPr>
            </w:pPr>
          </w:p>
        </w:tc>
        <w:tc>
          <w:tcPr>
            <w:tcW w:w="5" w:type="pct"/>
            <w:shd w:val="clear" w:color="auto" w:fill="auto"/>
            <w:vAlign w:val="bottom"/>
          </w:tcPr>
          <w:p w14:paraId="67535081" w14:textId="77777777" w:rsidR="001B77DD" w:rsidRDefault="001B77DD">
            <w:pPr>
              <w:rPr>
                <w:rFonts w:ascii="宋体"/>
              </w:rPr>
            </w:pPr>
          </w:p>
        </w:tc>
        <w:tc>
          <w:tcPr>
            <w:tcW w:w="50" w:type="pct"/>
            <w:shd w:val="clear" w:color="auto" w:fill="auto"/>
            <w:vAlign w:val="bottom"/>
          </w:tcPr>
          <w:p w14:paraId="67535082" w14:textId="77777777" w:rsidR="001B77DD" w:rsidRDefault="001B77DD">
            <w:pPr>
              <w:rPr>
                <w:rFonts w:ascii="宋体"/>
              </w:rPr>
            </w:pPr>
          </w:p>
        </w:tc>
        <w:tc>
          <w:tcPr>
            <w:tcW w:w="2656" w:type="pct"/>
            <w:shd w:val="clear" w:color="auto" w:fill="auto"/>
            <w:vAlign w:val="bottom"/>
          </w:tcPr>
          <w:p w14:paraId="67535083" w14:textId="77777777" w:rsidR="001B77DD" w:rsidRDefault="001B77DD">
            <w:pPr>
              <w:rPr>
                <w:rFonts w:ascii="宋体"/>
              </w:rPr>
            </w:pPr>
          </w:p>
        </w:tc>
        <w:tc>
          <w:tcPr>
            <w:tcW w:w="5" w:type="pct"/>
            <w:shd w:val="clear" w:color="auto" w:fill="auto"/>
            <w:vAlign w:val="bottom"/>
          </w:tcPr>
          <w:p w14:paraId="67535084" w14:textId="77777777" w:rsidR="001B77DD" w:rsidRDefault="001B77DD">
            <w:pPr>
              <w:rPr>
                <w:rFonts w:ascii="宋体"/>
              </w:rPr>
            </w:pPr>
          </w:p>
        </w:tc>
        <w:tc>
          <w:tcPr>
            <w:tcW w:w="50" w:type="pct"/>
            <w:shd w:val="clear" w:color="auto" w:fill="auto"/>
            <w:vAlign w:val="bottom"/>
          </w:tcPr>
          <w:p w14:paraId="67535085" w14:textId="77777777" w:rsidR="001B77DD" w:rsidRDefault="001B77DD">
            <w:pPr>
              <w:rPr>
                <w:rFonts w:ascii="宋体"/>
              </w:rPr>
            </w:pPr>
          </w:p>
        </w:tc>
        <w:tc>
          <w:tcPr>
            <w:tcW w:w="1894" w:type="pct"/>
            <w:shd w:val="clear" w:color="auto" w:fill="auto"/>
            <w:vAlign w:val="bottom"/>
          </w:tcPr>
          <w:p w14:paraId="67535086" w14:textId="77777777" w:rsidR="001B77DD" w:rsidRDefault="001B77DD">
            <w:pPr>
              <w:rPr>
                <w:rFonts w:ascii="宋体"/>
              </w:rPr>
            </w:pPr>
          </w:p>
        </w:tc>
        <w:tc>
          <w:tcPr>
            <w:tcW w:w="5" w:type="pct"/>
            <w:shd w:val="clear" w:color="auto" w:fill="auto"/>
            <w:vAlign w:val="bottom"/>
          </w:tcPr>
          <w:p w14:paraId="67535087" w14:textId="77777777" w:rsidR="001B77DD" w:rsidRDefault="001B77DD">
            <w:pPr>
              <w:rPr>
                <w:rFonts w:ascii="宋体"/>
              </w:rPr>
            </w:pPr>
          </w:p>
        </w:tc>
      </w:tr>
      <w:tr w:rsidR="001B77DD" w14:paraId="6753508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089"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C8" wp14:editId="67538EC9">
                  <wp:extent cx="304800" cy="304800"/>
                  <wp:effectExtent l="0" t="0" r="0" b="0"/>
                  <wp:docPr id="216" name="图片 21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08A"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08B" w14:textId="77777777" w:rsidR="001B77DD" w:rsidRDefault="00BF0A28">
            <w:pPr>
              <w:jc w:val="right"/>
              <w:textAlignment w:val="center"/>
            </w:pPr>
            <w:r>
              <w:rPr>
                <w:rFonts w:ascii="Arial" w:eastAsia="宋体" w:hAnsi="Arial" w:cs="Arial"/>
                <w:color w:val="262626"/>
                <w:sz w:val="16"/>
                <w:szCs w:val="16"/>
              </w:rPr>
              <w:t>46</w:t>
            </w:r>
          </w:p>
        </w:tc>
      </w:tr>
    </w:tbl>
    <w:p w14:paraId="6753508D" w14:textId="77777777" w:rsidR="001B77DD" w:rsidRDefault="00BF0A28">
      <w:r>
        <w:pict w14:anchorId="67538ECA">
          <v:rect id="_x0000_i1072" style="width:415.3pt;height:1.5pt" o:hralign="center" o:hrstd="t" o:hr="t" fillcolor="#a0a0a0" stroked="f"/>
        </w:pict>
      </w:r>
    </w:p>
    <w:p w14:paraId="6753508E" w14:textId="77777777" w:rsidR="001B77DD" w:rsidRDefault="00BF0A28">
      <w:pPr>
        <w:jc w:val="right"/>
      </w:pPr>
      <w:hyperlink r:id="rId104" w:anchor="i6c9ced68f6b24d58a3dcf326e8c3c699_16" w:history="1">
        <w:r>
          <w:rPr>
            <w:rStyle w:val="a5"/>
            <w:rFonts w:ascii="Arial" w:eastAsia="宋体" w:hAnsi="Arial" w:cs="Arial"/>
            <w:b/>
            <w:bCs/>
            <w:sz w:val="16"/>
            <w:szCs w:val="16"/>
          </w:rPr>
          <w:t>Table of Contents</w:t>
        </w:r>
      </w:hyperlink>
    </w:p>
    <w:p w14:paraId="6753508F" w14:textId="77777777" w:rsidR="001B77DD" w:rsidRDefault="001B77DD">
      <w:pPr>
        <w:jc w:val="right"/>
      </w:pPr>
    </w:p>
    <w:p w14:paraId="67535090" w14:textId="77777777" w:rsidR="001B77DD" w:rsidRDefault="00BF0A28">
      <w:pPr>
        <w:spacing w:after="60"/>
      </w:pPr>
      <w:r>
        <w:rPr>
          <w:rFonts w:ascii="Arial" w:eastAsia="宋体" w:hAnsi="Arial" w:cs="Arial"/>
          <w:color w:val="262626"/>
          <w:sz w:val="18"/>
          <w:szCs w:val="18"/>
        </w:rPr>
        <w:t>Following are the reconciliations of our most comparable US GAAP measures to our non-GAAP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959"/>
        <w:gridCol w:w="38"/>
        <w:gridCol w:w="36"/>
        <w:gridCol w:w="121"/>
        <w:gridCol w:w="784"/>
        <w:gridCol w:w="181"/>
        <w:gridCol w:w="36"/>
        <w:gridCol w:w="36"/>
        <w:gridCol w:w="36"/>
        <w:gridCol w:w="121"/>
        <w:gridCol w:w="679"/>
        <w:gridCol w:w="181"/>
        <w:gridCol w:w="36"/>
        <w:gridCol w:w="36"/>
        <w:gridCol w:w="36"/>
        <w:gridCol w:w="121"/>
        <w:gridCol w:w="679"/>
        <w:gridCol w:w="181"/>
      </w:tblGrid>
      <w:tr w:rsidR="001B77DD" w14:paraId="675350A4" w14:textId="77777777">
        <w:tc>
          <w:tcPr>
            <w:tcW w:w="50" w:type="pct"/>
            <w:shd w:val="clear" w:color="auto" w:fill="auto"/>
            <w:vAlign w:val="bottom"/>
          </w:tcPr>
          <w:p w14:paraId="67535091" w14:textId="77777777" w:rsidR="001B77DD" w:rsidRDefault="001B77DD">
            <w:pPr>
              <w:rPr>
                <w:rFonts w:ascii="宋体"/>
              </w:rPr>
            </w:pPr>
          </w:p>
        </w:tc>
        <w:tc>
          <w:tcPr>
            <w:tcW w:w="3093" w:type="pct"/>
            <w:shd w:val="clear" w:color="auto" w:fill="auto"/>
            <w:vAlign w:val="bottom"/>
          </w:tcPr>
          <w:p w14:paraId="67535092" w14:textId="77777777" w:rsidR="001B77DD" w:rsidRDefault="001B77DD">
            <w:pPr>
              <w:rPr>
                <w:rFonts w:ascii="宋体"/>
              </w:rPr>
            </w:pPr>
          </w:p>
        </w:tc>
        <w:tc>
          <w:tcPr>
            <w:tcW w:w="5" w:type="pct"/>
            <w:shd w:val="clear" w:color="auto" w:fill="auto"/>
            <w:vAlign w:val="bottom"/>
          </w:tcPr>
          <w:p w14:paraId="67535093" w14:textId="77777777" w:rsidR="001B77DD" w:rsidRDefault="001B77DD">
            <w:pPr>
              <w:rPr>
                <w:rFonts w:ascii="宋体"/>
              </w:rPr>
            </w:pPr>
          </w:p>
        </w:tc>
        <w:tc>
          <w:tcPr>
            <w:tcW w:w="0" w:type="auto"/>
            <w:shd w:val="clear" w:color="auto" w:fill="auto"/>
            <w:vAlign w:val="bottom"/>
          </w:tcPr>
          <w:p w14:paraId="67535094" w14:textId="77777777" w:rsidR="001B77DD" w:rsidRDefault="001B77DD">
            <w:pPr>
              <w:rPr>
                <w:rFonts w:ascii="宋体"/>
                <w:vanish/>
              </w:rPr>
            </w:pPr>
          </w:p>
        </w:tc>
        <w:tc>
          <w:tcPr>
            <w:tcW w:w="50" w:type="pct"/>
            <w:shd w:val="clear" w:color="auto" w:fill="auto"/>
            <w:vAlign w:val="bottom"/>
          </w:tcPr>
          <w:p w14:paraId="67535095" w14:textId="77777777" w:rsidR="001B77DD" w:rsidRDefault="001B77DD">
            <w:pPr>
              <w:rPr>
                <w:rFonts w:ascii="宋体"/>
              </w:rPr>
            </w:pPr>
          </w:p>
        </w:tc>
        <w:tc>
          <w:tcPr>
            <w:tcW w:w="539" w:type="pct"/>
            <w:shd w:val="clear" w:color="auto" w:fill="auto"/>
            <w:vAlign w:val="bottom"/>
          </w:tcPr>
          <w:p w14:paraId="67535096" w14:textId="77777777" w:rsidR="001B77DD" w:rsidRDefault="001B77DD">
            <w:pPr>
              <w:rPr>
                <w:rFonts w:ascii="宋体"/>
              </w:rPr>
            </w:pPr>
          </w:p>
        </w:tc>
        <w:tc>
          <w:tcPr>
            <w:tcW w:w="5" w:type="pct"/>
            <w:shd w:val="clear" w:color="auto" w:fill="auto"/>
            <w:vAlign w:val="bottom"/>
          </w:tcPr>
          <w:p w14:paraId="67535097" w14:textId="77777777" w:rsidR="001B77DD" w:rsidRDefault="001B77DD">
            <w:pPr>
              <w:rPr>
                <w:rFonts w:ascii="宋体"/>
              </w:rPr>
            </w:pPr>
          </w:p>
        </w:tc>
        <w:tc>
          <w:tcPr>
            <w:tcW w:w="5" w:type="pct"/>
            <w:shd w:val="clear" w:color="auto" w:fill="auto"/>
            <w:vAlign w:val="bottom"/>
          </w:tcPr>
          <w:p w14:paraId="67535098" w14:textId="77777777" w:rsidR="001B77DD" w:rsidRDefault="001B77DD">
            <w:pPr>
              <w:rPr>
                <w:rFonts w:ascii="宋体"/>
              </w:rPr>
            </w:pPr>
          </w:p>
        </w:tc>
        <w:tc>
          <w:tcPr>
            <w:tcW w:w="24" w:type="pct"/>
            <w:shd w:val="clear" w:color="auto" w:fill="auto"/>
            <w:vAlign w:val="bottom"/>
          </w:tcPr>
          <w:p w14:paraId="67535099" w14:textId="77777777" w:rsidR="001B77DD" w:rsidRDefault="001B77DD">
            <w:pPr>
              <w:rPr>
                <w:rFonts w:ascii="宋体"/>
              </w:rPr>
            </w:pPr>
          </w:p>
        </w:tc>
        <w:tc>
          <w:tcPr>
            <w:tcW w:w="5" w:type="pct"/>
            <w:shd w:val="clear" w:color="auto" w:fill="auto"/>
            <w:vAlign w:val="bottom"/>
          </w:tcPr>
          <w:p w14:paraId="6753509A" w14:textId="77777777" w:rsidR="001B77DD" w:rsidRDefault="001B77DD">
            <w:pPr>
              <w:rPr>
                <w:rFonts w:ascii="宋体"/>
              </w:rPr>
            </w:pPr>
          </w:p>
        </w:tc>
        <w:tc>
          <w:tcPr>
            <w:tcW w:w="50" w:type="pct"/>
            <w:shd w:val="clear" w:color="auto" w:fill="auto"/>
            <w:vAlign w:val="bottom"/>
          </w:tcPr>
          <w:p w14:paraId="6753509B" w14:textId="77777777" w:rsidR="001B77DD" w:rsidRDefault="001B77DD">
            <w:pPr>
              <w:rPr>
                <w:rFonts w:ascii="宋体"/>
              </w:rPr>
            </w:pPr>
          </w:p>
        </w:tc>
        <w:tc>
          <w:tcPr>
            <w:tcW w:w="539" w:type="pct"/>
            <w:shd w:val="clear" w:color="auto" w:fill="auto"/>
            <w:vAlign w:val="bottom"/>
          </w:tcPr>
          <w:p w14:paraId="6753509C" w14:textId="77777777" w:rsidR="001B77DD" w:rsidRDefault="001B77DD">
            <w:pPr>
              <w:rPr>
                <w:rFonts w:ascii="宋体"/>
              </w:rPr>
            </w:pPr>
          </w:p>
        </w:tc>
        <w:tc>
          <w:tcPr>
            <w:tcW w:w="5" w:type="pct"/>
            <w:shd w:val="clear" w:color="auto" w:fill="auto"/>
            <w:vAlign w:val="bottom"/>
          </w:tcPr>
          <w:p w14:paraId="6753509D" w14:textId="77777777" w:rsidR="001B77DD" w:rsidRDefault="001B77DD">
            <w:pPr>
              <w:rPr>
                <w:rFonts w:ascii="宋体"/>
              </w:rPr>
            </w:pPr>
          </w:p>
        </w:tc>
        <w:tc>
          <w:tcPr>
            <w:tcW w:w="5" w:type="pct"/>
            <w:shd w:val="clear" w:color="auto" w:fill="auto"/>
            <w:vAlign w:val="bottom"/>
          </w:tcPr>
          <w:p w14:paraId="6753509E" w14:textId="77777777" w:rsidR="001B77DD" w:rsidRDefault="001B77DD">
            <w:pPr>
              <w:rPr>
                <w:rFonts w:ascii="宋体"/>
              </w:rPr>
            </w:pPr>
          </w:p>
        </w:tc>
        <w:tc>
          <w:tcPr>
            <w:tcW w:w="24" w:type="pct"/>
            <w:shd w:val="clear" w:color="auto" w:fill="auto"/>
            <w:vAlign w:val="bottom"/>
          </w:tcPr>
          <w:p w14:paraId="6753509F" w14:textId="77777777" w:rsidR="001B77DD" w:rsidRDefault="001B77DD">
            <w:pPr>
              <w:rPr>
                <w:rFonts w:ascii="宋体"/>
              </w:rPr>
            </w:pPr>
          </w:p>
        </w:tc>
        <w:tc>
          <w:tcPr>
            <w:tcW w:w="5" w:type="pct"/>
            <w:shd w:val="clear" w:color="auto" w:fill="auto"/>
            <w:vAlign w:val="bottom"/>
          </w:tcPr>
          <w:p w14:paraId="675350A0" w14:textId="77777777" w:rsidR="001B77DD" w:rsidRDefault="001B77DD">
            <w:pPr>
              <w:rPr>
                <w:rFonts w:ascii="宋体"/>
              </w:rPr>
            </w:pPr>
          </w:p>
        </w:tc>
        <w:tc>
          <w:tcPr>
            <w:tcW w:w="50" w:type="pct"/>
            <w:shd w:val="clear" w:color="auto" w:fill="auto"/>
            <w:vAlign w:val="bottom"/>
          </w:tcPr>
          <w:p w14:paraId="675350A1" w14:textId="77777777" w:rsidR="001B77DD" w:rsidRDefault="001B77DD">
            <w:pPr>
              <w:rPr>
                <w:rFonts w:ascii="宋体"/>
              </w:rPr>
            </w:pPr>
          </w:p>
        </w:tc>
        <w:tc>
          <w:tcPr>
            <w:tcW w:w="539" w:type="pct"/>
            <w:shd w:val="clear" w:color="auto" w:fill="auto"/>
            <w:vAlign w:val="bottom"/>
          </w:tcPr>
          <w:p w14:paraId="675350A2" w14:textId="77777777" w:rsidR="001B77DD" w:rsidRDefault="001B77DD">
            <w:pPr>
              <w:rPr>
                <w:rFonts w:ascii="宋体"/>
              </w:rPr>
            </w:pPr>
          </w:p>
        </w:tc>
        <w:tc>
          <w:tcPr>
            <w:tcW w:w="5" w:type="pct"/>
            <w:shd w:val="clear" w:color="auto" w:fill="auto"/>
            <w:vAlign w:val="bottom"/>
          </w:tcPr>
          <w:p w14:paraId="675350A3" w14:textId="77777777" w:rsidR="001B77DD" w:rsidRDefault="001B77DD">
            <w:pPr>
              <w:rPr>
                <w:rFonts w:ascii="宋体"/>
              </w:rPr>
            </w:pPr>
          </w:p>
        </w:tc>
      </w:tr>
      <w:tr w:rsidR="001B77DD" w14:paraId="675350AC" w14:textId="77777777">
        <w:tc>
          <w:tcPr>
            <w:tcW w:w="0" w:type="auto"/>
            <w:gridSpan w:val="3"/>
            <w:shd w:val="clear" w:color="auto" w:fill="auto"/>
            <w:tcMar>
              <w:top w:w="40" w:type="dxa"/>
              <w:left w:w="20" w:type="dxa"/>
              <w:bottom w:w="40" w:type="dxa"/>
              <w:right w:w="20" w:type="dxa"/>
            </w:tcMar>
            <w:vAlign w:val="bottom"/>
          </w:tcPr>
          <w:p w14:paraId="675350A5" w14:textId="77777777" w:rsidR="001B77DD" w:rsidRDefault="00BF0A28">
            <w:pPr>
              <w:textAlignment w:val="bottom"/>
            </w:pPr>
            <w:r>
              <w:rPr>
                <w:rFonts w:ascii="Arial" w:eastAsia="宋体" w:hAnsi="Arial" w:cs="Arial"/>
                <w:b/>
                <w:bCs/>
                <w:color w:val="262626"/>
                <w:sz w:val="18"/>
                <w:szCs w:val="18"/>
              </w:rPr>
              <w:t xml:space="preserve">Years Ended (In Millions, Except Per Share </w:t>
            </w:r>
            <w:r>
              <w:rPr>
                <w:rFonts w:ascii="Arial" w:eastAsia="宋体" w:hAnsi="Arial" w:cs="Arial"/>
                <w:b/>
                <w:bCs/>
                <w:color w:val="262626"/>
                <w:sz w:val="18"/>
                <w:szCs w:val="18"/>
              </w:rPr>
              <w:t>Amounts)</w:t>
            </w:r>
          </w:p>
        </w:tc>
        <w:tc>
          <w:tcPr>
            <w:tcW w:w="0" w:type="auto"/>
            <w:shd w:val="clear" w:color="auto" w:fill="auto"/>
            <w:vAlign w:val="bottom"/>
          </w:tcPr>
          <w:p w14:paraId="675350A6"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50A7"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50A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0A9"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50A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0AB"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50B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0AD" w14:textId="77777777" w:rsidR="001B77DD" w:rsidRDefault="00BF0A28">
            <w:pPr>
              <w:textAlignment w:val="bottom"/>
            </w:pPr>
            <w:r>
              <w:rPr>
                <w:rFonts w:ascii="Arial" w:eastAsia="宋体" w:hAnsi="Arial" w:cs="Arial"/>
                <w:b/>
                <w:bCs/>
                <w:color w:val="262626"/>
                <w:sz w:val="18"/>
                <w:szCs w:val="18"/>
              </w:rPr>
              <w:t>Net revenue</w:t>
            </w:r>
          </w:p>
        </w:tc>
        <w:tc>
          <w:tcPr>
            <w:tcW w:w="0" w:type="auto"/>
            <w:shd w:val="clear" w:color="auto" w:fill="auto"/>
            <w:vAlign w:val="bottom"/>
          </w:tcPr>
          <w:p w14:paraId="675350AE" w14:textId="77777777" w:rsidR="001B77DD" w:rsidRDefault="001B77DD">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0AF"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0B0" w14:textId="77777777" w:rsidR="001B77DD" w:rsidRDefault="00BF0A28">
            <w:pPr>
              <w:jc w:val="right"/>
              <w:textAlignment w:val="bottom"/>
            </w:pPr>
            <w:r>
              <w:rPr>
                <w:rFonts w:ascii="Arial" w:eastAsia="宋体" w:hAnsi="Arial" w:cs="Arial"/>
                <w:b/>
                <w:bCs/>
                <w:color w:val="0068B5"/>
                <w:sz w:val="18"/>
                <w:szCs w:val="18"/>
              </w:rPr>
              <w:t>79,024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0B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0B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0B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0B4" w14:textId="77777777" w:rsidR="001B77DD" w:rsidRDefault="00BF0A28">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0B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0B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0B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0B8" w14:textId="77777777" w:rsidR="001B77DD" w:rsidRDefault="00BF0A28">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0B9" w14:textId="77777777" w:rsidR="001B77DD" w:rsidRDefault="001B77DD">
            <w:pPr>
              <w:jc w:val="right"/>
              <w:rPr>
                <w:rFonts w:ascii="宋体"/>
              </w:rPr>
            </w:pPr>
          </w:p>
        </w:tc>
      </w:tr>
      <w:tr w:rsidR="001B77DD" w14:paraId="675350C5" w14:textId="77777777">
        <w:tc>
          <w:tcPr>
            <w:tcW w:w="0" w:type="auto"/>
            <w:gridSpan w:val="3"/>
            <w:shd w:val="clear" w:color="auto" w:fill="auto"/>
            <w:tcMar>
              <w:top w:w="40" w:type="dxa"/>
              <w:left w:w="245" w:type="dxa"/>
              <w:bottom w:w="40" w:type="dxa"/>
              <w:right w:w="20" w:type="dxa"/>
            </w:tcMar>
            <w:vAlign w:val="bottom"/>
          </w:tcPr>
          <w:p w14:paraId="675350BB" w14:textId="77777777" w:rsidR="001B77DD" w:rsidRDefault="00BF0A28">
            <w:pPr>
              <w:textAlignment w:val="bottom"/>
            </w:pPr>
            <w:r>
              <w:rPr>
                <w:rFonts w:ascii="Arial" w:eastAsia="宋体" w:hAnsi="Arial" w:cs="Arial"/>
                <w:color w:val="262626"/>
                <w:sz w:val="18"/>
                <w:szCs w:val="18"/>
              </w:rPr>
              <w:t>NAND memory business</w:t>
            </w:r>
          </w:p>
        </w:tc>
        <w:tc>
          <w:tcPr>
            <w:tcW w:w="0" w:type="auto"/>
            <w:shd w:val="clear" w:color="auto" w:fill="auto"/>
            <w:vAlign w:val="bottom"/>
          </w:tcPr>
          <w:p w14:paraId="675350BC"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0BD" w14:textId="77777777" w:rsidR="001B77DD" w:rsidRDefault="00BF0A28">
            <w:pPr>
              <w:jc w:val="right"/>
              <w:textAlignment w:val="bottom"/>
            </w:pPr>
            <w:r>
              <w:rPr>
                <w:rFonts w:ascii="Arial" w:eastAsia="宋体" w:hAnsi="Arial" w:cs="Arial"/>
                <w:color w:val="0068B5"/>
                <w:sz w:val="18"/>
                <w:szCs w:val="18"/>
              </w:rPr>
              <w:t>(4,306)</w:t>
            </w:r>
          </w:p>
        </w:tc>
        <w:tc>
          <w:tcPr>
            <w:tcW w:w="0" w:type="auto"/>
            <w:shd w:val="clear" w:color="auto" w:fill="auto"/>
            <w:tcMar>
              <w:top w:w="40" w:type="dxa"/>
              <w:left w:w="0" w:type="dxa"/>
              <w:bottom w:w="40" w:type="dxa"/>
              <w:right w:w="20" w:type="dxa"/>
            </w:tcMar>
            <w:vAlign w:val="bottom"/>
          </w:tcPr>
          <w:p w14:paraId="675350B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0B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0C0" w14:textId="77777777" w:rsidR="001B77DD" w:rsidRDefault="00BF0A28">
            <w:pPr>
              <w:jc w:val="right"/>
              <w:textAlignment w:val="bottom"/>
            </w:pPr>
            <w:r>
              <w:rPr>
                <w:rFonts w:ascii="Arial" w:eastAsia="宋体" w:hAnsi="Arial" w:cs="Arial"/>
                <w:color w:val="262626"/>
                <w:sz w:val="18"/>
                <w:szCs w:val="18"/>
              </w:rPr>
              <w:t>(4,967)</w:t>
            </w:r>
          </w:p>
        </w:tc>
        <w:tc>
          <w:tcPr>
            <w:tcW w:w="0" w:type="auto"/>
            <w:shd w:val="clear" w:color="auto" w:fill="auto"/>
            <w:tcMar>
              <w:top w:w="40" w:type="dxa"/>
              <w:left w:w="0" w:type="dxa"/>
              <w:bottom w:w="40" w:type="dxa"/>
              <w:right w:w="20" w:type="dxa"/>
            </w:tcMar>
            <w:vAlign w:val="bottom"/>
          </w:tcPr>
          <w:p w14:paraId="675350C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0C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0C3" w14:textId="77777777" w:rsidR="001B77DD" w:rsidRDefault="00BF0A28">
            <w:pPr>
              <w:jc w:val="right"/>
              <w:textAlignment w:val="bottom"/>
            </w:pPr>
            <w:r>
              <w:rPr>
                <w:rFonts w:ascii="Arial" w:eastAsia="宋体" w:hAnsi="Arial" w:cs="Arial"/>
                <w:color w:val="262626"/>
                <w:sz w:val="18"/>
                <w:szCs w:val="18"/>
              </w:rPr>
              <w:t>(4,059)</w:t>
            </w:r>
          </w:p>
        </w:tc>
        <w:tc>
          <w:tcPr>
            <w:tcW w:w="0" w:type="auto"/>
            <w:shd w:val="clear" w:color="auto" w:fill="auto"/>
            <w:tcMar>
              <w:top w:w="40" w:type="dxa"/>
              <w:left w:w="0" w:type="dxa"/>
              <w:bottom w:w="40" w:type="dxa"/>
              <w:right w:w="20" w:type="dxa"/>
            </w:tcMar>
            <w:vAlign w:val="bottom"/>
          </w:tcPr>
          <w:p w14:paraId="675350C4" w14:textId="77777777" w:rsidR="001B77DD" w:rsidRDefault="001B77DD">
            <w:pPr>
              <w:jc w:val="right"/>
              <w:rPr>
                <w:rFonts w:ascii="宋体"/>
              </w:rPr>
            </w:pPr>
          </w:p>
        </w:tc>
      </w:tr>
      <w:tr w:rsidR="001B77DD" w14:paraId="675350D3" w14:textId="77777777">
        <w:tc>
          <w:tcPr>
            <w:tcW w:w="0" w:type="auto"/>
            <w:gridSpan w:val="3"/>
            <w:shd w:val="clear" w:color="auto" w:fill="auto"/>
            <w:tcMar>
              <w:top w:w="40" w:type="dxa"/>
              <w:left w:w="20" w:type="dxa"/>
              <w:bottom w:w="40" w:type="dxa"/>
              <w:right w:w="20" w:type="dxa"/>
            </w:tcMar>
            <w:vAlign w:val="bottom"/>
          </w:tcPr>
          <w:p w14:paraId="675350C6" w14:textId="77777777" w:rsidR="001B77DD" w:rsidRDefault="00BF0A28">
            <w:pPr>
              <w:textAlignment w:val="bottom"/>
            </w:pPr>
            <w:r>
              <w:rPr>
                <w:rFonts w:ascii="Arial" w:eastAsia="宋体" w:hAnsi="Arial" w:cs="Arial"/>
                <w:b/>
                <w:bCs/>
                <w:color w:val="262626"/>
                <w:sz w:val="18"/>
                <w:szCs w:val="18"/>
              </w:rPr>
              <w:t>Non-GAAP net revenue</w:t>
            </w:r>
          </w:p>
        </w:tc>
        <w:tc>
          <w:tcPr>
            <w:tcW w:w="0" w:type="auto"/>
            <w:shd w:val="clear" w:color="auto" w:fill="auto"/>
            <w:vAlign w:val="bottom"/>
          </w:tcPr>
          <w:p w14:paraId="675350C7" w14:textId="77777777" w:rsidR="001B77DD" w:rsidRDefault="001B77DD">
            <w:pPr>
              <w:rPr>
                <w:rFonts w:ascii="宋体"/>
                <w:vanish/>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0C8"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0C9" w14:textId="77777777" w:rsidR="001B77DD" w:rsidRDefault="00BF0A28">
            <w:pPr>
              <w:jc w:val="right"/>
              <w:textAlignment w:val="bottom"/>
            </w:pPr>
            <w:r>
              <w:rPr>
                <w:rFonts w:ascii="Arial" w:eastAsia="宋体" w:hAnsi="Arial" w:cs="Arial"/>
                <w:b/>
                <w:bCs/>
                <w:color w:val="0068B5"/>
                <w:sz w:val="18"/>
                <w:szCs w:val="18"/>
              </w:rPr>
              <w:t>74,718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0C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0CB"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0CC"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0CD" w14:textId="77777777" w:rsidR="001B77DD" w:rsidRDefault="00BF0A28">
            <w:pPr>
              <w:jc w:val="right"/>
              <w:textAlignment w:val="bottom"/>
            </w:pPr>
            <w:r>
              <w:rPr>
                <w:rFonts w:ascii="Arial" w:eastAsia="宋体" w:hAnsi="Arial" w:cs="Arial"/>
                <w:b/>
                <w:bCs/>
                <w:color w:val="262626"/>
                <w:sz w:val="18"/>
                <w:szCs w:val="18"/>
              </w:rPr>
              <w:t>72,900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0C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0CF"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0D0"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0D1" w14:textId="77777777" w:rsidR="001B77DD" w:rsidRDefault="00BF0A28">
            <w:pPr>
              <w:jc w:val="right"/>
              <w:textAlignment w:val="bottom"/>
            </w:pPr>
            <w:r>
              <w:rPr>
                <w:rFonts w:ascii="Arial" w:eastAsia="宋体" w:hAnsi="Arial" w:cs="Arial"/>
                <w:b/>
                <w:bCs/>
                <w:color w:val="262626"/>
                <w:sz w:val="18"/>
                <w:szCs w:val="18"/>
              </w:rPr>
              <w:t>67,906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0D2" w14:textId="77777777" w:rsidR="001B77DD" w:rsidRDefault="001B77DD">
            <w:pPr>
              <w:jc w:val="right"/>
              <w:rPr>
                <w:rFonts w:ascii="宋体"/>
              </w:rPr>
            </w:pPr>
          </w:p>
        </w:tc>
      </w:tr>
      <w:tr w:rsidR="001B77DD" w14:paraId="675350DB" w14:textId="77777777">
        <w:trPr>
          <w:trHeight w:val="60"/>
        </w:trPr>
        <w:tc>
          <w:tcPr>
            <w:tcW w:w="0" w:type="auto"/>
            <w:gridSpan w:val="3"/>
            <w:shd w:val="clear" w:color="auto" w:fill="auto"/>
            <w:tcMar>
              <w:top w:w="0" w:type="dxa"/>
              <w:left w:w="20" w:type="dxa"/>
              <w:bottom w:w="0" w:type="dxa"/>
              <w:right w:w="20" w:type="dxa"/>
            </w:tcMar>
            <w:vAlign w:val="bottom"/>
          </w:tcPr>
          <w:p w14:paraId="675350D4" w14:textId="77777777" w:rsidR="001B77DD" w:rsidRDefault="001B77DD">
            <w:pPr>
              <w:rPr>
                <w:rFonts w:ascii="宋体"/>
              </w:rPr>
            </w:pPr>
          </w:p>
        </w:tc>
        <w:tc>
          <w:tcPr>
            <w:tcW w:w="0" w:type="auto"/>
            <w:shd w:val="clear" w:color="auto" w:fill="auto"/>
            <w:vAlign w:val="bottom"/>
          </w:tcPr>
          <w:p w14:paraId="675350D5" w14:textId="77777777" w:rsidR="001B77DD" w:rsidRDefault="001B77DD">
            <w:pPr>
              <w:rPr>
                <w:rFonts w:ascii="宋体"/>
                <w:vanish/>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0D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0D7"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0D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0D9"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0DA" w14:textId="77777777" w:rsidR="001B77DD" w:rsidRDefault="001B77DD">
            <w:pPr>
              <w:rPr>
                <w:rFonts w:ascii="宋体"/>
              </w:rPr>
            </w:pPr>
          </w:p>
        </w:tc>
      </w:tr>
      <w:tr w:rsidR="001B77DD" w14:paraId="675350E3" w14:textId="77777777">
        <w:trPr>
          <w:hidden/>
        </w:trPr>
        <w:tc>
          <w:tcPr>
            <w:tcW w:w="0" w:type="auto"/>
            <w:gridSpan w:val="3"/>
            <w:shd w:val="clear" w:color="auto" w:fill="auto"/>
            <w:vAlign w:val="bottom"/>
          </w:tcPr>
          <w:p w14:paraId="675350DC" w14:textId="77777777" w:rsidR="001B77DD" w:rsidRDefault="001B77DD">
            <w:pPr>
              <w:rPr>
                <w:rFonts w:ascii="宋体"/>
                <w:vanish/>
              </w:rPr>
            </w:pPr>
          </w:p>
        </w:tc>
        <w:tc>
          <w:tcPr>
            <w:tcW w:w="0" w:type="auto"/>
            <w:shd w:val="clear" w:color="auto" w:fill="auto"/>
            <w:vAlign w:val="bottom"/>
          </w:tcPr>
          <w:p w14:paraId="675350DD" w14:textId="77777777" w:rsidR="001B77DD" w:rsidRDefault="001B77DD">
            <w:pPr>
              <w:rPr>
                <w:rFonts w:ascii="宋体"/>
                <w:vanish/>
              </w:rPr>
            </w:pPr>
          </w:p>
        </w:tc>
        <w:tc>
          <w:tcPr>
            <w:tcW w:w="0" w:type="auto"/>
            <w:gridSpan w:val="3"/>
            <w:shd w:val="clear" w:color="auto" w:fill="auto"/>
            <w:vAlign w:val="bottom"/>
          </w:tcPr>
          <w:p w14:paraId="675350DE" w14:textId="77777777" w:rsidR="001B77DD" w:rsidRDefault="001B77DD">
            <w:pPr>
              <w:rPr>
                <w:rFonts w:ascii="宋体"/>
                <w:vanish/>
              </w:rPr>
            </w:pPr>
          </w:p>
        </w:tc>
        <w:tc>
          <w:tcPr>
            <w:tcW w:w="0" w:type="auto"/>
            <w:gridSpan w:val="3"/>
            <w:shd w:val="clear" w:color="auto" w:fill="auto"/>
            <w:vAlign w:val="bottom"/>
          </w:tcPr>
          <w:p w14:paraId="675350DF" w14:textId="77777777" w:rsidR="001B77DD" w:rsidRDefault="001B77DD">
            <w:pPr>
              <w:rPr>
                <w:rFonts w:ascii="宋体"/>
                <w:vanish/>
              </w:rPr>
            </w:pPr>
          </w:p>
        </w:tc>
        <w:tc>
          <w:tcPr>
            <w:tcW w:w="0" w:type="auto"/>
            <w:gridSpan w:val="3"/>
            <w:shd w:val="clear" w:color="auto" w:fill="auto"/>
            <w:vAlign w:val="bottom"/>
          </w:tcPr>
          <w:p w14:paraId="675350E0" w14:textId="77777777" w:rsidR="001B77DD" w:rsidRDefault="001B77DD">
            <w:pPr>
              <w:rPr>
                <w:rFonts w:ascii="宋体"/>
                <w:vanish/>
              </w:rPr>
            </w:pPr>
          </w:p>
        </w:tc>
        <w:tc>
          <w:tcPr>
            <w:tcW w:w="0" w:type="auto"/>
            <w:gridSpan w:val="3"/>
            <w:shd w:val="clear" w:color="auto" w:fill="auto"/>
            <w:vAlign w:val="bottom"/>
          </w:tcPr>
          <w:p w14:paraId="675350E1" w14:textId="77777777" w:rsidR="001B77DD" w:rsidRDefault="001B77DD">
            <w:pPr>
              <w:rPr>
                <w:rFonts w:ascii="宋体"/>
                <w:vanish/>
              </w:rPr>
            </w:pPr>
          </w:p>
        </w:tc>
        <w:tc>
          <w:tcPr>
            <w:tcW w:w="0" w:type="auto"/>
            <w:gridSpan w:val="3"/>
            <w:shd w:val="clear" w:color="auto" w:fill="auto"/>
            <w:vAlign w:val="bottom"/>
          </w:tcPr>
          <w:p w14:paraId="675350E2" w14:textId="77777777" w:rsidR="001B77DD" w:rsidRDefault="001B77DD">
            <w:pPr>
              <w:rPr>
                <w:rFonts w:ascii="宋体"/>
                <w:vanish/>
              </w:rPr>
            </w:pPr>
          </w:p>
        </w:tc>
      </w:tr>
      <w:tr w:rsidR="001B77DD" w14:paraId="675350EB" w14:textId="77777777">
        <w:trPr>
          <w:hidden/>
        </w:trPr>
        <w:tc>
          <w:tcPr>
            <w:tcW w:w="0" w:type="auto"/>
            <w:gridSpan w:val="3"/>
            <w:shd w:val="clear" w:color="auto" w:fill="auto"/>
            <w:vAlign w:val="bottom"/>
          </w:tcPr>
          <w:p w14:paraId="675350E4" w14:textId="77777777" w:rsidR="001B77DD" w:rsidRDefault="001B77DD">
            <w:pPr>
              <w:rPr>
                <w:rFonts w:ascii="宋体"/>
                <w:vanish/>
              </w:rPr>
            </w:pPr>
          </w:p>
        </w:tc>
        <w:tc>
          <w:tcPr>
            <w:tcW w:w="0" w:type="auto"/>
            <w:shd w:val="clear" w:color="auto" w:fill="auto"/>
            <w:vAlign w:val="bottom"/>
          </w:tcPr>
          <w:p w14:paraId="675350E5" w14:textId="77777777" w:rsidR="001B77DD" w:rsidRDefault="001B77DD">
            <w:pPr>
              <w:rPr>
                <w:rFonts w:ascii="宋体"/>
                <w:vanish/>
              </w:rPr>
            </w:pPr>
          </w:p>
        </w:tc>
        <w:tc>
          <w:tcPr>
            <w:tcW w:w="0" w:type="auto"/>
            <w:gridSpan w:val="3"/>
            <w:shd w:val="clear" w:color="auto" w:fill="auto"/>
            <w:vAlign w:val="bottom"/>
          </w:tcPr>
          <w:p w14:paraId="675350E6" w14:textId="77777777" w:rsidR="001B77DD" w:rsidRDefault="001B77DD">
            <w:pPr>
              <w:rPr>
                <w:rFonts w:ascii="宋体"/>
                <w:vanish/>
              </w:rPr>
            </w:pPr>
          </w:p>
        </w:tc>
        <w:tc>
          <w:tcPr>
            <w:tcW w:w="0" w:type="auto"/>
            <w:gridSpan w:val="3"/>
            <w:shd w:val="clear" w:color="auto" w:fill="auto"/>
            <w:vAlign w:val="bottom"/>
          </w:tcPr>
          <w:p w14:paraId="675350E7" w14:textId="77777777" w:rsidR="001B77DD" w:rsidRDefault="001B77DD">
            <w:pPr>
              <w:rPr>
                <w:rFonts w:ascii="宋体"/>
                <w:vanish/>
              </w:rPr>
            </w:pPr>
          </w:p>
        </w:tc>
        <w:tc>
          <w:tcPr>
            <w:tcW w:w="0" w:type="auto"/>
            <w:gridSpan w:val="3"/>
            <w:shd w:val="clear" w:color="auto" w:fill="auto"/>
            <w:vAlign w:val="bottom"/>
          </w:tcPr>
          <w:p w14:paraId="675350E8" w14:textId="77777777" w:rsidR="001B77DD" w:rsidRDefault="001B77DD">
            <w:pPr>
              <w:rPr>
                <w:rFonts w:ascii="宋体"/>
                <w:vanish/>
              </w:rPr>
            </w:pPr>
          </w:p>
        </w:tc>
        <w:tc>
          <w:tcPr>
            <w:tcW w:w="0" w:type="auto"/>
            <w:gridSpan w:val="3"/>
            <w:shd w:val="clear" w:color="auto" w:fill="auto"/>
            <w:vAlign w:val="bottom"/>
          </w:tcPr>
          <w:p w14:paraId="675350E9" w14:textId="77777777" w:rsidR="001B77DD" w:rsidRDefault="001B77DD">
            <w:pPr>
              <w:rPr>
                <w:rFonts w:ascii="宋体"/>
                <w:vanish/>
              </w:rPr>
            </w:pPr>
          </w:p>
        </w:tc>
        <w:tc>
          <w:tcPr>
            <w:tcW w:w="0" w:type="auto"/>
            <w:gridSpan w:val="3"/>
            <w:shd w:val="clear" w:color="auto" w:fill="auto"/>
            <w:vAlign w:val="bottom"/>
          </w:tcPr>
          <w:p w14:paraId="675350EA" w14:textId="77777777" w:rsidR="001B77DD" w:rsidRDefault="001B77DD">
            <w:pPr>
              <w:rPr>
                <w:rFonts w:ascii="宋体"/>
                <w:vanish/>
              </w:rPr>
            </w:pPr>
          </w:p>
        </w:tc>
      </w:tr>
      <w:tr w:rsidR="001B77DD" w14:paraId="675350F3" w14:textId="77777777">
        <w:trPr>
          <w:hidden/>
        </w:trPr>
        <w:tc>
          <w:tcPr>
            <w:tcW w:w="0" w:type="auto"/>
            <w:gridSpan w:val="3"/>
            <w:shd w:val="clear" w:color="auto" w:fill="auto"/>
            <w:vAlign w:val="bottom"/>
          </w:tcPr>
          <w:p w14:paraId="675350EC" w14:textId="77777777" w:rsidR="001B77DD" w:rsidRDefault="001B77DD">
            <w:pPr>
              <w:rPr>
                <w:rFonts w:ascii="宋体"/>
                <w:vanish/>
              </w:rPr>
            </w:pPr>
          </w:p>
        </w:tc>
        <w:tc>
          <w:tcPr>
            <w:tcW w:w="0" w:type="auto"/>
            <w:shd w:val="clear" w:color="auto" w:fill="auto"/>
            <w:vAlign w:val="bottom"/>
          </w:tcPr>
          <w:p w14:paraId="675350ED" w14:textId="77777777" w:rsidR="001B77DD" w:rsidRDefault="001B77DD">
            <w:pPr>
              <w:rPr>
                <w:rFonts w:ascii="宋体"/>
                <w:vanish/>
              </w:rPr>
            </w:pPr>
          </w:p>
        </w:tc>
        <w:tc>
          <w:tcPr>
            <w:tcW w:w="0" w:type="auto"/>
            <w:gridSpan w:val="3"/>
            <w:shd w:val="clear" w:color="auto" w:fill="auto"/>
            <w:vAlign w:val="bottom"/>
          </w:tcPr>
          <w:p w14:paraId="675350EE" w14:textId="77777777" w:rsidR="001B77DD" w:rsidRDefault="001B77DD">
            <w:pPr>
              <w:rPr>
                <w:rFonts w:ascii="宋体"/>
                <w:vanish/>
              </w:rPr>
            </w:pPr>
          </w:p>
        </w:tc>
        <w:tc>
          <w:tcPr>
            <w:tcW w:w="0" w:type="auto"/>
            <w:gridSpan w:val="3"/>
            <w:shd w:val="clear" w:color="auto" w:fill="auto"/>
            <w:vAlign w:val="bottom"/>
          </w:tcPr>
          <w:p w14:paraId="675350EF" w14:textId="77777777" w:rsidR="001B77DD" w:rsidRDefault="001B77DD">
            <w:pPr>
              <w:rPr>
                <w:rFonts w:ascii="宋体"/>
                <w:vanish/>
              </w:rPr>
            </w:pPr>
          </w:p>
        </w:tc>
        <w:tc>
          <w:tcPr>
            <w:tcW w:w="0" w:type="auto"/>
            <w:gridSpan w:val="3"/>
            <w:shd w:val="clear" w:color="auto" w:fill="auto"/>
            <w:vAlign w:val="bottom"/>
          </w:tcPr>
          <w:p w14:paraId="675350F0" w14:textId="77777777" w:rsidR="001B77DD" w:rsidRDefault="001B77DD">
            <w:pPr>
              <w:rPr>
                <w:rFonts w:ascii="宋体"/>
                <w:vanish/>
              </w:rPr>
            </w:pPr>
          </w:p>
        </w:tc>
        <w:tc>
          <w:tcPr>
            <w:tcW w:w="0" w:type="auto"/>
            <w:gridSpan w:val="3"/>
            <w:shd w:val="clear" w:color="auto" w:fill="auto"/>
            <w:vAlign w:val="bottom"/>
          </w:tcPr>
          <w:p w14:paraId="675350F1" w14:textId="77777777" w:rsidR="001B77DD" w:rsidRDefault="001B77DD">
            <w:pPr>
              <w:rPr>
                <w:rFonts w:ascii="宋体"/>
                <w:vanish/>
              </w:rPr>
            </w:pPr>
          </w:p>
        </w:tc>
        <w:tc>
          <w:tcPr>
            <w:tcW w:w="0" w:type="auto"/>
            <w:gridSpan w:val="3"/>
            <w:shd w:val="clear" w:color="auto" w:fill="auto"/>
            <w:vAlign w:val="bottom"/>
          </w:tcPr>
          <w:p w14:paraId="675350F2" w14:textId="77777777" w:rsidR="001B77DD" w:rsidRDefault="001B77DD">
            <w:pPr>
              <w:rPr>
                <w:rFonts w:ascii="宋体"/>
                <w:vanish/>
              </w:rPr>
            </w:pPr>
          </w:p>
        </w:tc>
      </w:tr>
      <w:tr w:rsidR="001B77DD" w14:paraId="675350FB" w14:textId="77777777">
        <w:trPr>
          <w:hidden/>
        </w:trPr>
        <w:tc>
          <w:tcPr>
            <w:tcW w:w="0" w:type="auto"/>
            <w:gridSpan w:val="3"/>
            <w:shd w:val="clear" w:color="auto" w:fill="auto"/>
            <w:vAlign w:val="bottom"/>
          </w:tcPr>
          <w:p w14:paraId="675350F4" w14:textId="77777777" w:rsidR="001B77DD" w:rsidRDefault="001B77DD">
            <w:pPr>
              <w:rPr>
                <w:rFonts w:ascii="宋体"/>
                <w:vanish/>
              </w:rPr>
            </w:pPr>
          </w:p>
        </w:tc>
        <w:tc>
          <w:tcPr>
            <w:tcW w:w="0" w:type="auto"/>
            <w:shd w:val="clear" w:color="auto" w:fill="auto"/>
            <w:vAlign w:val="bottom"/>
          </w:tcPr>
          <w:p w14:paraId="675350F5" w14:textId="77777777" w:rsidR="001B77DD" w:rsidRDefault="001B77DD">
            <w:pPr>
              <w:rPr>
                <w:rFonts w:ascii="宋体"/>
                <w:vanish/>
              </w:rPr>
            </w:pPr>
          </w:p>
        </w:tc>
        <w:tc>
          <w:tcPr>
            <w:tcW w:w="0" w:type="auto"/>
            <w:gridSpan w:val="3"/>
            <w:shd w:val="clear" w:color="auto" w:fill="auto"/>
            <w:vAlign w:val="bottom"/>
          </w:tcPr>
          <w:p w14:paraId="675350F6" w14:textId="77777777" w:rsidR="001B77DD" w:rsidRDefault="001B77DD">
            <w:pPr>
              <w:rPr>
                <w:rFonts w:ascii="宋体"/>
                <w:vanish/>
              </w:rPr>
            </w:pPr>
          </w:p>
        </w:tc>
        <w:tc>
          <w:tcPr>
            <w:tcW w:w="0" w:type="auto"/>
            <w:gridSpan w:val="3"/>
            <w:shd w:val="clear" w:color="auto" w:fill="auto"/>
            <w:vAlign w:val="bottom"/>
          </w:tcPr>
          <w:p w14:paraId="675350F7" w14:textId="77777777" w:rsidR="001B77DD" w:rsidRDefault="001B77DD">
            <w:pPr>
              <w:rPr>
                <w:rFonts w:ascii="宋体"/>
                <w:vanish/>
              </w:rPr>
            </w:pPr>
          </w:p>
        </w:tc>
        <w:tc>
          <w:tcPr>
            <w:tcW w:w="0" w:type="auto"/>
            <w:gridSpan w:val="3"/>
            <w:shd w:val="clear" w:color="auto" w:fill="auto"/>
            <w:vAlign w:val="bottom"/>
          </w:tcPr>
          <w:p w14:paraId="675350F8" w14:textId="77777777" w:rsidR="001B77DD" w:rsidRDefault="001B77DD">
            <w:pPr>
              <w:rPr>
                <w:rFonts w:ascii="宋体"/>
                <w:vanish/>
              </w:rPr>
            </w:pPr>
          </w:p>
        </w:tc>
        <w:tc>
          <w:tcPr>
            <w:tcW w:w="0" w:type="auto"/>
            <w:gridSpan w:val="3"/>
            <w:shd w:val="clear" w:color="auto" w:fill="auto"/>
            <w:vAlign w:val="bottom"/>
          </w:tcPr>
          <w:p w14:paraId="675350F9" w14:textId="77777777" w:rsidR="001B77DD" w:rsidRDefault="001B77DD">
            <w:pPr>
              <w:rPr>
                <w:rFonts w:ascii="宋体"/>
                <w:vanish/>
              </w:rPr>
            </w:pPr>
          </w:p>
        </w:tc>
        <w:tc>
          <w:tcPr>
            <w:tcW w:w="0" w:type="auto"/>
            <w:gridSpan w:val="3"/>
            <w:shd w:val="clear" w:color="auto" w:fill="auto"/>
            <w:vAlign w:val="bottom"/>
          </w:tcPr>
          <w:p w14:paraId="675350FA" w14:textId="77777777" w:rsidR="001B77DD" w:rsidRDefault="001B77DD">
            <w:pPr>
              <w:rPr>
                <w:rFonts w:ascii="宋体"/>
                <w:vanish/>
              </w:rPr>
            </w:pPr>
          </w:p>
        </w:tc>
      </w:tr>
      <w:tr w:rsidR="001B77DD" w14:paraId="67535109" w14:textId="77777777">
        <w:tc>
          <w:tcPr>
            <w:tcW w:w="0" w:type="auto"/>
            <w:gridSpan w:val="3"/>
            <w:shd w:val="clear" w:color="auto" w:fill="auto"/>
            <w:tcMar>
              <w:top w:w="40" w:type="dxa"/>
              <w:left w:w="20" w:type="dxa"/>
              <w:bottom w:w="40" w:type="dxa"/>
              <w:right w:w="20" w:type="dxa"/>
            </w:tcMar>
            <w:vAlign w:val="bottom"/>
          </w:tcPr>
          <w:p w14:paraId="675350FC" w14:textId="77777777" w:rsidR="001B77DD" w:rsidRDefault="00BF0A28">
            <w:pPr>
              <w:textAlignment w:val="bottom"/>
            </w:pPr>
            <w:r>
              <w:rPr>
                <w:rFonts w:ascii="Arial" w:eastAsia="宋体" w:hAnsi="Arial" w:cs="Arial"/>
                <w:b/>
                <w:bCs/>
                <w:color w:val="262626"/>
                <w:sz w:val="18"/>
                <w:szCs w:val="18"/>
              </w:rPr>
              <w:t>Operating income</w:t>
            </w:r>
          </w:p>
        </w:tc>
        <w:tc>
          <w:tcPr>
            <w:tcW w:w="0" w:type="auto"/>
            <w:shd w:val="clear" w:color="auto" w:fill="auto"/>
            <w:vAlign w:val="bottom"/>
          </w:tcPr>
          <w:p w14:paraId="675350FD" w14:textId="77777777" w:rsidR="001B77DD" w:rsidRDefault="001B77DD">
            <w:pPr>
              <w:rPr>
                <w:rFonts w:ascii="宋体"/>
                <w:vanish/>
              </w:rPr>
            </w:pPr>
          </w:p>
        </w:tc>
        <w:tc>
          <w:tcPr>
            <w:tcW w:w="0" w:type="auto"/>
            <w:shd w:val="clear" w:color="auto" w:fill="auto"/>
            <w:tcMar>
              <w:top w:w="40" w:type="dxa"/>
              <w:left w:w="20" w:type="dxa"/>
              <w:bottom w:w="40" w:type="dxa"/>
              <w:right w:w="0" w:type="dxa"/>
            </w:tcMar>
            <w:vAlign w:val="bottom"/>
          </w:tcPr>
          <w:p w14:paraId="675350FE" w14:textId="77777777" w:rsidR="001B77DD" w:rsidRDefault="00BF0A2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75350FF" w14:textId="77777777" w:rsidR="001B77DD" w:rsidRDefault="00BF0A28">
            <w:pPr>
              <w:jc w:val="right"/>
              <w:textAlignment w:val="bottom"/>
            </w:pPr>
            <w:r>
              <w:rPr>
                <w:rFonts w:ascii="Arial" w:eastAsia="宋体" w:hAnsi="Arial" w:cs="Arial"/>
                <w:b/>
                <w:bCs/>
                <w:color w:val="0068B5"/>
                <w:sz w:val="18"/>
                <w:szCs w:val="18"/>
              </w:rPr>
              <w:t>19,456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10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01"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102"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103" w14:textId="77777777" w:rsidR="001B77DD" w:rsidRDefault="00BF0A28">
            <w:pPr>
              <w:jc w:val="right"/>
              <w:textAlignment w:val="bottom"/>
            </w:pPr>
            <w:r>
              <w:rPr>
                <w:rFonts w:ascii="Arial" w:eastAsia="宋体" w:hAnsi="Arial" w:cs="Arial"/>
                <w:b/>
                <w:bCs/>
                <w:color w:val="262626"/>
                <w:sz w:val="18"/>
                <w:szCs w:val="18"/>
              </w:rPr>
              <w:t>23,678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10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0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106"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107" w14:textId="77777777" w:rsidR="001B77DD" w:rsidRDefault="00BF0A28">
            <w:pPr>
              <w:jc w:val="right"/>
              <w:textAlignment w:val="bottom"/>
            </w:pPr>
            <w:r>
              <w:rPr>
                <w:rFonts w:ascii="Arial" w:eastAsia="宋体" w:hAnsi="Arial" w:cs="Arial"/>
                <w:b/>
                <w:bCs/>
                <w:color w:val="262626"/>
                <w:sz w:val="18"/>
                <w:szCs w:val="18"/>
              </w:rPr>
              <w:t>22,035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108" w14:textId="77777777" w:rsidR="001B77DD" w:rsidRDefault="001B77DD">
            <w:pPr>
              <w:jc w:val="right"/>
              <w:rPr>
                <w:rFonts w:ascii="宋体"/>
              </w:rPr>
            </w:pPr>
          </w:p>
        </w:tc>
      </w:tr>
      <w:tr w:rsidR="001B77DD" w14:paraId="67535114" w14:textId="77777777">
        <w:tc>
          <w:tcPr>
            <w:tcW w:w="0" w:type="auto"/>
            <w:gridSpan w:val="3"/>
            <w:shd w:val="clear" w:color="auto" w:fill="auto"/>
            <w:tcMar>
              <w:top w:w="40" w:type="dxa"/>
              <w:left w:w="245" w:type="dxa"/>
              <w:bottom w:w="40" w:type="dxa"/>
              <w:right w:w="20" w:type="dxa"/>
            </w:tcMar>
            <w:vAlign w:val="bottom"/>
          </w:tcPr>
          <w:p w14:paraId="6753510A" w14:textId="77777777" w:rsidR="001B77DD" w:rsidRDefault="00BF0A28">
            <w:pPr>
              <w:textAlignment w:val="bottom"/>
            </w:pPr>
            <w:r>
              <w:rPr>
                <w:rFonts w:ascii="Arial" w:eastAsia="宋体" w:hAnsi="Arial" w:cs="Arial"/>
                <w:color w:val="262626"/>
                <w:sz w:val="18"/>
                <w:szCs w:val="18"/>
              </w:rPr>
              <w:t>Acquisition-related adjustments</w:t>
            </w:r>
          </w:p>
        </w:tc>
        <w:tc>
          <w:tcPr>
            <w:tcW w:w="0" w:type="auto"/>
            <w:shd w:val="clear" w:color="auto" w:fill="auto"/>
            <w:vAlign w:val="bottom"/>
          </w:tcPr>
          <w:p w14:paraId="6753510B"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10C" w14:textId="77777777" w:rsidR="001B77DD" w:rsidRDefault="00BF0A28">
            <w:pPr>
              <w:jc w:val="right"/>
              <w:textAlignment w:val="bottom"/>
            </w:pPr>
            <w:r>
              <w:rPr>
                <w:rFonts w:ascii="Arial" w:eastAsia="宋体" w:hAnsi="Arial" w:cs="Arial"/>
                <w:color w:val="0068B5"/>
                <w:sz w:val="18"/>
                <w:szCs w:val="18"/>
              </w:rPr>
              <w:t>1,492 </w:t>
            </w:r>
          </w:p>
        </w:tc>
        <w:tc>
          <w:tcPr>
            <w:tcW w:w="0" w:type="auto"/>
            <w:shd w:val="clear" w:color="auto" w:fill="auto"/>
            <w:tcMar>
              <w:top w:w="40" w:type="dxa"/>
              <w:left w:w="0" w:type="dxa"/>
              <w:bottom w:w="40" w:type="dxa"/>
              <w:right w:w="20" w:type="dxa"/>
            </w:tcMar>
            <w:vAlign w:val="bottom"/>
          </w:tcPr>
          <w:p w14:paraId="6753510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0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0F" w14:textId="77777777" w:rsidR="001B77DD" w:rsidRDefault="00BF0A28">
            <w:pPr>
              <w:jc w:val="right"/>
              <w:textAlignment w:val="bottom"/>
            </w:pPr>
            <w:r>
              <w:rPr>
                <w:rFonts w:ascii="Arial" w:eastAsia="宋体" w:hAnsi="Arial" w:cs="Arial"/>
                <w:color w:val="262626"/>
                <w:sz w:val="18"/>
                <w:szCs w:val="18"/>
              </w:rPr>
              <w:t>1,416 </w:t>
            </w:r>
          </w:p>
        </w:tc>
        <w:tc>
          <w:tcPr>
            <w:tcW w:w="0" w:type="auto"/>
            <w:shd w:val="clear" w:color="auto" w:fill="auto"/>
            <w:tcMar>
              <w:top w:w="40" w:type="dxa"/>
              <w:left w:w="0" w:type="dxa"/>
              <w:bottom w:w="40" w:type="dxa"/>
              <w:right w:w="20" w:type="dxa"/>
            </w:tcMar>
            <w:vAlign w:val="bottom"/>
          </w:tcPr>
          <w:p w14:paraId="6753511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1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12" w14:textId="77777777" w:rsidR="001B77DD" w:rsidRDefault="00BF0A28">
            <w:pPr>
              <w:jc w:val="right"/>
              <w:textAlignment w:val="bottom"/>
            </w:pPr>
            <w:r>
              <w:rPr>
                <w:rFonts w:ascii="Arial" w:eastAsia="宋体" w:hAnsi="Arial" w:cs="Arial"/>
                <w:color w:val="262626"/>
                <w:sz w:val="18"/>
                <w:szCs w:val="18"/>
              </w:rPr>
              <w:t>1,324 </w:t>
            </w:r>
          </w:p>
        </w:tc>
        <w:tc>
          <w:tcPr>
            <w:tcW w:w="0" w:type="auto"/>
            <w:shd w:val="clear" w:color="auto" w:fill="auto"/>
            <w:tcMar>
              <w:top w:w="40" w:type="dxa"/>
              <w:left w:w="0" w:type="dxa"/>
              <w:bottom w:w="40" w:type="dxa"/>
              <w:right w:w="20" w:type="dxa"/>
            </w:tcMar>
            <w:vAlign w:val="bottom"/>
          </w:tcPr>
          <w:p w14:paraId="67535113" w14:textId="77777777" w:rsidR="001B77DD" w:rsidRDefault="001B77DD">
            <w:pPr>
              <w:jc w:val="right"/>
              <w:rPr>
                <w:rFonts w:ascii="宋体"/>
              </w:rPr>
            </w:pPr>
          </w:p>
        </w:tc>
      </w:tr>
      <w:tr w:rsidR="001B77DD" w14:paraId="6753511C" w14:textId="77777777">
        <w:trPr>
          <w:hidden/>
        </w:trPr>
        <w:tc>
          <w:tcPr>
            <w:tcW w:w="0" w:type="auto"/>
            <w:gridSpan w:val="3"/>
            <w:shd w:val="clear" w:color="auto" w:fill="auto"/>
            <w:vAlign w:val="bottom"/>
          </w:tcPr>
          <w:p w14:paraId="67535115" w14:textId="77777777" w:rsidR="001B77DD" w:rsidRDefault="001B77DD">
            <w:pPr>
              <w:rPr>
                <w:rFonts w:ascii="宋体"/>
                <w:vanish/>
              </w:rPr>
            </w:pPr>
          </w:p>
        </w:tc>
        <w:tc>
          <w:tcPr>
            <w:tcW w:w="0" w:type="auto"/>
            <w:shd w:val="clear" w:color="auto" w:fill="auto"/>
            <w:vAlign w:val="bottom"/>
          </w:tcPr>
          <w:p w14:paraId="67535116" w14:textId="77777777" w:rsidR="001B77DD" w:rsidRDefault="001B77DD">
            <w:pPr>
              <w:rPr>
                <w:rFonts w:ascii="宋体"/>
                <w:vanish/>
              </w:rPr>
            </w:pPr>
          </w:p>
        </w:tc>
        <w:tc>
          <w:tcPr>
            <w:tcW w:w="0" w:type="auto"/>
            <w:gridSpan w:val="3"/>
            <w:shd w:val="clear" w:color="auto" w:fill="auto"/>
            <w:vAlign w:val="bottom"/>
          </w:tcPr>
          <w:p w14:paraId="67535117" w14:textId="77777777" w:rsidR="001B77DD" w:rsidRDefault="001B77DD">
            <w:pPr>
              <w:rPr>
                <w:rFonts w:ascii="宋体"/>
                <w:vanish/>
              </w:rPr>
            </w:pPr>
          </w:p>
        </w:tc>
        <w:tc>
          <w:tcPr>
            <w:tcW w:w="0" w:type="auto"/>
            <w:gridSpan w:val="3"/>
            <w:shd w:val="clear" w:color="auto" w:fill="auto"/>
            <w:vAlign w:val="bottom"/>
          </w:tcPr>
          <w:p w14:paraId="67535118" w14:textId="77777777" w:rsidR="001B77DD" w:rsidRDefault="001B77DD">
            <w:pPr>
              <w:rPr>
                <w:rFonts w:ascii="宋体"/>
                <w:vanish/>
              </w:rPr>
            </w:pPr>
          </w:p>
        </w:tc>
        <w:tc>
          <w:tcPr>
            <w:tcW w:w="0" w:type="auto"/>
            <w:gridSpan w:val="3"/>
            <w:shd w:val="clear" w:color="auto" w:fill="auto"/>
            <w:vAlign w:val="bottom"/>
          </w:tcPr>
          <w:p w14:paraId="67535119" w14:textId="77777777" w:rsidR="001B77DD" w:rsidRDefault="001B77DD">
            <w:pPr>
              <w:rPr>
                <w:rFonts w:ascii="宋体"/>
                <w:vanish/>
              </w:rPr>
            </w:pPr>
          </w:p>
        </w:tc>
        <w:tc>
          <w:tcPr>
            <w:tcW w:w="0" w:type="auto"/>
            <w:gridSpan w:val="3"/>
            <w:shd w:val="clear" w:color="auto" w:fill="auto"/>
            <w:vAlign w:val="bottom"/>
          </w:tcPr>
          <w:p w14:paraId="6753511A" w14:textId="77777777" w:rsidR="001B77DD" w:rsidRDefault="001B77DD">
            <w:pPr>
              <w:rPr>
                <w:rFonts w:ascii="宋体"/>
                <w:vanish/>
              </w:rPr>
            </w:pPr>
          </w:p>
        </w:tc>
        <w:tc>
          <w:tcPr>
            <w:tcW w:w="0" w:type="auto"/>
            <w:gridSpan w:val="3"/>
            <w:shd w:val="clear" w:color="auto" w:fill="auto"/>
            <w:vAlign w:val="bottom"/>
          </w:tcPr>
          <w:p w14:paraId="6753511B" w14:textId="77777777" w:rsidR="001B77DD" w:rsidRDefault="001B77DD">
            <w:pPr>
              <w:rPr>
                <w:rFonts w:ascii="宋体"/>
                <w:vanish/>
              </w:rPr>
            </w:pPr>
          </w:p>
        </w:tc>
      </w:tr>
      <w:tr w:rsidR="001B77DD" w14:paraId="67535124" w14:textId="77777777">
        <w:trPr>
          <w:hidden/>
        </w:trPr>
        <w:tc>
          <w:tcPr>
            <w:tcW w:w="0" w:type="auto"/>
            <w:gridSpan w:val="3"/>
            <w:shd w:val="clear" w:color="auto" w:fill="auto"/>
            <w:vAlign w:val="bottom"/>
          </w:tcPr>
          <w:p w14:paraId="6753511D" w14:textId="77777777" w:rsidR="001B77DD" w:rsidRDefault="001B77DD">
            <w:pPr>
              <w:rPr>
                <w:rFonts w:ascii="宋体"/>
                <w:vanish/>
              </w:rPr>
            </w:pPr>
          </w:p>
        </w:tc>
        <w:tc>
          <w:tcPr>
            <w:tcW w:w="0" w:type="auto"/>
            <w:shd w:val="clear" w:color="auto" w:fill="auto"/>
            <w:vAlign w:val="bottom"/>
          </w:tcPr>
          <w:p w14:paraId="6753511E" w14:textId="77777777" w:rsidR="001B77DD" w:rsidRDefault="001B77DD">
            <w:pPr>
              <w:rPr>
                <w:rFonts w:ascii="宋体"/>
                <w:vanish/>
              </w:rPr>
            </w:pPr>
          </w:p>
        </w:tc>
        <w:tc>
          <w:tcPr>
            <w:tcW w:w="0" w:type="auto"/>
            <w:gridSpan w:val="3"/>
            <w:shd w:val="clear" w:color="auto" w:fill="auto"/>
            <w:vAlign w:val="bottom"/>
          </w:tcPr>
          <w:p w14:paraId="6753511F" w14:textId="77777777" w:rsidR="001B77DD" w:rsidRDefault="001B77DD">
            <w:pPr>
              <w:rPr>
                <w:rFonts w:ascii="宋体"/>
                <w:vanish/>
              </w:rPr>
            </w:pPr>
          </w:p>
        </w:tc>
        <w:tc>
          <w:tcPr>
            <w:tcW w:w="0" w:type="auto"/>
            <w:gridSpan w:val="3"/>
            <w:shd w:val="clear" w:color="auto" w:fill="auto"/>
            <w:vAlign w:val="bottom"/>
          </w:tcPr>
          <w:p w14:paraId="67535120" w14:textId="77777777" w:rsidR="001B77DD" w:rsidRDefault="001B77DD">
            <w:pPr>
              <w:rPr>
                <w:rFonts w:ascii="宋体"/>
                <w:vanish/>
              </w:rPr>
            </w:pPr>
          </w:p>
        </w:tc>
        <w:tc>
          <w:tcPr>
            <w:tcW w:w="0" w:type="auto"/>
            <w:gridSpan w:val="3"/>
            <w:shd w:val="clear" w:color="auto" w:fill="auto"/>
            <w:vAlign w:val="bottom"/>
          </w:tcPr>
          <w:p w14:paraId="67535121" w14:textId="77777777" w:rsidR="001B77DD" w:rsidRDefault="001B77DD">
            <w:pPr>
              <w:rPr>
                <w:rFonts w:ascii="宋体"/>
                <w:vanish/>
              </w:rPr>
            </w:pPr>
          </w:p>
        </w:tc>
        <w:tc>
          <w:tcPr>
            <w:tcW w:w="0" w:type="auto"/>
            <w:gridSpan w:val="3"/>
            <w:shd w:val="clear" w:color="auto" w:fill="auto"/>
            <w:vAlign w:val="bottom"/>
          </w:tcPr>
          <w:p w14:paraId="67535122" w14:textId="77777777" w:rsidR="001B77DD" w:rsidRDefault="001B77DD">
            <w:pPr>
              <w:rPr>
                <w:rFonts w:ascii="宋体"/>
                <w:vanish/>
              </w:rPr>
            </w:pPr>
          </w:p>
        </w:tc>
        <w:tc>
          <w:tcPr>
            <w:tcW w:w="0" w:type="auto"/>
            <w:gridSpan w:val="3"/>
            <w:shd w:val="clear" w:color="auto" w:fill="auto"/>
            <w:vAlign w:val="bottom"/>
          </w:tcPr>
          <w:p w14:paraId="67535123" w14:textId="77777777" w:rsidR="001B77DD" w:rsidRDefault="001B77DD">
            <w:pPr>
              <w:rPr>
                <w:rFonts w:ascii="宋体"/>
                <w:vanish/>
              </w:rPr>
            </w:pPr>
          </w:p>
        </w:tc>
      </w:tr>
      <w:tr w:rsidR="001B77DD" w14:paraId="6753512C" w14:textId="77777777">
        <w:trPr>
          <w:hidden/>
        </w:trPr>
        <w:tc>
          <w:tcPr>
            <w:tcW w:w="0" w:type="auto"/>
            <w:gridSpan w:val="3"/>
            <w:shd w:val="clear" w:color="auto" w:fill="auto"/>
            <w:vAlign w:val="bottom"/>
          </w:tcPr>
          <w:p w14:paraId="67535125" w14:textId="77777777" w:rsidR="001B77DD" w:rsidRDefault="001B77DD">
            <w:pPr>
              <w:rPr>
                <w:rFonts w:ascii="宋体"/>
                <w:vanish/>
              </w:rPr>
            </w:pPr>
          </w:p>
        </w:tc>
        <w:tc>
          <w:tcPr>
            <w:tcW w:w="0" w:type="auto"/>
            <w:shd w:val="clear" w:color="auto" w:fill="auto"/>
            <w:vAlign w:val="bottom"/>
          </w:tcPr>
          <w:p w14:paraId="67535126" w14:textId="77777777" w:rsidR="001B77DD" w:rsidRDefault="001B77DD">
            <w:pPr>
              <w:rPr>
                <w:rFonts w:ascii="宋体"/>
                <w:vanish/>
              </w:rPr>
            </w:pPr>
          </w:p>
        </w:tc>
        <w:tc>
          <w:tcPr>
            <w:tcW w:w="0" w:type="auto"/>
            <w:gridSpan w:val="3"/>
            <w:shd w:val="clear" w:color="auto" w:fill="auto"/>
            <w:vAlign w:val="bottom"/>
          </w:tcPr>
          <w:p w14:paraId="67535127" w14:textId="77777777" w:rsidR="001B77DD" w:rsidRDefault="001B77DD">
            <w:pPr>
              <w:rPr>
                <w:rFonts w:ascii="宋体"/>
                <w:vanish/>
              </w:rPr>
            </w:pPr>
          </w:p>
        </w:tc>
        <w:tc>
          <w:tcPr>
            <w:tcW w:w="0" w:type="auto"/>
            <w:gridSpan w:val="3"/>
            <w:shd w:val="clear" w:color="auto" w:fill="auto"/>
            <w:vAlign w:val="bottom"/>
          </w:tcPr>
          <w:p w14:paraId="67535128" w14:textId="77777777" w:rsidR="001B77DD" w:rsidRDefault="001B77DD">
            <w:pPr>
              <w:rPr>
                <w:rFonts w:ascii="宋体"/>
                <w:vanish/>
              </w:rPr>
            </w:pPr>
          </w:p>
        </w:tc>
        <w:tc>
          <w:tcPr>
            <w:tcW w:w="0" w:type="auto"/>
            <w:gridSpan w:val="3"/>
            <w:shd w:val="clear" w:color="auto" w:fill="auto"/>
            <w:vAlign w:val="bottom"/>
          </w:tcPr>
          <w:p w14:paraId="67535129" w14:textId="77777777" w:rsidR="001B77DD" w:rsidRDefault="001B77DD">
            <w:pPr>
              <w:rPr>
                <w:rFonts w:ascii="宋体"/>
                <w:vanish/>
              </w:rPr>
            </w:pPr>
          </w:p>
        </w:tc>
        <w:tc>
          <w:tcPr>
            <w:tcW w:w="0" w:type="auto"/>
            <w:gridSpan w:val="3"/>
            <w:shd w:val="clear" w:color="auto" w:fill="auto"/>
            <w:vAlign w:val="bottom"/>
          </w:tcPr>
          <w:p w14:paraId="6753512A" w14:textId="77777777" w:rsidR="001B77DD" w:rsidRDefault="001B77DD">
            <w:pPr>
              <w:rPr>
                <w:rFonts w:ascii="宋体"/>
                <w:vanish/>
              </w:rPr>
            </w:pPr>
          </w:p>
        </w:tc>
        <w:tc>
          <w:tcPr>
            <w:tcW w:w="0" w:type="auto"/>
            <w:gridSpan w:val="3"/>
            <w:shd w:val="clear" w:color="auto" w:fill="auto"/>
            <w:vAlign w:val="bottom"/>
          </w:tcPr>
          <w:p w14:paraId="6753512B" w14:textId="77777777" w:rsidR="001B77DD" w:rsidRDefault="001B77DD">
            <w:pPr>
              <w:rPr>
                <w:rFonts w:ascii="宋体"/>
                <w:vanish/>
              </w:rPr>
            </w:pPr>
          </w:p>
        </w:tc>
      </w:tr>
      <w:tr w:rsidR="001B77DD" w14:paraId="67535134" w14:textId="77777777">
        <w:trPr>
          <w:hidden/>
        </w:trPr>
        <w:tc>
          <w:tcPr>
            <w:tcW w:w="0" w:type="auto"/>
            <w:gridSpan w:val="3"/>
            <w:shd w:val="clear" w:color="auto" w:fill="auto"/>
            <w:vAlign w:val="bottom"/>
          </w:tcPr>
          <w:p w14:paraId="6753512D" w14:textId="77777777" w:rsidR="001B77DD" w:rsidRDefault="001B77DD">
            <w:pPr>
              <w:rPr>
                <w:rFonts w:ascii="宋体"/>
                <w:vanish/>
              </w:rPr>
            </w:pPr>
          </w:p>
        </w:tc>
        <w:tc>
          <w:tcPr>
            <w:tcW w:w="0" w:type="auto"/>
            <w:shd w:val="clear" w:color="auto" w:fill="auto"/>
            <w:vAlign w:val="bottom"/>
          </w:tcPr>
          <w:p w14:paraId="6753512E" w14:textId="77777777" w:rsidR="001B77DD" w:rsidRDefault="001B77DD">
            <w:pPr>
              <w:rPr>
                <w:rFonts w:ascii="宋体"/>
                <w:vanish/>
              </w:rPr>
            </w:pPr>
          </w:p>
        </w:tc>
        <w:tc>
          <w:tcPr>
            <w:tcW w:w="0" w:type="auto"/>
            <w:gridSpan w:val="3"/>
            <w:shd w:val="clear" w:color="auto" w:fill="auto"/>
            <w:vAlign w:val="bottom"/>
          </w:tcPr>
          <w:p w14:paraId="6753512F" w14:textId="77777777" w:rsidR="001B77DD" w:rsidRDefault="001B77DD">
            <w:pPr>
              <w:rPr>
                <w:rFonts w:ascii="宋体"/>
                <w:vanish/>
              </w:rPr>
            </w:pPr>
          </w:p>
        </w:tc>
        <w:tc>
          <w:tcPr>
            <w:tcW w:w="0" w:type="auto"/>
            <w:gridSpan w:val="3"/>
            <w:shd w:val="clear" w:color="auto" w:fill="auto"/>
            <w:vAlign w:val="bottom"/>
          </w:tcPr>
          <w:p w14:paraId="67535130" w14:textId="77777777" w:rsidR="001B77DD" w:rsidRDefault="001B77DD">
            <w:pPr>
              <w:rPr>
                <w:rFonts w:ascii="宋体"/>
                <w:vanish/>
              </w:rPr>
            </w:pPr>
          </w:p>
        </w:tc>
        <w:tc>
          <w:tcPr>
            <w:tcW w:w="0" w:type="auto"/>
            <w:gridSpan w:val="3"/>
            <w:shd w:val="clear" w:color="auto" w:fill="auto"/>
            <w:vAlign w:val="bottom"/>
          </w:tcPr>
          <w:p w14:paraId="67535131" w14:textId="77777777" w:rsidR="001B77DD" w:rsidRDefault="001B77DD">
            <w:pPr>
              <w:rPr>
                <w:rFonts w:ascii="宋体"/>
                <w:vanish/>
              </w:rPr>
            </w:pPr>
          </w:p>
        </w:tc>
        <w:tc>
          <w:tcPr>
            <w:tcW w:w="0" w:type="auto"/>
            <w:gridSpan w:val="3"/>
            <w:shd w:val="clear" w:color="auto" w:fill="auto"/>
            <w:vAlign w:val="bottom"/>
          </w:tcPr>
          <w:p w14:paraId="67535132" w14:textId="77777777" w:rsidR="001B77DD" w:rsidRDefault="001B77DD">
            <w:pPr>
              <w:rPr>
                <w:rFonts w:ascii="宋体"/>
                <w:vanish/>
              </w:rPr>
            </w:pPr>
          </w:p>
        </w:tc>
        <w:tc>
          <w:tcPr>
            <w:tcW w:w="0" w:type="auto"/>
            <w:gridSpan w:val="3"/>
            <w:shd w:val="clear" w:color="auto" w:fill="auto"/>
            <w:vAlign w:val="bottom"/>
          </w:tcPr>
          <w:p w14:paraId="67535133" w14:textId="77777777" w:rsidR="001B77DD" w:rsidRDefault="001B77DD">
            <w:pPr>
              <w:rPr>
                <w:rFonts w:ascii="宋体"/>
                <w:vanish/>
              </w:rPr>
            </w:pPr>
          </w:p>
        </w:tc>
      </w:tr>
      <w:tr w:rsidR="001B77DD" w14:paraId="6753513F" w14:textId="77777777">
        <w:tc>
          <w:tcPr>
            <w:tcW w:w="0" w:type="auto"/>
            <w:gridSpan w:val="3"/>
            <w:shd w:val="clear" w:color="auto" w:fill="auto"/>
            <w:tcMar>
              <w:top w:w="40" w:type="dxa"/>
              <w:left w:w="245" w:type="dxa"/>
              <w:bottom w:w="40" w:type="dxa"/>
              <w:right w:w="20" w:type="dxa"/>
            </w:tcMar>
            <w:vAlign w:val="bottom"/>
          </w:tcPr>
          <w:p w14:paraId="67535135" w14:textId="77777777" w:rsidR="001B77DD" w:rsidRDefault="00BF0A28">
            <w:pPr>
              <w:textAlignment w:val="bottom"/>
            </w:pPr>
            <w:r>
              <w:rPr>
                <w:rFonts w:ascii="Arial" w:eastAsia="宋体" w:hAnsi="Arial" w:cs="Arial"/>
                <w:color w:val="262626"/>
                <w:sz w:val="18"/>
                <w:szCs w:val="18"/>
              </w:rPr>
              <w:t>Restructuring and other charges</w:t>
            </w:r>
          </w:p>
        </w:tc>
        <w:tc>
          <w:tcPr>
            <w:tcW w:w="0" w:type="auto"/>
            <w:shd w:val="clear" w:color="auto" w:fill="auto"/>
            <w:vAlign w:val="bottom"/>
          </w:tcPr>
          <w:p w14:paraId="67535136"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137" w14:textId="77777777" w:rsidR="001B77DD" w:rsidRDefault="00BF0A28">
            <w:pPr>
              <w:jc w:val="right"/>
              <w:textAlignment w:val="bottom"/>
            </w:pPr>
            <w:r>
              <w:rPr>
                <w:rFonts w:ascii="Arial" w:eastAsia="宋体" w:hAnsi="Arial" w:cs="Arial"/>
                <w:color w:val="0068B5"/>
                <w:sz w:val="18"/>
                <w:szCs w:val="18"/>
              </w:rPr>
              <w:t>2,626 </w:t>
            </w:r>
          </w:p>
        </w:tc>
        <w:tc>
          <w:tcPr>
            <w:tcW w:w="0" w:type="auto"/>
            <w:shd w:val="clear" w:color="auto" w:fill="auto"/>
            <w:tcMar>
              <w:top w:w="40" w:type="dxa"/>
              <w:left w:w="0" w:type="dxa"/>
              <w:bottom w:w="40" w:type="dxa"/>
              <w:right w:w="20" w:type="dxa"/>
            </w:tcMar>
            <w:vAlign w:val="bottom"/>
          </w:tcPr>
          <w:p w14:paraId="6753513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3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3A" w14:textId="77777777" w:rsidR="001B77DD" w:rsidRDefault="00BF0A28">
            <w:pPr>
              <w:jc w:val="right"/>
              <w:textAlignment w:val="bottom"/>
            </w:pPr>
            <w:r>
              <w:rPr>
                <w:rFonts w:ascii="Arial" w:eastAsia="宋体" w:hAnsi="Arial" w:cs="Arial"/>
                <w:color w:val="262626"/>
                <w:sz w:val="18"/>
                <w:szCs w:val="18"/>
              </w:rPr>
              <w:t>198 </w:t>
            </w:r>
          </w:p>
        </w:tc>
        <w:tc>
          <w:tcPr>
            <w:tcW w:w="0" w:type="auto"/>
            <w:shd w:val="clear" w:color="auto" w:fill="auto"/>
            <w:tcMar>
              <w:top w:w="40" w:type="dxa"/>
              <w:left w:w="0" w:type="dxa"/>
              <w:bottom w:w="40" w:type="dxa"/>
              <w:right w:w="20" w:type="dxa"/>
            </w:tcMar>
            <w:vAlign w:val="bottom"/>
          </w:tcPr>
          <w:p w14:paraId="6753513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3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3D" w14:textId="77777777" w:rsidR="001B77DD" w:rsidRDefault="00BF0A28">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6753513E" w14:textId="77777777" w:rsidR="001B77DD" w:rsidRDefault="001B77DD">
            <w:pPr>
              <w:jc w:val="right"/>
              <w:rPr>
                <w:rFonts w:ascii="宋体"/>
              </w:rPr>
            </w:pPr>
          </w:p>
        </w:tc>
      </w:tr>
      <w:tr w:rsidR="001B77DD" w14:paraId="67535147" w14:textId="77777777">
        <w:trPr>
          <w:hidden/>
        </w:trPr>
        <w:tc>
          <w:tcPr>
            <w:tcW w:w="0" w:type="auto"/>
            <w:gridSpan w:val="3"/>
            <w:shd w:val="clear" w:color="auto" w:fill="auto"/>
            <w:vAlign w:val="bottom"/>
          </w:tcPr>
          <w:p w14:paraId="67535140" w14:textId="77777777" w:rsidR="001B77DD" w:rsidRDefault="001B77DD">
            <w:pPr>
              <w:rPr>
                <w:rFonts w:ascii="宋体"/>
                <w:vanish/>
              </w:rPr>
            </w:pPr>
          </w:p>
        </w:tc>
        <w:tc>
          <w:tcPr>
            <w:tcW w:w="0" w:type="auto"/>
            <w:shd w:val="clear" w:color="auto" w:fill="auto"/>
            <w:vAlign w:val="bottom"/>
          </w:tcPr>
          <w:p w14:paraId="67535141" w14:textId="77777777" w:rsidR="001B77DD" w:rsidRDefault="001B77DD">
            <w:pPr>
              <w:rPr>
                <w:rFonts w:ascii="宋体"/>
                <w:vanish/>
              </w:rPr>
            </w:pPr>
          </w:p>
        </w:tc>
        <w:tc>
          <w:tcPr>
            <w:tcW w:w="0" w:type="auto"/>
            <w:gridSpan w:val="3"/>
            <w:shd w:val="clear" w:color="auto" w:fill="auto"/>
            <w:vAlign w:val="bottom"/>
          </w:tcPr>
          <w:p w14:paraId="67535142" w14:textId="77777777" w:rsidR="001B77DD" w:rsidRDefault="001B77DD">
            <w:pPr>
              <w:rPr>
                <w:rFonts w:ascii="宋体"/>
                <w:vanish/>
              </w:rPr>
            </w:pPr>
          </w:p>
        </w:tc>
        <w:tc>
          <w:tcPr>
            <w:tcW w:w="0" w:type="auto"/>
            <w:gridSpan w:val="3"/>
            <w:shd w:val="clear" w:color="auto" w:fill="auto"/>
            <w:vAlign w:val="bottom"/>
          </w:tcPr>
          <w:p w14:paraId="67535143" w14:textId="77777777" w:rsidR="001B77DD" w:rsidRDefault="001B77DD">
            <w:pPr>
              <w:rPr>
                <w:rFonts w:ascii="宋体"/>
                <w:vanish/>
              </w:rPr>
            </w:pPr>
          </w:p>
        </w:tc>
        <w:tc>
          <w:tcPr>
            <w:tcW w:w="0" w:type="auto"/>
            <w:gridSpan w:val="3"/>
            <w:shd w:val="clear" w:color="auto" w:fill="auto"/>
            <w:vAlign w:val="bottom"/>
          </w:tcPr>
          <w:p w14:paraId="67535144" w14:textId="77777777" w:rsidR="001B77DD" w:rsidRDefault="001B77DD">
            <w:pPr>
              <w:rPr>
                <w:rFonts w:ascii="宋体"/>
                <w:vanish/>
              </w:rPr>
            </w:pPr>
          </w:p>
        </w:tc>
        <w:tc>
          <w:tcPr>
            <w:tcW w:w="0" w:type="auto"/>
            <w:gridSpan w:val="3"/>
            <w:shd w:val="clear" w:color="auto" w:fill="auto"/>
            <w:vAlign w:val="bottom"/>
          </w:tcPr>
          <w:p w14:paraId="67535145" w14:textId="77777777" w:rsidR="001B77DD" w:rsidRDefault="001B77DD">
            <w:pPr>
              <w:rPr>
                <w:rFonts w:ascii="宋体"/>
                <w:vanish/>
              </w:rPr>
            </w:pPr>
          </w:p>
        </w:tc>
        <w:tc>
          <w:tcPr>
            <w:tcW w:w="0" w:type="auto"/>
            <w:gridSpan w:val="3"/>
            <w:shd w:val="clear" w:color="auto" w:fill="auto"/>
            <w:vAlign w:val="bottom"/>
          </w:tcPr>
          <w:p w14:paraId="67535146" w14:textId="77777777" w:rsidR="001B77DD" w:rsidRDefault="001B77DD">
            <w:pPr>
              <w:rPr>
                <w:rFonts w:ascii="宋体"/>
                <w:vanish/>
              </w:rPr>
            </w:pPr>
          </w:p>
        </w:tc>
      </w:tr>
      <w:tr w:rsidR="001B77DD" w14:paraId="67535152" w14:textId="77777777">
        <w:tc>
          <w:tcPr>
            <w:tcW w:w="0" w:type="auto"/>
            <w:gridSpan w:val="3"/>
            <w:shd w:val="clear" w:color="auto" w:fill="auto"/>
            <w:tcMar>
              <w:top w:w="40" w:type="dxa"/>
              <w:left w:w="245" w:type="dxa"/>
              <w:bottom w:w="40" w:type="dxa"/>
              <w:right w:w="20" w:type="dxa"/>
            </w:tcMar>
            <w:vAlign w:val="bottom"/>
          </w:tcPr>
          <w:p w14:paraId="67535148" w14:textId="77777777" w:rsidR="001B77DD" w:rsidRDefault="00BF0A28">
            <w:pPr>
              <w:textAlignment w:val="bottom"/>
            </w:pPr>
            <w:r>
              <w:rPr>
                <w:rFonts w:ascii="Arial" w:eastAsia="宋体" w:hAnsi="Arial" w:cs="Arial"/>
                <w:color w:val="262626"/>
                <w:sz w:val="18"/>
                <w:szCs w:val="18"/>
              </w:rPr>
              <w:t>NAND memory business</w:t>
            </w:r>
          </w:p>
        </w:tc>
        <w:tc>
          <w:tcPr>
            <w:tcW w:w="0" w:type="auto"/>
            <w:shd w:val="clear" w:color="auto" w:fill="auto"/>
            <w:vAlign w:val="bottom"/>
          </w:tcPr>
          <w:p w14:paraId="67535149"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14A" w14:textId="77777777" w:rsidR="001B77DD" w:rsidRDefault="00BF0A28">
            <w:pPr>
              <w:jc w:val="right"/>
              <w:textAlignment w:val="bottom"/>
            </w:pPr>
            <w:r>
              <w:rPr>
                <w:rFonts w:ascii="Arial" w:eastAsia="宋体" w:hAnsi="Arial" w:cs="Arial"/>
                <w:color w:val="0068B5"/>
                <w:sz w:val="18"/>
                <w:szCs w:val="18"/>
              </w:rPr>
              <w:t>(1,369)</w:t>
            </w:r>
          </w:p>
        </w:tc>
        <w:tc>
          <w:tcPr>
            <w:tcW w:w="0" w:type="auto"/>
            <w:shd w:val="clear" w:color="auto" w:fill="auto"/>
            <w:tcMar>
              <w:top w:w="40" w:type="dxa"/>
              <w:left w:w="0" w:type="dxa"/>
              <w:bottom w:w="40" w:type="dxa"/>
              <w:right w:w="20" w:type="dxa"/>
            </w:tcMar>
            <w:vAlign w:val="bottom"/>
          </w:tcPr>
          <w:p w14:paraId="6753514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4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4D" w14:textId="77777777" w:rsidR="001B77DD" w:rsidRDefault="00BF0A28">
            <w:pPr>
              <w:jc w:val="right"/>
              <w:textAlignment w:val="bottom"/>
            </w:pPr>
            <w:r>
              <w:rPr>
                <w:rFonts w:ascii="Arial" w:eastAsia="宋体" w:hAnsi="Arial" w:cs="Arial"/>
                <w:color w:val="262626"/>
                <w:sz w:val="18"/>
                <w:szCs w:val="18"/>
              </w:rPr>
              <w:t>(937)</w:t>
            </w:r>
          </w:p>
        </w:tc>
        <w:tc>
          <w:tcPr>
            <w:tcW w:w="0" w:type="auto"/>
            <w:shd w:val="clear" w:color="auto" w:fill="auto"/>
            <w:tcMar>
              <w:top w:w="40" w:type="dxa"/>
              <w:left w:w="0" w:type="dxa"/>
              <w:bottom w:w="40" w:type="dxa"/>
              <w:right w:w="20" w:type="dxa"/>
            </w:tcMar>
            <w:vAlign w:val="bottom"/>
          </w:tcPr>
          <w:p w14:paraId="6753514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4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50" w14:textId="77777777" w:rsidR="001B77DD" w:rsidRDefault="00BF0A28">
            <w:pPr>
              <w:jc w:val="right"/>
              <w:textAlignment w:val="bottom"/>
            </w:pPr>
            <w:r>
              <w:rPr>
                <w:rFonts w:ascii="Arial" w:eastAsia="宋体" w:hAnsi="Arial" w:cs="Arial"/>
                <w:color w:val="262626"/>
                <w:sz w:val="18"/>
                <w:szCs w:val="18"/>
              </w:rPr>
              <w:t>600 </w:t>
            </w:r>
          </w:p>
        </w:tc>
        <w:tc>
          <w:tcPr>
            <w:tcW w:w="0" w:type="auto"/>
            <w:shd w:val="clear" w:color="auto" w:fill="auto"/>
            <w:tcMar>
              <w:top w:w="40" w:type="dxa"/>
              <w:left w:w="0" w:type="dxa"/>
              <w:bottom w:w="40" w:type="dxa"/>
              <w:right w:w="20" w:type="dxa"/>
            </w:tcMar>
            <w:vAlign w:val="bottom"/>
          </w:tcPr>
          <w:p w14:paraId="67535151" w14:textId="77777777" w:rsidR="001B77DD" w:rsidRDefault="001B77DD">
            <w:pPr>
              <w:jc w:val="right"/>
              <w:rPr>
                <w:rFonts w:ascii="宋体"/>
              </w:rPr>
            </w:pPr>
          </w:p>
        </w:tc>
      </w:tr>
      <w:tr w:rsidR="001B77DD" w14:paraId="67535160" w14:textId="77777777">
        <w:tc>
          <w:tcPr>
            <w:tcW w:w="0" w:type="auto"/>
            <w:gridSpan w:val="3"/>
            <w:shd w:val="clear" w:color="auto" w:fill="auto"/>
            <w:tcMar>
              <w:top w:w="40" w:type="dxa"/>
              <w:left w:w="20" w:type="dxa"/>
              <w:bottom w:w="40" w:type="dxa"/>
              <w:right w:w="20" w:type="dxa"/>
            </w:tcMar>
            <w:vAlign w:val="bottom"/>
          </w:tcPr>
          <w:p w14:paraId="67535153" w14:textId="77777777" w:rsidR="001B77DD" w:rsidRDefault="00BF0A28">
            <w:pPr>
              <w:textAlignment w:val="bottom"/>
            </w:pPr>
            <w:r>
              <w:rPr>
                <w:rFonts w:ascii="Arial" w:eastAsia="宋体" w:hAnsi="Arial" w:cs="Arial"/>
                <w:b/>
                <w:bCs/>
                <w:color w:val="262626"/>
                <w:sz w:val="18"/>
                <w:szCs w:val="18"/>
              </w:rPr>
              <w:t>Non-GAAP operating income</w:t>
            </w:r>
          </w:p>
        </w:tc>
        <w:tc>
          <w:tcPr>
            <w:tcW w:w="0" w:type="auto"/>
            <w:shd w:val="clear" w:color="auto" w:fill="auto"/>
            <w:vAlign w:val="bottom"/>
          </w:tcPr>
          <w:p w14:paraId="67535154" w14:textId="77777777" w:rsidR="001B77DD" w:rsidRDefault="001B77DD">
            <w:pPr>
              <w:rPr>
                <w:rFonts w:ascii="宋体"/>
                <w:vanish/>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155"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156" w14:textId="77777777" w:rsidR="001B77DD" w:rsidRDefault="00BF0A28">
            <w:pPr>
              <w:jc w:val="right"/>
              <w:textAlignment w:val="bottom"/>
            </w:pPr>
            <w:r>
              <w:rPr>
                <w:rFonts w:ascii="Arial" w:eastAsia="宋体" w:hAnsi="Arial" w:cs="Arial"/>
                <w:b/>
                <w:bCs/>
                <w:color w:val="0068B5"/>
                <w:sz w:val="18"/>
                <w:szCs w:val="18"/>
              </w:rPr>
              <w:t>22,205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15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58"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159"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15A" w14:textId="77777777" w:rsidR="001B77DD" w:rsidRDefault="00BF0A28">
            <w:pPr>
              <w:jc w:val="right"/>
              <w:textAlignment w:val="bottom"/>
            </w:pPr>
            <w:r>
              <w:rPr>
                <w:rFonts w:ascii="Arial" w:eastAsia="宋体" w:hAnsi="Arial" w:cs="Arial"/>
                <w:b/>
                <w:bCs/>
                <w:color w:val="262626"/>
                <w:sz w:val="18"/>
                <w:szCs w:val="18"/>
              </w:rPr>
              <w:t>24,355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15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15C"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15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15E" w14:textId="77777777" w:rsidR="001B77DD" w:rsidRDefault="00BF0A28">
            <w:pPr>
              <w:jc w:val="right"/>
              <w:textAlignment w:val="bottom"/>
            </w:pPr>
            <w:r>
              <w:rPr>
                <w:rFonts w:ascii="Arial" w:eastAsia="宋体" w:hAnsi="Arial" w:cs="Arial"/>
                <w:b/>
                <w:bCs/>
                <w:color w:val="262626"/>
                <w:sz w:val="18"/>
                <w:szCs w:val="18"/>
              </w:rPr>
              <w:t>24,352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15F" w14:textId="77777777" w:rsidR="001B77DD" w:rsidRDefault="001B77DD">
            <w:pPr>
              <w:jc w:val="right"/>
              <w:rPr>
                <w:rFonts w:ascii="宋体"/>
              </w:rPr>
            </w:pPr>
          </w:p>
        </w:tc>
      </w:tr>
      <w:tr w:rsidR="001B77DD" w14:paraId="67535168" w14:textId="77777777">
        <w:trPr>
          <w:trHeight w:val="60"/>
        </w:trPr>
        <w:tc>
          <w:tcPr>
            <w:tcW w:w="0" w:type="auto"/>
            <w:gridSpan w:val="3"/>
            <w:shd w:val="clear" w:color="auto" w:fill="auto"/>
            <w:tcMar>
              <w:top w:w="0" w:type="dxa"/>
              <w:left w:w="20" w:type="dxa"/>
              <w:bottom w:w="0" w:type="dxa"/>
              <w:right w:w="20" w:type="dxa"/>
            </w:tcMar>
            <w:vAlign w:val="bottom"/>
          </w:tcPr>
          <w:p w14:paraId="67535161" w14:textId="77777777" w:rsidR="001B77DD" w:rsidRDefault="001B77DD">
            <w:pPr>
              <w:rPr>
                <w:rFonts w:ascii="宋体"/>
              </w:rPr>
            </w:pPr>
          </w:p>
        </w:tc>
        <w:tc>
          <w:tcPr>
            <w:tcW w:w="0" w:type="auto"/>
            <w:shd w:val="clear" w:color="auto" w:fill="auto"/>
            <w:vAlign w:val="bottom"/>
          </w:tcPr>
          <w:p w14:paraId="67535162" w14:textId="77777777" w:rsidR="001B77DD" w:rsidRDefault="001B77DD">
            <w:pPr>
              <w:rPr>
                <w:rFonts w:ascii="宋体"/>
                <w:vanish/>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16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164"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16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166"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167" w14:textId="77777777" w:rsidR="001B77DD" w:rsidRDefault="001B77DD">
            <w:pPr>
              <w:rPr>
                <w:rFonts w:ascii="宋体"/>
              </w:rPr>
            </w:pPr>
          </w:p>
        </w:tc>
      </w:tr>
      <w:tr w:rsidR="001B77DD" w14:paraId="67535173" w14:textId="77777777">
        <w:tc>
          <w:tcPr>
            <w:tcW w:w="0" w:type="auto"/>
            <w:gridSpan w:val="3"/>
            <w:shd w:val="clear" w:color="auto" w:fill="auto"/>
            <w:tcMar>
              <w:top w:w="40" w:type="dxa"/>
              <w:left w:w="20" w:type="dxa"/>
              <w:bottom w:w="40" w:type="dxa"/>
              <w:right w:w="20" w:type="dxa"/>
            </w:tcMar>
            <w:vAlign w:val="bottom"/>
          </w:tcPr>
          <w:p w14:paraId="67535169" w14:textId="77777777" w:rsidR="001B77DD" w:rsidRDefault="00BF0A28">
            <w:pPr>
              <w:textAlignment w:val="bottom"/>
            </w:pPr>
            <w:r>
              <w:rPr>
                <w:rFonts w:ascii="Arial" w:eastAsia="宋体" w:hAnsi="Arial" w:cs="Arial"/>
                <w:b/>
                <w:bCs/>
                <w:color w:val="262626"/>
                <w:sz w:val="18"/>
                <w:szCs w:val="18"/>
              </w:rPr>
              <w:t>Operating margin</w:t>
            </w:r>
          </w:p>
        </w:tc>
        <w:tc>
          <w:tcPr>
            <w:tcW w:w="0" w:type="auto"/>
            <w:shd w:val="clear" w:color="auto" w:fill="auto"/>
            <w:vAlign w:val="bottom"/>
          </w:tcPr>
          <w:p w14:paraId="6753516A"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16B" w14:textId="77777777" w:rsidR="001B77DD" w:rsidRDefault="00BF0A28">
            <w:pPr>
              <w:jc w:val="right"/>
              <w:textAlignment w:val="bottom"/>
            </w:pPr>
            <w:r>
              <w:rPr>
                <w:rFonts w:ascii="Arial" w:eastAsia="宋体" w:hAnsi="Arial" w:cs="Arial"/>
                <w:b/>
                <w:bCs/>
                <w:color w:val="0068B5"/>
                <w:sz w:val="18"/>
                <w:szCs w:val="18"/>
              </w:rPr>
              <w:t>24.6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16C"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516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6E" w14:textId="77777777" w:rsidR="001B77DD" w:rsidRDefault="00BF0A28">
            <w:pPr>
              <w:jc w:val="right"/>
              <w:textAlignment w:val="bottom"/>
            </w:pPr>
            <w:r>
              <w:rPr>
                <w:rFonts w:ascii="Arial" w:eastAsia="宋体" w:hAnsi="Arial" w:cs="Arial"/>
                <w:b/>
                <w:bCs/>
                <w:color w:val="262626"/>
                <w:sz w:val="18"/>
                <w:szCs w:val="18"/>
              </w:rPr>
              <w:t>30.4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16F"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517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71" w14:textId="77777777" w:rsidR="001B77DD" w:rsidRDefault="00BF0A28">
            <w:pPr>
              <w:jc w:val="right"/>
              <w:textAlignment w:val="bottom"/>
            </w:pPr>
            <w:r>
              <w:rPr>
                <w:rFonts w:ascii="Arial" w:eastAsia="宋体" w:hAnsi="Arial" w:cs="Arial"/>
                <w:b/>
                <w:bCs/>
                <w:color w:val="262626"/>
                <w:sz w:val="18"/>
                <w:szCs w:val="18"/>
              </w:rPr>
              <w:t>30.6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172" w14:textId="77777777" w:rsidR="001B77DD" w:rsidRDefault="00BF0A28">
            <w:pPr>
              <w:jc w:val="right"/>
              <w:textAlignment w:val="bottom"/>
            </w:pPr>
            <w:r>
              <w:rPr>
                <w:rFonts w:ascii="Arial" w:eastAsia="宋体" w:hAnsi="Arial" w:cs="Arial"/>
                <w:b/>
                <w:bCs/>
                <w:color w:val="262626"/>
                <w:sz w:val="18"/>
                <w:szCs w:val="18"/>
              </w:rPr>
              <w:t>%</w:t>
            </w:r>
          </w:p>
        </w:tc>
      </w:tr>
      <w:tr w:rsidR="001B77DD" w14:paraId="6753517E" w14:textId="77777777">
        <w:tc>
          <w:tcPr>
            <w:tcW w:w="0" w:type="auto"/>
            <w:gridSpan w:val="3"/>
            <w:shd w:val="clear" w:color="auto" w:fill="auto"/>
            <w:tcMar>
              <w:top w:w="40" w:type="dxa"/>
              <w:left w:w="245" w:type="dxa"/>
              <w:bottom w:w="40" w:type="dxa"/>
              <w:right w:w="20" w:type="dxa"/>
            </w:tcMar>
            <w:vAlign w:val="bottom"/>
          </w:tcPr>
          <w:p w14:paraId="67535174" w14:textId="77777777" w:rsidR="001B77DD" w:rsidRDefault="00BF0A28">
            <w:pPr>
              <w:textAlignment w:val="bottom"/>
            </w:pPr>
            <w:r>
              <w:rPr>
                <w:rFonts w:ascii="Arial" w:eastAsia="宋体" w:hAnsi="Arial" w:cs="Arial"/>
                <w:color w:val="262626"/>
                <w:sz w:val="18"/>
                <w:szCs w:val="18"/>
              </w:rPr>
              <w:t>Acquisition-related adjustments</w:t>
            </w:r>
          </w:p>
        </w:tc>
        <w:tc>
          <w:tcPr>
            <w:tcW w:w="0" w:type="auto"/>
            <w:shd w:val="clear" w:color="auto" w:fill="auto"/>
            <w:vAlign w:val="bottom"/>
          </w:tcPr>
          <w:p w14:paraId="67535175"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176" w14:textId="77777777" w:rsidR="001B77DD" w:rsidRDefault="00BF0A28">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67535177"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517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79" w14:textId="77777777" w:rsidR="001B77DD" w:rsidRDefault="00BF0A28">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6753517A"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517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7C" w14:textId="77777777" w:rsidR="001B77DD" w:rsidRDefault="00BF0A28">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6753517D" w14:textId="77777777" w:rsidR="001B77DD" w:rsidRDefault="00BF0A28">
            <w:pPr>
              <w:jc w:val="right"/>
              <w:textAlignment w:val="bottom"/>
            </w:pPr>
            <w:r>
              <w:rPr>
                <w:rFonts w:ascii="Arial" w:eastAsia="宋体" w:hAnsi="Arial" w:cs="Arial"/>
                <w:color w:val="262626"/>
                <w:sz w:val="18"/>
                <w:szCs w:val="18"/>
              </w:rPr>
              <w:t>%</w:t>
            </w:r>
          </w:p>
        </w:tc>
      </w:tr>
      <w:tr w:rsidR="001B77DD" w14:paraId="67535186" w14:textId="77777777">
        <w:trPr>
          <w:hidden/>
        </w:trPr>
        <w:tc>
          <w:tcPr>
            <w:tcW w:w="0" w:type="auto"/>
            <w:gridSpan w:val="3"/>
            <w:shd w:val="clear" w:color="auto" w:fill="auto"/>
            <w:vAlign w:val="bottom"/>
          </w:tcPr>
          <w:p w14:paraId="6753517F" w14:textId="77777777" w:rsidR="001B77DD" w:rsidRDefault="001B77DD">
            <w:pPr>
              <w:rPr>
                <w:rFonts w:ascii="宋体"/>
                <w:vanish/>
              </w:rPr>
            </w:pPr>
          </w:p>
        </w:tc>
        <w:tc>
          <w:tcPr>
            <w:tcW w:w="0" w:type="auto"/>
            <w:shd w:val="clear" w:color="auto" w:fill="auto"/>
            <w:vAlign w:val="bottom"/>
          </w:tcPr>
          <w:p w14:paraId="67535180" w14:textId="77777777" w:rsidR="001B77DD" w:rsidRDefault="001B77DD">
            <w:pPr>
              <w:rPr>
                <w:rFonts w:ascii="宋体"/>
                <w:vanish/>
              </w:rPr>
            </w:pPr>
          </w:p>
        </w:tc>
        <w:tc>
          <w:tcPr>
            <w:tcW w:w="0" w:type="auto"/>
            <w:gridSpan w:val="3"/>
            <w:shd w:val="clear" w:color="auto" w:fill="auto"/>
            <w:vAlign w:val="bottom"/>
          </w:tcPr>
          <w:p w14:paraId="67535181" w14:textId="77777777" w:rsidR="001B77DD" w:rsidRDefault="001B77DD">
            <w:pPr>
              <w:rPr>
                <w:rFonts w:ascii="宋体"/>
                <w:vanish/>
              </w:rPr>
            </w:pPr>
          </w:p>
        </w:tc>
        <w:tc>
          <w:tcPr>
            <w:tcW w:w="0" w:type="auto"/>
            <w:gridSpan w:val="3"/>
            <w:shd w:val="clear" w:color="auto" w:fill="auto"/>
            <w:vAlign w:val="bottom"/>
          </w:tcPr>
          <w:p w14:paraId="67535182" w14:textId="77777777" w:rsidR="001B77DD" w:rsidRDefault="001B77DD">
            <w:pPr>
              <w:rPr>
                <w:rFonts w:ascii="宋体"/>
                <w:vanish/>
              </w:rPr>
            </w:pPr>
          </w:p>
        </w:tc>
        <w:tc>
          <w:tcPr>
            <w:tcW w:w="0" w:type="auto"/>
            <w:gridSpan w:val="3"/>
            <w:shd w:val="clear" w:color="auto" w:fill="auto"/>
            <w:vAlign w:val="bottom"/>
          </w:tcPr>
          <w:p w14:paraId="67535183" w14:textId="77777777" w:rsidR="001B77DD" w:rsidRDefault="001B77DD">
            <w:pPr>
              <w:rPr>
                <w:rFonts w:ascii="宋体"/>
                <w:vanish/>
              </w:rPr>
            </w:pPr>
          </w:p>
        </w:tc>
        <w:tc>
          <w:tcPr>
            <w:tcW w:w="0" w:type="auto"/>
            <w:gridSpan w:val="3"/>
            <w:shd w:val="clear" w:color="auto" w:fill="auto"/>
            <w:vAlign w:val="bottom"/>
          </w:tcPr>
          <w:p w14:paraId="67535184" w14:textId="77777777" w:rsidR="001B77DD" w:rsidRDefault="001B77DD">
            <w:pPr>
              <w:rPr>
                <w:rFonts w:ascii="宋体"/>
                <w:vanish/>
              </w:rPr>
            </w:pPr>
          </w:p>
        </w:tc>
        <w:tc>
          <w:tcPr>
            <w:tcW w:w="0" w:type="auto"/>
            <w:gridSpan w:val="3"/>
            <w:shd w:val="clear" w:color="auto" w:fill="auto"/>
            <w:vAlign w:val="bottom"/>
          </w:tcPr>
          <w:p w14:paraId="67535185" w14:textId="77777777" w:rsidR="001B77DD" w:rsidRDefault="001B77DD">
            <w:pPr>
              <w:rPr>
                <w:rFonts w:ascii="宋体"/>
                <w:vanish/>
              </w:rPr>
            </w:pPr>
          </w:p>
        </w:tc>
      </w:tr>
      <w:tr w:rsidR="001B77DD" w14:paraId="6753518E" w14:textId="77777777">
        <w:trPr>
          <w:hidden/>
        </w:trPr>
        <w:tc>
          <w:tcPr>
            <w:tcW w:w="0" w:type="auto"/>
            <w:gridSpan w:val="3"/>
            <w:shd w:val="clear" w:color="auto" w:fill="auto"/>
            <w:vAlign w:val="bottom"/>
          </w:tcPr>
          <w:p w14:paraId="67535187" w14:textId="77777777" w:rsidR="001B77DD" w:rsidRDefault="001B77DD">
            <w:pPr>
              <w:rPr>
                <w:rFonts w:ascii="宋体"/>
                <w:vanish/>
              </w:rPr>
            </w:pPr>
          </w:p>
        </w:tc>
        <w:tc>
          <w:tcPr>
            <w:tcW w:w="0" w:type="auto"/>
            <w:shd w:val="clear" w:color="auto" w:fill="auto"/>
            <w:vAlign w:val="bottom"/>
          </w:tcPr>
          <w:p w14:paraId="67535188" w14:textId="77777777" w:rsidR="001B77DD" w:rsidRDefault="001B77DD">
            <w:pPr>
              <w:rPr>
                <w:rFonts w:ascii="宋体"/>
                <w:vanish/>
              </w:rPr>
            </w:pPr>
          </w:p>
        </w:tc>
        <w:tc>
          <w:tcPr>
            <w:tcW w:w="0" w:type="auto"/>
            <w:gridSpan w:val="3"/>
            <w:shd w:val="clear" w:color="auto" w:fill="auto"/>
            <w:vAlign w:val="bottom"/>
          </w:tcPr>
          <w:p w14:paraId="67535189" w14:textId="77777777" w:rsidR="001B77DD" w:rsidRDefault="001B77DD">
            <w:pPr>
              <w:rPr>
                <w:rFonts w:ascii="宋体"/>
                <w:vanish/>
              </w:rPr>
            </w:pPr>
          </w:p>
        </w:tc>
        <w:tc>
          <w:tcPr>
            <w:tcW w:w="0" w:type="auto"/>
            <w:gridSpan w:val="3"/>
            <w:shd w:val="clear" w:color="auto" w:fill="auto"/>
            <w:vAlign w:val="bottom"/>
          </w:tcPr>
          <w:p w14:paraId="6753518A" w14:textId="77777777" w:rsidR="001B77DD" w:rsidRDefault="001B77DD">
            <w:pPr>
              <w:rPr>
                <w:rFonts w:ascii="宋体"/>
                <w:vanish/>
              </w:rPr>
            </w:pPr>
          </w:p>
        </w:tc>
        <w:tc>
          <w:tcPr>
            <w:tcW w:w="0" w:type="auto"/>
            <w:gridSpan w:val="3"/>
            <w:shd w:val="clear" w:color="auto" w:fill="auto"/>
            <w:vAlign w:val="bottom"/>
          </w:tcPr>
          <w:p w14:paraId="6753518B" w14:textId="77777777" w:rsidR="001B77DD" w:rsidRDefault="001B77DD">
            <w:pPr>
              <w:rPr>
                <w:rFonts w:ascii="宋体"/>
                <w:vanish/>
              </w:rPr>
            </w:pPr>
          </w:p>
        </w:tc>
        <w:tc>
          <w:tcPr>
            <w:tcW w:w="0" w:type="auto"/>
            <w:gridSpan w:val="3"/>
            <w:shd w:val="clear" w:color="auto" w:fill="auto"/>
            <w:vAlign w:val="bottom"/>
          </w:tcPr>
          <w:p w14:paraId="6753518C" w14:textId="77777777" w:rsidR="001B77DD" w:rsidRDefault="001B77DD">
            <w:pPr>
              <w:rPr>
                <w:rFonts w:ascii="宋体"/>
                <w:vanish/>
              </w:rPr>
            </w:pPr>
          </w:p>
        </w:tc>
        <w:tc>
          <w:tcPr>
            <w:tcW w:w="0" w:type="auto"/>
            <w:gridSpan w:val="3"/>
            <w:shd w:val="clear" w:color="auto" w:fill="auto"/>
            <w:vAlign w:val="bottom"/>
          </w:tcPr>
          <w:p w14:paraId="6753518D" w14:textId="77777777" w:rsidR="001B77DD" w:rsidRDefault="001B77DD">
            <w:pPr>
              <w:rPr>
                <w:rFonts w:ascii="宋体"/>
                <w:vanish/>
              </w:rPr>
            </w:pPr>
          </w:p>
        </w:tc>
      </w:tr>
      <w:tr w:rsidR="001B77DD" w14:paraId="67535196" w14:textId="77777777">
        <w:trPr>
          <w:hidden/>
        </w:trPr>
        <w:tc>
          <w:tcPr>
            <w:tcW w:w="0" w:type="auto"/>
            <w:gridSpan w:val="3"/>
            <w:shd w:val="clear" w:color="auto" w:fill="auto"/>
            <w:vAlign w:val="bottom"/>
          </w:tcPr>
          <w:p w14:paraId="6753518F" w14:textId="77777777" w:rsidR="001B77DD" w:rsidRDefault="001B77DD">
            <w:pPr>
              <w:rPr>
                <w:rFonts w:ascii="宋体"/>
                <w:vanish/>
              </w:rPr>
            </w:pPr>
          </w:p>
        </w:tc>
        <w:tc>
          <w:tcPr>
            <w:tcW w:w="0" w:type="auto"/>
            <w:shd w:val="clear" w:color="auto" w:fill="auto"/>
            <w:vAlign w:val="bottom"/>
          </w:tcPr>
          <w:p w14:paraId="67535190" w14:textId="77777777" w:rsidR="001B77DD" w:rsidRDefault="001B77DD">
            <w:pPr>
              <w:rPr>
                <w:rFonts w:ascii="宋体"/>
                <w:vanish/>
              </w:rPr>
            </w:pPr>
          </w:p>
        </w:tc>
        <w:tc>
          <w:tcPr>
            <w:tcW w:w="0" w:type="auto"/>
            <w:gridSpan w:val="3"/>
            <w:shd w:val="clear" w:color="auto" w:fill="auto"/>
            <w:vAlign w:val="bottom"/>
          </w:tcPr>
          <w:p w14:paraId="67535191" w14:textId="77777777" w:rsidR="001B77DD" w:rsidRDefault="001B77DD">
            <w:pPr>
              <w:rPr>
                <w:rFonts w:ascii="宋体"/>
                <w:vanish/>
              </w:rPr>
            </w:pPr>
          </w:p>
        </w:tc>
        <w:tc>
          <w:tcPr>
            <w:tcW w:w="0" w:type="auto"/>
            <w:gridSpan w:val="3"/>
            <w:shd w:val="clear" w:color="auto" w:fill="auto"/>
            <w:vAlign w:val="bottom"/>
          </w:tcPr>
          <w:p w14:paraId="67535192" w14:textId="77777777" w:rsidR="001B77DD" w:rsidRDefault="001B77DD">
            <w:pPr>
              <w:rPr>
                <w:rFonts w:ascii="宋体"/>
                <w:vanish/>
              </w:rPr>
            </w:pPr>
          </w:p>
        </w:tc>
        <w:tc>
          <w:tcPr>
            <w:tcW w:w="0" w:type="auto"/>
            <w:gridSpan w:val="3"/>
            <w:shd w:val="clear" w:color="auto" w:fill="auto"/>
            <w:vAlign w:val="bottom"/>
          </w:tcPr>
          <w:p w14:paraId="67535193" w14:textId="77777777" w:rsidR="001B77DD" w:rsidRDefault="001B77DD">
            <w:pPr>
              <w:rPr>
                <w:rFonts w:ascii="宋体"/>
                <w:vanish/>
              </w:rPr>
            </w:pPr>
          </w:p>
        </w:tc>
        <w:tc>
          <w:tcPr>
            <w:tcW w:w="0" w:type="auto"/>
            <w:gridSpan w:val="3"/>
            <w:shd w:val="clear" w:color="auto" w:fill="auto"/>
            <w:vAlign w:val="bottom"/>
          </w:tcPr>
          <w:p w14:paraId="67535194" w14:textId="77777777" w:rsidR="001B77DD" w:rsidRDefault="001B77DD">
            <w:pPr>
              <w:rPr>
                <w:rFonts w:ascii="宋体"/>
                <w:vanish/>
              </w:rPr>
            </w:pPr>
          </w:p>
        </w:tc>
        <w:tc>
          <w:tcPr>
            <w:tcW w:w="0" w:type="auto"/>
            <w:gridSpan w:val="3"/>
            <w:shd w:val="clear" w:color="auto" w:fill="auto"/>
            <w:vAlign w:val="bottom"/>
          </w:tcPr>
          <w:p w14:paraId="67535195" w14:textId="77777777" w:rsidR="001B77DD" w:rsidRDefault="001B77DD">
            <w:pPr>
              <w:rPr>
                <w:rFonts w:ascii="宋体"/>
                <w:vanish/>
              </w:rPr>
            </w:pPr>
          </w:p>
        </w:tc>
      </w:tr>
      <w:tr w:rsidR="001B77DD" w14:paraId="6753519E" w14:textId="77777777">
        <w:trPr>
          <w:hidden/>
        </w:trPr>
        <w:tc>
          <w:tcPr>
            <w:tcW w:w="0" w:type="auto"/>
            <w:gridSpan w:val="3"/>
            <w:shd w:val="clear" w:color="auto" w:fill="auto"/>
            <w:vAlign w:val="bottom"/>
          </w:tcPr>
          <w:p w14:paraId="67535197" w14:textId="77777777" w:rsidR="001B77DD" w:rsidRDefault="001B77DD">
            <w:pPr>
              <w:rPr>
                <w:rFonts w:ascii="宋体"/>
                <w:vanish/>
              </w:rPr>
            </w:pPr>
          </w:p>
        </w:tc>
        <w:tc>
          <w:tcPr>
            <w:tcW w:w="0" w:type="auto"/>
            <w:shd w:val="clear" w:color="auto" w:fill="auto"/>
            <w:vAlign w:val="bottom"/>
          </w:tcPr>
          <w:p w14:paraId="67535198" w14:textId="77777777" w:rsidR="001B77DD" w:rsidRDefault="001B77DD">
            <w:pPr>
              <w:rPr>
                <w:rFonts w:ascii="宋体"/>
                <w:vanish/>
              </w:rPr>
            </w:pPr>
          </w:p>
        </w:tc>
        <w:tc>
          <w:tcPr>
            <w:tcW w:w="0" w:type="auto"/>
            <w:gridSpan w:val="3"/>
            <w:shd w:val="clear" w:color="auto" w:fill="auto"/>
            <w:vAlign w:val="bottom"/>
          </w:tcPr>
          <w:p w14:paraId="67535199" w14:textId="77777777" w:rsidR="001B77DD" w:rsidRDefault="001B77DD">
            <w:pPr>
              <w:rPr>
                <w:rFonts w:ascii="宋体"/>
                <w:vanish/>
              </w:rPr>
            </w:pPr>
          </w:p>
        </w:tc>
        <w:tc>
          <w:tcPr>
            <w:tcW w:w="0" w:type="auto"/>
            <w:gridSpan w:val="3"/>
            <w:shd w:val="clear" w:color="auto" w:fill="auto"/>
            <w:vAlign w:val="bottom"/>
          </w:tcPr>
          <w:p w14:paraId="6753519A" w14:textId="77777777" w:rsidR="001B77DD" w:rsidRDefault="001B77DD">
            <w:pPr>
              <w:rPr>
                <w:rFonts w:ascii="宋体"/>
                <w:vanish/>
              </w:rPr>
            </w:pPr>
          </w:p>
        </w:tc>
        <w:tc>
          <w:tcPr>
            <w:tcW w:w="0" w:type="auto"/>
            <w:gridSpan w:val="3"/>
            <w:shd w:val="clear" w:color="auto" w:fill="auto"/>
            <w:vAlign w:val="bottom"/>
          </w:tcPr>
          <w:p w14:paraId="6753519B" w14:textId="77777777" w:rsidR="001B77DD" w:rsidRDefault="001B77DD">
            <w:pPr>
              <w:rPr>
                <w:rFonts w:ascii="宋体"/>
                <w:vanish/>
              </w:rPr>
            </w:pPr>
          </w:p>
        </w:tc>
        <w:tc>
          <w:tcPr>
            <w:tcW w:w="0" w:type="auto"/>
            <w:gridSpan w:val="3"/>
            <w:shd w:val="clear" w:color="auto" w:fill="auto"/>
            <w:vAlign w:val="bottom"/>
          </w:tcPr>
          <w:p w14:paraId="6753519C" w14:textId="77777777" w:rsidR="001B77DD" w:rsidRDefault="001B77DD">
            <w:pPr>
              <w:rPr>
                <w:rFonts w:ascii="宋体"/>
                <w:vanish/>
              </w:rPr>
            </w:pPr>
          </w:p>
        </w:tc>
        <w:tc>
          <w:tcPr>
            <w:tcW w:w="0" w:type="auto"/>
            <w:gridSpan w:val="3"/>
            <w:shd w:val="clear" w:color="auto" w:fill="auto"/>
            <w:vAlign w:val="bottom"/>
          </w:tcPr>
          <w:p w14:paraId="6753519D" w14:textId="77777777" w:rsidR="001B77DD" w:rsidRDefault="001B77DD">
            <w:pPr>
              <w:rPr>
                <w:rFonts w:ascii="宋体"/>
                <w:vanish/>
              </w:rPr>
            </w:pPr>
          </w:p>
        </w:tc>
      </w:tr>
      <w:tr w:rsidR="001B77DD" w14:paraId="675351A9" w14:textId="77777777">
        <w:tc>
          <w:tcPr>
            <w:tcW w:w="0" w:type="auto"/>
            <w:gridSpan w:val="3"/>
            <w:shd w:val="clear" w:color="auto" w:fill="auto"/>
            <w:tcMar>
              <w:top w:w="40" w:type="dxa"/>
              <w:left w:w="245" w:type="dxa"/>
              <w:bottom w:w="40" w:type="dxa"/>
              <w:right w:w="20" w:type="dxa"/>
            </w:tcMar>
            <w:vAlign w:val="bottom"/>
          </w:tcPr>
          <w:p w14:paraId="6753519F" w14:textId="77777777" w:rsidR="001B77DD" w:rsidRDefault="00BF0A28">
            <w:pPr>
              <w:textAlignment w:val="bottom"/>
            </w:pPr>
            <w:r>
              <w:rPr>
                <w:rFonts w:ascii="Arial" w:eastAsia="宋体" w:hAnsi="Arial" w:cs="Arial"/>
                <w:color w:val="262626"/>
                <w:sz w:val="18"/>
                <w:szCs w:val="18"/>
              </w:rPr>
              <w:t>Restructuring and other charges</w:t>
            </w:r>
          </w:p>
        </w:tc>
        <w:tc>
          <w:tcPr>
            <w:tcW w:w="0" w:type="auto"/>
            <w:shd w:val="clear" w:color="auto" w:fill="auto"/>
            <w:vAlign w:val="bottom"/>
          </w:tcPr>
          <w:p w14:paraId="675351A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1A1" w14:textId="77777777" w:rsidR="001B77DD" w:rsidRDefault="00BF0A28">
            <w:pPr>
              <w:jc w:val="right"/>
              <w:textAlignment w:val="bottom"/>
            </w:pPr>
            <w:r>
              <w:rPr>
                <w:rFonts w:ascii="Arial" w:eastAsia="宋体" w:hAnsi="Arial" w:cs="Arial"/>
                <w:color w:val="0068B5"/>
                <w:sz w:val="18"/>
                <w:szCs w:val="18"/>
              </w:rPr>
              <w:t>3.3 </w:t>
            </w:r>
          </w:p>
        </w:tc>
        <w:tc>
          <w:tcPr>
            <w:tcW w:w="0" w:type="auto"/>
            <w:shd w:val="clear" w:color="auto" w:fill="auto"/>
            <w:tcMar>
              <w:top w:w="40" w:type="dxa"/>
              <w:left w:w="0" w:type="dxa"/>
              <w:bottom w:w="40" w:type="dxa"/>
              <w:right w:w="20" w:type="dxa"/>
            </w:tcMar>
            <w:vAlign w:val="bottom"/>
          </w:tcPr>
          <w:p w14:paraId="675351A2"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51A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A4" w14:textId="77777777" w:rsidR="001B77DD" w:rsidRDefault="00BF0A28">
            <w:pPr>
              <w:jc w:val="right"/>
              <w:textAlignment w:val="bottom"/>
            </w:pPr>
            <w:r>
              <w:rPr>
                <w:rFonts w:ascii="Arial" w:eastAsia="宋体" w:hAnsi="Arial" w:cs="Arial"/>
                <w:color w:val="262626"/>
                <w:sz w:val="18"/>
                <w:szCs w:val="18"/>
              </w:rPr>
              <w:t>0.3 </w:t>
            </w:r>
          </w:p>
        </w:tc>
        <w:tc>
          <w:tcPr>
            <w:tcW w:w="0" w:type="auto"/>
            <w:shd w:val="clear" w:color="auto" w:fill="auto"/>
            <w:tcMar>
              <w:top w:w="40" w:type="dxa"/>
              <w:left w:w="0" w:type="dxa"/>
              <w:bottom w:w="40" w:type="dxa"/>
              <w:right w:w="20" w:type="dxa"/>
            </w:tcMar>
            <w:vAlign w:val="bottom"/>
          </w:tcPr>
          <w:p w14:paraId="675351A5"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51A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A7" w14:textId="77777777" w:rsidR="001B77DD" w:rsidRDefault="00BF0A28">
            <w:pPr>
              <w:jc w:val="right"/>
              <w:textAlignment w:val="bottom"/>
            </w:pPr>
            <w:r>
              <w:rPr>
                <w:rFonts w:ascii="Arial" w:eastAsia="宋体" w:hAnsi="Arial" w:cs="Arial"/>
                <w:color w:val="262626"/>
                <w:sz w:val="18"/>
                <w:szCs w:val="18"/>
              </w:rPr>
              <w:t>0.5 </w:t>
            </w:r>
          </w:p>
        </w:tc>
        <w:tc>
          <w:tcPr>
            <w:tcW w:w="0" w:type="auto"/>
            <w:shd w:val="clear" w:color="auto" w:fill="auto"/>
            <w:tcMar>
              <w:top w:w="40" w:type="dxa"/>
              <w:left w:w="0" w:type="dxa"/>
              <w:bottom w:w="40" w:type="dxa"/>
              <w:right w:w="20" w:type="dxa"/>
            </w:tcMar>
            <w:vAlign w:val="bottom"/>
          </w:tcPr>
          <w:p w14:paraId="675351A8" w14:textId="77777777" w:rsidR="001B77DD" w:rsidRDefault="00BF0A28">
            <w:pPr>
              <w:jc w:val="right"/>
              <w:textAlignment w:val="bottom"/>
            </w:pPr>
            <w:r>
              <w:rPr>
                <w:rFonts w:ascii="Arial" w:eastAsia="宋体" w:hAnsi="Arial" w:cs="Arial"/>
                <w:color w:val="262626"/>
                <w:sz w:val="18"/>
                <w:szCs w:val="18"/>
              </w:rPr>
              <w:t>%</w:t>
            </w:r>
          </w:p>
        </w:tc>
      </w:tr>
      <w:tr w:rsidR="001B77DD" w14:paraId="675351B1" w14:textId="77777777">
        <w:trPr>
          <w:hidden/>
        </w:trPr>
        <w:tc>
          <w:tcPr>
            <w:tcW w:w="0" w:type="auto"/>
            <w:gridSpan w:val="3"/>
            <w:shd w:val="clear" w:color="auto" w:fill="auto"/>
            <w:vAlign w:val="bottom"/>
          </w:tcPr>
          <w:p w14:paraId="675351AA" w14:textId="77777777" w:rsidR="001B77DD" w:rsidRDefault="001B77DD">
            <w:pPr>
              <w:rPr>
                <w:rFonts w:ascii="宋体"/>
                <w:vanish/>
              </w:rPr>
            </w:pPr>
          </w:p>
        </w:tc>
        <w:tc>
          <w:tcPr>
            <w:tcW w:w="0" w:type="auto"/>
            <w:shd w:val="clear" w:color="auto" w:fill="auto"/>
            <w:vAlign w:val="bottom"/>
          </w:tcPr>
          <w:p w14:paraId="675351AB" w14:textId="77777777" w:rsidR="001B77DD" w:rsidRDefault="001B77DD">
            <w:pPr>
              <w:rPr>
                <w:rFonts w:ascii="宋体"/>
                <w:vanish/>
              </w:rPr>
            </w:pPr>
          </w:p>
        </w:tc>
        <w:tc>
          <w:tcPr>
            <w:tcW w:w="0" w:type="auto"/>
            <w:gridSpan w:val="3"/>
            <w:shd w:val="clear" w:color="auto" w:fill="auto"/>
            <w:vAlign w:val="bottom"/>
          </w:tcPr>
          <w:p w14:paraId="675351AC" w14:textId="77777777" w:rsidR="001B77DD" w:rsidRDefault="001B77DD">
            <w:pPr>
              <w:rPr>
                <w:rFonts w:ascii="宋体"/>
                <w:vanish/>
              </w:rPr>
            </w:pPr>
          </w:p>
        </w:tc>
        <w:tc>
          <w:tcPr>
            <w:tcW w:w="0" w:type="auto"/>
            <w:gridSpan w:val="3"/>
            <w:shd w:val="clear" w:color="auto" w:fill="auto"/>
            <w:vAlign w:val="bottom"/>
          </w:tcPr>
          <w:p w14:paraId="675351AD" w14:textId="77777777" w:rsidR="001B77DD" w:rsidRDefault="001B77DD">
            <w:pPr>
              <w:rPr>
                <w:rFonts w:ascii="宋体"/>
                <w:vanish/>
              </w:rPr>
            </w:pPr>
          </w:p>
        </w:tc>
        <w:tc>
          <w:tcPr>
            <w:tcW w:w="0" w:type="auto"/>
            <w:gridSpan w:val="3"/>
            <w:shd w:val="clear" w:color="auto" w:fill="auto"/>
            <w:vAlign w:val="bottom"/>
          </w:tcPr>
          <w:p w14:paraId="675351AE" w14:textId="77777777" w:rsidR="001B77DD" w:rsidRDefault="001B77DD">
            <w:pPr>
              <w:rPr>
                <w:rFonts w:ascii="宋体"/>
                <w:vanish/>
              </w:rPr>
            </w:pPr>
          </w:p>
        </w:tc>
        <w:tc>
          <w:tcPr>
            <w:tcW w:w="0" w:type="auto"/>
            <w:gridSpan w:val="3"/>
            <w:shd w:val="clear" w:color="auto" w:fill="auto"/>
            <w:vAlign w:val="bottom"/>
          </w:tcPr>
          <w:p w14:paraId="675351AF" w14:textId="77777777" w:rsidR="001B77DD" w:rsidRDefault="001B77DD">
            <w:pPr>
              <w:rPr>
                <w:rFonts w:ascii="宋体"/>
                <w:vanish/>
              </w:rPr>
            </w:pPr>
          </w:p>
        </w:tc>
        <w:tc>
          <w:tcPr>
            <w:tcW w:w="0" w:type="auto"/>
            <w:gridSpan w:val="3"/>
            <w:shd w:val="clear" w:color="auto" w:fill="auto"/>
            <w:vAlign w:val="bottom"/>
          </w:tcPr>
          <w:p w14:paraId="675351B0" w14:textId="77777777" w:rsidR="001B77DD" w:rsidRDefault="001B77DD">
            <w:pPr>
              <w:rPr>
                <w:rFonts w:ascii="宋体"/>
                <w:vanish/>
              </w:rPr>
            </w:pPr>
          </w:p>
        </w:tc>
      </w:tr>
      <w:tr w:rsidR="001B77DD" w14:paraId="675351BC" w14:textId="77777777">
        <w:tc>
          <w:tcPr>
            <w:tcW w:w="0" w:type="auto"/>
            <w:gridSpan w:val="3"/>
            <w:shd w:val="clear" w:color="auto" w:fill="auto"/>
            <w:tcMar>
              <w:top w:w="40" w:type="dxa"/>
              <w:left w:w="245" w:type="dxa"/>
              <w:bottom w:w="40" w:type="dxa"/>
              <w:right w:w="20" w:type="dxa"/>
            </w:tcMar>
            <w:vAlign w:val="bottom"/>
          </w:tcPr>
          <w:p w14:paraId="675351B2" w14:textId="77777777" w:rsidR="001B77DD" w:rsidRDefault="00BF0A28">
            <w:pPr>
              <w:textAlignment w:val="bottom"/>
            </w:pPr>
            <w:r>
              <w:rPr>
                <w:rFonts w:ascii="Arial" w:eastAsia="宋体" w:hAnsi="Arial" w:cs="Arial"/>
                <w:color w:val="262626"/>
                <w:sz w:val="18"/>
                <w:szCs w:val="18"/>
              </w:rPr>
              <w:t>NAND memory business</w:t>
            </w:r>
          </w:p>
        </w:tc>
        <w:tc>
          <w:tcPr>
            <w:tcW w:w="0" w:type="auto"/>
            <w:shd w:val="clear" w:color="auto" w:fill="auto"/>
            <w:vAlign w:val="bottom"/>
          </w:tcPr>
          <w:p w14:paraId="675351B3"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1B4" w14:textId="77777777" w:rsidR="001B77DD" w:rsidRDefault="00BF0A28">
            <w:pPr>
              <w:jc w:val="right"/>
              <w:textAlignment w:val="bottom"/>
            </w:pPr>
            <w:r>
              <w:rPr>
                <w:rFonts w:ascii="Arial" w:eastAsia="宋体" w:hAnsi="Arial" w:cs="Arial"/>
                <w:color w:val="0068B5"/>
                <w:sz w:val="18"/>
                <w:szCs w:val="18"/>
              </w:rPr>
              <w:t>(0.1)</w:t>
            </w:r>
          </w:p>
        </w:tc>
        <w:tc>
          <w:tcPr>
            <w:tcW w:w="0" w:type="auto"/>
            <w:shd w:val="clear" w:color="auto" w:fill="auto"/>
            <w:tcMar>
              <w:top w:w="40" w:type="dxa"/>
              <w:left w:w="0" w:type="dxa"/>
              <w:bottom w:w="40" w:type="dxa"/>
              <w:right w:w="20" w:type="dxa"/>
            </w:tcMar>
            <w:vAlign w:val="bottom"/>
          </w:tcPr>
          <w:p w14:paraId="675351B5"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51B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B7" w14:textId="77777777" w:rsidR="001B77DD" w:rsidRDefault="00BF0A28">
            <w:pPr>
              <w:jc w:val="right"/>
              <w:textAlignment w:val="bottom"/>
            </w:pPr>
            <w:r>
              <w:rPr>
                <w:rFonts w:ascii="Arial" w:eastAsia="宋体" w:hAnsi="Arial" w:cs="Arial"/>
                <w:color w:val="262626"/>
                <w:sz w:val="18"/>
                <w:szCs w:val="18"/>
              </w:rPr>
              <w:t>0.9 </w:t>
            </w:r>
          </w:p>
        </w:tc>
        <w:tc>
          <w:tcPr>
            <w:tcW w:w="0" w:type="auto"/>
            <w:shd w:val="clear" w:color="auto" w:fill="auto"/>
            <w:tcMar>
              <w:top w:w="40" w:type="dxa"/>
              <w:left w:w="0" w:type="dxa"/>
              <w:bottom w:w="40" w:type="dxa"/>
              <w:right w:w="20" w:type="dxa"/>
            </w:tcMar>
            <w:vAlign w:val="bottom"/>
          </w:tcPr>
          <w:p w14:paraId="675351B8"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51B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1BA" w14:textId="77777777" w:rsidR="001B77DD" w:rsidRDefault="00BF0A28">
            <w:pPr>
              <w:jc w:val="right"/>
              <w:textAlignment w:val="bottom"/>
            </w:pPr>
            <w:r>
              <w:rPr>
                <w:rFonts w:ascii="Arial" w:eastAsia="宋体" w:hAnsi="Arial" w:cs="Arial"/>
                <w:color w:val="262626"/>
                <w:sz w:val="18"/>
                <w:szCs w:val="18"/>
              </w:rPr>
              <w:t>2.9 </w:t>
            </w:r>
          </w:p>
        </w:tc>
        <w:tc>
          <w:tcPr>
            <w:tcW w:w="0" w:type="auto"/>
            <w:shd w:val="clear" w:color="auto" w:fill="auto"/>
            <w:tcMar>
              <w:top w:w="40" w:type="dxa"/>
              <w:left w:w="0" w:type="dxa"/>
              <w:bottom w:w="40" w:type="dxa"/>
              <w:right w:w="20" w:type="dxa"/>
            </w:tcMar>
            <w:vAlign w:val="bottom"/>
          </w:tcPr>
          <w:p w14:paraId="675351BB" w14:textId="77777777" w:rsidR="001B77DD" w:rsidRDefault="00BF0A28">
            <w:pPr>
              <w:jc w:val="right"/>
              <w:textAlignment w:val="bottom"/>
            </w:pPr>
            <w:r>
              <w:rPr>
                <w:rFonts w:ascii="Arial" w:eastAsia="宋体" w:hAnsi="Arial" w:cs="Arial"/>
                <w:color w:val="262626"/>
                <w:sz w:val="18"/>
                <w:szCs w:val="18"/>
              </w:rPr>
              <w:t>%</w:t>
            </w:r>
          </w:p>
        </w:tc>
      </w:tr>
      <w:tr w:rsidR="001B77DD" w14:paraId="675351C7" w14:textId="77777777">
        <w:tc>
          <w:tcPr>
            <w:tcW w:w="0" w:type="auto"/>
            <w:gridSpan w:val="3"/>
            <w:shd w:val="clear" w:color="auto" w:fill="auto"/>
            <w:tcMar>
              <w:top w:w="40" w:type="dxa"/>
              <w:left w:w="20" w:type="dxa"/>
              <w:bottom w:w="40" w:type="dxa"/>
              <w:right w:w="20" w:type="dxa"/>
            </w:tcMar>
            <w:vAlign w:val="bottom"/>
          </w:tcPr>
          <w:p w14:paraId="675351BD" w14:textId="77777777" w:rsidR="001B77DD" w:rsidRDefault="00BF0A28">
            <w:pPr>
              <w:textAlignment w:val="bottom"/>
            </w:pPr>
            <w:r>
              <w:rPr>
                <w:rFonts w:ascii="Arial" w:eastAsia="宋体" w:hAnsi="Arial" w:cs="Arial"/>
                <w:b/>
                <w:bCs/>
                <w:color w:val="262626"/>
                <w:sz w:val="18"/>
                <w:szCs w:val="18"/>
              </w:rPr>
              <w:t>Non-GAAP operating margin</w:t>
            </w:r>
          </w:p>
        </w:tc>
        <w:tc>
          <w:tcPr>
            <w:tcW w:w="0" w:type="auto"/>
            <w:shd w:val="clear" w:color="auto" w:fill="auto"/>
            <w:vAlign w:val="bottom"/>
          </w:tcPr>
          <w:p w14:paraId="675351BE" w14:textId="77777777" w:rsidR="001B77DD" w:rsidRDefault="001B77DD">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1BF" w14:textId="77777777" w:rsidR="001B77DD" w:rsidRDefault="00BF0A28">
            <w:pPr>
              <w:jc w:val="right"/>
              <w:textAlignment w:val="bottom"/>
            </w:pPr>
            <w:r>
              <w:rPr>
                <w:rFonts w:ascii="Arial" w:eastAsia="宋体" w:hAnsi="Arial" w:cs="Arial"/>
                <w:b/>
                <w:bCs/>
                <w:color w:val="0068B5"/>
                <w:sz w:val="18"/>
                <w:szCs w:val="18"/>
              </w:rPr>
              <w:t>29.7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1C0"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51C1"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1C2" w14:textId="77777777" w:rsidR="001B77DD" w:rsidRDefault="00BF0A28">
            <w:pPr>
              <w:jc w:val="right"/>
              <w:textAlignment w:val="bottom"/>
            </w:pPr>
            <w:r>
              <w:rPr>
                <w:rFonts w:ascii="Arial" w:eastAsia="宋体" w:hAnsi="Arial" w:cs="Arial"/>
                <w:b/>
                <w:bCs/>
                <w:color w:val="262626"/>
                <w:sz w:val="18"/>
                <w:szCs w:val="18"/>
              </w:rPr>
              <w:t>33.4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1C3"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51C4"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1C5" w14:textId="77777777" w:rsidR="001B77DD" w:rsidRDefault="00BF0A28">
            <w:pPr>
              <w:jc w:val="right"/>
              <w:textAlignment w:val="bottom"/>
            </w:pPr>
            <w:r>
              <w:rPr>
                <w:rFonts w:ascii="Arial" w:eastAsia="宋体" w:hAnsi="Arial" w:cs="Arial"/>
                <w:b/>
                <w:bCs/>
                <w:color w:val="262626"/>
                <w:sz w:val="18"/>
                <w:szCs w:val="18"/>
              </w:rPr>
              <w:t>35.9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1C6" w14:textId="77777777" w:rsidR="001B77DD" w:rsidRDefault="00BF0A28">
            <w:pPr>
              <w:jc w:val="right"/>
              <w:textAlignment w:val="bottom"/>
            </w:pPr>
            <w:r>
              <w:rPr>
                <w:rFonts w:ascii="Arial" w:eastAsia="宋体" w:hAnsi="Arial" w:cs="Arial"/>
                <w:b/>
                <w:bCs/>
                <w:color w:val="262626"/>
                <w:sz w:val="18"/>
                <w:szCs w:val="18"/>
              </w:rPr>
              <w:t>%</w:t>
            </w:r>
          </w:p>
        </w:tc>
      </w:tr>
      <w:tr w:rsidR="001B77DD" w14:paraId="675351CF" w14:textId="77777777">
        <w:trPr>
          <w:hidden/>
        </w:trPr>
        <w:tc>
          <w:tcPr>
            <w:tcW w:w="0" w:type="auto"/>
            <w:gridSpan w:val="3"/>
            <w:shd w:val="clear" w:color="auto" w:fill="auto"/>
            <w:vAlign w:val="bottom"/>
          </w:tcPr>
          <w:p w14:paraId="675351C8" w14:textId="77777777" w:rsidR="001B77DD" w:rsidRDefault="001B77DD">
            <w:pPr>
              <w:rPr>
                <w:rFonts w:ascii="宋体"/>
                <w:vanish/>
              </w:rPr>
            </w:pPr>
          </w:p>
        </w:tc>
        <w:tc>
          <w:tcPr>
            <w:tcW w:w="0" w:type="auto"/>
            <w:shd w:val="clear" w:color="auto" w:fill="auto"/>
            <w:vAlign w:val="bottom"/>
          </w:tcPr>
          <w:p w14:paraId="675351C9" w14:textId="77777777" w:rsidR="001B77DD" w:rsidRDefault="001B77DD">
            <w:pPr>
              <w:rPr>
                <w:rFonts w:ascii="宋体"/>
                <w:vanish/>
              </w:rPr>
            </w:pPr>
          </w:p>
        </w:tc>
        <w:tc>
          <w:tcPr>
            <w:tcW w:w="0" w:type="auto"/>
            <w:gridSpan w:val="3"/>
            <w:shd w:val="clear" w:color="auto" w:fill="auto"/>
            <w:vAlign w:val="bottom"/>
          </w:tcPr>
          <w:p w14:paraId="675351CA" w14:textId="77777777" w:rsidR="001B77DD" w:rsidRDefault="001B77DD">
            <w:pPr>
              <w:rPr>
                <w:rFonts w:ascii="宋体"/>
                <w:vanish/>
              </w:rPr>
            </w:pPr>
          </w:p>
        </w:tc>
        <w:tc>
          <w:tcPr>
            <w:tcW w:w="0" w:type="auto"/>
            <w:gridSpan w:val="3"/>
            <w:shd w:val="clear" w:color="auto" w:fill="auto"/>
            <w:vAlign w:val="bottom"/>
          </w:tcPr>
          <w:p w14:paraId="675351CB" w14:textId="77777777" w:rsidR="001B77DD" w:rsidRDefault="001B77DD">
            <w:pPr>
              <w:rPr>
                <w:rFonts w:ascii="宋体"/>
                <w:vanish/>
              </w:rPr>
            </w:pPr>
          </w:p>
        </w:tc>
        <w:tc>
          <w:tcPr>
            <w:tcW w:w="0" w:type="auto"/>
            <w:gridSpan w:val="3"/>
            <w:shd w:val="clear" w:color="auto" w:fill="auto"/>
            <w:vAlign w:val="bottom"/>
          </w:tcPr>
          <w:p w14:paraId="675351CC" w14:textId="77777777" w:rsidR="001B77DD" w:rsidRDefault="001B77DD">
            <w:pPr>
              <w:rPr>
                <w:rFonts w:ascii="宋体"/>
                <w:vanish/>
              </w:rPr>
            </w:pPr>
          </w:p>
        </w:tc>
        <w:tc>
          <w:tcPr>
            <w:tcW w:w="0" w:type="auto"/>
            <w:gridSpan w:val="3"/>
            <w:shd w:val="clear" w:color="auto" w:fill="auto"/>
            <w:vAlign w:val="bottom"/>
          </w:tcPr>
          <w:p w14:paraId="675351CD" w14:textId="77777777" w:rsidR="001B77DD" w:rsidRDefault="001B77DD">
            <w:pPr>
              <w:rPr>
                <w:rFonts w:ascii="宋体"/>
                <w:vanish/>
              </w:rPr>
            </w:pPr>
          </w:p>
        </w:tc>
        <w:tc>
          <w:tcPr>
            <w:tcW w:w="0" w:type="auto"/>
            <w:gridSpan w:val="3"/>
            <w:shd w:val="clear" w:color="auto" w:fill="auto"/>
            <w:vAlign w:val="bottom"/>
          </w:tcPr>
          <w:p w14:paraId="675351CE" w14:textId="77777777" w:rsidR="001B77DD" w:rsidRDefault="001B77DD">
            <w:pPr>
              <w:rPr>
                <w:rFonts w:ascii="宋体"/>
                <w:vanish/>
              </w:rPr>
            </w:pPr>
          </w:p>
        </w:tc>
      </w:tr>
      <w:tr w:rsidR="001B77DD" w14:paraId="675351D7" w14:textId="77777777">
        <w:trPr>
          <w:hidden/>
        </w:trPr>
        <w:tc>
          <w:tcPr>
            <w:tcW w:w="0" w:type="auto"/>
            <w:gridSpan w:val="3"/>
            <w:shd w:val="clear" w:color="auto" w:fill="auto"/>
            <w:vAlign w:val="bottom"/>
          </w:tcPr>
          <w:p w14:paraId="675351D0" w14:textId="77777777" w:rsidR="001B77DD" w:rsidRDefault="001B77DD">
            <w:pPr>
              <w:rPr>
                <w:rFonts w:ascii="宋体"/>
                <w:vanish/>
              </w:rPr>
            </w:pPr>
          </w:p>
        </w:tc>
        <w:tc>
          <w:tcPr>
            <w:tcW w:w="0" w:type="auto"/>
            <w:shd w:val="clear" w:color="auto" w:fill="auto"/>
            <w:vAlign w:val="bottom"/>
          </w:tcPr>
          <w:p w14:paraId="675351D1" w14:textId="77777777" w:rsidR="001B77DD" w:rsidRDefault="001B77DD">
            <w:pPr>
              <w:rPr>
                <w:rFonts w:ascii="宋体"/>
                <w:vanish/>
              </w:rPr>
            </w:pPr>
          </w:p>
        </w:tc>
        <w:tc>
          <w:tcPr>
            <w:tcW w:w="0" w:type="auto"/>
            <w:gridSpan w:val="3"/>
            <w:shd w:val="clear" w:color="auto" w:fill="auto"/>
            <w:vAlign w:val="bottom"/>
          </w:tcPr>
          <w:p w14:paraId="675351D2" w14:textId="77777777" w:rsidR="001B77DD" w:rsidRDefault="001B77DD">
            <w:pPr>
              <w:rPr>
                <w:rFonts w:ascii="宋体"/>
                <w:vanish/>
              </w:rPr>
            </w:pPr>
          </w:p>
        </w:tc>
        <w:tc>
          <w:tcPr>
            <w:tcW w:w="0" w:type="auto"/>
            <w:gridSpan w:val="3"/>
            <w:shd w:val="clear" w:color="auto" w:fill="auto"/>
            <w:vAlign w:val="bottom"/>
          </w:tcPr>
          <w:p w14:paraId="675351D3" w14:textId="77777777" w:rsidR="001B77DD" w:rsidRDefault="001B77DD">
            <w:pPr>
              <w:rPr>
                <w:rFonts w:ascii="宋体"/>
                <w:vanish/>
              </w:rPr>
            </w:pPr>
          </w:p>
        </w:tc>
        <w:tc>
          <w:tcPr>
            <w:tcW w:w="0" w:type="auto"/>
            <w:gridSpan w:val="3"/>
            <w:shd w:val="clear" w:color="auto" w:fill="auto"/>
            <w:vAlign w:val="bottom"/>
          </w:tcPr>
          <w:p w14:paraId="675351D4" w14:textId="77777777" w:rsidR="001B77DD" w:rsidRDefault="001B77DD">
            <w:pPr>
              <w:rPr>
                <w:rFonts w:ascii="宋体"/>
                <w:vanish/>
              </w:rPr>
            </w:pPr>
          </w:p>
        </w:tc>
        <w:tc>
          <w:tcPr>
            <w:tcW w:w="0" w:type="auto"/>
            <w:gridSpan w:val="3"/>
            <w:shd w:val="clear" w:color="auto" w:fill="auto"/>
            <w:vAlign w:val="bottom"/>
          </w:tcPr>
          <w:p w14:paraId="675351D5" w14:textId="77777777" w:rsidR="001B77DD" w:rsidRDefault="001B77DD">
            <w:pPr>
              <w:rPr>
                <w:rFonts w:ascii="宋体"/>
                <w:vanish/>
              </w:rPr>
            </w:pPr>
          </w:p>
        </w:tc>
        <w:tc>
          <w:tcPr>
            <w:tcW w:w="0" w:type="auto"/>
            <w:gridSpan w:val="3"/>
            <w:shd w:val="clear" w:color="auto" w:fill="auto"/>
            <w:vAlign w:val="bottom"/>
          </w:tcPr>
          <w:p w14:paraId="675351D6" w14:textId="77777777" w:rsidR="001B77DD" w:rsidRDefault="001B77DD">
            <w:pPr>
              <w:rPr>
                <w:rFonts w:ascii="宋体"/>
                <w:vanish/>
              </w:rPr>
            </w:pPr>
          </w:p>
        </w:tc>
      </w:tr>
      <w:tr w:rsidR="001B77DD" w14:paraId="675351DF" w14:textId="77777777">
        <w:trPr>
          <w:hidden/>
        </w:trPr>
        <w:tc>
          <w:tcPr>
            <w:tcW w:w="0" w:type="auto"/>
            <w:gridSpan w:val="3"/>
            <w:shd w:val="clear" w:color="auto" w:fill="auto"/>
            <w:vAlign w:val="bottom"/>
          </w:tcPr>
          <w:p w14:paraId="675351D8" w14:textId="77777777" w:rsidR="001B77DD" w:rsidRDefault="001B77DD">
            <w:pPr>
              <w:rPr>
                <w:rFonts w:ascii="宋体"/>
                <w:vanish/>
              </w:rPr>
            </w:pPr>
          </w:p>
        </w:tc>
        <w:tc>
          <w:tcPr>
            <w:tcW w:w="0" w:type="auto"/>
            <w:shd w:val="clear" w:color="auto" w:fill="auto"/>
            <w:vAlign w:val="bottom"/>
          </w:tcPr>
          <w:p w14:paraId="675351D9" w14:textId="77777777" w:rsidR="001B77DD" w:rsidRDefault="001B77DD">
            <w:pPr>
              <w:rPr>
                <w:rFonts w:ascii="宋体"/>
                <w:vanish/>
              </w:rPr>
            </w:pPr>
          </w:p>
        </w:tc>
        <w:tc>
          <w:tcPr>
            <w:tcW w:w="0" w:type="auto"/>
            <w:gridSpan w:val="3"/>
            <w:shd w:val="clear" w:color="auto" w:fill="auto"/>
            <w:vAlign w:val="bottom"/>
          </w:tcPr>
          <w:p w14:paraId="675351DA" w14:textId="77777777" w:rsidR="001B77DD" w:rsidRDefault="001B77DD">
            <w:pPr>
              <w:rPr>
                <w:rFonts w:ascii="宋体"/>
                <w:vanish/>
              </w:rPr>
            </w:pPr>
          </w:p>
        </w:tc>
        <w:tc>
          <w:tcPr>
            <w:tcW w:w="0" w:type="auto"/>
            <w:gridSpan w:val="3"/>
            <w:shd w:val="clear" w:color="auto" w:fill="auto"/>
            <w:vAlign w:val="bottom"/>
          </w:tcPr>
          <w:p w14:paraId="675351DB" w14:textId="77777777" w:rsidR="001B77DD" w:rsidRDefault="001B77DD">
            <w:pPr>
              <w:rPr>
                <w:rFonts w:ascii="宋体"/>
                <w:vanish/>
              </w:rPr>
            </w:pPr>
          </w:p>
        </w:tc>
        <w:tc>
          <w:tcPr>
            <w:tcW w:w="0" w:type="auto"/>
            <w:gridSpan w:val="3"/>
            <w:shd w:val="clear" w:color="auto" w:fill="auto"/>
            <w:vAlign w:val="bottom"/>
          </w:tcPr>
          <w:p w14:paraId="675351DC" w14:textId="77777777" w:rsidR="001B77DD" w:rsidRDefault="001B77DD">
            <w:pPr>
              <w:rPr>
                <w:rFonts w:ascii="宋体"/>
                <w:vanish/>
              </w:rPr>
            </w:pPr>
          </w:p>
        </w:tc>
        <w:tc>
          <w:tcPr>
            <w:tcW w:w="0" w:type="auto"/>
            <w:gridSpan w:val="3"/>
            <w:shd w:val="clear" w:color="auto" w:fill="auto"/>
            <w:vAlign w:val="bottom"/>
          </w:tcPr>
          <w:p w14:paraId="675351DD" w14:textId="77777777" w:rsidR="001B77DD" w:rsidRDefault="001B77DD">
            <w:pPr>
              <w:rPr>
                <w:rFonts w:ascii="宋体"/>
                <w:vanish/>
              </w:rPr>
            </w:pPr>
          </w:p>
        </w:tc>
        <w:tc>
          <w:tcPr>
            <w:tcW w:w="0" w:type="auto"/>
            <w:gridSpan w:val="3"/>
            <w:shd w:val="clear" w:color="auto" w:fill="auto"/>
            <w:vAlign w:val="bottom"/>
          </w:tcPr>
          <w:p w14:paraId="675351DE" w14:textId="77777777" w:rsidR="001B77DD" w:rsidRDefault="001B77DD">
            <w:pPr>
              <w:rPr>
                <w:rFonts w:ascii="宋体"/>
                <w:vanish/>
              </w:rPr>
            </w:pPr>
          </w:p>
        </w:tc>
      </w:tr>
      <w:tr w:rsidR="001B77DD" w14:paraId="675351E7" w14:textId="77777777">
        <w:trPr>
          <w:hidden/>
        </w:trPr>
        <w:tc>
          <w:tcPr>
            <w:tcW w:w="0" w:type="auto"/>
            <w:gridSpan w:val="3"/>
            <w:shd w:val="clear" w:color="auto" w:fill="auto"/>
            <w:vAlign w:val="bottom"/>
          </w:tcPr>
          <w:p w14:paraId="675351E0" w14:textId="77777777" w:rsidR="001B77DD" w:rsidRDefault="001B77DD">
            <w:pPr>
              <w:rPr>
                <w:rFonts w:ascii="宋体"/>
                <w:vanish/>
              </w:rPr>
            </w:pPr>
          </w:p>
        </w:tc>
        <w:tc>
          <w:tcPr>
            <w:tcW w:w="0" w:type="auto"/>
            <w:shd w:val="clear" w:color="auto" w:fill="auto"/>
            <w:vAlign w:val="bottom"/>
          </w:tcPr>
          <w:p w14:paraId="675351E1" w14:textId="77777777" w:rsidR="001B77DD" w:rsidRDefault="001B77DD">
            <w:pPr>
              <w:rPr>
                <w:rFonts w:ascii="宋体"/>
                <w:vanish/>
              </w:rPr>
            </w:pPr>
          </w:p>
        </w:tc>
        <w:tc>
          <w:tcPr>
            <w:tcW w:w="0" w:type="auto"/>
            <w:gridSpan w:val="3"/>
            <w:shd w:val="clear" w:color="auto" w:fill="auto"/>
            <w:vAlign w:val="bottom"/>
          </w:tcPr>
          <w:p w14:paraId="675351E2" w14:textId="77777777" w:rsidR="001B77DD" w:rsidRDefault="001B77DD">
            <w:pPr>
              <w:rPr>
                <w:rFonts w:ascii="宋体"/>
                <w:vanish/>
              </w:rPr>
            </w:pPr>
          </w:p>
        </w:tc>
        <w:tc>
          <w:tcPr>
            <w:tcW w:w="0" w:type="auto"/>
            <w:gridSpan w:val="3"/>
            <w:shd w:val="clear" w:color="auto" w:fill="auto"/>
            <w:vAlign w:val="bottom"/>
          </w:tcPr>
          <w:p w14:paraId="675351E3" w14:textId="77777777" w:rsidR="001B77DD" w:rsidRDefault="001B77DD">
            <w:pPr>
              <w:rPr>
                <w:rFonts w:ascii="宋体"/>
                <w:vanish/>
              </w:rPr>
            </w:pPr>
          </w:p>
        </w:tc>
        <w:tc>
          <w:tcPr>
            <w:tcW w:w="0" w:type="auto"/>
            <w:gridSpan w:val="3"/>
            <w:shd w:val="clear" w:color="auto" w:fill="auto"/>
            <w:vAlign w:val="bottom"/>
          </w:tcPr>
          <w:p w14:paraId="675351E4" w14:textId="77777777" w:rsidR="001B77DD" w:rsidRDefault="001B77DD">
            <w:pPr>
              <w:rPr>
                <w:rFonts w:ascii="宋体"/>
                <w:vanish/>
              </w:rPr>
            </w:pPr>
          </w:p>
        </w:tc>
        <w:tc>
          <w:tcPr>
            <w:tcW w:w="0" w:type="auto"/>
            <w:gridSpan w:val="3"/>
            <w:shd w:val="clear" w:color="auto" w:fill="auto"/>
            <w:vAlign w:val="bottom"/>
          </w:tcPr>
          <w:p w14:paraId="675351E5" w14:textId="77777777" w:rsidR="001B77DD" w:rsidRDefault="001B77DD">
            <w:pPr>
              <w:rPr>
                <w:rFonts w:ascii="宋体"/>
                <w:vanish/>
              </w:rPr>
            </w:pPr>
          </w:p>
        </w:tc>
        <w:tc>
          <w:tcPr>
            <w:tcW w:w="0" w:type="auto"/>
            <w:gridSpan w:val="3"/>
            <w:shd w:val="clear" w:color="auto" w:fill="auto"/>
            <w:vAlign w:val="bottom"/>
          </w:tcPr>
          <w:p w14:paraId="675351E6" w14:textId="77777777" w:rsidR="001B77DD" w:rsidRDefault="001B77DD">
            <w:pPr>
              <w:rPr>
                <w:rFonts w:ascii="宋体"/>
                <w:vanish/>
              </w:rPr>
            </w:pPr>
          </w:p>
        </w:tc>
      </w:tr>
      <w:tr w:rsidR="001B77DD" w14:paraId="675351EF" w14:textId="77777777">
        <w:trPr>
          <w:hidden/>
        </w:trPr>
        <w:tc>
          <w:tcPr>
            <w:tcW w:w="0" w:type="auto"/>
            <w:gridSpan w:val="3"/>
            <w:shd w:val="clear" w:color="auto" w:fill="auto"/>
            <w:vAlign w:val="bottom"/>
          </w:tcPr>
          <w:p w14:paraId="675351E8" w14:textId="77777777" w:rsidR="001B77DD" w:rsidRDefault="001B77DD">
            <w:pPr>
              <w:rPr>
                <w:rFonts w:ascii="宋体"/>
                <w:vanish/>
              </w:rPr>
            </w:pPr>
          </w:p>
        </w:tc>
        <w:tc>
          <w:tcPr>
            <w:tcW w:w="0" w:type="auto"/>
            <w:shd w:val="clear" w:color="auto" w:fill="auto"/>
            <w:vAlign w:val="bottom"/>
          </w:tcPr>
          <w:p w14:paraId="675351E9" w14:textId="77777777" w:rsidR="001B77DD" w:rsidRDefault="001B77DD">
            <w:pPr>
              <w:rPr>
                <w:rFonts w:ascii="宋体"/>
                <w:vanish/>
              </w:rPr>
            </w:pPr>
          </w:p>
        </w:tc>
        <w:tc>
          <w:tcPr>
            <w:tcW w:w="0" w:type="auto"/>
            <w:gridSpan w:val="3"/>
            <w:shd w:val="clear" w:color="auto" w:fill="auto"/>
            <w:vAlign w:val="bottom"/>
          </w:tcPr>
          <w:p w14:paraId="675351EA" w14:textId="77777777" w:rsidR="001B77DD" w:rsidRDefault="001B77DD">
            <w:pPr>
              <w:rPr>
                <w:rFonts w:ascii="宋体"/>
                <w:vanish/>
              </w:rPr>
            </w:pPr>
          </w:p>
        </w:tc>
        <w:tc>
          <w:tcPr>
            <w:tcW w:w="0" w:type="auto"/>
            <w:gridSpan w:val="3"/>
            <w:shd w:val="clear" w:color="auto" w:fill="auto"/>
            <w:vAlign w:val="bottom"/>
          </w:tcPr>
          <w:p w14:paraId="675351EB" w14:textId="77777777" w:rsidR="001B77DD" w:rsidRDefault="001B77DD">
            <w:pPr>
              <w:rPr>
                <w:rFonts w:ascii="宋体"/>
                <w:vanish/>
              </w:rPr>
            </w:pPr>
          </w:p>
        </w:tc>
        <w:tc>
          <w:tcPr>
            <w:tcW w:w="0" w:type="auto"/>
            <w:gridSpan w:val="3"/>
            <w:shd w:val="clear" w:color="auto" w:fill="auto"/>
            <w:vAlign w:val="bottom"/>
          </w:tcPr>
          <w:p w14:paraId="675351EC" w14:textId="77777777" w:rsidR="001B77DD" w:rsidRDefault="001B77DD">
            <w:pPr>
              <w:rPr>
                <w:rFonts w:ascii="宋体"/>
                <w:vanish/>
              </w:rPr>
            </w:pPr>
          </w:p>
        </w:tc>
        <w:tc>
          <w:tcPr>
            <w:tcW w:w="0" w:type="auto"/>
            <w:gridSpan w:val="3"/>
            <w:shd w:val="clear" w:color="auto" w:fill="auto"/>
            <w:vAlign w:val="bottom"/>
          </w:tcPr>
          <w:p w14:paraId="675351ED" w14:textId="77777777" w:rsidR="001B77DD" w:rsidRDefault="001B77DD">
            <w:pPr>
              <w:rPr>
                <w:rFonts w:ascii="宋体"/>
                <w:vanish/>
              </w:rPr>
            </w:pPr>
          </w:p>
        </w:tc>
        <w:tc>
          <w:tcPr>
            <w:tcW w:w="0" w:type="auto"/>
            <w:gridSpan w:val="3"/>
            <w:shd w:val="clear" w:color="auto" w:fill="auto"/>
            <w:vAlign w:val="bottom"/>
          </w:tcPr>
          <w:p w14:paraId="675351EE" w14:textId="77777777" w:rsidR="001B77DD" w:rsidRDefault="001B77DD">
            <w:pPr>
              <w:rPr>
                <w:rFonts w:ascii="宋体"/>
                <w:vanish/>
              </w:rPr>
            </w:pPr>
          </w:p>
        </w:tc>
      </w:tr>
      <w:tr w:rsidR="001B77DD" w14:paraId="675351F7" w14:textId="77777777">
        <w:trPr>
          <w:hidden/>
        </w:trPr>
        <w:tc>
          <w:tcPr>
            <w:tcW w:w="0" w:type="auto"/>
            <w:gridSpan w:val="3"/>
            <w:shd w:val="clear" w:color="auto" w:fill="auto"/>
            <w:vAlign w:val="bottom"/>
          </w:tcPr>
          <w:p w14:paraId="675351F0" w14:textId="77777777" w:rsidR="001B77DD" w:rsidRDefault="001B77DD">
            <w:pPr>
              <w:rPr>
                <w:rFonts w:ascii="宋体"/>
                <w:vanish/>
              </w:rPr>
            </w:pPr>
          </w:p>
        </w:tc>
        <w:tc>
          <w:tcPr>
            <w:tcW w:w="0" w:type="auto"/>
            <w:shd w:val="clear" w:color="auto" w:fill="auto"/>
            <w:vAlign w:val="bottom"/>
          </w:tcPr>
          <w:p w14:paraId="675351F1" w14:textId="77777777" w:rsidR="001B77DD" w:rsidRDefault="001B77DD">
            <w:pPr>
              <w:rPr>
                <w:rFonts w:ascii="宋体"/>
                <w:vanish/>
              </w:rPr>
            </w:pPr>
          </w:p>
        </w:tc>
        <w:tc>
          <w:tcPr>
            <w:tcW w:w="0" w:type="auto"/>
            <w:gridSpan w:val="3"/>
            <w:shd w:val="clear" w:color="auto" w:fill="auto"/>
            <w:vAlign w:val="bottom"/>
          </w:tcPr>
          <w:p w14:paraId="675351F2" w14:textId="77777777" w:rsidR="001B77DD" w:rsidRDefault="001B77DD">
            <w:pPr>
              <w:rPr>
                <w:rFonts w:ascii="宋体"/>
                <w:vanish/>
              </w:rPr>
            </w:pPr>
          </w:p>
        </w:tc>
        <w:tc>
          <w:tcPr>
            <w:tcW w:w="0" w:type="auto"/>
            <w:gridSpan w:val="3"/>
            <w:shd w:val="clear" w:color="auto" w:fill="auto"/>
            <w:vAlign w:val="bottom"/>
          </w:tcPr>
          <w:p w14:paraId="675351F3" w14:textId="77777777" w:rsidR="001B77DD" w:rsidRDefault="001B77DD">
            <w:pPr>
              <w:rPr>
                <w:rFonts w:ascii="宋体"/>
                <w:vanish/>
              </w:rPr>
            </w:pPr>
          </w:p>
        </w:tc>
        <w:tc>
          <w:tcPr>
            <w:tcW w:w="0" w:type="auto"/>
            <w:gridSpan w:val="3"/>
            <w:shd w:val="clear" w:color="auto" w:fill="auto"/>
            <w:vAlign w:val="bottom"/>
          </w:tcPr>
          <w:p w14:paraId="675351F4" w14:textId="77777777" w:rsidR="001B77DD" w:rsidRDefault="001B77DD">
            <w:pPr>
              <w:rPr>
                <w:rFonts w:ascii="宋体"/>
                <w:vanish/>
              </w:rPr>
            </w:pPr>
          </w:p>
        </w:tc>
        <w:tc>
          <w:tcPr>
            <w:tcW w:w="0" w:type="auto"/>
            <w:gridSpan w:val="3"/>
            <w:shd w:val="clear" w:color="auto" w:fill="auto"/>
            <w:vAlign w:val="bottom"/>
          </w:tcPr>
          <w:p w14:paraId="675351F5" w14:textId="77777777" w:rsidR="001B77DD" w:rsidRDefault="001B77DD">
            <w:pPr>
              <w:rPr>
                <w:rFonts w:ascii="宋体"/>
                <w:vanish/>
              </w:rPr>
            </w:pPr>
          </w:p>
        </w:tc>
        <w:tc>
          <w:tcPr>
            <w:tcW w:w="0" w:type="auto"/>
            <w:gridSpan w:val="3"/>
            <w:shd w:val="clear" w:color="auto" w:fill="auto"/>
            <w:vAlign w:val="bottom"/>
          </w:tcPr>
          <w:p w14:paraId="675351F6" w14:textId="77777777" w:rsidR="001B77DD" w:rsidRDefault="001B77DD">
            <w:pPr>
              <w:rPr>
                <w:rFonts w:ascii="宋体"/>
                <w:vanish/>
              </w:rPr>
            </w:pPr>
          </w:p>
        </w:tc>
      </w:tr>
      <w:tr w:rsidR="001B77DD" w14:paraId="675351FF" w14:textId="77777777">
        <w:trPr>
          <w:hidden/>
        </w:trPr>
        <w:tc>
          <w:tcPr>
            <w:tcW w:w="0" w:type="auto"/>
            <w:gridSpan w:val="3"/>
            <w:shd w:val="clear" w:color="auto" w:fill="auto"/>
            <w:vAlign w:val="bottom"/>
          </w:tcPr>
          <w:p w14:paraId="675351F8" w14:textId="77777777" w:rsidR="001B77DD" w:rsidRDefault="001B77DD">
            <w:pPr>
              <w:rPr>
                <w:rFonts w:ascii="宋体"/>
                <w:vanish/>
              </w:rPr>
            </w:pPr>
          </w:p>
        </w:tc>
        <w:tc>
          <w:tcPr>
            <w:tcW w:w="0" w:type="auto"/>
            <w:shd w:val="clear" w:color="auto" w:fill="auto"/>
            <w:vAlign w:val="bottom"/>
          </w:tcPr>
          <w:p w14:paraId="675351F9" w14:textId="77777777" w:rsidR="001B77DD" w:rsidRDefault="001B77DD">
            <w:pPr>
              <w:rPr>
                <w:rFonts w:ascii="宋体"/>
                <w:vanish/>
              </w:rPr>
            </w:pPr>
          </w:p>
        </w:tc>
        <w:tc>
          <w:tcPr>
            <w:tcW w:w="0" w:type="auto"/>
            <w:gridSpan w:val="3"/>
            <w:shd w:val="clear" w:color="auto" w:fill="auto"/>
            <w:vAlign w:val="bottom"/>
          </w:tcPr>
          <w:p w14:paraId="675351FA" w14:textId="77777777" w:rsidR="001B77DD" w:rsidRDefault="001B77DD">
            <w:pPr>
              <w:rPr>
                <w:rFonts w:ascii="宋体"/>
                <w:vanish/>
              </w:rPr>
            </w:pPr>
          </w:p>
        </w:tc>
        <w:tc>
          <w:tcPr>
            <w:tcW w:w="0" w:type="auto"/>
            <w:gridSpan w:val="3"/>
            <w:shd w:val="clear" w:color="auto" w:fill="auto"/>
            <w:vAlign w:val="bottom"/>
          </w:tcPr>
          <w:p w14:paraId="675351FB" w14:textId="77777777" w:rsidR="001B77DD" w:rsidRDefault="001B77DD">
            <w:pPr>
              <w:rPr>
                <w:rFonts w:ascii="宋体"/>
                <w:vanish/>
              </w:rPr>
            </w:pPr>
          </w:p>
        </w:tc>
        <w:tc>
          <w:tcPr>
            <w:tcW w:w="0" w:type="auto"/>
            <w:gridSpan w:val="3"/>
            <w:shd w:val="clear" w:color="auto" w:fill="auto"/>
            <w:vAlign w:val="bottom"/>
          </w:tcPr>
          <w:p w14:paraId="675351FC" w14:textId="77777777" w:rsidR="001B77DD" w:rsidRDefault="001B77DD">
            <w:pPr>
              <w:rPr>
                <w:rFonts w:ascii="宋体"/>
                <w:vanish/>
              </w:rPr>
            </w:pPr>
          </w:p>
        </w:tc>
        <w:tc>
          <w:tcPr>
            <w:tcW w:w="0" w:type="auto"/>
            <w:gridSpan w:val="3"/>
            <w:shd w:val="clear" w:color="auto" w:fill="auto"/>
            <w:vAlign w:val="bottom"/>
          </w:tcPr>
          <w:p w14:paraId="675351FD" w14:textId="77777777" w:rsidR="001B77DD" w:rsidRDefault="001B77DD">
            <w:pPr>
              <w:rPr>
                <w:rFonts w:ascii="宋体"/>
                <w:vanish/>
              </w:rPr>
            </w:pPr>
          </w:p>
        </w:tc>
        <w:tc>
          <w:tcPr>
            <w:tcW w:w="0" w:type="auto"/>
            <w:gridSpan w:val="3"/>
            <w:shd w:val="clear" w:color="auto" w:fill="auto"/>
            <w:vAlign w:val="bottom"/>
          </w:tcPr>
          <w:p w14:paraId="675351FE" w14:textId="77777777" w:rsidR="001B77DD" w:rsidRDefault="001B77DD">
            <w:pPr>
              <w:rPr>
                <w:rFonts w:ascii="宋体"/>
                <w:vanish/>
              </w:rPr>
            </w:pPr>
          </w:p>
        </w:tc>
      </w:tr>
      <w:tr w:rsidR="001B77DD" w14:paraId="67535207" w14:textId="77777777">
        <w:trPr>
          <w:hidden/>
        </w:trPr>
        <w:tc>
          <w:tcPr>
            <w:tcW w:w="0" w:type="auto"/>
            <w:gridSpan w:val="3"/>
            <w:shd w:val="clear" w:color="auto" w:fill="auto"/>
            <w:vAlign w:val="bottom"/>
          </w:tcPr>
          <w:p w14:paraId="67535200" w14:textId="77777777" w:rsidR="001B77DD" w:rsidRDefault="001B77DD">
            <w:pPr>
              <w:rPr>
                <w:rFonts w:ascii="宋体"/>
                <w:vanish/>
              </w:rPr>
            </w:pPr>
          </w:p>
        </w:tc>
        <w:tc>
          <w:tcPr>
            <w:tcW w:w="0" w:type="auto"/>
            <w:shd w:val="clear" w:color="auto" w:fill="auto"/>
            <w:vAlign w:val="bottom"/>
          </w:tcPr>
          <w:p w14:paraId="67535201" w14:textId="77777777" w:rsidR="001B77DD" w:rsidRDefault="001B77DD">
            <w:pPr>
              <w:rPr>
                <w:rFonts w:ascii="宋体"/>
                <w:vanish/>
              </w:rPr>
            </w:pPr>
          </w:p>
        </w:tc>
        <w:tc>
          <w:tcPr>
            <w:tcW w:w="0" w:type="auto"/>
            <w:gridSpan w:val="3"/>
            <w:shd w:val="clear" w:color="auto" w:fill="auto"/>
            <w:vAlign w:val="bottom"/>
          </w:tcPr>
          <w:p w14:paraId="67535202" w14:textId="77777777" w:rsidR="001B77DD" w:rsidRDefault="001B77DD">
            <w:pPr>
              <w:rPr>
                <w:rFonts w:ascii="宋体"/>
                <w:vanish/>
              </w:rPr>
            </w:pPr>
          </w:p>
        </w:tc>
        <w:tc>
          <w:tcPr>
            <w:tcW w:w="0" w:type="auto"/>
            <w:gridSpan w:val="3"/>
            <w:shd w:val="clear" w:color="auto" w:fill="auto"/>
            <w:vAlign w:val="bottom"/>
          </w:tcPr>
          <w:p w14:paraId="67535203" w14:textId="77777777" w:rsidR="001B77DD" w:rsidRDefault="001B77DD">
            <w:pPr>
              <w:rPr>
                <w:rFonts w:ascii="宋体"/>
                <w:vanish/>
              </w:rPr>
            </w:pPr>
          </w:p>
        </w:tc>
        <w:tc>
          <w:tcPr>
            <w:tcW w:w="0" w:type="auto"/>
            <w:gridSpan w:val="3"/>
            <w:shd w:val="clear" w:color="auto" w:fill="auto"/>
            <w:vAlign w:val="bottom"/>
          </w:tcPr>
          <w:p w14:paraId="67535204" w14:textId="77777777" w:rsidR="001B77DD" w:rsidRDefault="001B77DD">
            <w:pPr>
              <w:rPr>
                <w:rFonts w:ascii="宋体"/>
                <w:vanish/>
              </w:rPr>
            </w:pPr>
          </w:p>
        </w:tc>
        <w:tc>
          <w:tcPr>
            <w:tcW w:w="0" w:type="auto"/>
            <w:gridSpan w:val="3"/>
            <w:shd w:val="clear" w:color="auto" w:fill="auto"/>
            <w:vAlign w:val="bottom"/>
          </w:tcPr>
          <w:p w14:paraId="67535205" w14:textId="77777777" w:rsidR="001B77DD" w:rsidRDefault="001B77DD">
            <w:pPr>
              <w:rPr>
                <w:rFonts w:ascii="宋体"/>
                <w:vanish/>
              </w:rPr>
            </w:pPr>
          </w:p>
        </w:tc>
        <w:tc>
          <w:tcPr>
            <w:tcW w:w="0" w:type="auto"/>
            <w:gridSpan w:val="3"/>
            <w:shd w:val="clear" w:color="auto" w:fill="auto"/>
            <w:vAlign w:val="bottom"/>
          </w:tcPr>
          <w:p w14:paraId="67535206" w14:textId="77777777" w:rsidR="001B77DD" w:rsidRDefault="001B77DD">
            <w:pPr>
              <w:rPr>
                <w:rFonts w:ascii="宋体"/>
                <w:vanish/>
              </w:rPr>
            </w:pPr>
          </w:p>
        </w:tc>
      </w:tr>
      <w:tr w:rsidR="001B77DD" w14:paraId="6753520F" w14:textId="77777777">
        <w:trPr>
          <w:hidden/>
        </w:trPr>
        <w:tc>
          <w:tcPr>
            <w:tcW w:w="0" w:type="auto"/>
            <w:gridSpan w:val="3"/>
            <w:shd w:val="clear" w:color="auto" w:fill="auto"/>
            <w:vAlign w:val="bottom"/>
          </w:tcPr>
          <w:p w14:paraId="67535208" w14:textId="77777777" w:rsidR="001B77DD" w:rsidRDefault="001B77DD">
            <w:pPr>
              <w:rPr>
                <w:rFonts w:ascii="宋体"/>
                <w:vanish/>
              </w:rPr>
            </w:pPr>
          </w:p>
        </w:tc>
        <w:tc>
          <w:tcPr>
            <w:tcW w:w="0" w:type="auto"/>
            <w:shd w:val="clear" w:color="auto" w:fill="auto"/>
            <w:vAlign w:val="bottom"/>
          </w:tcPr>
          <w:p w14:paraId="67535209" w14:textId="77777777" w:rsidR="001B77DD" w:rsidRDefault="001B77DD">
            <w:pPr>
              <w:rPr>
                <w:rFonts w:ascii="宋体"/>
                <w:vanish/>
              </w:rPr>
            </w:pPr>
          </w:p>
        </w:tc>
        <w:tc>
          <w:tcPr>
            <w:tcW w:w="0" w:type="auto"/>
            <w:gridSpan w:val="3"/>
            <w:shd w:val="clear" w:color="auto" w:fill="auto"/>
            <w:vAlign w:val="bottom"/>
          </w:tcPr>
          <w:p w14:paraId="6753520A" w14:textId="77777777" w:rsidR="001B77DD" w:rsidRDefault="001B77DD">
            <w:pPr>
              <w:rPr>
                <w:rFonts w:ascii="宋体"/>
                <w:vanish/>
              </w:rPr>
            </w:pPr>
          </w:p>
        </w:tc>
        <w:tc>
          <w:tcPr>
            <w:tcW w:w="0" w:type="auto"/>
            <w:gridSpan w:val="3"/>
            <w:shd w:val="clear" w:color="auto" w:fill="auto"/>
            <w:vAlign w:val="bottom"/>
          </w:tcPr>
          <w:p w14:paraId="6753520B" w14:textId="77777777" w:rsidR="001B77DD" w:rsidRDefault="001B77DD">
            <w:pPr>
              <w:rPr>
                <w:rFonts w:ascii="宋体"/>
                <w:vanish/>
              </w:rPr>
            </w:pPr>
          </w:p>
        </w:tc>
        <w:tc>
          <w:tcPr>
            <w:tcW w:w="0" w:type="auto"/>
            <w:gridSpan w:val="3"/>
            <w:shd w:val="clear" w:color="auto" w:fill="auto"/>
            <w:vAlign w:val="bottom"/>
          </w:tcPr>
          <w:p w14:paraId="6753520C" w14:textId="77777777" w:rsidR="001B77DD" w:rsidRDefault="001B77DD">
            <w:pPr>
              <w:rPr>
                <w:rFonts w:ascii="宋体"/>
                <w:vanish/>
              </w:rPr>
            </w:pPr>
          </w:p>
        </w:tc>
        <w:tc>
          <w:tcPr>
            <w:tcW w:w="0" w:type="auto"/>
            <w:gridSpan w:val="3"/>
            <w:shd w:val="clear" w:color="auto" w:fill="auto"/>
            <w:vAlign w:val="bottom"/>
          </w:tcPr>
          <w:p w14:paraId="6753520D" w14:textId="77777777" w:rsidR="001B77DD" w:rsidRDefault="001B77DD">
            <w:pPr>
              <w:rPr>
                <w:rFonts w:ascii="宋体"/>
                <w:vanish/>
              </w:rPr>
            </w:pPr>
          </w:p>
        </w:tc>
        <w:tc>
          <w:tcPr>
            <w:tcW w:w="0" w:type="auto"/>
            <w:gridSpan w:val="3"/>
            <w:shd w:val="clear" w:color="auto" w:fill="auto"/>
            <w:vAlign w:val="bottom"/>
          </w:tcPr>
          <w:p w14:paraId="6753520E" w14:textId="77777777" w:rsidR="001B77DD" w:rsidRDefault="001B77DD">
            <w:pPr>
              <w:rPr>
                <w:rFonts w:ascii="宋体"/>
                <w:vanish/>
              </w:rPr>
            </w:pPr>
          </w:p>
        </w:tc>
      </w:tr>
      <w:tr w:rsidR="001B77DD" w14:paraId="67535217" w14:textId="77777777">
        <w:trPr>
          <w:hidden/>
        </w:trPr>
        <w:tc>
          <w:tcPr>
            <w:tcW w:w="0" w:type="auto"/>
            <w:gridSpan w:val="3"/>
            <w:shd w:val="clear" w:color="auto" w:fill="auto"/>
            <w:vAlign w:val="bottom"/>
          </w:tcPr>
          <w:p w14:paraId="67535210" w14:textId="77777777" w:rsidR="001B77DD" w:rsidRDefault="001B77DD">
            <w:pPr>
              <w:rPr>
                <w:rFonts w:ascii="宋体"/>
                <w:vanish/>
              </w:rPr>
            </w:pPr>
          </w:p>
        </w:tc>
        <w:tc>
          <w:tcPr>
            <w:tcW w:w="0" w:type="auto"/>
            <w:shd w:val="clear" w:color="auto" w:fill="auto"/>
            <w:vAlign w:val="bottom"/>
          </w:tcPr>
          <w:p w14:paraId="67535211" w14:textId="77777777" w:rsidR="001B77DD" w:rsidRDefault="001B77DD">
            <w:pPr>
              <w:rPr>
                <w:rFonts w:ascii="宋体"/>
                <w:vanish/>
              </w:rPr>
            </w:pPr>
          </w:p>
        </w:tc>
        <w:tc>
          <w:tcPr>
            <w:tcW w:w="0" w:type="auto"/>
            <w:gridSpan w:val="3"/>
            <w:shd w:val="clear" w:color="auto" w:fill="auto"/>
            <w:vAlign w:val="bottom"/>
          </w:tcPr>
          <w:p w14:paraId="67535212" w14:textId="77777777" w:rsidR="001B77DD" w:rsidRDefault="001B77DD">
            <w:pPr>
              <w:rPr>
                <w:rFonts w:ascii="宋体"/>
                <w:vanish/>
              </w:rPr>
            </w:pPr>
          </w:p>
        </w:tc>
        <w:tc>
          <w:tcPr>
            <w:tcW w:w="0" w:type="auto"/>
            <w:gridSpan w:val="3"/>
            <w:shd w:val="clear" w:color="auto" w:fill="auto"/>
            <w:vAlign w:val="bottom"/>
          </w:tcPr>
          <w:p w14:paraId="67535213" w14:textId="77777777" w:rsidR="001B77DD" w:rsidRDefault="001B77DD">
            <w:pPr>
              <w:rPr>
                <w:rFonts w:ascii="宋体"/>
                <w:vanish/>
              </w:rPr>
            </w:pPr>
          </w:p>
        </w:tc>
        <w:tc>
          <w:tcPr>
            <w:tcW w:w="0" w:type="auto"/>
            <w:gridSpan w:val="3"/>
            <w:shd w:val="clear" w:color="auto" w:fill="auto"/>
            <w:vAlign w:val="bottom"/>
          </w:tcPr>
          <w:p w14:paraId="67535214" w14:textId="77777777" w:rsidR="001B77DD" w:rsidRDefault="001B77DD">
            <w:pPr>
              <w:rPr>
                <w:rFonts w:ascii="宋体"/>
                <w:vanish/>
              </w:rPr>
            </w:pPr>
          </w:p>
        </w:tc>
        <w:tc>
          <w:tcPr>
            <w:tcW w:w="0" w:type="auto"/>
            <w:gridSpan w:val="3"/>
            <w:shd w:val="clear" w:color="auto" w:fill="auto"/>
            <w:vAlign w:val="bottom"/>
          </w:tcPr>
          <w:p w14:paraId="67535215" w14:textId="77777777" w:rsidR="001B77DD" w:rsidRDefault="001B77DD">
            <w:pPr>
              <w:rPr>
                <w:rFonts w:ascii="宋体"/>
                <w:vanish/>
              </w:rPr>
            </w:pPr>
          </w:p>
        </w:tc>
        <w:tc>
          <w:tcPr>
            <w:tcW w:w="0" w:type="auto"/>
            <w:gridSpan w:val="3"/>
            <w:shd w:val="clear" w:color="auto" w:fill="auto"/>
            <w:vAlign w:val="bottom"/>
          </w:tcPr>
          <w:p w14:paraId="67535216" w14:textId="77777777" w:rsidR="001B77DD" w:rsidRDefault="001B77DD">
            <w:pPr>
              <w:rPr>
                <w:rFonts w:ascii="宋体"/>
                <w:vanish/>
              </w:rPr>
            </w:pPr>
          </w:p>
        </w:tc>
      </w:tr>
      <w:tr w:rsidR="001B77DD" w14:paraId="6753521F" w14:textId="77777777">
        <w:trPr>
          <w:hidden/>
        </w:trPr>
        <w:tc>
          <w:tcPr>
            <w:tcW w:w="0" w:type="auto"/>
            <w:gridSpan w:val="3"/>
            <w:shd w:val="clear" w:color="auto" w:fill="auto"/>
            <w:vAlign w:val="bottom"/>
          </w:tcPr>
          <w:p w14:paraId="67535218" w14:textId="77777777" w:rsidR="001B77DD" w:rsidRDefault="001B77DD">
            <w:pPr>
              <w:rPr>
                <w:rFonts w:ascii="宋体"/>
                <w:vanish/>
              </w:rPr>
            </w:pPr>
          </w:p>
        </w:tc>
        <w:tc>
          <w:tcPr>
            <w:tcW w:w="0" w:type="auto"/>
            <w:shd w:val="clear" w:color="auto" w:fill="auto"/>
            <w:vAlign w:val="bottom"/>
          </w:tcPr>
          <w:p w14:paraId="67535219" w14:textId="77777777" w:rsidR="001B77DD" w:rsidRDefault="001B77DD">
            <w:pPr>
              <w:rPr>
                <w:rFonts w:ascii="宋体"/>
                <w:vanish/>
              </w:rPr>
            </w:pPr>
          </w:p>
        </w:tc>
        <w:tc>
          <w:tcPr>
            <w:tcW w:w="0" w:type="auto"/>
            <w:gridSpan w:val="3"/>
            <w:shd w:val="clear" w:color="auto" w:fill="auto"/>
            <w:vAlign w:val="bottom"/>
          </w:tcPr>
          <w:p w14:paraId="6753521A" w14:textId="77777777" w:rsidR="001B77DD" w:rsidRDefault="001B77DD">
            <w:pPr>
              <w:rPr>
                <w:rFonts w:ascii="宋体"/>
                <w:vanish/>
              </w:rPr>
            </w:pPr>
          </w:p>
        </w:tc>
        <w:tc>
          <w:tcPr>
            <w:tcW w:w="0" w:type="auto"/>
            <w:gridSpan w:val="3"/>
            <w:shd w:val="clear" w:color="auto" w:fill="auto"/>
            <w:vAlign w:val="bottom"/>
          </w:tcPr>
          <w:p w14:paraId="6753521B" w14:textId="77777777" w:rsidR="001B77DD" w:rsidRDefault="001B77DD">
            <w:pPr>
              <w:rPr>
                <w:rFonts w:ascii="宋体"/>
                <w:vanish/>
              </w:rPr>
            </w:pPr>
          </w:p>
        </w:tc>
        <w:tc>
          <w:tcPr>
            <w:tcW w:w="0" w:type="auto"/>
            <w:gridSpan w:val="3"/>
            <w:shd w:val="clear" w:color="auto" w:fill="auto"/>
            <w:vAlign w:val="bottom"/>
          </w:tcPr>
          <w:p w14:paraId="6753521C" w14:textId="77777777" w:rsidR="001B77DD" w:rsidRDefault="001B77DD">
            <w:pPr>
              <w:rPr>
                <w:rFonts w:ascii="宋体"/>
                <w:vanish/>
              </w:rPr>
            </w:pPr>
          </w:p>
        </w:tc>
        <w:tc>
          <w:tcPr>
            <w:tcW w:w="0" w:type="auto"/>
            <w:gridSpan w:val="3"/>
            <w:shd w:val="clear" w:color="auto" w:fill="auto"/>
            <w:vAlign w:val="bottom"/>
          </w:tcPr>
          <w:p w14:paraId="6753521D" w14:textId="77777777" w:rsidR="001B77DD" w:rsidRDefault="001B77DD">
            <w:pPr>
              <w:rPr>
                <w:rFonts w:ascii="宋体"/>
                <w:vanish/>
              </w:rPr>
            </w:pPr>
          </w:p>
        </w:tc>
        <w:tc>
          <w:tcPr>
            <w:tcW w:w="0" w:type="auto"/>
            <w:gridSpan w:val="3"/>
            <w:shd w:val="clear" w:color="auto" w:fill="auto"/>
            <w:vAlign w:val="bottom"/>
          </w:tcPr>
          <w:p w14:paraId="6753521E" w14:textId="77777777" w:rsidR="001B77DD" w:rsidRDefault="001B77DD">
            <w:pPr>
              <w:rPr>
                <w:rFonts w:ascii="宋体"/>
                <w:vanish/>
              </w:rPr>
            </w:pPr>
          </w:p>
        </w:tc>
      </w:tr>
      <w:tr w:rsidR="001B77DD" w14:paraId="67535227" w14:textId="77777777">
        <w:trPr>
          <w:hidden/>
        </w:trPr>
        <w:tc>
          <w:tcPr>
            <w:tcW w:w="0" w:type="auto"/>
            <w:gridSpan w:val="3"/>
            <w:shd w:val="clear" w:color="auto" w:fill="auto"/>
            <w:vAlign w:val="bottom"/>
          </w:tcPr>
          <w:p w14:paraId="67535220" w14:textId="77777777" w:rsidR="001B77DD" w:rsidRDefault="001B77DD">
            <w:pPr>
              <w:rPr>
                <w:rFonts w:ascii="宋体"/>
                <w:vanish/>
              </w:rPr>
            </w:pPr>
          </w:p>
        </w:tc>
        <w:tc>
          <w:tcPr>
            <w:tcW w:w="0" w:type="auto"/>
            <w:shd w:val="clear" w:color="auto" w:fill="auto"/>
            <w:vAlign w:val="bottom"/>
          </w:tcPr>
          <w:p w14:paraId="67535221" w14:textId="77777777" w:rsidR="001B77DD" w:rsidRDefault="001B77DD">
            <w:pPr>
              <w:rPr>
                <w:rFonts w:ascii="宋体"/>
                <w:vanish/>
              </w:rPr>
            </w:pPr>
          </w:p>
        </w:tc>
        <w:tc>
          <w:tcPr>
            <w:tcW w:w="0" w:type="auto"/>
            <w:gridSpan w:val="3"/>
            <w:shd w:val="clear" w:color="auto" w:fill="auto"/>
            <w:vAlign w:val="bottom"/>
          </w:tcPr>
          <w:p w14:paraId="67535222" w14:textId="77777777" w:rsidR="001B77DD" w:rsidRDefault="001B77DD">
            <w:pPr>
              <w:rPr>
                <w:rFonts w:ascii="宋体"/>
                <w:vanish/>
              </w:rPr>
            </w:pPr>
          </w:p>
        </w:tc>
        <w:tc>
          <w:tcPr>
            <w:tcW w:w="0" w:type="auto"/>
            <w:gridSpan w:val="3"/>
            <w:shd w:val="clear" w:color="auto" w:fill="auto"/>
            <w:vAlign w:val="bottom"/>
          </w:tcPr>
          <w:p w14:paraId="67535223" w14:textId="77777777" w:rsidR="001B77DD" w:rsidRDefault="001B77DD">
            <w:pPr>
              <w:rPr>
                <w:rFonts w:ascii="宋体"/>
                <w:vanish/>
              </w:rPr>
            </w:pPr>
          </w:p>
        </w:tc>
        <w:tc>
          <w:tcPr>
            <w:tcW w:w="0" w:type="auto"/>
            <w:gridSpan w:val="3"/>
            <w:shd w:val="clear" w:color="auto" w:fill="auto"/>
            <w:vAlign w:val="bottom"/>
          </w:tcPr>
          <w:p w14:paraId="67535224" w14:textId="77777777" w:rsidR="001B77DD" w:rsidRDefault="001B77DD">
            <w:pPr>
              <w:rPr>
                <w:rFonts w:ascii="宋体"/>
                <w:vanish/>
              </w:rPr>
            </w:pPr>
          </w:p>
        </w:tc>
        <w:tc>
          <w:tcPr>
            <w:tcW w:w="0" w:type="auto"/>
            <w:gridSpan w:val="3"/>
            <w:shd w:val="clear" w:color="auto" w:fill="auto"/>
            <w:vAlign w:val="bottom"/>
          </w:tcPr>
          <w:p w14:paraId="67535225" w14:textId="77777777" w:rsidR="001B77DD" w:rsidRDefault="001B77DD">
            <w:pPr>
              <w:rPr>
                <w:rFonts w:ascii="宋体"/>
                <w:vanish/>
              </w:rPr>
            </w:pPr>
          </w:p>
        </w:tc>
        <w:tc>
          <w:tcPr>
            <w:tcW w:w="0" w:type="auto"/>
            <w:gridSpan w:val="3"/>
            <w:shd w:val="clear" w:color="auto" w:fill="auto"/>
            <w:vAlign w:val="bottom"/>
          </w:tcPr>
          <w:p w14:paraId="67535226" w14:textId="77777777" w:rsidR="001B77DD" w:rsidRDefault="001B77DD">
            <w:pPr>
              <w:rPr>
                <w:rFonts w:ascii="宋体"/>
                <w:vanish/>
              </w:rPr>
            </w:pPr>
          </w:p>
        </w:tc>
      </w:tr>
      <w:tr w:rsidR="001B77DD" w14:paraId="6753522F" w14:textId="77777777">
        <w:trPr>
          <w:hidden/>
        </w:trPr>
        <w:tc>
          <w:tcPr>
            <w:tcW w:w="0" w:type="auto"/>
            <w:gridSpan w:val="3"/>
            <w:shd w:val="clear" w:color="auto" w:fill="auto"/>
            <w:vAlign w:val="bottom"/>
          </w:tcPr>
          <w:p w14:paraId="67535228" w14:textId="77777777" w:rsidR="001B77DD" w:rsidRDefault="001B77DD">
            <w:pPr>
              <w:rPr>
                <w:rFonts w:ascii="宋体"/>
                <w:vanish/>
              </w:rPr>
            </w:pPr>
          </w:p>
        </w:tc>
        <w:tc>
          <w:tcPr>
            <w:tcW w:w="0" w:type="auto"/>
            <w:shd w:val="clear" w:color="auto" w:fill="auto"/>
            <w:vAlign w:val="bottom"/>
          </w:tcPr>
          <w:p w14:paraId="67535229" w14:textId="77777777" w:rsidR="001B77DD" w:rsidRDefault="001B77DD">
            <w:pPr>
              <w:rPr>
                <w:rFonts w:ascii="宋体"/>
                <w:vanish/>
              </w:rPr>
            </w:pPr>
          </w:p>
        </w:tc>
        <w:tc>
          <w:tcPr>
            <w:tcW w:w="0" w:type="auto"/>
            <w:gridSpan w:val="3"/>
            <w:shd w:val="clear" w:color="auto" w:fill="auto"/>
            <w:vAlign w:val="bottom"/>
          </w:tcPr>
          <w:p w14:paraId="6753522A" w14:textId="77777777" w:rsidR="001B77DD" w:rsidRDefault="001B77DD">
            <w:pPr>
              <w:rPr>
                <w:rFonts w:ascii="宋体"/>
                <w:vanish/>
              </w:rPr>
            </w:pPr>
          </w:p>
        </w:tc>
        <w:tc>
          <w:tcPr>
            <w:tcW w:w="0" w:type="auto"/>
            <w:gridSpan w:val="3"/>
            <w:shd w:val="clear" w:color="auto" w:fill="auto"/>
            <w:vAlign w:val="bottom"/>
          </w:tcPr>
          <w:p w14:paraId="6753522B" w14:textId="77777777" w:rsidR="001B77DD" w:rsidRDefault="001B77DD">
            <w:pPr>
              <w:rPr>
                <w:rFonts w:ascii="宋体"/>
                <w:vanish/>
              </w:rPr>
            </w:pPr>
          </w:p>
        </w:tc>
        <w:tc>
          <w:tcPr>
            <w:tcW w:w="0" w:type="auto"/>
            <w:gridSpan w:val="3"/>
            <w:shd w:val="clear" w:color="auto" w:fill="auto"/>
            <w:vAlign w:val="bottom"/>
          </w:tcPr>
          <w:p w14:paraId="6753522C" w14:textId="77777777" w:rsidR="001B77DD" w:rsidRDefault="001B77DD">
            <w:pPr>
              <w:rPr>
                <w:rFonts w:ascii="宋体"/>
                <w:vanish/>
              </w:rPr>
            </w:pPr>
          </w:p>
        </w:tc>
        <w:tc>
          <w:tcPr>
            <w:tcW w:w="0" w:type="auto"/>
            <w:gridSpan w:val="3"/>
            <w:shd w:val="clear" w:color="auto" w:fill="auto"/>
            <w:vAlign w:val="bottom"/>
          </w:tcPr>
          <w:p w14:paraId="6753522D" w14:textId="77777777" w:rsidR="001B77DD" w:rsidRDefault="001B77DD">
            <w:pPr>
              <w:rPr>
                <w:rFonts w:ascii="宋体"/>
                <w:vanish/>
              </w:rPr>
            </w:pPr>
          </w:p>
        </w:tc>
        <w:tc>
          <w:tcPr>
            <w:tcW w:w="0" w:type="auto"/>
            <w:gridSpan w:val="3"/>
            <w:shd w:val="clear" w:color="auto" w:fill="auto"/>
            <w:vAlign w:val="bottom"/>
          </w:tcPr>
          <w:p w14:paraId="6753522E" w14:textId="77777777" w:rsidR="001B77DD" w:rsidRDefault="001B77DD">
            <w:pPr>
              <w:rPr>
                <w:rFonts w:ascii="宋体"/>
                <w:vanish/>
              </w:rPr>
            </w:pPr>
          </w:p>
        </w:tc>
      </w:tr>
      <w:tr w:rsidR="001B77DD" w14:paraId="67535237" w14:textId="77777777">
        <w:trPr>
          <w:hidden/>
        </w:trPr>
        <w:tc>
          <w:tcPr>
            <w:tcW w:w="0" w:type="auto"/>
            <w:gridSpan w:val="3"/>
            <w:shd w:val="clear" w:color="auto" w:fill="auto"/>
            <w:vAlign w:val="bottom"/>
          </w:tcPr>
          <w:p w14:paraId="67535230" w14:textId="77777777" w:rsidR="001B77DD" w:rsidRDefault="001B77DD">
            <w:pPr>
              <w:rPr>
                <w:rFonts w:ascii="宋体"/>
                <w:vanish/>
              </w:rPr>
            </w:pPr>
          </w:p>
        </w:tc>
        <w:tc>
          <w:tcPr>
            <w:tcW w:w="0" w:type="auto"/>
            <w:shd w:val="clear" w:color="auto" w:fill="auto"/>
            <w:vAlign w:val="bottom"/>
          </w:tcPr>
          <w:p w14:paraId="67535231" w14:textId="77777777" w:rsidR="001B77DD" w:rsidRDefault="001B77DD">
            <w:pPr>
              <w:rPr>
                <w:rFonts w:ascii="宋体"/>
                <w:vanish/>
              </w:rPr>
            </w:pPr>
          </w:p>
        </w:tc>
        <w:tc>
          <w:tcPr>
            <w:tcW w:w="0" w:type="auto"/>
            <w:gridSpan w:val="3"/>
            <w:shd w:val="clear" w:color="auto" w:fill="auto"/>
            <w:vAlign w:val="bottom"/>
          </w:tcPr>
          <w:p w14:paraId="67535232" w14:textId="77777777" w:rsidR="001B77DD" w:rsidRDefault="001B77DD">
            <w:pPr>
              <w:rPr>
                <w:rFonts w:ascii="宋体"/>
                <w:vanish/>
              </w:rPr>
            </w:pPr>
          </w:p>
        </w:tc>
        <w:tc>
          <w:tcPr>
            <w:tcW w:w="0" w:type="auto"/>
            <w:gridSpan w:val="3"/>
            <w:shd w:val="clear" w:color="auto" w:fill="auto"/>
            <w:vAlign w:val="bottom"/>
          </w:tcPr>
          <w:p w14:paraId="67535233" w14:textId="77777777" w:rsidR="001B77DD" w:rsidRDefault="001B77DD">
            <w:pPr>
              <w:rPr>
                <w:rFonts w:ascii="宋体"/>
                <w:vanish/>
              </w:rPr>
            </w:pPr>
          </w:p>
        </w:tc>
        <w:tc>
          <w:tcPr>
            <w:tcW w:w="0" w:type="auto"/>
            <w:gridSpan w:val="3"/>
            <w:shd w:val="clear" w:color="auto" w:fill="auto"/>
            <w:vAlign w:val="bottom"/>
          </w:tcPr>
          <w:p w14:paraId="67535234" w14:textId="77777777" w:rsidR="001B77DD" w:rsidRDefault="001B77DD">
            <w:pPr>
              <w:rPr>
                <w:rFonts w:ascii="宋体"/>
                <w:vanish/>
              </w:rPr>
            </w:pPr>
          </w:p>
        </w:tc>
        <w:tc>
          <w:tcPr>
            <w:tcW w:w="0" w:type="auto"/>
            <w:gridSpan w:val="3"/>
            <w:shd w:val="clear" w:color="auto" w:fill="auto"/>
            <w:vAlign w:val="bottom"/>
          </w:tcPr>
          <w:p w14:paraId="67535235" w14:textId="77777777" w:rsidR="001B77DD" w:rsidRDefault="001B77DD">
            <w:pPr>
              <w:rPr>
                <w:rFonts w:ascii="宋体"/>
                <w:vanish/>
              </w:rPr>
            </w:pPr>
          </w:p>
        </w:tc>
        <w:tc>
          <w:tcPr>
            <w:tcW w:w="0" w:type="auto"/>
            <w:gridSpan w:val="3"/>
            <w:shd w:val="clear" w:color="auto" w:fill="auto"/>
            <w:vAlign w:val="bottom"/>
          </w:tcPr>
          <w:p w14:paraId="67535236" w14:textId="77777777" w:rsidR="001B77DD" w:rsidRDefault="001B77DD">
            <w:pPr>
              <w:rPr>
                <w:rFonts w:ascii="宋体"/>
                <w:vanish/>
              </w:rPr>
            </w:pPr>
          </w:p>
        </w:tc>
      </w:tr>
      <w:tr w:rsidR="001B77DD" w14:paraId="6753523F" w14:textId="77777777">
        <w:trPr>
          <w:hidden/>
        </w:trPr>
        <w:tc>
          <w:tcPr>
            <w:tcW w:w="0" w:type="auto"/>
            <w:gridSpan w:val="3"/>
            <w:shd w:val="clear" w:color="auto" w:fill="auto"/>
            <w:vAlign w:val="bottom"/>
          </w:tcPr>
          <w:p w14:paraId="67535238" w14:textId="77777777" w:rsidR="001B77DD" w:rsidRDefault="001B77DD">
            <w:pPr>
              <w:rPr>
                <w:rFonts w:ascii="宋体"/>
                <w:vanish/>
              </w:rPr>
            </w:pPr>
          </w:p>
        </w:tc>
        <w:tc>
          <w:tcPr>
            <w:tcW w:w="0" w:type="auto"/>
            <w:shd w:val="clear" w:color="auto" w:fill="auto"/>
            <w:vAlign w:val="bottom"/>
          </w:tcPr>
          <w:p w14:paraId="67535239" w14:textId="77777777" w:rsidR="001B77DD" w:rsidRDefault="001B77DD">
            <w:pPr>
              <w:rPr>
                <w:rFonts w:ascii="宋体"/>
                <w:vanish/>
              </w:rPr>
            </w:pPr>
          </w:p>
        </w:tc>
        <w:tc>
          <w:tcPr>
            <w:tcW w:w="0" w:type="auto"/>
            <w:gridSpan w:val="3"/>
            <w:shd w:val="clear" w:color="auto" w:fill="auto"/>
            <w:vAlign w:val="bottom"/>
          </w:tcPr>
          <w:p w14:paraId="6753523A" w14:textId="77777777" w:rsidR="001B77DD" w:rsidRDefault="001B77DD">
            <w:pPr>
              <w:rPr>
                <w:rFonts w:ascii="宋体"/>
                <w:vanish/>
              </w:rPr>
            </w:pPr>
          </w:p>
        </w:tc>
        <w:tc>
          <w:tcPr>
            <w:tcW w:w="0" w:type="auto"/>
            <w:gridSpan w:val="3"/>
            <w:shd w:val="clear" w:color="auto" w:fill="auto"/>
            <w:vAlign w:val="bottom"/>
          </w:tcPr>
          <w:p w14:paraId="6753523B" w14:textId="77777777" w:rsidR="001B77DD" w:rsidRDefault="001B77DD">
            <w:pPr>
              <w:rPr>
                <w:rFonts w:ascii="宋体"/>
                <w:vanish/>
              </w:rPr>
            </w:pPr>
          </w:p>
        </w:tc>
        <w:tc>
          <w:tcPr>
            <w:tcW w:w="0" w:type="auto"/>
            <w:gridSpan w:val="3"/>
            <w:shd w:val="clear" w:color="auto" w:fill="auto"/>
            <w:vAlign w:val="bottom"/>
          </w:tcPr>
          <w:p w14:paraId="6753523C" w14:textId="77777777" w:rsidR="001B77DD" w:rsidRDefault="001B77DD">
            <w:pPr>
              <w:rPr>
                <w:rFonts w:ascii="宋体"/>
                <w:vanish/>
              </w:rPr>
            </w:pPr>
          </w:p>
        </w:tc>
        <w:tc>
          <w:tcPr>
            <w:tcW w:w="0" w:type="auto"/>
            <w:gridSpan w:val="3"/>
            <w:shd w:val="clear" w:color="auto" w:fill="auto"/>
            <w:vAlign w:val="bottom"/>
          </w:tcPr>
          <w:p w14:paraId="6753523D" w14:textId="77777777" w:rsidR="001B77DD" w:rsidRDefault="001B77DD">
            <w:pPr>
              <w:rPr>
                <w:rFonts w:ascii="宋体"/>
                <w:vanish/>
              </w:rPr>
            </w:pPr>
          </w:p>
        </w:tc>
        <w:tc>
          <w:tcPr>
            <w:tcW w:w="0" w:type="auto"/>
            <w:gridSpan w:val="3"/>
            <w:shd w:val="clear" w:color="auto" w:fill="auto"/>
            <w:vAlign w:val="bottom"/>
          </w:tcPr>
          <w:p w14:paraId="6753523E" w14:textId="77777777" w:rsidR="001B77DD" w:rsidRDefault="001B77DD">
            <w:pPr>
              <w:rPr>
                <w:rFonts w:ascii="宋体"/>
                <w:vanish/>
              </w:rPr>
            </w:pPr>
          </w:p>
        </w:tc>
      </w:tr>
      <w:tr w:rsidR="001B77DD" w14:paraId="67535247" w14:textId="77777777">
        <w:trPr>
          <w:hidden/>
        </w:trPr>
        <w:tc>
          <w:tcPr>
            <w:tcW w:w="0" w:type="auto"/>
            <w:gridSpan w:val="3"/>
            <w:shd w:val="clear" w:color="auto" w:fill="auto"/>
            <w:vAlign w:val="bottom"/>
          </w:tcPr>
          <w:p w14:paraId="67535240" w14:textId="77777777" w:rsidR="001B77DD" w:rsidRDefault="001B77DD">
            <w:pPr>
              <w:rPr>
                <w:rFonts w:ascii="宋体"/>
                <w:vanish/>
              </w:rPr>
            </w:pPr>
          </w:p>
        </w:tc>
        <w:tc>
          <w:tcPr>
            <w:tcW w:w="0" w:type="auto"/>
            <w:shd w:val="clear" w:color="auto" w:fill="auto"/>
            <w:vAlign w:val="bottom"/>
          </w:tcPr>
          <w:p w14:paraId="67535241" w14:textId="77777777" w:rsidR="001B77DD" w:rsidRDefault="001B77DD">
            <w:pPr>
              <w:rPr>
                <w:rFonts w:ascii="宋体"/>
                <w:vanish/>
              </w:rPr>
            </w:pPr>
          </w:p>
        </w:tc>
        <w:tc>
          <w:tcPr>
            <w:tcW w:w="0" w:type="auto"/>
            <w:gridSpan w:val="3"/>
            <w:shd w:val="clear" w:color="auto" w:fill="auto"/>
            <w:vAlign w:val="bottom"/>
          </w:tcPr>
          <w:p w14:paraId="67535242" w14:textId="77777777" w:rsidR="001B77DD" w:rsidRDefault="001B77DD">
            <w:pPr>
              <w:rPr>
                <w:rFonts w:ascii="宋体"/>
                <w:vanish/>
              </w:rPr>
            </w:pPr>
          </w:p>
        </w:tc>
        <w:tc>
          <w:tcPr>
            <w:tcW w:w="0" w:type="auto"/>
            <w:gridSpan w:val="3"/>
            <w:shd w:val="clear" w:color="auto" w:fill="auto"/>
            <w:vAlign w:val="bottom"/>
          </w:tcPr>
          <w:p w14:paraId="67535243" w14:textId="77777777" w:rsidR="001B77DD" w:rsidRDefault="001B77DD">
            <w:pPr>
              <w:rPr>
                <w:rFonts w:ascii="宋体"/>
                <w:vanish/>
              </w:rPr>
            </w:pPr>
          </w:p>
        </w:tc>
        <w:tc>
          <w:tcPr>
            <w:tcW w:w="0" w:type="auto"/>
            <w:gridSpan w:val="3"/>
            <w:shd w:val="clear" w:color="auto" w:fill="auto"/>
            <w:vAlign w:val="bottom"/>
          </w:tcPr>
          <w:p w14:paraId="67535244" w14:textId="77777777" w:rsidR="001B77DD" w:rsidRDefault="001B77DD">
            <w:pPr>
              <w:rPr>
                <w:rFonts w:ascii="宋体"/>
                <w:vanish/>
              </w:rPr>
            </w:pPr>
          </w:p>
        </w:tc>
        <w:tc>
          <w:tcPr>
            <w:tcW w:w="0" w:type="auto"/>
            <w:gridSpan w:val="3"/>
            <w:shd w:val="clear" w:color="auto" w:fill="auto"/>
            <w:vAlign w:val="bottom"/>
          </w:tcPr>
          <w:p w14:paraId="67535245" w14:textId="77777777" w:rsidR="001B77DD" w:rsidRDefault="001B77DD">
            <w:pPr>
              <w:rPr>
                <w:rFonts w:ascii="宋体"/>
                <w:vanish/>
              </w:rPr>
            </w:pPr>
          </w:p>
        </w:tc>
        <w:tc>
          <w:tcPr>
            <w:tcW w:w="0" w:type="auto"/>
            <w:gridSpan w:val="3"/>
            <w:shd w:val="clear" w:color="auto" w:fill="auto"/>
            <w:vAlign w:val="bottom"/>
          </w:tcPr>
          <w:p w14:paraId="67535246" w14:textId="77777777" w:rsidR="001B77DD" w:rsidRDefault="001B77DD">
            <w:pPr>
              <w:rPr>
                <w:rFonts w:ascii="宋体"/>
                <w:vanish/>
              </w:rPr>
            </w:pPr>
          </w:p>
        </w:tc>
      </w:tr>
      <w:tr w:rsidR="001B77DD" w14:paraId="6753524F" w14:textId="77777777">
        <w:trPr>
          <w:trHeight w:val="60"/>
        </w:trPr>
        <w:tc>
          <w:tcPr>
            <w:tcW w:w="0" w:type="auto"/>
            <w:gridSpan w:val="3"/>
            <w:shd w:val="clear" w:color="auto" w:fill="auto"/>
            <w:tcMar>
              <w:top w:w="0" w:type="dxa"/>
              <w:left w:w="20" w:type="dxa"/>
              <w:bottom w:w="0" w:type="dxa"/>
              <w:right w:w="20" w:type="dxa"/>
            </w:tcMar>
            <w:vAlign w:val="bottom"/>
          </w:tcPr>
          <w:p w14:paraId="67535248" w14:textId="77777777" w:rsidR="001B77DD" w:rsidRDefault="001B77DD">
            <w:pPr>
              <w:rPr>
                <w:rFonts w:ascii="宋体"/>
              </w:rPr>
            </w:pPr>
          </w:p>
        </w:tc>
        <w:tc>
          <w:tcPr>
            <w:tcW w:w="0" w:type="auto"/>
            <w:shd w:val="clear" w:color="auto" w:fill="auto"/>
            <w:vAlign w:val="bottom"/>
          </w:tcPr>
          <w:p w14:paraId="67535249" w14:textId="77777777" w:rsidR="001B77DD" w:rsidRDefault="001B77DD">
            <w:pPr>
              <w:rPr>
                <w:rFonts w:ascii="宋体"/>
                <w:vanish/>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24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24B"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24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24D"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24E" w14:textId="77777777" w:rsidR="001B77DD" w:rsidRDefault="001B77DD">
            <w:pPr>
              <w:rPr>
                <w:rFonts w:ascii="宋体"/>
              </w:rPr>
            </w:pPr>
          </w:p>
        </w:tc>
      </w:tr>
      <w:tr w:rsidR="001B77DD" w14:paraId="6753525D" w14:textId="77777777">
        <w:tc>
          <w:tcPr>
            <w:tcW w:w="0" w:type="auto"/>
            <w:gridSpan w:val="3"/>
            <w:shd w:val="clear" w:color="auto" w:fill="auto"/>
            <w:tcMar>
              <w:top w:w="40" w:type="dxa"/>
              <w:left w:w="20" w:type="dxa"/>
              <w:bottom w:w="40" w:type="dxa"/>
              <w:right w:w="20" w:type="dxa"/>
            </w:tcMar>
            <w:vAlign w:val="bottom"/>
          </w:tcPr>
          <w:p w14:paraId="67535250" w14:textId="77777777" w:rsidR="001B77DD" w:rsidRDefault="00BF0A28">
            <w:pPr>
              <w:textAlignment w:val="bottom"/>
            </w:pPr>
            <w:r>
              <w:rPr>
                <w:rFonts w:ascii="Arial" w:eastAsia="宋体" w:hAnsi="Arial" w:cs="Arial"/>
                <w:b/>
                <w:bCs/>
                <w:color w:val="262626"/>
                <w:sz w:val="18"/>
                <w:szCs w:val="18"/>
              </w:rPr>
              <w:t>Earnings per share—diluted</w:t>
            </w:r>
          </w:p>
        </w:tc>
        <w:tc>
          <w:tcPr>
            <w:tcW w:w="0" w:type="auto"/>
            <w:shd w:val="clear" w:color="auto" w:fill="auto"/>
            <w:vAlign w:val="bottom"/>
          </w:tcPr>
          <w:p w14:paraId="67535251" w14:textId="77777777" w:rsidR="001B77DD" w:rsidRDefault="001B77DD">
            <w:pPr>
              <w:rPr>
                <w:rFonts w:ascii="宋体"/>
                <w:vanish/>
              </w:rPr>
            </w:pPr>
          </w:p>
        </w:tc>
        <w:tc>
          <w:tcPr>
            <w:tcW w:w="0" w:type="auto"/>
            <w:shd w:val="clear" w:color="auto" w:fill="auto"/>
            <w:tcMar>
              <w:top w:w="40" w:type="dxa"/>
              <w:left w:w="20" w:type="dxa"/>
              <w:bottom w:w="40" w:type="dxa"/>
              <w:right w:w="0" w:type="dxa"/>
            </w:tcMar>
            <w:vAlign w:val="bottom"/>
          </w:tcPr>
          <w:p w14:paraId="67535252" w14:textId="77777777" w:rsidR="001B77DD" w:rsidRDefault="00BF0A2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7535253" w14:textId="77777777" w:rsidR="001B77DD" w:rsidRDefault="00BF0A28">
            <w:pPr>
              <w:jc w:val="right"/>
              <w:textAlignment w:val="bottom"/>
            </w:pPr>
            <w:r>
              <w:rPr>
                <w:rFonts w:ascii="Arial" w:eastAsia="宋体" w:hAnsi="Arial" w:cs="Arial"/>
                <w:b/>
                <w:bCs/>
                <w:color w:val="0068B5"/>
                <w:sz w:val="18"/>
                <w:szCs w:val="18"/>
              </w:rPr>
              <w:t>4.86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25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5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256"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257" w14:textId="77777777" w:rsidR="001B77DD" w:rsidRDefault="00BF0A28">
            <w:pPr>
              <w:jc w:val="right"/>
              <w:textAlignment w:val="bottom"/>
            </w:pPr>
            <w:r>
              <w:rPr>
                <w:rFonts w:ascii="Arial" w:eastAsia="宋体" w:hAnsi="Arial" w:cs="Arial"/>
                <w:b/>
                <w:bCs/>
                <w:color w:val="262626"/>
                <w:sz w:val="18"/>
                <w:szCs w:val="18"/>
              </w:rPr>
              <w:t>4.94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25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5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25A"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25B" w14:textId="77777777" w:rsidR="001B77DD" w:rsidRDefault="00BF0A28">
            <w:pPr>
              <w:jc w:val="right"/>
              <w:textAlignment w:val="bottom"/>
            </w:pPr>
            <w:r>
              <w:rPr>
                <w:rFonts w:ascii="Arial" w:eastAsia="宋体" w:hAnsi="Arial" w:cs="Arial"/>
                <w:b/>
                <w:bCs/>
                <w:color w:val="262626"/>
                <w:sz w:val="18"/>
                <w:szCs w:val="18"/>
              </w:rPr>
              <w:t>4.71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25C" w14:textId="77777777" w:rsidR="001B77DD" w:rsidRDefault="001B77DD">
            <w:pPr>
              <w:jc w:val="right"/>
              <w:rPr>
                <w:rFonts w:ascii="宋体"/>
              </w:rPr>
            </w:pPr>
          </w:p>
        </w:tc>
      </w:tr>
      <w:tr w:rsidR="001B77DD" w14:paraId="67535268" w14:textId="77777777">
        <w:tc>
          <w:tcPr>
            <w:tcW w:w="0" w:type="auto"/>
            <w:gridSpan w:val="3"/>
            <w:shd w:val="clear" w:color="auto" w:fill="auto"/>
            <w:tcMar>
              <w:top w:w="40" w:type="dxa"/>
              <w:left w:w="245" w:type="dxa"/>
              <w:bottom w:w="40" w:type="dxa"/>
              <w:right w:w="20" w:type="dxa"/>
            </w:tcMar>
            <w:vAlign w:val="bottom"/>
          </w:tcPr>
          <w:p w14:paraId="6753525E" w14:textId="77777777" w:rsidR="001B77DD" w:rsidRDefault="00BF0A28">
            <w:pPr>
              <w:textAlignment w:val="bottom"/>
            </w:pPr>
            <w:r>
              <w:rPr>
                <w:rFonts w:ascii="Arial" w:eastAsia="宋体" w:hAnsi="Arial" w:cs="Arial"/>
                <w:color w:val="262626"/>
                <w:sz w:val="18"/>
                <w:szCs w:val="18"/>
              </w:rPr>
              <w:t>Acquisition-related adjustments</w:t>
            </w:r>
          </w:p>
        </w:tc>
        <w:tc>
          <w:tcPr>
            <w:tcW w:w="0" w:type="auto"/>
            <w:shd w:val="clear" w:color="auto" w:fill="auto"/>
            <w:vAlign w:val="bottom"/>
          </w:tcPr>
          <w:p w14:paraId="6753525F"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260" w14:textId="77777777" w:rsidR="001B77DD" w:rsidRDefault="00BF0A28">
            <w:pPr>
              <w:jc w:val="right"/>
              <w:textAlignment w:val="bottom"/>
            </w:pPr>
            <w:r>
              <w:rPr>
                <w:rFonts w:ascii="Arial" w:eastAsia="宋体" w:hAnsi="Arial" w:cs="Arial"/>
                <w:color w:val="0068B5"/>
                <w:sz w:val="18"/>
                <w:szCs w:val="18"/>
              </w:rPr>
              <w:t>0.36 </w:t>
            </w:r>
          </w:p>
        </w:tc>
        <w:tc>
          <w:tcPr>
            <w:tcW w:w="0" w:type="auto"/>
            <w:shd w:val="clear" w:color="auto" w:fill="auto"/>
            <w:tcMar>
              <w:top w:w="40" w:type="dxa"/>
              <w:left w:w="0" w:type="dxa"/>
              <w:bottom w:w="40" w:type="dxa"/>
              <w:right w:w="20" w:type="dxa"/>
            </w:tcMar>
            <w:vAlign w:val="bottom"/>
          </w:tcPr>
          <w:p w14:paraId="6753526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6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63" w14:textId="77777777" w:rsidR="001B77DD" w:rsidRDefault="00BF0A28">
            <w:pPr>
              <w:jc w:val="right"/>
              <w:textAlignment w:val="bottom"/>
            </w:pPr>
            <w:r>
              <w:rPr>
                <w:rFonts w:ascii="Arial" w:eastAsia="宋体" w:hAnsi="Arial" w:cs="Arial"/>
                <w:color w:val="262626"/>
                <w:sz w:val="18"/>
                <w:szCs w:val="18"/>
              </w:rPr>
              <w:t>0.33 </w:t>
            </w:r>
          </w:p>
        </w:tc>
        <w:tc>
          <w:tcPr>
            <w:tcW w:w="0" w:type="auto"/>
            <w:shd w:val="clear" w:color="auto" w:fill="auto"/>
            <w:tcMar>
              <w:top w:w="40" w:type="dxa"/>
              <w:left w:w="0" w:type="dxa"/>
              <w:bottom w:w="40" w:type="dxa"/>
              <w:right w:w="20" w:type="dxa"/>
            </w:tcMar>
            <w:vAlign w:val="bottom"/>
          </w:tcPr>
          <w:p w14:paraId="6753526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6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66" w14:textId="77777777" w:rsidR="001B77DD" w:rsidRDefault="00BF0A28">
            <w:pPr>
              <w:jc w:val="right"/>
              <w:textAlignment w:val="bottom"/>
            </w:pPr>
            <w:r>
              <w:rPr>
                <w:rFonts w:ascii="Arial" w:eastAsia="宋体" w:hAnsi="Arial" w:cs="Arial"/>
                <w:color w:val="262626"/>
                <w:sz w:val="18"/>
                <w:szCs w:val="18"/>
              </w:rPr>
              <w:t>0.29 </w:t>
            </w:r>
          </w:p>
        </w:tc>
        <w:tc>
          <w:tcPr>
            <w:tcW w:w="0" w:type="auto"/>
            <w:shd w:val="clear" w:color="auto" w:fill="auto"/>
            <w:tcMar>
              <w:top w:w="40" w:type="dxa"/>
              <w:left w:w="0" w:type="dxa"/>
              <w:bottom w:w="40" w:type="dxa"/>
              <w:right w:w="20" w:type="dxa"/>
            </w:tcMar>
            <w:vAlign w:val="bottom"/>
          </w:tcPr>
          <w:p w14:paraId="67535267" w14:textId="77777777" w:rsidR="001B77DD" w:rsidRDefault="001B77DD">
            <w:pPr>
              <w:jc w:val="right"/>
              <w:rPr>
                <w:rFonts w:ascii="宋体"/>
              </w:rPr>
            </w:pPr>
          </w:p>
        </w:tc>
      </w:tr>
      <w:tr w:rsidR="001B77DD" w14:paraId="67535270" w14:textId="77777777">
        <w:trPr>
          <w:hidden/>
        </w:trPr>
        <w:tc>
          <w:tcPr>
            <w:tcW w:w="0" w:type="auto"/>
            <w:gridSpan w:val="3"/>
            <w:shd w:val="clear" w:color="auto" w:fill="auto"/>
            <w:vAlign w:val="bottom"/>
          </w:tcPr>
          <w:p w14:paraId="67535269" w14:textId="77777777" w:rsidR="001B77DD" w:rsidRDefault="001B77DD">
            <w:pPr>
              <w:rPr>
                <w:rFonts w:ascii="宋体"/>
                <w:vanish/>
              </w:rPr>
            </w:pPr>
          </w:p>
        </w:tc>
        <w:tc>
          <w:tcPr>
            <w:tcW w:w="0" w:type="auto"/>
            <w:shd w:val="clear" w:color="auto" w:fill="auto"/>
            <w:vAlign w:val="bottom"/>
          </w:tcPr>
          <w:p w14:paraId="6753526A" w14:textId="77777777" w:rsidR="001B77DD" w:rsidRDefault="001B77DD">
            <w:pPr>
              <w:rPr>
                <w:rFonts w:ascii="宋体"/>
                <w:vanish/>
              </w:rPr>
            </w:pPr>
          </w:p>
        </w:tc>
        <w:tc>
          <w:tcPr>
            <w:tcW w:w="0" w:type="auto"/>
            <w:gridSpan w:val="3"/>
            <w:shd w:val="clear" w:color="auto" w:fill="auto"/>
            <w:vAlign w:val="bottom"/>
          </w:tcPr>
          <w:p w14:paraId="6753526B" w14:textId="77777777" w:rsidR="001B77DD" w:rsidRDefault="001B77DD">
            <w:pPr>
              <w:rPr>
                <w:rFonts w:ascii="宋体"/>
                <w:vanish/>
              </w:rPr>
            </w:pPr>
          </w:p>
        </w:tc>
        <w:tc>
          <w:tcPr>
            <w:tcW w:w="0" w:type="auto"/>
            <w:gridSpan w:val="3"/>
            <w:shd w:val="clear" w:color="auto" w:fill="auto"/>
            <w:vAlign w:val="bottom"/>
          </w:tcPr>
          <w:p w14:paraId="6753526C" w14:textId="77777777" w:rsidR="001B77DD" w:rsidRDefault="001B77DD">
            <w:pPr>
              <w:rPr>
                <w:rFonts w:ascii="宋体"/>
                <w:vanish/>
              </w:rPr>
            </w:pPr>
          </w:p>
        </w:tc>
        <w:tc>
          <w:tcPr>
            <w:tcW w:w="0" w:type="auto"/>
            <w:gridSpan w:val="3"/>
            <w:shd w:val="clear" w:color="auto" w:fill="auto"/>
            <w:vAlign w:val="bottom"/>
          </w:tcPr>
          <w:p w14:paraId="6753526D" w14:textId="77777777" w:rsidR="001B77DD" w:rsidRDefault="001B77DD">
            <w:pPr>
              <w:rPr>
                <w:rFonts w:ascii="宋体"/>
                <w:vanish/>
              </w:rPr>
            </w:pPr>
          </w:p>
        </w:tc>
        <w:tc>
          <w:tcPr>
            <w:tcW w:w="0" w:type="auto"/>
            <w:gridSpan w:val="3"/>
            <w:shd w:val="clear" w:color="auto" w:fill="auto"/>
            <w:vAlign w:val="bottom"/>
          </w:tcPr>
          <w:p w14:paraId="6753526E" w14:textId="77777777" w:rsidR="001B77DD" w:rsidRDefault="001B77DD">
            <w:pPr>
              <w:rPr>
                <w:rFonts w:ascii="宋体"/>
                <w:vanish/>
              </w:rPr>
            </w:pPr>
          </w:p>
        </w:tc>
        <w:tc>
          <w:tcPr>
            <w:tcW w:w="0" w:type="auto"/>
            <w:gridSpan w:val="3"/>
            <w:shd w:val="clear" w:color="auto" w:fill="auto"/>
            <w:vAlign w:val="bottom"/>
          </w:tcPr>
          <w:p w14:paraId="6753526F" w14:textId="77777777" w:rsidR="001B77DD" w:rsidRDefault="001B77DD">
            <w:pPr>
              <w:rPr>
                <w:rFonts w:ascii="宋体"/>
                <w:vanish/>
              </w:rPr>
            </w:pPr>
          </w:p>
        </w:tc>
      </w:tr>
      <w:tr w:rsidR="001B77DD" w14:paraId="67535278" w14:textId="77777777">
        <w:trPr>
          <w:hidden/>
        </w:trPr>
        <w:tc>
          <w:tcPr>
            <w:tcW w:w="0" w:type="auto"/>
            <w:gridSpan w:val="3"/>
            <w:shd w:val="clear" w:color="auto" w:fill="auto"/>
            <w:vAlign w:val="bottom"/>
          </w:tcPr>
          <w:p w14:paraId="67535271" w14:textId="77777777" w:rsidR="001B77DD" w:rsidRDefault="001B77DD">
            <w:pPr>
              <w:rPr>
                <w:rFonts w:ascii="宋体"/>
                <w:vanish/>
              </w:rPr>
            </w:pPr>
          </w:p>
        </w:tc>
        <w:tc>
          <w:tcPr>
            <w:tcW w:w="0" w:type="auto"/>
            <w:shd w:val="clear" w:color="auto" w:fill="auto"/>
            <w:vAlign w:val="bottom"/>
          </w:tcPr>
          <w:p w14:paraId="67535272" w14:textId="77777777" w:rsidR="001B77DD" w:rsidRDefault="001B77DD">
            <w:pPr>
              <w:rPr>
                <w:rFonts w:ascii="宋体"/>
                <w:vanish/>
              </w:rPr>
            </w:pPr>
          </w:p>
        </w:tc>
        <w:tc>
          <w:tcPr>
            <w:tcW w:w="0" w:type="auto"/>
            <w:gridSpan w:val="3"/>
            <w:shd w:val="clear" w:color="auto" w:fill="auto"/>
            <w:vAlign w:val="bottom"/>
          </w:tcPr>
          <w:p w14:paraId="67535273" w14:textId="77777777" w:rsidR="001B77DD" w:rsidRDefault="001B77DD">
            <w:pPr>
              <w:rPr>
                <w:rFonts w:ascii="宋体"/>
                <w:vanish/>
              </w:rPr>
            </w:pPr>
          </w:p>
        </w:tc>
        <w:tc>
          <w:tcPr>
            <w:tcW w:w="0" w:type="auto"/>
            <w:gridSpan w:val="3"/>
            <w:shd w:val="clear" w:color="auto" w:fill="auto"/>
            <w:vAlign w:val="bottom"/>
          </w:tcPr>
          <w:p w14:paraId="67535274" w14:textId="77777777" w:rsidR="001B77DD" w:rsidRDefault="001B77DD">
            <w:pPr>
              <w:rPr>
                <w:rFonts w:ascii="宋体"/>
                <w:vanish/>
              </w:rPr>
            </w:pPr>
          </w:p>
        </w:tc>
        <w:tc>
          <w:tcPr>
            <w:tcW w:w="0" w:type="auto"/>
            <w:gridSpan w:val="3"/>
            <w:shd w:val="clear" w:color="auto" w:fill="auto"/>
            <w:vAlign w:val="bottom"/>
          </w:tcPr>
          <w:p w14:paraId="67535275" w14:textId="77777777" w:rsidR="001B77DD" w:rsidRDefault="001B77DD">
            <w:pPr>
              <w:rPr>
                <w:rFonts w:ascii="宋体"/>
                <w:vanish/>
              </w:rPr>
            </w:pPr>
          </w:p>
        </w:tc>
        <w:tc>
          <w:tcPr>
            <w:tcW w:w="0" w:type="auto"/>
            <w:gridSpan w:val="3"/>
            <w:shd w:val="clear" w:color="auto" w:fill="auto"/>
            <w:vAlign w:val="bottom"/>
          </w:tcPr>
          <w:p w14:paraId="67535276" w14:textId="77777777" w:rsidR="001B77DD" w:rsidRDefault="001B77DD">
            <w:pPr>
              <w:rPr>
                <w:rFonts w:ascii="宋体"/>
                <w:vanish/>
              </w:rPr>
            </w:pPr>
          </w:p>
        </w:tc>
        <w:tc>
          <w:tcPr>
            <w:tcW w:w="0" w:type="auto"/>
            <w:gridSpan w:val="3"/>
            <w:shd w:val="clear" w:color="auto" w:fill="auto"/>
            <w:vAlign w:val="bottom"/>
          </w:tcPr>
          <w:p w14:paraId="67535277" w14:textId="77777777" w:rsidR="001B77DD" w:rsidRDefault="001B77DD">
            <w:pPr>
              <w:rPr>
                <w:rFonts w:ascii="宋体"/>
                <w:vanish/>
              </w:rPr>
            </w:pPr>
          </w:p>
        </w:tc>
      </w:tr>
      <w:tr w:rsidR="001B77DD" w14:paraId="67535280" w14:textId="77777777">
        <w:trPr>
          <w:hidden/>
        </w:trPr>
        <w:tc>
          <w:tcPr>
            <w:tcW w:w="0" w:type="auto"/>
            <w:gridSpan w:val="3"/>
            <w:shd w:val="clear" w:color="auto" w:fill="auto"/>
            <w:vAlign w:val="bottom"/>
          </w:tcPr>
          <w:p w14:paraId="67535279" w14:textId="77777777" w:rsidR="001B77DD" w:rsidRDefault="001B77DD">
            <w:pPr>
              <w:rPr>
                <w:rFonts w:ascii="宋体"/>
                <w:vanish/>
              </w:rPr>
            </w:pPr>
          </w:p>
        </w:tc>
        <w:tc>
          <w:tcPr>
            <w:tcW w:w="0" w:type="auto"/>
            <w:shd w:val="clear" w:color="auto" w:fill="auto"/>
            <w:vAlign w:val="bottom"/>
          </w:tcPr>
          <w:p w14:paraId="6753527A" w14:textId="77777777" w:rsidR="001B77DD" w:rsidRDefault="001B77DD">
            <w:pPr>
              <w:rPr>
                <w:rFonts w:ascii="宋体"/>
                <w:vanish/>
              </w:rPr>
            </w:pPr>
          </w:p>
        </w:tc>
        <w:tc>
          <w:tcPr>
            <w:tcW w:w="0" w:type="auto"/>
            <w:gridSpan w:val="3"/>
            <w:shd w:val="clear" w:color="auto" w:fill="auto"/>
            <w:vAlign w:val="bottom"/>
          </w:tcPr>
          <w:p w14:paraId="6753527B" w14:textId="77777777" w:rsidR="001B77DD" w:rsidRDefault="001B77DD">
            <w:pPr>
              <w:rPr>
                <w:rFonts w:ascii="宋体"/>
                <w:vanish/>
              </w:rPr>
            </w:pPr>
          </w:p>
        </w:tc>
        <w:tc>
          <w:tcPr>
            <w:tcW w:w="0" w:type="auto"/>
            <w:gridSpan w:val="3"/>
            <w:shd w:val="clear" w:color="auto" w:fill="auto"/>
            <w:vAlign w:val="bottom"/>
          </w:tcPr>
          <w:p w14:paraId="6753527C" w14:textId="77777777" w:rsidR="001B77DD" w:rsidRDefault="001B77DD">
            <w:pPr>
              <w:rPr>
                <w:rFonts w:ascii="宋体"/>
                <w:vanish/>
              </w:rPr>
            </w:pPr>
          </w:p>
        </w:tc>
        <w:tc>
          <w:tcPr>
            <w:tcW w:w="0" w:type="auto"/>
            <w:gridSpan w:val="3"/>
            <w:shd w:val="clear" w:color="auto" w:fill="auto"/>
            <w:vAlign w:val="bottom"/>
          </w:tcPr>
          <w:p w14:paraId="6753527D" w14:textId="77777777" w:rsidR="001B77DD" w:rsidRDefault="001B77DD">
            <w:pPr>
              <w:rPr>
                <w:rFonts w:ascii="宋体"/>
                <w:vanish/>
              </w:rPr>
            </w:pPr>
          </w:p>
        </w:tc>
        <w:tc>
          <w:tcPr>
            <w:tcW w:w="0" w:type="auto"/>
            <w:gridSpan w:val="3"/>
            <w:shd w:val="clear" w:color="auto" w:fill="auto"/>
            <w:vAlign w:val="bottom"/>
          </w:tcPr>
          <w:p w14:paraId="6753527E" w14:textId="77777777" w:rsidR="001B77DD" w:rsidRDefault="001B77DD">
            <w:pPr>
              <w:rPr>
                <w:rFonts w:ascii="宋体"/>
                <w:vanish/>
              </w:rPr>
            </w:pPr>
          </w:p>
        </w:tc>
        <w:tc>
          <w:tcPr>
            <w:tcW w:w="0" w:type="auto"/>
            <w:gridSpan w:val="3"/>
            <w:shd w:val="clear" w:color="auto" w:fill="auto"/>
            <w:vAlign w:val="bottom"/>
          </w:tcPr>
          <w:p w14:paraId="6753527F" w14:textId="77777777" w:rsidR="001B77DD" w:rsidRDefault="001B77DD">
            <w:pPr>
              <w:rPr>
                <w:rFonts w:ascii="宋体"/>
                <w:vanish/>
              </w:rPr>
            </w:pPr>
          </w:p>
        </w:tc>
      </w:tr>
      <w:tr w:rsidR="001B77DD" w14:paraId="67535288" w14:textId="77777777">
        <w:trPr>
          <w:hidden/>
        </w:trPr>
        <w:tc>
          <w:tcPr>
            <w:tcW w:w="0" w:type="auto"/>
            <w:gridSpan w:val="3"/>
            <w:shd w:val="clear" w:color="auto" w:fill="auto"/>
            <w:vAlign w:val="bottom"/>
          </w:tcPr>
          <w:p w14:paraId="67535281" w14:textId="77777777" w:rsidR="001B77DD" w:rsidRDefault="001B77DD">
            <w:pPr>
              <w:rPr>
                <w:rFonts w:ascii="宋体"/>
                <w:vanish/>
              </w:rPr>
            </w:pPr>
          </w:p>
        </w:tc>
        <w:tc>
          <w:tcPr>
            <w:tcW w:w="0" w:type="auto"/>
            <w:shd w:val="clear" w:color="auto" w:fill="auto"/>
            <w:vAlign w:val="bottom"/>
          </w:tcPr>
          <w:p w14:paraId="67535282" w14:textId="77777777" w:rsidR="001B77DD" w:rsidRDefault="001B77DD">
            <w:pPr>
              <w:rPr>
                <w:rFonts w:ascii="宋体"/>
                <w:vanish/>
              </w:rPr>
            </w:pPr>
          </w:p>
        </w:tc>
        <w:tc>
          <w:tcPr>
            <w:tcW w:w="0" w:type="auto"/>
            <w:gridSpan w:val="3"/>
            <w:shd w:val="clear" w:color="auto" w:fill="auto"/>
            <w:vAlign w:val="bottom"/>
          </w:tcPr>
          <w:p w14:paraId="67535283" w14:textId="77777777" w:rsidR="001B77DD" w:rsidRDefault="001B77DD">
            <w:pPr>
              <w:rPr>
                <w:rFonts w:ascii="宋体"/>
                <w:vanish/>
              </w:rPr>
            </w:pPr>
          </w:p>
        </w:tc>
        <w:tc>
          <w:tcPr>
            <w:tcW w:w="0" w:type="auto"/>
            <w:gridSpan w:val="3"/>
            <w:shd w:val="clear" w:color="auto" w:fill="auto"/>
            <w:vAlign w:val="bottom"/>
          </w:tcPr>
          <w:p w14:paraId="67535284" w14:textId="77777777" w:rsidR="001B77DD" w:rsidRDefault="001B77DD">
            <w:pPr>
              <w:rPr>
                <w:rFonts w:ascii="宋体"/>
                <w:vanish/>
              </w:rPr>
            </w:pPr>
          </w:p>
        </w:tc>
        <w:tc>
          <w:tcPr>
            <w:tcW w:w="0" w:type="auto"/>
            <w:gridSpan w:val="3"/>
            <w:shd w:val="clear" w:color="auto" w:fill="auto"/>
            <w:vAlign w:val="bottom"/>
          </w:tcPr>
          <w:p w14:paraId="67535285" w14:textId="77777777" w:rsidR="001B77DD" w:rsidRDefault="001B77DD">
            <w:pPr>
              <w:rPr>
                <w:rFonts w:ascii="宋体"/>
                <w:vanish/>
              </w:rPr>
            </w:pPr>
          </w:p>
        </w:tc>
        <w:tc>
          <w:tcPr>
            <w:tcW w:w="0" w:type="auto"/>
            <w:gridSpan w:val="3"/>
            <w:shd w:val="clear" w:color="auto" w:fill="auto"/>
            <w:vAlign w:val="bottom"/>
          </w:tcPr>
          <w:p w14:paraId="67535286" w14:textId="77777777" w:rsidR="001B77DD" w:rsidRDefault="001B77DD">
            <w:pPr>
              <w:rPr>
                <w:rFonts w:ascii="宋体"/>
                <w:vanish/>
              </w:rPr>
            </w:pPr>
          </w:p>
        </w:tc>
        <w:tc>
          <w:tcPr>
            <w:tcW w:w="0" w:type="auto"/>
            <w:gridSpan w:val="3"/>
            <w:shd w:val="clear" w:color="auto" w:fill="auto"/>
            <w:vAlign w:val="bottom"/>
          </w:tcPr>
          <w:p w14:paraId="67535287" w14:textId="77777777" w:rsidR="001B77DD" w:rsidRDefault="001B77DD">
            <w:pPr>
              <w:rPr>
                <w:rFonts w:ascii="宋体"/>
                <w:vanish/>
              </w:rPr>
            </w:pPr>
          </w:p>
        </w:tc>
      </w:tr>
      <w:tr w:rsidR="001B77DD" w14:paraId="67535293" w14:textId="77777777">
        <w:tc>
          <w:tcPr>
            <w:tcW w:w="0" w:type="auto"/>
            <w:gridSpan w:val="3"/>
            <w:shd w:val="clear" w:color="auto" w:fill="auto"/>
            <w:tcMar>
              <w:top w:w="40" w:type="dxa"/>
              <w:left w:w="245" w:type="dxa"/>
              <w:bottom w:w="40" w:type="dxa"/>
              <w:right w:w="20" w:type="dxa"/>
            </w:tcMar>
            <w:vAlign w:val="bottom"/>
          </w:tcPr>
          <w:p w14:paraId="67535289" w14:textId="77777777" w:rsidR="001B77DD" w:rsidRDefault="00BF0A28">
            <w:pPr>
              <w:textAlignment w:val="bottom"/>
            </w:pPr>
            <w:r>
              <w:rPr>
                <w:rFonts w:ascii="Arial" w:eastAsia="宋体" w:hAnsi="Arial" w:cs="Arial"/>
                <w:color w:val="262626"/>
                <w:sz w:val="18"/>
                <w:szCs w:val="18"/>
              </w:rPr>
              <w:t>Restructuring and other charges</w:t>
            </w:r>
          </w:p>
        </w:tc>
        <w:tc>
          <w:tcPr>
            <w:tcW w:w="0" w:type="auto"/>
            <w:shd w:val="clear" w:color="auto" w:fill="auto"/>
            <w:vAlign w:val="bottom"/>
          </w:tcPr>
          <w:p w14:paraId="6753528A"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28B" w14:textId="77777777" w:rsidR="001B77DD" w:rsidRDefault="00BF0A28">
            <w:pPr>
              <w:jc w:val="right"/>
              <w:textAlignment w:val="bottom"/>
            </w:pPr>
            <w:r>
              <w:rPr>
                <w:rFonts w:ascii="Arial" w:eastAsia="宋体" w:hAnsi="Arial" w:cs="Arial"/>
                <w:color w:val="0068B5"/>
                <w:sz w:val="18"/>
                <w:szCs w:val="18"/>
              </w:rPr>
              <w:t>0.65 </w:t>
            </w:r>
          </w:p>
        </w:tc>
        <w:tc>
          <w:tcPr>
            <w:tcW w:w="0" w:type="auto"/>
            <w:shd w:val="clear" w:color="auto" w:fill="auto"/>
            <w:tcMar>
              <w:top w:w="40" w:type="dxa"/>
              <w:left w:w="0" w:type="dxa"/>
              <w:bottom w:w="40" w:type="dxa"/>
              <w:right w:w="20" w:type="dxa"/>
            </w:tcMar>
            <w:vAlign w:val="bottom"/>
          </w:tcPr>
          <w:p w14:paraId="6753528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8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8E" w14:textId="77777777" w:rsidR="001B77DD" w:rsidRDefault="00BF0A28">
            <w:pPr>
              <w:jc w:val="right"/>
              <w:textAlignment w:val="bottom"/>
            </w:pPr>
            <w:r>
              <w:rPr>
                <w:rFonts w:ascii="Arial" w:eastAsia="宋体" w:hAnsi="Arial" w:cs="Arial"/>
                <w:color w:val="262626"/>
                <w:sz w:val="18"/>
                <w:szCs w:val="18"/>
              </w:rPr>
              <w:t>0.05 </w:t>
            </w:r>
          </w:p>
        </w:tc>
        <w:tc>
          <w:tcPr>
            <w:tcW w:w="0" w:type="auto"/>
            <w:shd w:val="clear" w:color="auto" w:fill="auto"/>
            <w:tcMar>
              <w:top w:w="40" w:type="dxa"/>
              <w:left w:w="0" w:type="dxa"/>
              <w:bottom w:w="40" w:type="dxa"/>
              <w:right w:w="20" w:type="dxa"/>
            </w:tcMar>
            <w:vAlign w:val="bottom"/>
          </w:tcPr>
          <w:p w14:paraId="6753528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9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91" w14:textId="77777777" w:rsidR="001B77DD" w:rsidRDefault="00BF0A28">
            <w:pPr>
              <w:jc w:val="right"/>
              <w:textAlignment w:val="bottom"/>
            </w:pPr>
            <w:r>
              <w:rPr>
                <w:rFonts w:ascii="Arial" w:eastAsia="宋体" w:hAnsi="Arial" w:cs="Arial"/>
                <w:color w:val="262626"/>
                <w:sz w:val="18"/>
                <w:szCs w:val="18"/>
              </w:rPr>
              <w:t>0.09 </w:t>
            </w:r>
          </w:p>
        </w:tc>
        <w:tc>
          <w:tcPr>
            <w:tcW w:w="0" w:type="auto"/>
            <w:shd w:val="clear" w:color="auto" w:fill="auto"/>
            <w:tcMar>
              <w:top w:w="40" w:type="dxa"/>
              <w:left w:w="0" w:type="dxa"/>
              <w:bottom w:w="40" w:type="dxa"/>
              <w:right w:w="20" w:type="dxa"/>
            </w:tcMar>
            <w:vAlign w:val="bottom"/>
          </w:tcPr>
          <w:p w14:paraId="67535292" w14:textId="77777777" w:rsidR="001B77DD" w:rsidRDefault="001B77DD">
            <w:pPr>
              <w:jc w:val="right"/>
              <w:rPr>
                <w:rFonts w:ascii="宋体"/>
              </w:rPr>
            </w:pPr>
          </w:p>
        </w:tc>
      </w:tr>
      <w:tr w:rsidR="001B77DD" w14:paraId="6753529B" w14:textId="77777777">
        <w:trPr>
          <w:hidden/>
        </w:trPr>
        <w:tc>
          <w:tcPr>
            <w:tcW w:w="0" w:type="auto"/>
            <w:gridSpan w:val="3"/>
            <w:shd w:val="clear" w:color="auto" w:fill="auto"/>
            <w:vAlign w:val="bottom"/>
          </w:tcPr>
          <w:p w14:paraId="67535294" w14:textId="77777777" w:rsidR="001B77DD" w:rsidRDefault="001B77DD">
            <w:pPr>
              <w:rPr>
                <w:rFonts w:ascii="宋体"/>
                <w:vanish/>
              </w:rPr>
            </w:pPr>
          </w:p>
        </w:tc>
        <w:tc>
          <w:tcPr>
            <w:tcW w:w="0" w:type="auto"/>
            <w:shd w:val="clear" w:color="auto" w:fill="auto"/>
            <w:vAlign w:val="bottom"/>
          </w:tcPr>
          <w:p w14:paraId="67535295" w14:textId="77777777" w:rsidR="001B77DD" w:rsidRDefault="001B77DD">
            <w:pPr>
              <w:rPr>
                <w:rFonts w:ascii="宋体"/>
                <w:vanish/>
              </w:rPr>
            </w:pPr>
          </w:p>
        </w:tc>
        <w:tc>
          <w:tcPr>
            <w:tcW w:w="0" w:type="auto"/>
            <w:gridSpan w:val="3"/>
            <w:shd w:val="clear" w:color="auto" w:fill="auto"/>
            <w:vAlign w:val="bottom"/>
          </w:tcPr>
          <w:p w14:paraId="67535296" w14:textId="77777777" w:rsidR="001B77DD" w:rsidRDefault="001B77DD">
            <w:pPr>
              <w:rPr>
                <w:rFonts w:ascii="宋体"/>
                <w:vanish/>
              </w:rPr>
            </w:pPr>
          </w:p>
        </w:tc>
        <w:tc>
          <w:tcPr>
            <w:tcW w:w="0" w:type="auto"/>
            <w:gridSpan w:val="3"/>
            <w:shd w:val="clear" w:color="auto" w:fill="auto"/>
            <w:vAlign w:val="bottom"/>
          </w:tcPr>
          <w:p w14:paraId="67535297" w14:textId="77777777" w:rsidR="001B77DD" w:rsidRDefault="001B77DD">
            <w:pPr>
              <w:rPr>
                <w:rFonts w:ascii="宋体"/>
                <w:vanish/>
              </w:rPr>
            </w:pPr>
          </w:p>
        </w:tc>
        <w:tc>
          <w:tcPr>
            <w:tcW w:w="0" w:type="auto"/>
            <w:gridSpan w:val="3"/>
            <w:shd w:val="clear" w:color="auto" w:fill="auto"/>
            <w:vAlign w:val="bottom"/>
          </w:tcPr>
          <w:p w14:paraId="67535298" w14:textId="77777777" w:rsidR="001B77DD" w:rsidRDefault="001B77DD">
            <w:pPr>
              <w:rPr>
                <w:rFonts w:ascii="宋体"/>
                <w:vanish/>
              </w:rPr>
            </w:pPr>
          </w:p>
        </w:tc>
        <w:tc>
          <w:tcPr>
            <w:tcW w:w="0" w:type="auto"/>
            <w:gridSpan w:val="3"/>
            <w:shd w:val="clear" w:color="auto" w:fill="auto"/>
            <w:vAlign w:val="bottom"/>
          </w:tcPr>
          <w:p w14:paraId="67535299" w14:textId="77777777" w:rsidR="001B77DD" w:rsidRDefault="001B77DD">
            <w:pPr>
              <w:rPr>
                <w:rFonts w:ascii="宋体"/>
                <w:vanish/>
              </w:rPr>
            </w:pPr>
          </w:p>
        </w:tc>
        <w:tc>
          <w:tcPr>
            <w:tcW w:w="0" w:type="auto"/>
            <w:gridSpan w:val="3"/>
            <w:shd w:val="clear" w:color="auto" w:fill="auto"/>
            <w:vAlign w:val="bottom"/>
          </w:tcPr>
          <w:p w14:paraId="6753529A" w14:textId="77777777" w:rsidR="001B77DD" w:rsidRDefault="001B77DD">
            <w:pPr>
              <w:rPr>
                <w:rFonts w:ascii="宋体"/>
                <w:vanish/>
              </w:rPr>
            </w:pPr>
          </w:p>
        </w:tc>
      </w:tr>
      <w:tr w:rsidR="001B77DD" w14:paraId="675352A6" w14:textId="77777777">
        <w:tc>
          <w:tcPr>
            <w:tcW w:w="0" w:type="auto"/>
            <w:gridSpan w:val="3"/>
            <w:shd w:val="clear" w:color="auto" w:fill="auto"/>
            <w:tcMar>
              <w:top w:w="40" w:type="dxa"/>
              <w:left w:w="245" w:type="dxa"/>
              <w:bottom w:w="40" w:type="dxa"/>
              <w:right w:w="20" w:type="dxa"/>
            </w:tcMar>
            <w:vAlign w:val="bottom"/>
          </w:tcPr>
          <w:p w14:paraId="6753529C" w14:textId="77777777" w:rsidR="001B77DD" w:rsidRDefault="00BF0A28">
            <w:pPr>
              <w:textAlignment w:val="bottom"/>
            </w:pPr>
            <w:r>
              <w:rPr>
                <w:rFonts w:ascii="Arial" w:eastAsia="宋体" w:hAnsi="Arial" w:cs="Arial"/>
                <w:color w:val="262626"/>
                <w:sz w:val="18"/>
                <w:szCs w:val="18"/>
              </w:rPr>
              <w:t>(Gains) losses from divestiture</w:t>
            </w:r>
          </w:p>
        </w:tc>
        <w:tc>
          <w:tcPr>
            <w:tcW w:w="0" w:type="auto"/>
            <w:shd w:val="clear" w:color="auto" w:fill="auto"/>
            <w:vAlign w:val="bottom"/>
          </w:tcPr>
          <w:p w14:paraId="6753529D"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29E"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29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A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A1"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2A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A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A4" w14:textId="77777777" w:rsidR="001B77DD" w:rsidRDefault="00BF0A28">
            <w:pPr>
              <w:jc w:val="right"/>
              <w:textAlignment w:val="bottom"/>
            </w:pPr>
            <w:r>
              <w:rPr>
                <w:rFonts w:ascii="Arial" w:eastAsia="宋体" w:hAnsi="Arial" w:cs="Arial"/>
                <w:color w:val="262626"/>
                <w:sz w:val="18"/>
                <w:szCs w:val="18"/>
              </w:rPr>
              <w:t>(0.16)</w:t>
            </w:r>
          </w:p>
        </w:tc>
        <w:tc>
          <w:tcPr>
            <w:tcW w:w="0" w:type="auto"/>
            <w:shd w:val="clear" w:color="auto" w:fill="auto"/>
            <w:tcMar>
              <w:top w:w="40" w:type="dxa"/>
              <w:left w:w="0" w:type="dxa"/>
              <w:bottom w:w="40" w:type="dxa"/>
              <w:right w:w="20" w:type="dxa"/>
            </w:tcMar>
            <w:vAlign w:val="bottom"/>
          </w:tcPr>
          <w:p w14:paraId="675352A5" w14:textId="77777777" w:rsidR="001B77DD" w:rsidRDefault="001B77DD">
            <w:pPr>
              <w:jc w:val="right"/>
              <w:rPr>
                <w:rFonts w:ascii="宋体"/>
              </w:rPr>
            </w:pPr>
          </w:p>
        </w:tc>
      </w:tr>
      <w:tr w:rsidR="001B77DD" w14:paraId="675352B1" w14:textId="77777777">
        <w:tc>
          <w:tcPr>
            <w:tcW w:w="0" w:type="auto"/>
            <w:gridSpan w:val="3"/>
            <w:shd w:val="clear" w:color="auto" w:fill="auto"/>
            <w:tcMar>
              <w:top w:w="40" w:type="dxa"/>
              <w:left w:w="245" w:type="dxa"/>
              <w:bottom w:w="40" w:type="dxa"/>
              <w:right w:w="20" w:type="dxa"/>
            </w:tcMar>
            <w:vAlign w:val="bottom"/>
          </w:tcPr>
          <w:p w14:paraId="675352A7" w14:textId="77777777" w:rsidR="001B77DD" w:rsidRDefault="00BF0A28">
            <w:pPr>
              <w:textAlignment w:val="bottom"/>
            </w:pPr>
            <w:r>
              <w:rPr>
                <w:rFonts w:ascii="Arial" w:eastAsia="宋体" w:hAnsi="Arial" w:cs="Arial"/>
                <w:color w:val="262626"/>
                <w:sz w:val="18"/>
                <w:szCs w:val="18"/>
              </w:rPr>
              <w:t xml:space="preserve">Ongoing mark-to-market on marketable equity securities </w:t>
            </w:r>
          </w:p>
        </w:tc>
        <w:tc>
          <w:tcPr>
            <w:tcW w:w="0" w:type="auto"/>
            <w:shd w:val="clear" w:color="auto" w:fill="auto"/>
            <w:vAlign w:val="bottom"/>
          </w:tcPr>
          <w:p w14:paraId="675352A8"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2A9" w14:textId="77777777" w:rsidR="001B77DD" w:rsidRDefault="00BF0A28">
            <w:pPr>
              <w:jc w:val="right"/>
              <w:textAlignment w:val="bottom"/>
            </w:pPr>
            <w:r>
              <w:rPr>
                <w:rFonts w:ascii="Arial" w:eastAsia="宋体" w:hAnsi="Arial" w:cs="Arial"/>
                <w:color w:val="0068B5"/>
                <w:sz w:val="18"/>
                <w:szCs w:val="18"/>
              </w:rPr>
              <w:t>0.03 </w:t>
            </w:r>
          </w:p>
        </w:tc>
        <w:tc>
          <w:tcPr>
            <w:tcW w:w="0" w:type="auto"/>
            <w:shd w:val="clear" w:color="auto" w:fill="auto"/>
            <w:tcMar>
              <w:top w:w="40" w:type="dxa"/>
              <w:left w:w="0" w:type="dxa"/>
              <w:bottom w:w="40" w:type="dxa"/>
              <w:right w:w="20" w:type="dxa"/>
            </w:tcMar>
            <w:vAlign w:val="bottom"/>
          </w:tcPr>
          <w:p w14:paraId="675352A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A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AC" w14:textId="77777777" w:rsidR="001B77DD" w:rsidRDefault="00BF0A28">
            <w:pPr>
              <w:jc w:val="right"/>
              <w:textAlignment w:val="bottom"/>
            </w:pPr>
            <w:r>
              <w:rPr>
                <w:rFonts w:ascii="Arial" w:eastAsia="宋体" w:hAnsi="Arial" w:cs="Arial"/>
                <w:color w:val="262626"/>
                <w:sz w:val="18"/>
                <w:szCs w:val="18"/>
              </w:rPr>
              <w:t>0.03 </w:t>
            </w:r>
          </w:p>
        </w:tc>
        <w:tc>
          <w:tcPr>
            <w:tcW w:w="0" w:type="auto"/>
            <w:shd w:val="clear" w:color="auto" w:fill="auto"/>
            <w:tcMar>
              <w:top w:w="40" w:type="dxa"/>
              <w:left w:w="0" w:type="dxa"/>
              <w:bottom w:w="40" w:type="dxa"/>
              <w:right w:w="20" w:type="dxa"/>
            </w:tcMar>
            <w:vAlign w:val="bottom"/>
          </w:tcPr>
          <w:p w14:paraId="675352A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A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AF" w14:textId="77777777" w:rsidR="001B77DD" w:rsidRDefault="00BF0A28">
            <w:pPr>
              <w:jc w:val="right"/>
              <w:textAlignment w:val="bottom"/>
            </w:pPr>
            <w:r>
              <w:rPr>
                <w:rFonts w:ascii="Arial" w:eastAsia="宋体" w:hAnsi="Arial" w:cs="Arial"/>
                <w:color w:val="262626"/>
                <w:sz w:val="18"/>
                <w:szCs w:val="18"/>
              </w:rPr>
              <w:t>(0.06)</w:t>
            </w:r>
          </w:p>
        </w:tc>
        <w:tc>
          <w:tcPr>
            <w:tcW w:w="0" w:type="auto"/>
            <w:shd w:val="clear" w:color="auto" w:fill="auto"/>
            <w:tcMar>
              <w:top w:w="40" w:type="dxa"/>
              <w:left w:w="0" w:type="dxa"/>
              <w:bottom w:w="40" w:type="dxa"/>
              <w:right w:w="20" w:type="dxa"/>
            </w:tcMar>
            <w:vAlign w:val="bottom"/>
          </w:tcPr>
          <w:p w14:paraId="675352B0" w14:textId="77777777" w:rsidR="001B77DD" w:rsidRDefault="001B77DD">
            <w:pPr>
              <w:jc w:val="right"/>
              <w:rPr>
                <w:rFonts w:ascii="宋体"/>
              </w:rPr>
            </w:pPr>
          </w:p>
        </w:tc>
      </w:tr>
      <w:tr w:rsidR="001B77DD" w14:paraId="675352B9" w14:textId="77777777">
        <w:trPr>
          <w:hidden/>
        </w:trPr>
        <w:tc>
          <w:tcPr>
            <w:tcW w:w="0" w:type="auto"/>
            <w:gridSpan w:val="3"/>
            <w:shd w:val="clear" w:color="auto" w:fill="auto"/>
            <w:vAlign w:val="bottom"/>
          </w:tcPr>
          <w:p w14:paraId="675352B2" w14:textId="77777777" w:rsidR="001B77DD" w:rsidRDefault="001B77DD">
            <w:pPr>
              <w:rPr>
                <w:rFonts w:ascii="宋体"/>
                <w:vanish/>
              </w:rPr>
            </w:pPr>
          </w:p>
        </w:tc>
        <w:tc>
          <w:tcPr>
            <w:tcW w:w="0" w:type="auto"/>
            <w:shd w:val="clear" w:color="auto" w:fill="auto"/>
            <w:vAlign w:val="bottom"/>
          </w:tcPr>
          <w:p w14:paraId="675352B3" w14:textId="77777777" w:rsidR="001B77DD" w:rsidRDefault="001B77DD">
            <w:pPr>
              <w:rPr>
                <w:rFonts w:ascii="宋体"/>
                <w:vanish/>
              </w:rPr>
            </w:pPr>
          </w:p>
        </w:tc>
        <w:tc>
          <w:tcPr>
            <w:tcW w:w="0" w:type="auto"/>
            <w:gridSpan w:val="3"/>
            <w:shd w:val="clear" w:color="auto" w:fill="auto"/>
            <w:vAlign w:val="bottom"/>
          </w:tcPr>
          <w:p w14:paraId="675352B4" w14:textId="77777777" w:rsidR="001B77DD" w:rsidRDefault="001B77DD">
            <w:pPr>
              <w:rPr>
                <w:rFonts w:ascii="宋体"/>
                <w:vanish/>
              </w:rPr>
            </w:pPr>
          </w:p>
        </w:tc>
        <w:tc>
          <w:tcPr>
            <w:tcW w:w="0" w:type="auto"/>
            <w:gridSpan w:val="3"/>
            <w:shd w:val="clear" w:color="auto" w:fill="auto"/>
            <w:vAlign w:val="bottom"/>
          </w:tcPr>
          <w:p w14:paraId="675352B5" w14:textId="77777777" w:rsidR="001B77DD" w:rsidRDefault="001B77DD">
            <w:pPr>
              <w:rPr>
                <w:rFonts w:ascii="宋体"/>
                <w:vanish/>
              </w:rPr>
            </w:pPr>
          </w:p>
        </w:tc>
        <w:tc>
          <w:tcPr>
            <w:tcW w:w="0" w:type="auto"/>
            <w:gridSpan w:val="3"/>
            <w:shd w:val="clear" w:color="auto" w:fill="auto"/>
            <w:vAlign w:val="bottom"/>
          </w:tcPr>
          <w:p w14:paraId="675352B6" w14:textId="77777777" w:rsidR="001B77DD" w:rsidRDefault="001B77DD">
            <w:pPr>
              <w:rPr>
                <w:rFonts w:ascii="宋体"/>
                <w:vanish/>
              </w:rPr>
            </w:pPr>
          </w:p>
        </w:tc>
        <w:tc>
          <w:tcPr>
            <w:tcW w:w="0" w:type="auto"/>
            <w:gridSpan w:val="3"/>
            <w:shd w:val="clear" w:color="auto" w:fill="auto"/>
            <w:vAlign w:val="bottom"/>
          </w:tcPr>
          <w:p w14:paraId="675352B7" w14:textId="77777777" w:rsidR="001B77DD" w:rsidRDefault="001B77DD">
            <w:pPr>
              <w:rPr>
                <w:rFonts w:ascii="宋体"/>
                <w:vanish/>
              </w:rPr>
            </w:pPr>
          </w:p>
        </w:tc>
        <w:tc>
          <w:tcPr>
            <w:tcW w:w="0" w:type="auto"/>
            <w:gridSpan w:val="3"/>
            <w:shd w:val="clear" w:color="auto" w:fill="auto"/>
            <w:vAlign w:val="bottom"/>
          </w:tcPr>
          <w:p w14:paraId="675352B8" w14:textId="77777777" w:rsidR="001B77DD" w:rsidRDefault="001B77DD">
            <w:pPr>
              <w:rPr>
                <w:rFonts w:ascii="宋体"/>
                <w:vanish/>
              </w:rPr>
            </w:pPr>
          </w:p>
        </w:tc>
      </w:tr>
      <w:tr w:rsidR="001B77DD" w14:paraId="675352C4" w14:textId="77777777">
        <w:tc>
          <w:tcPr>
            <w:tcW w:w="0" w:type="auto"/>
            <w:gridSpan w:val="3"/>
            <w:shd w:val="clear" w:color="auto" w:fill="auto"/>
            <w:tcMar>
              <w:top w:w="40" w:type="dxa"/>
              <w:left w:w="245" w:type="dxa"/>
              <w:bottom w:w="40" w:type="dxa"/>
              <w:right w:w="20" w:type="dxa"/>
            </w:tcMar>
            <w:vAlign w:val="bottom"/>
          </w:tcPr>
          <w:p w14:paraId="675352BA" w14:textId="77777777" w:rsidR="001B77DD" w:rsidRDefault="00BF0A28">
            <w:pPr>
              <w:textAlignment w:val="bottom"/>
            </w:pPr>
            <w:r>
              <w:rPr>
                <w:rFonts w:ascii="Arial" w:eastAsia="宋体" w:hAnsi="Arial" w:cs="Arial"/>
                <w:color w:val="262626"/>
                <w:sz w:val="18"/>
                <w:szCs w:val="18"/>
              </w:rPr>
              <w:t>NAND memory business</w:t>
            </w:r>
          </w:p>
        </w:tc>
        <w:tc>
          <w:tcPr>
            <w:tcW w:w="0" w:type="auto"/>
            <w:shd w:val="clear" w:color="auto" w:fill="auto"/>
            <w:vAlign w:val="bottom"/>
          </w:tcPr>
          <w:p w14:paraId="675352BB"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2BC" w14:textId="77777777" w:rsidR="001B77DD" w:rsidRDefault="00BF0A28">
            <w:pPr>
              <w:jc w:val="right"/>
              <w:textAlignment w:val="bottom"/>
            </w:pPr>
            <w:r>
              <w:rPr>
                <w:rFonts w:ascii="Arial" w:eastAsia="宋体" w:hAnsi="Arial" w:cs="Arial"/>
                <w:color w:val="0068B5"/>
                <w:sz w:val="18"/>
                <w:szCs w:val="18"/>
              </w:rPr>
              <w:t>(0.33)</w:t>
            </w:r>
          </w:p>
        </w:tc>
        <w:tc>
          <w:tcPr>
            <w:tcW w:w="0" w:type="auto"/>
            <w:shd w:val="clear" w:color="auto" w:fill="auto"/>
            <w:tcMar>
              <w:top w:w="40" w:type="dxa"/>
              <w:left w:w="0" w:type="dxa"/>
              <w:bottom w:w="40" w:type="dxa"/>
              <w:right w:w="20" w:type="dxa"/>
            </w:tcMar>
            <w:vAlign w:val="bottom"/>
          </w:tcPr>
          <w:p w14:paraId="675352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B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BF" w14:textId="77777777" w:rsidR="001B77DD" w:rsidRDefault="00BF0A28">
            <w:pPr>
              <w:jc w:val="right"/>
              <w:textAlignment w:val="bottom"/>
            </w:pPr>
            <w:r>
              <w:rPr>
                <w:rFonts w:ascii="Arial" w:eastAsia="宋体" w:hAnsi="Arial" w:cs="Arial"/>
                <w:color w:val="262626"/>
                <w:sz w:val="18"/>
                <w:szCs w:val="18"/>
              </w:rPr>
              <w:t>(0.22)</w:t>
            </w:r>
          </w:p>
        </w:tc>
        <w:tc>
          <w:tcPr>
            <w:tcW w:w="0" w:type="auto"/>
            <w:shd w:val="clear" w:color="auto" w:fill="auto"/>
            <w:tcMar>
              <w:top w:w="40" w:type="dxa"/>
              <w:left w:w="0" w:type="dxa"/>
              <w:bottom w:w="40" w:type="dxa"/>
              <w:right w:w="20" w:type="dxa"/>
            </w:tcMar>
            <w:vAlign w:val="bottom"/>
          </w:tcPr>
          <w:p w14:paraId="675352C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C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C2" w14:textId="77777777" w:rsidR="001B77DD" w:rsidRDefault="00BF0A28">
            <w:pPr>
              <w:jc w:val="right"/>
              <w:textAlignment w:val="bottom"/>
            </w:pPr>
            <w:r>
              <w:rPr>
                <w:rFonts w:ascii="Arial" w:eastAsia="宋体" w:hAnsi="Arial" w:cs="Arial"/>
                <w:color w:val="262626"/>
                <w:sz w:val="18"/>
                <w:szCs w:val="18"/>
              </w:rPr>
              <w:t>0.13 </w:t>
            </w:r>
          </w:p>
        </w:tc>
        <w:tc>
          <w:tcPr>
            <w:tcW w:w="0" w:type="auto"/>
            <w:shd w:val="clear" w:color="auto" w:fill="auto"/>
            <w:tcMar>
              <w:top w:w="40" w:type="dxa"/>
              <w:left w:w="0" w:type="dxa"/>
              <w:bottom w:w="40" w:type="dxa"/>
              <w:right w:w="20" w:type="dxa"/>
            </w:tcMar>
            <w:vAlign w:val="bottom"/>
          </w:tcPr>
          <w:p w14:paraId="675352C3" w14:textId="77777777" w:rsidR="001B77DD" w:rsidRDefault="001B77DD">
            <w:pPr>
              <w:jc w:val="right"/>
              <w:rPr>
                <w:rFonts w:ascii="宋体"/>
              </w:rPr>
            </w:pPr>
          </w:p>
        </w:tc>
      </w:tr>
      <w:tr w:rsidR="001B77DD" w14:paraId="675352CF" w14:textId="77777777">
        <w:tc>
          <w:tcPr>
            <w:tcW w:w="0" w:type="auto"/>
            <w:gridSpan w:val="3"/>
            <w:shd w:val="clear" w:color="auto" w:fill="auto"/>
            <w:tcMar>
              <w:top w:w="40" w:type="dxa"/>
              <w:left w:w="245" w:type="dxa"/>
              <w:bottom w:w="40" w:type="dxa"/>
              <w:right w:w="20" w:type="dxa"/>
            </w:tcMar>
            <w:vAlign w:val="bottom"/>
          </w:tcPr>
          <w:p w14:paraId="675352C5" w14:textId="77777777" w:rsidR="001B77DD" w:rsidRDefault="00BF0A28">
            <w:pPr>
              <w:textAlignment w:val="bottom"/>
            </w:pPr>
            <w:r>
              <w:rPr>
                <w:rFonts w:ascii="Arial" w:eastAsia="宋体" w:hAnsi="Arial" w:cs="Arial"/>
                <w:color w:val="262626"/>
                <w:sz w:val="18"/>
                <w:szCs w:val="18"/>
              </w:rPr>
              <w:t>Income tax effects</w:t>
            </w:r>
          </w:p>
        </w:tc>
        <w:tc>
          <w:tcPr>
            <w:tcW w:w="0" w:type="auto"/>
            <w:shd w:val="clear" w:color="auto" w:fill="auto"/>
            <w:vAlign w:val="bottom"/>
          </w:tcPr>
          <w:p w14:paraId="675352C6"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52C7" w14:textId="77777777" w:rsidR="001B77DD" w:rsidRDefault="00BF0A28">
            <w:pPr>
              <w:jc w:val="right"/>
              <w:textAlignment w:val="bottom"/>
            </w:pPr>
            <w:r>
              <w:rPr>
                <w:rFonts w:ascii="Arial" w:eastAsia="宋体" w:hAnsi="Arial" w:cs="Arial"/>
                <w:color w:val="0068B5"/>
                <w:sz w:val="18"/>
                <w:szCs w:val="18"/>
              </w:rPr>
              <w:t>(0.10)</w:t>
            </w:r>
          </w:p>
        </w:tc>
        <w:tc>
          <w:tcPr>
            <w:tcW w:w="0" w:type="auto"/>
            <w:shd w:val="clear" w:color="auto" w:fill="auto"/>
            <w:tcMar>
              <w:top w:w="40" w:type="dxa"/>
              <w:left w:w="0" w:type="dxa"/>
              <w:bottom w:w="40" w:type="dxa"/>
              <w:right w:w="20" w:type="dxa"/>
            </w:tcMar>
            <w:vAlign w:val="bottom"/>
          </w:tcPr>
          <w:p w14:paraId="675352C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C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CA" w14:textId="77777777" w:rsidR="001B77DD" w:rsidRDefault="00BF0A28">
            <w:pPr>
              <w:jc w:val="right"/>
              <w:textAlignment w:val="bottom"/>
            </w:pPr>
            <w:r>
              <w:rPr>
                <w:rFonts w:ascii="Arial" w:eastAsia="宋体" w:hAnsi="Arial" w:cs="Arial"/>
                <w:color w:val="262626"/>
                <w:sz w:val="18"/>
                <w:szCs w:val="18"/>
              </w:rPr>
              <w:t>(0.03)</w:t>
            </w:r>
          </w:p>
        </w:tc>
        <w:tc>
          <w:tcPr>
            <w:tcW w:w="0" w:type="auto"/>
            <w:shd w:val="clear" w:color="auto" w:fill="auto"/>
            <w:tcMar>
              <w:top w:w="40" w:type="dxa"/>
              <w:left w:w="0" w:type="dxa"/>
              <w:bottom w:w="40" w:type="dxa"/>
              <w:right w:w="20" w:type="dxa"/>
            </w:tcMar>
            <w:vAlign w:val="bottom"/>
          </w:tcPr>
          <w:p w14:paraId="675352C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C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2CD" w14:textId="77777777" w:rsidR="001B77DD" w:rsidRDefault="00BF0A28">
            <w:pPr>
              <w:jc w:val="right"/>
              <w:textAlignment w:val="bottom"/>
            </w:pPr>
            <w:r>
              <w:rPr>
                <w:rFonts w:ascii="Arial" w:eastAsia="宋体" w:hAnsi="Arial" w:cs="Arial"/>
                <w:color w:val="262626"/>
                <w:sz w:val="18"/>
                <w:szCs w:val="18"/>
              </w:rPr>
              <w:t>(0.03)</w:t>
            </w:r>
          </w:p>
        </w:tc>
        <w:tc>
          <w:tcPr>
            <w:tcW w:w="0" w:type="auto"/>
            <w:shd w:val="clear" w:color="auto" w:fill="auto"/>
            <w:tcMar>
              <w:top w:w="40" w:type="dxa"/>
              <w:left w:w="0" w:type="dxa"/>
              <w:bottom w:w="40" w:type="dxa"/>
              <w:right w:w="20" w:type="dxa"/>
            </w:tcMar>
            <w:vAlign w:val="bottom"/>
          </w:tcPr>
          <w:p w14:paraId="675352CE" w14:textId="77777777" w:rsidR="001B77DD" w:rsidRDefault="001B77DD">
            <w:pPr>
              <w:jc w:val="right"/>
              <w:rPr>
                <w:rFonts w:ascii="宋体"/>
              </w:rPr>
            </w:pPr>
          </w:p>
        </w:tc>
      </w:tr>
      <w:tr w:rsidR="001B77DD" w14:paraId="675352DD" w14:textId="77777777">
        <w:tc>
          <w:tcPr>
            <w:tcW w:w="0" w:type="auto"/>
            <w:gridSpan w:val="3"/>
            <w:shd w:val="clear" w:color="auto" w:fill="auto"/>
            <w:tcMar>
              <w:top w:w="40" w:type="dxa"/>
              <w:left w:w="20" w:type="dxa"/>
              <w:bottom w:w="40" w:type="dxa"/>
              <w:right w:w="20" w:type="dxa"/>
            </w:tcMar>
            <w:vAlign w:val="bottom"/>
          </w:tcPr>
          <w:p w14:paraId="675352D0" w14:textId="77777777" w:rsidR="001B77DD" w:rsidRDefault="00BF0A28">
            <w:pPr>
              <w:textAlignment w:val="bottom"/>
            </w:pPr>
            <w:r>
              <w:rPr>
                <w:rFonts w:ascii="Arial" w:eastAsia="宋体" w:hAnsi="Arial" w:cs="Arial"/>
                <w:b/>
                <w:bCs/>
                <w:color w:val="262626"/>
                <w:sz w:val="18"/>
                <w:szCs w:val="18"/>
              </w:rPr>
              <w:t>Non-GAAP earnings per share—diluted</w:t>
            </w:r>
          </w:p>
        </w:tc>
        <w:tc>
          <w:tcPr>
            <w:tcW w:w="0" w:type="auto"/>
            <w:shd w:val="clear" w:color="auto" w:fill="auto"/>
            <w:vAlign w:val="bottom"/>
          </w:tcPr>
          <w:p w14:paraId="675352D1" w14:textId="77777777" w:rsidR="001B77DD" w:rsidRDefault="001B77DD">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52D2"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2D3" w14:textId="77777777" w:rsidR="001B77DD" w:rsidRDefault="00BF0A28">
            <w:pPr>
              <w:jc w:val="right"/>
              <w:textAlignment w:val="bottom"/>
            </w:pPr>
            <w:r>
              <w:rPr>
                <w:rFonts w:ascii="Arial" w:eastAsia="宋体" w:hAnsi="Arial" w:cs="Arial"/>
                <w:b/>
                <w:bCs/>
                <w:color w:val="0068B5"/>
                <w:sz w:val="18"/>
                <w:szCs w:val="18"/>
              </w:rPr>
              <w:t>5.47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2D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D5"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52D6"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2D7" w14:textId="77777777" w:rsidR="001B77DD" w:rsidRDefault="00BF0A28">
            <w:pPr>
              <w:jc w:val="right"/>
              <w:textAlignment w:val="bottom"/>
            </w:pPr>
            <w:r>
              <w:rPr>
                <w:rFonts w:ascii="Arial" w:eastAsia="宋体" w:hAnsi="Arial" w:cs="Arial"/>
                <w:b/>
                <w:bCs/>
                <w:color w:val="262626"/>
                <w:sz w:val="18"/>
                <w:szCs w:val="18"/>
              </w:rPr>
              <w:t>5.10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2D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2D9"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52DA"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2DB" w14:textId="77777777" w:rsidR="001B77DD" w:rsidRDefault="00BF0A28">
            <w:pPr>
              <w:jc w:val="right"/>
              <w:textAlignment w:val="bottom"/>
            </w:pPr>
            <w:r>
              <w:rPr>
                <w:rFonts w:ascii="Arial" w:eastAsia="宋体" w:hAnsi="Arial" w:cs="Arial"/>
                <w:b/>
                <w:bCs/>
                <w:color w:val="262626"/>
                <w:sz w:val="18"/>
                <w:szCs w:val="18"/>
              </w:rPr>
              <w:t>4.97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2DC" w14:textId="77777777" w:rsidR="001B77DD" w:rsidRDefault="001B77DD">
            <w:pPr>
              <w:jc w:val="right"/>
              <w:rPr>
                <w:rFonts w:ascii="宋体"/>
              </w:rPr>
            </w:pPr>
          </w:p>
        </w:tc>
      </w:tr>
    </w:tbl>
    <w:p w14:paraId="675352DE"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945"/>
        <w:gridCol w:w="37"/>
        <w:gridCol w:w="36"/>
        <w:gridCol w:w="36"/>
        <w:gridCol w:w="36"/>
        <w:gridCol w:w="121"/>
        <w:gridCol w:w="797"/>
        <w:gridCol w:w="36"/>
        <w:gridCol w:w="36"/>
        <w:gridCol w:w="36"/>
        <w:gridCol w:w="36"/>
        <w:gridCol w:w="121"/>
        <w:gridCol w:w="797"/>
        <w:gridCol w:w="36"/>
        <w:gridCol w:w="36"/>
        <w:gridCol w:w="36"/>
        <w:gridCol w:w="36"/>
        <w:gridCol w:w="121"/>
        <w:gridCol w:w="799"/>
        <w:gridCol w:w="36"/>
        <w:gridCol w:w="36"/>
        <w:gridCol w:w="36"/>
        <w:gridCol w:w="36"/>
        <w:gridCol w:w="121"/>
        <w:gridCol w:w="799"/>
        <w:gridCol w:w="36"/>
        <w:gridCol w:w="36"/>
        <w:gridCol w:w="36"/>
        <w:gridCol w:w="36"/>
        <w:gridCol w:w="121"/>
        <w:gridCol w:w="799"/>
        <w:gridCol w:w="36"/>
      </w:tblGrid>
      <w:tr w:rsidR="001B77DD" w14:paraId="67535300" w14:textId="77777777">
        <w:tc>
          <w:tcPr>
            <w:tcW w:w="50" w:type="pct"/>
            <w:shd w:val="clear" w:color="auto" w:fill="auto"/>
            <w:vAlign w:val="bottom"/>
          </w:tcPr>
          <w:p w14:paraId="675352DF" w14:textId="77777777" w:rsidR="001B77DD" w:rsidRDefault="001B77DD">
            <w:pPr>
              <w:rPr>
                <w:rFonts w:ascii="宋体"/>
              </w:rPr>
            </w:pPr>
          </w:p>
        </w:tc>
        <w:tc>
          <w:tcPr>
            <w:tcW w:w="1802" w:type="pct"/>
            <w:shd w:val="clear" w:color="auto" w:fill="auto"/>
            <w:vAlign w:val="bottom"/>
          </w:tcPr>
          <w:p w14:paraId="675352E0" w14:textId="77777777" w:rsidR="001B77DD" w:rsidRDefault="001B77DD">
            <w:pPr>
              <w:rPr>
                <w:rFonts w:ascii="宋体"/>
              </w:rPr>
            </w:pPr>
          </w:p>
        </w:tc>
        <w:tc>
          <w:tcPr>
            <w:tcW w:w="5" w:type="pct"/>
            <w:shd w:val="clear" w:color="auto" w:fill="auto"/>
            <w:vAlign w:val="bottom"/>
          </w:tcPr>
          <w:p w14:paraId="675352E1" w14:textId="77777777" w:rsidR="001B77DD" w:rsidRDefault="001B77DD">
            <w:pPr>
              <w:rPr>
                <w:rFonts w:ascii="宋体"/>
              </w:rPr>
            </w:pPr>
          </w:p>
        </w:tc>
        <w:tc>
          <w:tcPr>
            <w:tcW w:w="5" w:type="pct"/>
            <w:shd w:val="clear" w:color="auto" w:fill="auto"/>
            <w:vAlign w:val="bottom"/>
          </w:tcPr>
          <w:p w14:paraId="675352E2" w14:textId="77777777" w:rsidR="001B77DD" w:rsidRDefault="001B77DD">
            <w:pPr>
              <w:rPr>
                <w:rFonts w:ascii="宋体"/>
              </w:rPr>
            </w:pPr>
          </w:p>
        </w:tc>
        <w:tc>
          <w:tcPr>
            <w:tcW w:w="24" w:type="pct"/>
            <w:shd w:val="clear" w:color="auto" w:fill="auto"/>
            <w:vAlign w:val="bottom"/>
          </w:tcPr>
          <w:p w14:paraId="675352E3" w14:textId="77777777" w:rsidR="001B77DD" w:rsidRDefault="001B77DD">
            <w:pPr>
              <w:rPr>
                <w:rFonts w:ascii="宋体"/>
              </w:rPr>
            </w:pPr>
          </w:p>
        </w:tc>
        <w:tc>
          <w:tcPr>
            <w:tcW w:w="5" w:type="pct"/>
            <w:shd w:val="clear" w:color="auto" w:fill="auto"/>
            <w:vAlign w:val="bottom"/>
          </w:tcPr>
          <w:p w14:paraId="675352E4" w14:textId="77777777" w:rsidR="001B77DD" w:rsidRDefault="001B77DD">
            <w:pPr>
              <w:rPr>
                <w:rFonts w:ascii="宋体"/>
              </w:rPr>
            </w:pPr>
          </w:p>
        </w:tc>
        <w:tc>
          <w:tcPr>
            <w:tcW w:w="50" w:type="pct"/>
            <w:shd w:val="clear" w:color="auto" w:fill="auto"/>
            <w:vAlign w:val="bottom"/>
          </w:tcPr>
          <w:p w14:paraId="675352E5" w14:textId="77777777" w:rsidR="001B77DD" w:rsidRDefault="001B77DD">
            <w:pPr>
              <w:rPr>
                <w:rFonts w:ascii="宋体"/>
              </w:rPr>
            </w:pPr>
          </w:p>
        </w:tc>
        <w:tc>
          <w:tcPr>
            <w:tcW w:w="539" w:type="pct"/>
            <w:shd w:val="clear" w:color="auto" w:fill="auto"/>
            <w:vAlign w:val="bottom"/>
          </w:tcPr>
          <w:p w14:paraId="675352E6" w14:textId="77777777" w:rsidR="001B77DD" w:rsidRDefault="001B77DD">
            <w:pPr>
              <w:rPr>
                <w:rFonts w:ascii="宋体"/>
              </w:rPr>
            </w:pPr>
          </w:p>
        </w:tc>
        <w:tc>
          <w:tcPr>
            <w:tcW w:w="5" w:type="pct"/>
            <w:shd w:val="clear" w:color="auto" w:fill="auto"/>
            <w:vAlign w:val="bottom"/>
          </w:tcPr>
          <w:p w14:paraId="675352E7" w14:textId="77777777" w:rsidR="001B77DD" w:rsidRDefault="001B77DD">
            <w:pPr>
              <w:rPr>
                <w:rFonts w:ascii="宋体"/>
              </w:rPr>
            </w:pPr>
          </w:p>
        </w:tc>
        <w:tc>
          <w:tcPr>
            <w:tcW w:w="5" w:type="pct"/>
            <w:shd w:val="clear" w:color="auto" w:fill="auto"/>
            <w:vAlign w:val="bottom"/>
          </w:tcPr>
          <w:p w14:paraId="675352E8" w14:textId="77777777" w:rsidR="001B77DD" w:rsidRDefault="001B77DD">
            <w:pPr>
              <w:rPr>
                <w:rFonts w:ascii="宋体"/>
              </w:rPr>
            </w:pPr>
          </w:p>
        </w:tc>
        <w:tc>
          <w:tcPr>
            <w:tcW w:w="24" w:type="pct"/>
            <w:shd w:val="clear" w:color="auto" w:fill="auto"/>
            <w:vAlign w:val="bottom"/>
          </w:tcPr>
          <w:p w14:paraId="675352E9" w14:textId="77777777" w:rsidR="001B77DD" w:rsidRDefault="001B77DD">
            <w:pPr>
              <w:rPr>
                <w:rFonts w:ascii="宋体"/>
              </w:rPr>
            </w:pPr>
          </w:p>
        </w:tc>
        <w:tc>
          <w:tcPr>
            <w:tcW w:w="5" w:type="pct"/>
            <w:shd w:val="clear" w:color="auto" w:fill="auto"/>
            <w:vAlign w:val="bottom"/>
          </w:tcPr>
          <w:p w14:paraId="675352EA" w14:textId="77777777" w:rsidR="001B77DD" w:rsidRDefault="001B77DD">
            <w:pPr>
              <w:rPr>
                <w:rFonts w:ascii="宋体"/>
              </w:rPr>
            </w:pPr>
          </w:p>
        </w:tc>
        <w:tc>
          <w:tcPr>
            <w:tcW w:w="50" w:type="pct"/>
            <w:shd w:val="clear" w:color="auto" w:fill="auto"/>
            <w:vAlign w:val="bottom"/>
          </w:tcPr>
          <w:p w14:paraId="675352EB" w14:textId="77777777" w:rsidR="001B77DD" w:rsidRDefault="001B77DD">
            <w:pPr>
              <w:rPr>
                <w:rFonts w:ascii="宋体"/>
              </w:rPr>
            </w:pPr>
          </w:p>
        </w:tc>
        <w:tc>
          <w:tcPr>
            <w:tcW w:w="539" w:type="pct"/>
            <w:shd w:val="clear" w:color="auto" w:fill="auto"/>
            <w:vAlign w:val="bottom"/>
          </w:tcPr>
          <w:p w14:paraId="675352EC" w14:textId="77777777" w:rsidR="001B77DD" w:rsidRDefault="001B77DD">
            <w:pPr>
              <w:rPr>
                <w:rFonts w:ascii="宋体"/>
              </w:rPr>
            </w:pPr>
          </w:p>
        </w:tc>
        <w:tc>
          <w:tcPr>
            <w:tcW w:w="5" w:type="pct"/>
            <w:shd w:val="clear" w:color="auto" w:fill="auto"/>
            <w:vAlign w:val="bottom"/>
          </w:tcPr>
          <w:p w14:paraId="675352ED" w14:textId="77777777" w:rsidR="001B77DD" w:rsidRDefault="001B77DD">
            <w:pPr>
              <w:rPr>
                <w:rFonts w:ascii="宋体"/>
              </w:rPr>
            </w:pPr>
          </w:p>
        </w:tc>
        <w:tc>
          <w:tcPr>
            <w:tcW w:w="5" w:type="pct"/>
            <w:shd w:val="clear" w:color="auto" w:fill="auto"/>
            <w:vAlign w:val="bottom"/>
          </w:tcPr>
          <w:p w14:paraId="675352EE" w14:textId="77777777" w:rsidR="001B77DD" w:rsidRDefault="001B77DD">
            <w:pPr>
              <w:rPr>
                <w:rFonts w:ascii="宋体"/>
              </w:rPr>
            </w:pPr>
          </w:p>
        </w:tc>
        <w:tc>
          <w:tcPr>
            <w:tcW w:w="24" w:type="pct"/>
            <w:shd w:val="clear" w:color="auto" w:fill="auto"/>
            <w:vAlign w:val="bottom"/>
          </w:tcPr>
          <w:p w14:paraId="675352EF" w14:textId="77777777" w:rsidR="001B77DD" w:rsidRDefault="001B77DD">
            <w:pPr>
              <w:rPr>
                <w:rFonts w:ascii="宋体"/>
              </w:rPr>
            </w:pPr>
          </w:p>
        </w:tc>
        <w:tc>
          <w:tcPr>
            <w:tcW w:w="5" w:type="pct"/>
            <w:shd w:val="clear" w:color="auto" w:fill="auto"/>
            <w:vAlign w:val="bottom"/>
          </w:tcPr>
          <w:p w14:paraId="675352F0" w14:textId="77777777" w:rsidR="001B77DD" w:rsidRDefault="001B77DD">
            <w:pPr>
              <w:rPr>
                <w:rFonts w:ascii="宋体"/>
              </w:rPr>
            </w:pPr>
          </w:p>
        </w:tc>
        <w:tc>
          <w:tcPr>
            <w:tcW w:w="50" w:type="pct"/>
            <w:shd w:val="clear" w:color="auto" w:fill="auto"/>
            <w:vAlign w:val="bottom"/>
          </w:tcPr>
          <w:p w14:paraId="675352F1" w14:textId="77777777" w:rsidR="001B77DD" w:rsidRDefault="001B77DD">
            <w:pPr>
              <w:rPr>
                <w:rFonts w:ascii="宋体"/>
              </w:rPr>
            </w:pPr>
          </w:p>
        </w:tc>
        <w:tc>
          <w:tcPr>
            <w:tcW w:w="539" w:type="pct"/>
            <w:shd w:val="clear" w:color="auto" w:fill="auto"/>
            <w:vAlign w:val="bottom"/>
          </w:tcPr>
          <w:p w14:paraId="675352F2" w14:textId="77777777" w:rsidR="001B77DD" w:rsidRDefault="001B77DD">
            <w:pPr>
              <w:rPr>
                <w:rFonts w:ascii="宋体"/>
              </w:rPr>
            </w:pPr>
          </w:p>
        </w:tc>
        <w:tc>
          <w:tcPr>
            <w:tcW w:w="5" w:type="pct"/>
            <w:shd w:val="clear" w:color="auto" w:fill="auto"/>
            <w:vAlign w:val="bottom"/>
          </w:tcPr>
          <w:p w14:paraId="675352F3" w14:textId="77777777" w:rsidR="001B77DD" w:rsidRDefault="001B77DD">
            <w:pPr>
              <w:rPr>
                <w:rFonts w:ascii="宋体"/>
              </w:rPr>
            </w:pPr>
          </w:p>
        </w:tc>
        <w:tc>
          <w:tcPr>
            <w:tcW w:w="5" w:type="pct"/>
            <w:shd w:val="clear" w:color="auto" w:fill="auto"/>
            <w:vAlign w:val="bottom"/>
          </w:tcPr>
          <w:p w14:paraId="675352F4" w14:textId="77777777" w:rsidR="001B77DD" w:rsidRDefault="001B77DD">
            <w:pPr>
              <w:rPr>
                <w:rFonts w:ascii="宋体"/>
              </w:rPr>
            </w:pPr>
          </w:p>
        </w:tc>
        <w:tc>
          <w:tcPr>
            <w:tcW w:w="24" w:type="pct"/>
            <w:shd w:val="clear" w:color="auto" w:fill="auto"/>
            <w:vAlign w:val="bottom"/>
          </w:tcPr>
          <w:p w14:paraId="675352F5" w14:textId="77777777" w:rsidR="001B77DD" w:rsidRDefault="001B77DD">
            <w:pPr>
              <w:rPr>
                <w:rFonts w:ascii="宋体"/>
              </w:rPr>
            </w:pPr>
          </w:p>
        </w:tc>
        <w:tc>
          <w:tcPr>
            <w:tcW w:w="5" w:type="pct"/>
            <w:shd w:val="clear" w:color="auto" w:fill="auto"/>
            <w:vAlign w:val="bottom"/>
          </w:tcPr>
          <w:p w14:paraId="675352F6" w14:textId="77777777" w:rsidR="001B77DD" w:rsidRDefault="001B77DD">
            <w:pPr>
              <w:rPr>
                <w:rFonts w:ascii="宋体"/>
              </w:rPr>
            </w:pPr>
          </w:p>
        </w:tc>
        <w:tc>
          <w:tcPr>
            <w:tcW w:w="50" w:type="pct"/>
            <w:shd w:val="clear" w:color="auto" w:fill="auto"/>
            <w:vAlign w:val="bottom"/>
          </w:tcPr>
          <w:p w14:paraId="675352F7" w14:textId="77777777" w:rsidR="001B77DD" w:rsidRDefault="001B77DD">
            <w:pPr>
              <w:rPr>
                <w:rFonts w:ascii="宋体"/>
              </w:rPr>
            </w:pPr>
          </w:p>
        </w:tc>
        <w:tc>
          <w:tcPr>
            <w:tcW w:w="539" w:type="pct"/>
            <w:shd w:val="clear" w:color="auto" w:fill="auto"/>
            <w:vAlign w:val="bottom"/>
          </w:tcPr>
          <w:p w14:paraId="675352F8" w14:textId="77777777" w:rsidR="001B77DD" w:rsidRDefault="001B77DD">
            <w:pPr>
              <w:rPr>
                <w:rFonts w:ascii="宋体"/>
              </w:rPr>
            </w:pPr>
          </w:p>
        </w:tc>
        <w:tc>
          <w:tcPr>
            <w:tcW w:w="5" w:type="pct"/>
            <w:shd w:val="clear" w:color="auto" w:fill="auto"/>
            <w:vAlign w:val="bottom"/>
          </w:tcPr>
          <w:p w14:paraId="675352F9" w14:textId="77777777" w:rsidR="001B77DD" w:rsidRDefault="001B77DD">
            <w:pPr>
              <w:rPr>
                <w:rFonts w:ascii="宋体"/>
              </w:rPr>
            </w:pPr>
          </w:p>
        </w:tc>
        <w:tc>
          <w:tcPr>
            <w:tcW w:w="5" w:type="pct"/>
            <w:shd w:val="clear" w:color="auto" w:fill="auto"/>
            <w:vAlign w:val="bottom"/>
          </w:tcPr>
          <w:p w14:paraId="675352FA" w14:textId="77777777" w:rsidR="001B77DD" w:rsidRDefault="001B77DD">
            <w:pPr>
              <w:rPr>
                <w:rFonts w:ascii="宋体"/>
              </w:rPr>
            </w:pPr>
          </w:p>
        </w:tc>
        <w:tc>
          <w:tcPr>
            <w:tcW w:w="24" w:type="pct"/>
            <w:shd w:val="clear" w:color="auto" w:fill="auto"/>
            <w:vAlign w:val="bottom"/>
          </w:tcPr>
          <w:p w14:paraId="675352FB" w14:textId="77777777" w:rsidR="001B77DD" w:rsidRDefault="001B77DD">
            <w:pPr>
              <w:rPr>
                <w:rFonts w:ascii="宋体"/>
              </w:rPr>
            </w:pPr>
          </w:p>
        </w:tc>
        <w:tc>
          <w:tcPr>
            <w:tcW w:w="5" w:type="pct"/>
            <w:shd w:val="clear" w:color="auto" w:fill="auto"/>
            <w:vAlign w:val="bottom"/>
          </w:tcPr>
          <w:p w14:paraId="675352FC" w14:textId="77777777" w:rsidR="001B77DD" w:rsidRDefault="001B77DD">
            <w:pPr>
              <w:rPr>
                <w:rFonts w:ascii="宋体"/>
              </w:rPr>
            </w:pPr>
          </w:p>
        </w:tc>
        <w:tc>
          <w:tcPr>
            <w:tcW w:w="50" w:type="pct"/>
            <w:shd w:val="clear" w:color="auto" w:fill="auto"/>
            <w:vAlign w:val="bottom"/>
          </w:tcPr>
          <w:p w14:paraId="675352FD" w14:textId="77777777" w:rsidR="001B77DD" w:rsidRDefault="001B77DD">
            <w:pPr>
              <w:rPr>
                <w:rFonts w:ascii="宋体"/>
              </w:rPr>
            </w:pPr>
          </w:p>
        </w:tc>
        <w:tc>
          <w:tcPr>
            <w:tcW w:w="539" w:type="pct"/>
            <w:shd w:val="clear" w:color="auto" w:fill="auto"/>
            <w:vAlign w:val="bottom"/>
          </w:tcPr>
          <w:p w14:paraId="675352FE" w14:textId="77777777" w:rsidR="001B77DD" w:rsidRDefault="001B77DD">
            <w:pPr>
              <w:rPr>
                <w:rFonts w:ascii="宋体"/>
              </w:rPr>
            </w:pPr>
          </w:p>
        </w:tc>
        <w:tc>
          <w:tcPr>
            <w:tcW w:w="5" w:type="pct"/>
            <w:shd w:val="clear" w:color="auto" w:fill="auto"/>
            <w:vAlign w:val="bottom"/>
          </w:tcPr>
          <w:p w14:paraId="675352FF" w14:textId="77777777" w:rsidR="001B77DD" w:rsidRDefault="001B77DD">
            <w:pPr>
              <w:rPr>
                <w:rFonts w:ascii="宋体"/>
              </w:rPr>
            </w:pPr>
          </w:p>
        </w:tc>
      </w:tr>
      <w:tr w:rsidR="001B77DD" w14:paraId="6753530C" w14:textId="77777777">
        <w:tc>
          <w:tcPr>
            <w:tcW w:w="0" w:type="auto"/>
            <w:gridSpan w:val="3"/>
            <w:shd w:val="clear" w:color="auto" w:fill="auto"/>
            <w:tcMar>
              <w:top w:w="40" w:type="dxa"/>
              <w:left w:w="20" w:type="dxa"/>
              <w:bottom w:w="40" w:type="dxa"/>
              <w:right w:w="20" w:type="dxa"/>
            </w:tcMar>
            <w:vAlign w:val="bottom"/>
          </w:tcPr>
          <w:p w14:paraId="67535301"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530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303"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530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305"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530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307" w14:textId="77777777" w:rsidR="001B77DD" w:rsidRDefault="00BF0A28">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vAlign w:val="bottom"/>
          </w:tcPr>
          <w:p w14:paraId="6753530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309" w14:textId="77777777" w:rsidR="001B77DD" w:rsidRDefault="00BF0A28">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vAlign w:val="bottom"/>
          </w:tcPr>
          <w:p w14:paraId="6753530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30B" w14:textId="77777777" w:rsidR="001B77DD" w:rsidRDefault="00BF0A28">
            <w:pPr>
              <w:jc w:val="center"/>
              <w:textAlignment w:val="bottom"/>
            </w:pPr>
            <w:r>
              <w:rPr>
                <w:rFonts w:ascii="Arial" w:eastAsia="宋体" w:hAnsi="Arial" w:cs="Arial"/>
                <w:b/>
                <w:bCs/>
                <w:color w:val="262626"/>
                <w:sz w:val="18"/>
                <w:szCs w:val="18"/>
              </w:rPr>
              <w:t>Dec 30, 2017</w:t>
            </w:r>
          </w:p>
        </w:tc>
      </w:tr>
      <w:tr w:rsidR="001B77DD" w14:paraId="6753532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30D" w14:textId="77777777" w:rsidR="001B77DD" w:rsidRDefault="00BF0A28">
            <w:pPr>
              <w:textAlignment w:val="bottom"/>
            </w:pPr>
            <w:r>
              <w:rPr>
                <w:rFonts w:ascii="Arial" w:eastAsia="宋体" w:hAnsi="Arial" w:cs="Arial"/>
                <w:b/>
                <w:bCs/>
                <w:color w:val="262626"/>
                <w:sz w:val="18"/>
                <w:szCs w:val="18"/>
              </w:rPr>
              <w:t xml:space="preserve">Net cash provided by operating </w:t>
            </w:r>
            <w:r>
              <w:rPr>
                <w:rFonts w:ascii="Arial" w:eastAsia="宋体" w:hAnsi="Arial" w:cs="Arial"/>
                <w:b/>
                <w:bCs/>
                <w:color w:val="262626"/>
                <w:sz w:val="18"/>
                <w:szCs w:val="18"/>
              </w:rPr>
              <w:t>activities</w:t>
            </w:r>
          </w:p>
        </w:tc>
        <w:tc>
          <w:tcPr>
            <w:tcW w:w="0" w:type="auto"/>
            <w:gridSpan w:val="3"/>
            <w:shd w:val="clear" w:color="auto" w:fill="auto"/>
            <w:tcMar>
              <w:top w:w="0" w:type="dxa"/>
              <w:left w:w="20" w:type="dxa"/>
              <w:bottom w:w="0" w:type="dxa"/>
              <w:right w:w="20" w:type="dxa"/>
            </w:tcMar>
            <w:vAlign w:val="bottom"/>
          </w:tcPr>
          <w:p w14:paraId="6753530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30F"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310" w14:textId="77777777" w:rsidR="001B77DD" w:rsidRDefault="00BF0A28">
            <w:pPr>
              <w:jc w:val="right"/>
              <w:textAlignment w:val="bottom"/>
            </w:pPr>
            <w:r>
              <w:rPr>
                <w:rFonts w:ascii="Arial" w:eastAsia="宋体" w:hAnsi="Arial" w:cs="Arial"/>
                <w:b/>
                <w:bCs/>
                <w:color w:val="0068B5"/>
                <w:sz w:val="18"/>
                <w:szCs w:val="18"/>
              </w:rPr>
              <w:t>29,991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31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1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31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314" w14:textId="77777777" w:rsidR="001B77DD" w:rsidRDefault="00BF0A28">
            <w:pPr>
              <w:jc w:val="right"/>
              <w:textAlignment w:val="bottom"/>
            </w:pPr>
            <w:r>
              <w:rPr>
                <w:rFonts w:ascii="Arial" w:eastAsia="宋体" w:hAnsi="Arial" w:cs="Arial"/>
                <w:b/>
                <w:bCs/>
                <w:color w:val="262626"/>
                <w:sz w:val="18"/>
                <w:szCs w:val="18"/>
              </w:rPr>
              <w:t>35,384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31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1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31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318" w14:textId="77777777" w:rsidR="001B77DD" w:rsidRDefault="00BF0A28">
            <w:pPr>
              <w:jc w:val="right"/>
              <w:textAlignment w:val="bottom"/>
            </w:pPr>
            <w:r>
              <w:rPr>
                <w:rFonts w:ascii="Arial" w:eastAsia="宋体" w:hAnsi="Arial" w:cs="Arial"/>
                <w:b/>
                <w:bCs/>
                <w:color w:val="262626"/>
                <w:sz w:val="18"/>
                <w:szCs w:val="18"/>
              </w:rPr>
              <w:t>33,145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31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1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31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31C" w14:textId="77777777" w:rsidR="001B77DD" w:rsidRDefault="00BF0A28">
            <w:pPr>
              <w:jc w:val="right"/>
              <w:textAlignment w:val="bottom"/>
            </w:pPr>
            <w:r>
              <w:rPr>
                <w:rFonts w:ascii="Arial" w:eastAsia="宋体" w:hAnsi="Arial" w:cs="Arial"/>
                <w:b/>
                <w:bCs/>
                <w:color w:val="262626"/>
                <w:sz w:val="18"/>
                <w:szCs w:val="18"/>
              </w:rPr>
              <w:t>29,432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31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1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31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320" w14:textId="77777777" w:rsidR="001B77DD" w:rsidRDefault="00BF0A28">
            <w:pPr>
              <w:jc w:val="right"/>
              <w:textAlignment w:val="bottom"/>
            </w:pPr>
            <w:r>
              <w:rPr>
                <w:rFonts w:ascii="Arial" w:eastAsia="宋体" w:hAnsi="Arial" w:cs="Arial"/>
                <w:b/>
                <w:bCs/>
                <w:color w:val="262626"/>
                <w:sz w:val="18"/>
                <w:szCs w:val="18"/>
              </w:rPr>
              <w:t>22,110</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321" w14:textId="77777777" w:rsidR="001B77DD" w:rsidRDefault="001B77DD">
            <w:pPr>
              <w:jc w:val="right"/>
              <w:rPr>
                <w:rFonts w:ascii="宋体"/>
              </w:rPr>
            </w:pPr>
          </w:p>
        </w:tc>
      </w:tr>
      <w:tr w:rsidR="001B77DD" w14:paraId="67535333" w14:textId="77777777">
        <w:tc>
          <w:tcPr>
            <w:tcW w:w="0" w:type="auto"/>
            <w:gridSpan w:val="3"/>
            <w:shd w:val="clear" w:color="auto" w:fill="auto"/>
            <w:tcMar>
              <w:top w:w="40" w:type="dxa"/>
              <w:left w:w="20" w:type="dxa"/>
              <w:bottom w:w="40" w:type="dxa"/>
              <w:right w:w="20" w:type="dxa"/>
            </w:tcMar>
            <w:vAlign w:val="bottom"/>
          </w:tcPr>
          <w:p w14:paraId="67535323" w14:textId="77777777" w:rsidR="001B77DD" w:rsidRDefault="00BF0A28">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6753532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325" w14:textId="77777777" w:rsidR="001B77DD" w:rsidRDefault="00BF0A28">
            <w:pPr>
              <w:jc w:val="right"/>
              <w:textAlignment w:val="bottom"/>
            </w:pPr>
            <w:r>
              <w:rPr>
                <w:rFonts w:ascii="Arial" w:eastAsia="宋体" w:hAnsi="Arial" w:cs="Arial"/>
                <w:color w:val="0068B5"/>
                <w:sz w:val="18"/>
                <w:szCs w:val="18"/>
              </w:rPr>
              <w:t>(18,733)</w:t>
            </w:r>
          </w:p>
        </w:tc>
        <w:tc>
          <w:tcPr>
            <w:tcW w:w="0" w:type="auto"/>
            <w:shd w:val="clear" w:color="auto" w:fill="auto"/>
            <w:tcMar>
              <w:top w:w="40" w:type="dxa"/>
              <w:left w:w="0" w:type="dxa"/>
              <w:bottom w:w="40" w:type="dxa"/>
              <w:right w:w="20" w:type="dxa"/>
            </w:tcMar>
            <w:vAlign w:val="bottom"/>
          </w:tcPr>
          <w:p w14:paraId="6753532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2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328" w14:textId="77777777" w:rsidR="001B77DD" w:rsidRDefault="00BF0A28">
            <w:pPr>
              <w:jc w:val="right"/>
              <w:textAlignment w:val="bottom"/>
            </w:pPr>
            <w:r>
              <w:rPr>
                <w:rFonts w:ascii="Arial" w:eastAsia="宋体" w:hAnsi="Arial" w:cs="Arial"/>
                <w:color w:val="262626"/>
                <w:sz w:val="18"/>
                <w:szCs w:val="18"/>
              </w:rPr>
              <w:t>(14,259)</w:t>
            </w:r>
          </w:p>
        </w:tc>
        <w:tc>
          <w:tcPr>
            <w:tcW w:w="0" w:type="auto"/>
            <w:shd w:val="clear" w:color="auto" w:fill="auto"/>
            <w:tcMar>
              <w:top w:w="40" w:type="dxa"/>
              <w:left w:w="0" w:type="dxa"/>
              <w:bottom w:w="40" w:type="dxa"/>
              <w:right w:w="20" w:type="dxa"/>
            </w:tcMar>
            <w:vAlign w:val="bottom"/>
          </w:tcPr>
          <w:p w14:paraId="6753532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2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32B" w14:textId="77777777" w:rsidR="001B77DD" w:rsidRDefault="00BF0A28">
            <w:pPr>
              <w:jc w:val="right"/>
              <w:textAlignment w:val="bottom"/>
            </w:pPr>
            <w:r>
              <w:rPr>
                <w:rFonts w:ascii="Arial" w:eastAsia="宋体" w:hAnsi="Arial" w:cs="Arial"/>
                <w:color w:val="262626"/>
                <w:sz w:val="18"/>
                <w:szCs w:val="18"/>
              </w:rPr>
              <w:t>(16,213)</w:t>
            </w:r>
          </w:p>
        </w:tc>
        <w:tc>
          <w:tcPr>
            <w:tcW w:w="0" w:type="auto"/>
            <w:shd w:val="clear" w:color="auto" w:fill="auto"/>
            <w:tcMar>
              <w:top w:w="40" w:type="dxa"/>
              <w:left w:w="0" w:type="dxa"/>
              <w:bottom w:w="40" w:type="dxa"/>
              <w:right w:w="20" w:type="dxa"/>
            </w:tcMar>
            <w:vAlign w:val="bottom"/>
          </w:tcPr>
          <w:p w14:paraId="6753532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2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32E" w14:textId="77777777" w:rsidR="001B77DD" w:rsidRDefault="00BF0A28">
            <w:pPr>
              <w:jc w:val="right"/>
              <w:textAlignment w:val="bottom"/>
            </w:pPr>
            <w:r>
              <w:rPr>
                <w:rFonts w:ascii="Arial" w:eastAsia="宋体" w:hAnsi="Arial" w:cs="Arial"/>
                <w:color w:val="262626"/>
                <w:sz w:val="18"/>
                <w:szCs w:val="18"/>
              </w:rPr>
              <w:t>(15,181)</w:t>
            </w:r>
          </w:p>
        </w:tc>
        <w:tc>
          <w:tcPr>
            <w:tcW w:w="0" w:type="auto"/>
            <w:shd w:val="clear" w:color="auto" w:fill="auto"/>
            <w:tcMar>
              <w:top w:w="40" w:type="dxa"/>
              <w:left w:w="0" w:type="dxa"/>
              <w:bottom w:w="40" w:type="dxa"/>
              <w:right w:w="20" w:type="dxa"/>
            </w:tcMar>
            <w:vAlign w:val="bottom"/>
          </w:tcPr>
          <w:p w14:paraId="6753532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3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331" w14:textId="77777777" w:rsidR="001B77DD" w:rsidRDefault="00BF0A28">
            <w:pPr>
              <w:jc w:val="right"/>
              <w:textAlignment w:val="bottom"/>
            </w:pPr>
            <w:r>
              <w:rPr>
                <w:rFonts w:ascii="Arial" w:eastAsia="宋体" w:hAnsi="Arial" w:cs="Arial"/>
                <w:color w:val="262626"/>
                <w:sz w:val="18"/>
                <w:szCs w:val="18"/>
              </w:rPr>
              <w:t>(11,778)</w:t>
            </w:r>
          </w:p>
        </w:tc>
        <w:tc>
          <w:tcPr>
            <w:tcW w:w="0" w:type="auto"/>
            <w:shd w:val="clear" w:color="auto" w:fill="auto"/>
            <w:tcMar>
              <w:top w:w="40" w:type="dxa"/>
              <w:left w:w="0" w:type="dxa"/>
              <w:bottom w:w="40" w:type="dxa"/>
              <w:right w:w="20" w:type="dxa"/>
            </w:tcMar>
            <w:vAlign w:val="bottom"/>
          </w:tcPr>
          <w:p w14:paraId="67535332" w14:textId="77777777" w:rsidR="001B77DD" w:rsidRDefault="001B77DD">
            <w:pPr>
              <w:jc w:val="right"/>
              <w:rPr>
                <w:rFonts w:ascii="宋体"/>
              </w:rPr>
            </w:pPr>
          </w:p>
        </w:tc>
      </w:tr>
      <w:tr w:rsidR="001B77DD" w14:paraId="67535349" w14:textId="77777777">
        <w:tc>
          <w:tcPr>
            <w:tcW w:w="0" w:type="auto"/>
            <w:gridSpan w:val="3"/>
            <w:shd w:val="clear" w:color="auto" w:fill="auto"/>
            <w:tcMar>
              <w:top w:w="40" w:type="dxa"/>
              <w:left w:w="20" w:type="dxa"/>
              <w:bottom w:w="40" w:type="dxa"/>
              <w:right w:w="20" w:type="dxa"/>
            </w:tcMar>
            <w:vAlign w:val="bottom"/>
          </w:tcPr>
          <w:p w14:paraId="67535334" w14:textId="77777777" w:rsidR="001B77DD" w:rsidRDefault="00BF0A28">
            <w:pPr>
              <w:textAlignment w:val="bottom"/>
            </w:pPr>
            <w:r>
              <w:rPr>
                <w:rFonts w:ascii="Arial" w:eastAsia="宋体" w:hAnsi="Arial" w:cs="Arial"/>
                <w:b/>
                <w:bCs/>
                <w:color w:val="262626"/>
                <w:sz w:val="18"/>
                <w:szCs w:val="18"/>
              </w:rPr>
              <w:t>Free cash flow</w:t>
            </w:r>
          </w:p>
        </w:tc>
        <w:tc>
          <w:tcPr>
            <w:tcW w:w="0" w:type="auto"/>
            <w:gridSpan w:val="3"/>
            <w:shd w:val="clear" w:color="auto" w:fill="auto"/>
            <w:tcMar>
              <w:top w:w="0" w:type="dxa"/>
              <w:left w:w="20" w:type="dxa"/>
              <w:bottom w:w="0" w:type="dxa"/>
              <w:right w:w="20" w:type="dxa"/>
            </w:tcMar>
            <w:vAlign w:val="bottom"/>
          </w:tcPr>
          <w:p w14:paraId="67535335" w14:textId="77777777" w:rsidR="001B77DD" w:rsidRDefault="001B77DD">
            <w:pPr>
              <w:rPr>
                <w:rFonts w:ascii="宋体"/>
              </w:rPr>
            </w:pPr>
          </w:p>
        </w:tc>
        <w:tc>
          <w:tcPr>
            <w:tcW w:w="0" w:type="auto"/>
            <w:tcBorders>
              <w:top w:val="single" w:sz="4" w:space="0" w:color="333333"/>
            </w:tcBorders>
            <w:shd w:val="clear" w:color="auto" w:fill="auto"/>
            <w:tcMar>
              <w:top w:w="40" w:type="dxa"/>
              <w:left w:w="20" w:type="dxa"/>
              <w:bottom w:w="40" w:type="dxa"/>
              <w:right w:w="0" w:type="dxa"/>
            </w:tcMar>
            <w:vAlign w:val="bottom"/>
          </w:tcPr>
          <w:p w14:paraId="67535336"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333333"/>
            </w:tcBorders>
            <w:shd w:val="clear" w:color="auto" w:fill="auto"/>
            <w:tcMar>
              <w:top w:w="40" w:type="dxa"/>
              <w:left w:w="0" w:type="dxa"/>
              <w:bottom w:w="40" w:type="dxa"/>
              <w:right w:w="0" w:type="dxa"/>
            </w:tcMar>
            <w:vAlign w:val="bottom"/>
          </w:tcPr>
          <w:p w14:paraId="67535337" w14:textId="77777777" w:rsidR="001B77DD" w:rsidRDefault="00BF0A28">
            <w:pPr>
              <w:jc w:val="right"/>
              <w:textAlignment w:val="bottom"/>
            </w:pPr>
            <w:r>
              <w:rPr>
                <w:rFonts w:ascii="Arial" w:eastAsia="宋体" w:hAnsi="Arial" w:cs="Arial"/>
                <w:b/>
                <w:bCs/>
                <w:color w:val="0068B5"/>
                <w:sz w:val="18"/>
                <w:szCs w:val="18"/>
              </w:rPr>
              <w:t>11,258</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33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39" w14:textId="77777777" w:rsidR="001B77DD" w:rsidRDefault="001B77DD">
            <w:pPr>
              <w:rPr>
                <w:rFonts w:ascii="宋体"/>
              </w:rPr>
            </w:pPr>
          </w:p>
        </w:tc>
        <w:tc>
          <w:tcPr>
            <w:tcW w:w="0" w:type="auto"/>
            <w:tcBorders>
              <w:top w:val="single" w:sz="4" w:space="0" w:color="333333"/>
            </w:tcBorders>
            <w:shd w:val="clear" w:color="auto" w:fill="auto"/>
            <w:tcMar>
              <w:top w:w="40" w:type="dxa"/>
              <w:left w:w="20" w:type="dxa"/>
              <w:bottom w:w="40" w:type="dxa"/>
              <w:right w:w="0" w:type="dxa"/>
            </w:tcMar>
            <w:vAlign w:val="bottom"/>
          </w:tcPr>
          <w:p w14:paraId="6753533A"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333333"/>
            </w:tcBorders>
            <w:shd w:val="clear" w:color="auto" w:fill="auto"/>
            <w:tcMar>
              <w:top w:w="40" w:type="dxa"/>
              <w:left w:w="0" w:type="dxa"/>
              <w:bottom w:w="40" w:type="dxa"/>
              <w:right w:w="0" w:type="dxa"/>
            </w:tcMar>
            <w:vAlign w:val="bottom"/>
          </w:tcPr>
          <w:p w14:paraId="6753533B" w14:textId="77777777" w:rsidR="001B77DD" w:rsidRDefault="00BF0A28">
            <w:pPr>
              <w:jc w:val="right"/>
              <w:textAlignment w:val="bottom"/>
            </w:pPr>
            <w:r>
              <w:rPr>
                <w:rFonts w:ascii="Arial" w:eastAsia="宋体" w:hAnsi="Arial" w:cs="Arial"/>
                <w:b/>
                <w:bCs/>
                <w:color w:val="262626"/>
                <w:sz w:val="18"/>
                <w:szCs w:val="18"/>
              </w:rPr>
              <w:t>21,125</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33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3D" w14:textId="77777777" w:rsidR="001B77DD" w:rsidRDefault="001B77DD">
            <w:pPr>
              <w:rPr>
                <w:rFonts w:ascii="宋体"/>
              </w:rPr>
            </w:pPr>
          </w:p>
        </w:tc>
        <w:tc>
          <w:tcPr>
            <w:tcW w:w="0" w:type="auto"/>
            <w:tcBorders>
              <w:top w:val="single" w:sz="4" w:space="0" w:color="333333"/>
            </w:tcBorders>
            <w:shd w:val="clear" w:color="auto" w:fill="auto"/>
            <w:tcMar>
              <w:top w:w="40" w:type="dxa"/>
              <w:left w:w="20" w:type="dxa"/>
              <w:bottom w:w="40" w:type="dxa"/>
              <w:right w:w="0" w:type="dxa"/>
            </w:tcMar>
            <w:vAlign w:val="bottom"/>
          </w:tcPr>
          <w:p w14:paraId="6753533E"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333333"/>
            </w:tcBorders>
            <w:shd w:val="clear" w:color="auto" w:fill="auto"/>
            <w:tcMar>
              <w:top w:w="40" w:type="dxa"/>
              <w:left w:w="0" w:type="dxa"/>
              <w:bottom w:w="40" w:type="dxa"/>
              <w:right w:w="0" w:type="dxa"/>
            </w:tcMar>
            <w:vAlign w:val="bottom"/>
          </w:tcPr>
          <w:p w14:paraId="6753533F" w14:textId="77777777" w:rsidR="001B77DD" w:rsidRDefault="00BF0A28">
            <w:pPr>
              <w:jc w:val="right"/>
              <w:textAlignment w:val="bottom"/>
            </w:pPr>
            <w:r>
              <w:rPr>
                <w:rFonts w:ascii="Arial" w:eastAsia="宋体" w:hAnsi="Arial" w:cs="Arial"/>
                <w:b/>
                <w:bCs/>
                <w:color w:val="262626"/>
                <w:sz w:val="18"/>
                <w:szCs w:val="18"/>
              </w:rPr>
              <w:t>16,932</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34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41" w14:textId="77777777" w:rsidR="001B77DD" w:rsidRDefault="001B77DD">
            <w:pPr>
              <w:rPr>
                <w:rFonts w:ascii="宋体"/>
              </w:rPr>
            </w:pPr>
          </w:p>
        </w:tc>
        <w:tc>
          <w:tcPr>
            <w:tcW w:w="0" w:type="auto"/>
            <w:tcBorders>
              <w:top w:val="single" w:sz="4" w:space="0" w:color="333333"/>
            </w:tcBorders>
            <w:shd w:val="clear" w:color="auto" w:fill="auto"/>
            <w:tcMar>
              <w:top w:w="40" w:type="dxa"/>
              <w:left w:w="20" w:type="dxa"/>
              <w:bottom w:w="40" w:type="dxa"/>
              <w:right w:w="0" w:type="dxa"/>
            </w:tcMar>
            <w:vAlign w:val="bottom"/>
          </w:tcPr>
          <w:p w14:paraId="67535342"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333333"/>
            </w:tcBorders>
            <w:shd w:val="clear" w:color="auto" w:fill="auto"/>
            <w:tcMar>
              <w:top w:w="40" w:type="dxa"/>
              <w:left w:w="0" w:type="dxa"/>
              <w:bottom w:w="40" w:type="dxa"/>
              <w:right w:w="0" w:type="dxa"/>
            </w:tcMar>
            <w:vAlign w:val="bottom"/>
          </w:tcPr>
          <w:p w14:paraId="67535343" w14:textId="77777777" w:rsidR="001B77DD" w:rsidRDefault="00BF0A28">
            <w:pPr>
              <w:jc w:val="right"/>
              <w:textAlignment w:val="bottom"/>
            </w:pPr>
            <w:r>
              <w:rPr>
                <w:rFonts w:ascii="Arial" w:eastAsia="宋体" w:hAnsi="Arial" w:cs="Arial"/>
                <w:b/>
                <w:bCs/>
                <w:color w:val="262626"/>
                <w:sz w:val="18"/>
                <w:szCs w:val="18"/>
              </w:rPr>
              <w:t>14,251</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34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45" w14:textId="77777777" w:rsidR="001B77DD" w:rsidRDefault="001B77DD">
            <w:pPr>
              <w:rPr>
                <w:rFonts w:ascii="宋体"/>
              </w:rPr>
            </w:pPr>
          </w:p>
        </w:tc>
        <w:tc>
          <w:tcPr>
            <w:tcW w:w="0" w:type="auto"/>
            <w:tcBorders>
              <w:top w:val="single" w:sz="4" w:space="0" w:color="333333"/>
            </w:tcBorders>
            <w:shd w:val="clear" w:color="auto" w:fill="auto"/>
            <w:tcMar>
              <w:top w:w="40" w:type="dxa"/>
              <w:left w:w="20" w:type="dxa"/>
              <w:bottom w:w="40" w:type="dxa"/>
              <w:right w:w="0" w:type="dxa"/>
            </w:tcMar>
            <w:vAlign w:val="bottom"/>
          </w:tcPr>
          <w:p w14:paraId="67535346"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333333"/>
            </w:tcBorders>
            <w:shd w:val="clear" w:color="auto" w:fill="auto"/>
            <w:tcMar>
              <w:top w:w="40" w:type="dxa"/>
              <w:left w:w="0" w:type="dxa"/>
              <w:bottom w:w="40" w:type="dxa"/>
              <w:right w:w="0" w:type="dxa"/>
            </w:tcMar>
            <w:vAlign w:val="bottom"/>
          </w:tcPr>
          <w:p w14:paraId="67535347" w14:textId="77777777" w:rsidR="001B77DD" w:rsidRDefault="00BF0A28">
            <w:pPr>
              <w:jc w:val="right"/>
              <w:textAlignment w:val="bottom"/>
            </w:pPr>
            <w:r>
              <w:rPr>
                <w:rFonts w:ascii="Arial" w:eastAsia="宋体" w:hAnsi="Arial" w:cs="Arial"/>
                <w:b/>
                <w:bCs/>
                <w:color w:val="262626"/>
                <w:sz w:val="18"/>
                <w:szCs w:val="18"/>
              </w:rPr>
              <w:t>10,332</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348" w14:textId="77777777" w:rsidR="001B77DD" w:rsidRDefault="001B77DD">
            <w:pPr>
              <w:jc w:val="right"/>
              <w:rPr>
                <w:rFonts w:ascii="宋体"/>
              </w:rPr>
            </w:pPr>
          </w:p>
        </w:tc>
      </w:tr>
      <w:tr w:rsidR="001B77DD" w14:paraId="67535355" w14:textId="77777777">
        <w:trPr>
          <w:trHeight w:val="60"/>
        </w:trPr>
        <w:tc>
          <w:tcPr>
            <w:tcW w:w="0" w:type="auto"/>
            <w:gridSpan w:val="3"/>
            <w:shd w:val="clear" w:color="auto" w:fill="auto"/>
            <w:tcMar>
              <w:top w:w="0" w:type="dxa"/>
              <w:left w:w="20" w:type="dxa"/>
              <w:bottom w:w="0" w:type="dxa"/>
              <w:right w:w="20" w:type="dxa"/>
            </w:tcMar>
            <w:vAlign w:val="bottom"/>
          </w:tcPr>
          <w:p w14:paraId="6753534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34B" w14:textId="77777777" w:rsidR="001B77DD" w:rsidRDefault="001B77DD">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vAlign w:val="bottom"/>
          </w:tcPr>
          <w:p w14:paraId="6753534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34D" w14:textId="77777777" w:rsidR="001B77DD" w:rsidRDefault="001B77DD">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vAlign w:val="bottom"/>
          </w:tcPr>
          <w:p w14:paraId="6753534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34F" w14:textId="77777777" w:rsidR="001B77DD" w:rsidRDefault="001B77DD">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vAlign w:val="bottom"/>
          </w:tcPr>
          <w:p w14:paraId="6753535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351" w14:textId="77777777" w:rsidR="001B77DD" w:rsidRDefault="001B77DD">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vAlign w:val="bottom"/>
          </w:tcPr>
          <w:p w14:paraId="6753535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353" w14:textId="77777777" w:rsidR="001B77DD" w:rsidRDefault="001B77DD">
            <w:pPr>
              <w:rPr>
                <w:rFonts w:ascii="宋体"/>
              </w:rPr>
            </w:pPr>
          </w:p>
        </w:tc>
        <w:tc>
          <w:tcPr>
            <w:tcW w:w="0" w:type="auto"/>
            <w:gridSpan w:val="3"/>
            <w:tcBorders>
              <w:top w:val="double" w:sz="6" w:space="0" w:color="333333"/>
            </w:tcBorders>
            <w:shd w:val="clear" w:color="auto" w:fill="auto"/>
            <w:tcMar>
              <w:top w:w="0" w:type="dxa"/>
              <w:left w:w="20" w:type="dxa"/>
              <w:bottom w:w="0" w:type="dxa"/>
              <w:right w:w="20" w:type="dxa"/>
            </w:tcMar>
            <w:vAlign w:val="bottom"/>
          </w:tcPr>
          <w:p w14:paraId="67535354" w14:textId="77777777" w:rsidR="001B77DD" w:rsidRDefault="001B77DD">
            <w:pPr>
              <w:rPr>
                <w:rFonts w:ascii="宋体"/>
              </w:rPr>
            </w:pPr>
          </w:p>
        </w:tc>
      </w:tr>
      <w:tr w:rsidR="001B77DD" w14:paraId="6753536B" w14:textId="77777777">
        <w:tc>
          <w:tcPr>
            <w:tcW w:w="0" w:type="auto"/>
            <w:gridSpan w:val="3"/>
            <w:shd w:val="clear" w:color="auto" w:fill="auto"/>
            <w:tcMar>
              <w:top w:w="40" w:type="dxa"/>
              <w:left w:w="20" w:type="dxa"/>
              <w:bottom w:w="40" w:type="dxa"/>
              <w:right w:w="20" w:type="dxa"/>
            </w:tcMar>
            <w:vAlign w:val="bottom"/>
          </w:tcPr>
          <w:p w14:paraId="67535356" w14:textId="77777777" w:rsidR="001B77DD" w:rsidRDefault="00BF0A28">
            <w:pPr>
              <w:textAlignment w:val="bottom"/>
            </w:pPr>
            <w:r>
              <w:rPr>
                <w:rFonts w:ascii="Arial" w:eastAsia="宋体" w:hAnsi="Arial" w:cs="Arial"/>
                <w:b/>
                <w:bCs/>
                <w:color w:val="262626"/>
                <w:sz w:val="18"/>
                <w:szCs w:val="18"/>
              </w:rPr>
              <w:t xml:space="preserve">Net cash used for </w:t>
            </w:r>
            <w:r>
              <w:rPr>
                <w:rFonts w:ascii="Arial" w:eastAsia="宋体" w:hAnsi="Arial" w:cs="Arial"/>
                <w:b/>
                <w:bCs/>
                <w:color w:val="262626"/>
                <w:sz w:val="18"/>
                <w:szCs w:val="18"/>
              </w:rPr>
              <w:t>investing activities</w:t>
            </w:r>
          </w:p>
        </w:tc>
        <w:tc>
          <w:tcPr>
            <w:tcW w:w="0" w:type="auto"/>
            <w:gridSpan w:val="3"/>
            <w:shd w:val="clear" w:color="auto" w:fill="auto"/>
            <w:tcMar>
              <w:top w:w="0" w:type="dxa"/>
              <w:left w:w="20" w:type="dxa"/>
              <w:bottom w:w="0" w:type="dxa"/>
              <w:right w:w="20" w:type="dxa"/>
            </w:tcMar>
            <w:vAlign w:val="bottom"/>
          </w:tcPr>
          <w:p w14:paraId="6753535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58" w14:textId="77777777" w:rsidR="001B77DD" w:rsidRDefault="00BF0A2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7535359" w14:textId="77777777" w:rsidR="001B77DD" w:rsidRDefault="00BF0A28">
            <w:pPr>
              <w:jc w:val="right"/>
              <w:textAlignment w:val="bottom"/>
            </w:pPr>
            <w:r>
              <w:rPr>
                <w:rFonts w:ascii="Arial" w:eastAsia="宋体" w:hAnsi="Arial" w:cs="Arial"/>
                <w:b/>
                <w:bCs/>
                <w:color w:val="0068B5"/>
                <w:sz w:val="18"/>
                <w:szCs w:val="18"/>
              </w:rPr>
              <w:t>(25,167)</w:t>
            </w:r>
          </w:p>
        </w:tc>
        <w:tc>
          <w:tcPr>
            <w:tcW w:w="0" w:type="auto"/>
            <w:shd w:val="clear" w:color="auto" w:fill="auto"/>
            <w:tcMar>
              <w:top w:w="40" w:type="dxa"/>
              <w:left w:w="0" w:type="dxa"/>
              <w:bottom w:w="40" w:type="dxa"/>
              <w:right w:w="20" w:type="dxa"/>
            </w:tcMar>
            <w:vAlign w:val="bottom"/>
          </w:tcPr>
          <w:p w14:paraId="6753535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5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5C"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35D" w14:textId="77777777" w:rsidR="001B77DD" w:rsidRDefault="00BF0A28">
            <w:pPr>
              <w:jc w:val="right"/>
              <w:textAlignment w:val="bottom"/>
            </w:pPr>
            <w:r>
              <w:rPr>
                <w:rFonts w:ascii="Arial" w:eastAsia="宋体" w:hAnsi="Arial" w:cs="Arial"/>
                <w:b/>
                <w:bCs/>
                <w:color w:val="262626"/>
                <w:sz w:val="18"/>
                <w:szCs w:val="18"/>
              </w:rPr>
              <w:t>(20,796)</w:t>
            </w:r>
          </w:p>
        </w:tc>
        <w:tc>
          <w:tcPr>
            <w:tcW w:w="0" w:type="auto"/>
            <w:shd w:val="clear" w:color="auto" w:fill="auto"/>
            <w:tcMar>
              <w:top w:w="40" w:type="dxa"/>
              <w:left w:w="0" w:type="dxa"/>
              <w:bottom w:w="40" w:type="dxa"/>
              <w:right w:w="20" w:type="dxa"/>
            </w:tcMar>
            <w:vAlign w:val="bottom"/>
          </w:tcPr>
          <w:p w14:paraId="6753535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5F"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60"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361" w14:textId="77777777" w:rsidR="001B77DD" w:rsidRDefault="00BF0A28">
            <w:pPr>
              <w:jc w:val="right"/>
              <w:textAlignment w:val="bottom"/>
            </w:pPr>
            <w:r>
              <w:rPr>
                <w:rFonts w:ascii="Arial" w:eastAsia="宋体" w:hAnsi="Arial" w:cs="Arial"/>
                <w:b/>
                <w:bCs/>
                <w:color w:val="262626"/>
                <w:sz w:val="18"/>
                <w:szCs w:val="18"/>
              </w:rPr>
              <w:t>(14,405)</w:t>
            </w:r>
          </w:p>
        </w:tc>
        <w:tc>
          <w:tcPr>
            <w:tcW w:w="0" w:type="auto"/>
            <w:shd w:val="clear" w:color="auto" w:fill="auto"/>
            <w:tcMar>
              <w:top w:w="40" w:type="dxa"/>
              <w:left w:w="0" w:type="dxa"/>
              <w:bottom w:w="40" w:type="dxa"/>
              <w:right w:w="20" w:type="dxa"/>
            </w:tcMar>
            <w:vAlign w:val="bottom"/>
          </w:tcPr>
          <w:p w14:paraId="6753536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6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64"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365" w14:textId="77777777" w:rsidR="001B77DD" w:rsidRDefault="00BF0A28">
            <w:pPr>
              <w:jc w:val="right"/>
              <w:textAlignment w:val="bottom"/>
            </w:pPr>
            <w:r>
              <w:rPr>
                <w:rFonts w:ascii="Arial" w:eastAsia="宋体" w:hAnsi="Arial" w:cs="Arial"/>
                <w:b/>
                <w:bCs/>
                <w:color w:val="262626"/>
                <w:sz w:val="18"/>
                <w:szCs w:val="18"/>
              </w:rPr>
              <w:t>(11,239)</w:t>
            </w:r>
          </w:p>
        </w:tc>
        <w:tc>
          <w:tcPr>
            <w:tcW w:w="0" w:type="auto"/>
            <w:shd w:val="clear" w:color="auto" w:fill="auto"/>
            <w:tcMar>
              <w:top w:w="40" w:type="dxa"/>
              <w:left w:w="0" w:type="dxa"/>
              <w:bottom w:w="40" w:type="dxa"/>
              <w:right w:w="20" w:type="dxa"/>
            </w:tcMar>
            <w:vAlign w:val="bottom"/>
          </w:tcPr>
          <w:p w14:paraId="6753536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6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68"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369" w14:textId="77777777" w:rsidR="001B77DD" w:rsidRDefault="00BF0A28">
            <w:pPr>
              <w:jc w:val="right"/>
              <w:textAlignment w:val="bottom"/>
            </w:pPr>
            <w:r>
              <w:rPr>
                <w:rFonts w:ascii="Arial" w:eastAsia="宋体" w:hAnsi="Arial" w:cs="Arial"/>
                <w:b/>
                <w:bCs/>
                <w:color w:val="262626"/>
                <w:sz w:val="18"/>
                <w:szCs w:val="18"/>
              </w:rPr>
              <w:t>(15,762)</w:t>
            </w:r>
          </w:p>
        </w:tc>
        <w:tc>
          <w:tcPr>
            <w:tcW w:w="0" w:type="auto"/>
            <w:shd w:val="clear" w:color="auto" w:fill="auto"/>
            <w:tcMar>
              <w:top w:w="40" w:type="dxa"/>
              <w:left w:w="0" w:type="dxa"/>
              <w:bottom w:w="40" w:type="dxa"/>
              <w:right w:w="20" w:type="dxa"/>
            </w:tcMar>
            <w:vAlign w:val="bottom"/>
          </w:tcPr>
          <w:p w14:paraId="6753536A" w14:textId="77777777" w:rsidR="001B77DD" w:rsidRDefault="001B77DD">
            <w:pPr>
              <w:jc w:val="right"/>
              <w:rPr>
                <w:rFonts w:ascii="宋体"/>
              </w:rPr>
            </w:pPr>
          </w:p>
        </w:tc>
      </w:tr>
      <w:tr w:rsidR="001B77DD" w14:paraId="67535381" w14:textId="77777777">
        <w:tc>
          <w:tcPr>
            <w:tcW w:w="0" w:type="auto"/>
            <w:gridSpan w:val="3"/>
            <w:shd w:val="clear" w:color="auto" w:fill="auto"/>
            <w:tcMar>
              <w:top w:w="40" w:type="dxa"/>
              <w:left w:w="20" w:type="dxa"/>
              <w:bottom w:w="40" w:type="dxa"/>
              <w:right w:w="20" w:type="dxa"/>
            </w:tcMar>
            <w:vAlign w:val="bottom"/>
          </w:tcPr>
          <w:p w14:paraId="6753536C" w14:textId="77777777" w:rsidR="001B77DD" w:rsidRDefault="00BF0A28">
            <w:pPr>
              <w:textAlignment w:val="bottom"/>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6753536D"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6E" w14:textId="77777777" w:rsidR="001B77DD" w:rsidRDefault="00BF0A2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753536F" w14:textId="77777777" w:rsidR="001B77DD" w:rsidRDefault="00BF0A28">
            <w:pPr>
              <w:jc w:val="right"/>
              <w:textAlignment w:val="bottom"/>
            </w:pPr>
            <w:r>
              <w:rPr>
                <w:rFonts w:ascii="Arial" w:eastAsia="宋体" w:hAnsi="Arial" w:cs="Arial"/>
                <w:b/>
                <w:bCs/>
                <w:color w:val="0068B5"/>
                <w:sz w:val="18"/>
                <w:szCs w:val="18"/>
              </w:rPr>
              <w:t>(5,862)</w:t>
            </w:r>
          </w:p>
        </w:tc>
        <w:tc>
          <w:tcPr>
            <w:tcW w:w="0" w:type="auto"/>
            <w:shd w:val="clear" w:color="auto" w:fill="auto"/>
            <w:tcMar>
              <w:top w:w="40" w:type="dxa"/>
              <w:left w:w="0" w:type="dxa"/>
              <w:bottom w:w="40" w:type="dxa"/>
              <w:right w:w="20" w:type="dxa"/>
            </w:tcMar>
            <w:vAlign w:val="bottom"/>
          </w:tcPr>
          <w:p w14:paraId="6753537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71"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72"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373" w14:textId="77777777" w:rsidR="001B77DD" w:rsidRDefault="00BF0A28">
            <w:pPr>
              <w:jc w:val="right"/>
              <w:textAlignment w:val="bottom"/>
            </w:pPr>
            <w:r>
              <w:rPr>
                <w:rFonts w:ascii="Arial" w:eastAsia="宋体" w:hAnsi="Arial" w:cs="Arial"/>
                <w:b/>
                <w:bCs/>
                <w:color w:val="262626"/>
                <w:sz w:val="18"/>
                <w:szCs w:val="18"/>
              </w:rPr>
              <w:t>(12,917)</w:t>
            </w:r>
          </w:p>
        </w:tc>
        <w:tc>
          <w:tcPr>
            <w:tcW w:w="0" w:type="auto"/>
            <w:shd w:val="clear" w:color="auto" w:fill="auto"/>
            <w:tcMar>
              <w:top w:w="40" w:type="dxa"/>
              <w:left w:w="0" w:type="dxa"/>
              <w:bottom w:w="40" w:type="dxa"/>
              <w:right w:w="20" w:type="dxa"/>
            </w:tcMar>
            <w:vAlign w:val="bottom"/>
          </w:tcPr>
          <w:p w14:paraId="6753537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7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76"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377" w14:textId="77777777" w:rsidR="001B77DD" w:rsidRDefault="00BF0A28">
            <w:pPr>
              <w:jc w:val="right"/>
              <w:textAlignment w:val="bottom"/>
            </w:pPr>
            <w:r>
              <w:rPr>
                <w:rFonts w:ascii="Arial" w:eastAsia="宋体" w:hAnsi="Arial" w:cs="Arial"/>
                <w:b/>
                <w:bCs/>
                <w:color w:val="262626"/>
                <w:sz w:val="18"/>
                <w:szCs w:val="18"/>
              </w:rPr>
              <w:t>(17,565)</w:t>
            </w:r>
          </w:p>
        </w:tc>
        <w:tc>
          <w:tcPr>
            <w:tcW w:w="0" w:type="auto"/>
            <w:shd w:val="clear" w:color="auto" w:fill="auto"/>
            <w:tcMar>
              <w:top w:w="40" w:type="dxa"/>
              <w:left w:w="0" w:type="dxa"/>
              <w:bottom w:w="40" w:type="dxa"/>
              <w:right w:w="20" w:type="dxa"/>
            </w:tcMar>
            <w:vAlign w:val="bottom"/>
          </w:tcPr>
          <w:p w14:paraId="6753537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7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7A"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37B" w14:textId="77777777" w:rsidR="001B77DD" w:rsidRDefault="00BF0A28">
            <w:pPr>
              <w:jc w:val="right"/>
              <w:textAlignment w:val="bottom"/>
            </w:pPr>
            <w:r>
              <w:rPr>
                <w:rFonts w:ascii="Arial" w:eastAsia="宋体" w:hAnsi="Arial" w:cs="Arial"/>
                <w:b/>
                <w:bCs/>
                <w:color w:val="262626"/>
                <w:sz w:val="18"/>
                <w:szCs w:val="18"/>
              </w:rPr>
              <w:t>(18,607)</w:t>
            </w:r>
          </w:p>
        </w:tc>
        <w:tc>
          <w:tcPr>
            <w:tcW w:w="0" w:type="auto"/>
            <w:shd w:val="clear" w:color="auto" w:fill="auto"/>
            <w:tcMar>
              <w:top w:w="40" w:type="dxa"/>
              <w:left w:w="0" w:type="dxa"/>
              <w:bottom w:w="40" w:type="dxa"/>
              <w:right w:w="20" w:type="dxa"/>
            </w:tcMar>
            <w:vAlign w:val="bottom"/>
          </w:tcPr>
          <w:p w14:paraId="6753537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37D"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37E"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537F" w14:textId="77777777" w:rsidR="001B77DD" w:rsidRDefault="00BF0A28">
            <w:pPr>
              <w:jc w:val="right"/>
              <w:textAlignment w:val="bottom"/>
            </w:pPr>
            <w:r>
              <w:rPr>
                <w:rFonts w:ascii="Arial" w:eastAsia="宋体" w:hAnsi="Arial" w:cs="Arial"/>
                <w:b/>
                <w:bCs/>
                <w:color w:val="262626"/>
                <w:sz w:val="18"/>
                <w:szCs w:val="18"/>
              </w:rPr>
              <w:t>(8,475)</w:t>
            </w:r>
          </w:p>
        </w:tc>
        <w:tc>
          <w:tcPr>
            <w:tcW w:w="0" w:type="auto"/>
            <w:shd w:val="clear" w:color="auto" w:fill="auto"/>
            <w:tcMar>
              <w:top w:w="40" w:type="dxa"/>
              <w:left w:w="0" w:type="dxa"/>
              <w:bottom w:w="40" w:type="dxa"/>
              <w:right w:w="20" w:type="dxa"/>
            </w:tcMar>
            <w:vAlign w:val="bottom"/>
          </w:tcPr>
          <w:p w14:paraId="67535380" w14:textId="77777777" w:rsidR="001B77DD" w:rsidRDefault="001B77DD">
            <w:pPr>
              <w:jc w:val="right"/>
              <w:rPr>
                <w:rFonts w:ascii="宋体"/>
              </w:rPr>
            </w:pPr>
          </w:p>
        </w:tc>
      </w:tr>
    </w:tbl>
    <w:p w14:paraId="67535382" w14:textId="77777777" w:rsidR="001B77DD" w:rsidRDefault="001B77DD"/>
    <w:p w14:paraId="67535383" w14:textId="77777777" w:rsidR="001B77DD" w:rsidRDefault="001B77DD"/>
    <w:p w14:paraId="67535384" w14:textId="77777777" w:rsidR="001B77DD" w:rsidRDefault="001B77DD"/>
    <w:p w14:paraId="67535385" w14:textId="77777777" w:rsidR="001B77DD" w:rsidRDefault="001B77DD"/>
    <w:p w14:paraId="67535386" w14:textId="77777777" w:rsidR="001B77DD" w:rsidRDefault="001B77DD"/>
    <w:p w14:paraId="67535387" w14:textId="77777777" w:rsidR="001B77DD" w:rsidRDefault="001B77DD"/>
    <w:p w14:paraId="67535388" w14:textId="77777777" w:rsidR="001B77DD" w:rsidRDefault="001B77DD"/>
    <w:p w14:paraId="67535389" w14:textId="77777777" w:rsidR="001B77DD" w:rsidRDefault="001B77DD"/>
    <w:p w14:paraId="6753538A" w14:textId="77777777" w:rsidR="001B77DD" w:rsidRDefault="001B77DD"/>
    <w:p w14:paraId="6753538B" w14:textId="77777777" w:rsidR="001B77DD" w:rsidRDefault="001B77DD"/>
    <w:p w14:paraId="6753538C" w14:textId="77777777" w:rsidR="001B77DD" w:rsidRDefault="001B77DD"/>
    <w:p w14:paraId="6753538D" w14:textId="77777777" w:rsidR="001B77DD" w:rsidRDefault="001B77DD"/>
    <w:p w14:paraId="6753538E" w14:textId="77777777" w:rsidR="001B77DD" w:rsidRDefault="001B77DD"/>
    <w:p w14:paraId="6753538F" w14:textId="77777777" w:rsidR="001B77DD" w:rsidRDefault="001B77DD"/>
    <w:p w14:paraId="67535390" w14:textId="77777777" w:rsidR="001B77DD" w:rsidRDefault="001B77DD"/>
    <w:p w14:paraId="67535391" w14:textId="77777777" w:rsidR="001B77DD" w:rsidRDefault="001B77DD"/>
    <w:p w14:paraId="67535392" w14:textId="77777777" w:rsidR="001B77DD" w:rsidRDefault="001B77DD"/>
    <w:p w14:paraId="67535393" w14:textId="77777777" w:rsidR="001B77DD" w:rsidRDefault="001B77DD"/>
    <w:p w14:paraId="67535394" w14:textId="77777777" w:rsidR="001B77DD" w:rsidRDefault="001B77DD"/>
    <w:p w14:paraId="67535395" w14:textId="77777777" w:rsidR="001B77DD" w:rsidRDefault="001B77DD"/>
    <w:p w14:paraId="67535396" w14:textId="77777777" w:rsidR="001B77DD" w:rsidRDefault="001B77DD"/>
    <w:p w14:paraId="67535397" w14:textId="77777777" w:rsidR="001B77DD" w:rsidRDefault="001B77DD"/>
    <w:p w14:paraId="67535398"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53A2" w14:textId="77777777">
        <w:tc>
          <w:tcPr>
            <w:tcW w:w="50" w:type="pct"/>
            <w:shd w:val="clear" w:color="auto" w:fill="auto"/>
            <w:vAlign w:val="bottom"/>
          </w:tcPr>
          <w:p w14:paraId="67535399" w14:textId="77777777" w:rsidR="001B77DD" w:rsidRDefault="001B77DD">
            <w:pPr>
              <w:rPr>
                <w:rFonts w:ascii="宋体"/>
              </w:rPr>
            </w:pPr>
          </w:p>
        </w:tc>
        <w:tc>
          <w:tcPr>
            <w:tcW w:w="283" w:type="pct"/>
            <w:shd w:val="clear" w:color="auto" w:fill="auto"/>
            <w:vAlign w:val="bottom"/>
          </w:tcPr>
          <w:p w14:paraId="6753539A" w14:textId="77777777" w:rsidR="001B77DD" w:rsidRDefault="001B77DD">
            <w:pPr>
              <w:rPr>
                <w:rFonts w:ascii="宋体"/>
              </w:rPr>
            </w:pPr>
          </w:p>
        </w:tc>
        <w:tc>
          <w:tcPr>
            <w:tcW w:w="5" w:type="pct"/>
            <w:shd w:val="clear" w:color="auto" w:fill="auto"/>
            <w:vAlign w:val="bottom"/>
          </w:tcPr>
          <w:p w14:paraId="6753539B" w14:textId="77777777" w:rsidR="001B77DD" w:rsidRDefault="001B77DD">
            <w:pPr>
              <w:rPr>
                <w:rFonts w:ascii="宋体"/>
              </w:rPr>
            </w:pPr>
          </w:p>
        </w:tc>
        <w:tc>
          <w:tcPr>
            <w:tcW w:w="50" w:type="pct"/>
            <w:shd w:val="clear" w:color="auto" w:fill="auto"/>
            <w:vAlign w:val="bottom"/>
          </w:tcPr>
          <w:p w14:paraId="6753539C" w14:textId="77777777" w:rsidR="001B77DD" w:rsidRDefault="001B77DD">
            <w:pPr>
              <w:rPr>
                <w:rFonts w:ascii="宋体"/>
              </w:rPr>
            </w:pPr>
          </w:p>
        </w:tc>
        <w:tc>
          <w:tcPr>
            <w:tcW w:w="2656" w:type="pct"/>
            <w:shd w:val="clear" w:color="auto" w:fill="auto"/>
            <w:vAlign w:val="bottom"/>
          </w:tcPr>
          <w:p w14:paraId="6753539D" w14:textId="77777777" w:rsidR="001B77DD" w:rsidRDefault="001B77DD">
            <w:pPr>
              <w:rPr>
                <w:rFonts w:ascii="宋体"/>
              </w:rPr>
            </w:pPr>
          </w:p>
        </w:tc>
        <w:tc>
          <w:tcPr>
            <w:tcW w:w="5" w:type="pct"/>
            <w:shd w:val="clear" w:color="auto" w:fill="auto"/>
            <w:vAlign w:val="bottom"/>
          </w:tcPr>
          <w:p w14:paraId="6753539E" w14:textId="77777777" w:rsidR="001B77DD" w:rsidRDefault="001B77DD">
            <w:pPr>
              <w:rPr>
                <w:rFonts w:ascii="宋体"/>
              </w:rPr>
            </w:pPr>
          </w:p>
        </w:tc>
        <w:tc>
          <w:tcPr>
            <w:tcW w:w="50" w:type="pct"/>
            <w:shd w:val="clear" w:color="auto" w:fill="auto"/>
            <w:vAlign w:val="bottom"/>
          </w:tcPr>
          <w:p w14:paraId="6753539F" w14:textId="77777777" w:rsidR="001B77DD" w:rsidRDefault="001B77DD">
            <w:pPr>
              <w:rPr>
                <w:rFonts w:ascii="宋体"/>
              </w:rPr>
            </w:pPr>
          </w:p>
        </w:tc>
        <w:tc>
          <w:tcPr>
            <w:tcW w:w="1894" w:type="pct"/>
            <w:shd w:val="clear" w:color="auto" w:fill="auto"/>
            <w:vAlign w:val="bottom"/>
          </w:tcPr>
          <w:p w14:paraId="675353A0" w14:textId="77777777" w:rsidR="001B77DD" w:rsidRDefault="001B77DD">
            <w:pPr>
              <w:rPr>
                <w:rFonts w:ascii="宋体"/>
              </w:rPr>
            </w:pPr>
          </w:p>
        </w:tc>
        <w:tc>
          <w:tcPr>
            <w:tcW w:w="5" w:type="pct"/>
            <w:shd w:val="clear" w:color="auto" w:fill="auto"/>
            <w:vAlign w:val="bottom"/>
          </w:tcPr>
          <w:p w14:paraId="675353A1" w14:textId="77777777" w:rsidR="001B77DD" w:rsidRDefault="001B77DD">
            <w:pPr>
              <w:rPr>
                <w:rFonts w:ascii="宋体"/>
              </w:rPr>
            </w:pPr>
          </w:p>
        </w:tc>
      </w:tr>
      <w:tr w:rsidR="001B77DD" w14:paraId="675353A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3A3"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CB" wp14:editId="67538ECC">
                  <wp:extent cx="304800" cy="304800"/>
                  <wp:effectExtent l="0" t="0" r="0" b="0"/>
                  <wp:docPr id="188" name="图片 221"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21"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3A4" w14:textId="77777777" w:rsidR="001B77DD" w:rsidRDefault="00BF0A2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3A5" w14:textId="77777777" w:rsidR="001B77DD" w:rsidRDefault="00BF0A28">
            <w:pPr>
              <w:jc w:val="right"/>
              <w:textAlignment w:val="center"/>
            </w:pPr>
            <w:r>
              <w:rPr>
                <w:rFonts w:ascii="Arial" w:eastAsia="宋体" w:hAnsi="Arial" w:cs="Arial"/>
                <w:color w:val="262626"/>
                <w:sz w:val="16"/>
                <w:szCs w:val="16"/>
              </w:rPr>
              <w:t>47</w:t>
            </w:r>
          </w:p>
        </w:tc>
      </w:tr>
    </w:tbl>
    <w:p w14:paraId="675353A7" w14:textId="77777777" w:rsidR="001B77DD" w:rsidRDefault="00BF0A28">
      <w:r>
        <w:pict w14:anchorId="67538ECD">
          <v:rect id="_x0000_i1073" style="width:415.3pt;height:1.5pt" o:hralign="center" o:hrstd="t" o:hr="t" fillcolor="#a0a0a0" stroked="f"/>
        </w:pict>
      </w:r>
    </w:p>
    <w:p w14:paraId="675353A8" w14:textId="77777777" w:rsidR="001B77DD" w:rsidRDefault="00BF0A28">
      <w:pPr>
        <w:jc w:val="right"/>
      </w:pPr>
      <w:hyperlink r:id="rId105" w:anchor="i6c9ced68f6b24d58a3dcf326e8c3c699_16" w:history="1">
        <w:r>
          <w:rPr>
            <w:rStyle w:val="a5"/>
            <w:rFonts w:ascii="Arial" w:eastAsia="宋体" w:hAnsi="Arial" w:cs="Arial"/>
            <w:b/>
            <w:bCs/>
            <w:sz w:val="16"/>
            <w:szCs w:val="16"/>
          </w:rPr>
          <w:t>Table of Contents</w:t>
        </w:r>
      </w:hyperlink>
    </w:p>
    <w:p w14:paraId="675353A9"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53B0" w14:textId="77777777">
        <w:tc>
          <w:tcPr>
            <w:tcW w:w="50" w:type="pct"/>
            <w:shd w:val="clear" w:color="auto" w:fill="auto"/>
            <w:vAlign w:val="bottom"/>
          </w:tcPr>
          <w:p w14:paraId="675353AA" w14:textId="77777777" w:rsidR="001B77DD" w:rsidRDefault="001B77DD">
            <w:pPr>
              <w:rPr>
                <w:rFonts w:ascii="宋体"/>
              </w:rPr>
            </w:pPr>
          </w:p>
        </w:tc>
        <w:tc>
          <w:tcPr>
            <w:tcW w:w="4870" w:type="pct"/>
            <w:shd w:val="clear" w:color="auto" w:fill="auto"/>
            <w:vAlign w:val="bottom"/>
          </w:tcPr>
          <w:p w14:paraId="675353AB" w14:textId="77777777" w:rsidR="001B77DD" w:rsidRDefault="001B77DD">
            <w:pPr>
              <w:rPr>
                <w:rFonts w:ascii="宋体"/>
              </w:rPr>
            </w:pPr>
          </w:p>
        </w:tc>
        <w:tc>
          <w:tcPr>
            <w:tcW w:w="5" w:type="pct"/>
            <w:shd w:val="clear" w:color="auto" w:fill="auto"/>
            <w:vAlign w:val="bottom"/>
          </w:tcPr>
          <w:p w14:paraId="675353AC" w14:textId="77777777" w:rsidR="001B77DD" w:rsidRDefault="001B77DD">
            <w:pPr>
              <w:rPr>
                <w:rFonts w:ascii="宋体"/>
              </w:rPr>
            </w:pPr>
          </w:p>
        </w:tc>
        <w:tc>
          <w:tcPr>
            <w:tcW w:w="5" w:type="pct"/>
            <w:shd w:val="clear" w:color="auto" w:fill="auto"/>
            <w:vAlign w:val="bottom"/>
          </w:tcPr>
          <w:p w14:paraId="675353AD" w14:textId="77777777" w:rsidR="001B77DD" w:rsidRDefault="001B77DD">
            <w:pPr>
              <w:rPr>
                <w:rFonts w:ascii="宋体"/>
              </w:rPr>
            </w:pPr>
          </w:p>
        </w:tc>
        <w:tc>
          <w:tcPr>
            <w:tcW w:w="64" w:type="pct"/>
            <w:shd w:val="clear" w:color="auto" w:fill="auto"/>
            <w:vAlign w:val="bottom"/>
          </w:tcPr>
          <w:p w14:paraId="675353AE" w14:textId="77777777" w:rsidR="001B77DD" w:rsidRDefault="001B77DD">
            <w:pPr>
              <w:rPr>
                <w:rFonts w:ascii="宋体"/>
              </w:rPr>
            </w:pPr>
          </w:p>
        </w:tc>
        <w:tc>
          <w:tcPr>
            <w:tcW w:w="5" w:type="pct"/>
            <w:shd w:val="clear" w:color="auto" w:fill="auto"/>
            <w:vAlign w:val="bottom"/>
          </w:tcPr>
          <w:p w14:paraId="675353AF" w14:textId="77777777" w:rsidR="001B77DD" w:rsidRDefault="001B77DD">
            <w:pPr>
              <w:rPr>
                <w:rFonts w:ascii="宋体"/>
              </w:rPr>
            </w:pPr>
          </w:p>
        </w:tc>
      </w:tr>
      <w:tr w:rsidR="001B77DD" w14:paraId="675353B3" w14:textId="77777777">
        <w:tc>
          <w:tcPr>
            <w:tcW w:w="0" w:type="auto"/>
            <w:gridSpan w:val="3"/>
            <w:shd w:val="clear" w:color="auto" w:fill="004A86"/>
            <w:tcMar>
              <w:top w:w="40" w:type="dxa"/>
              <w:left w:w="20" w:type="dxa"/>
              <w:bottom w:w="40" w:type="dxa"/>
              <w:right w:w="20" w:type="dxa"/>
            </w:tcMar>
            <w:vAlign w:val="center"/>
          </w:tcPr>
          <w:p w14:paraId="675353B1" w14:textId="77777777" w:rsidR="001B77DD" w:rsidRDefault="00BF0A28">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vAlign w:val="bottom"/>
          </w:tcPr>
          <w:p w14:paraId="675353B2" w14:textId="77777777" w:rsidR="001B77DD" w:rsidRDefault="001B77DD">
            <w:pPr>
              <w:rPr>
                <w:rFonts w:ascii="宋体"/>
              </w:rPr>
            </w:pPr>
          </w:p>
        </w:tc>
      </w:tr>
      <w:tr w:rsidR="001B77DD" w14:paraId="675353B6" w14:textId="77777777">
        <w:trPr>
          <w:trHeight w:val="160"/>
        </w:trPr>
        <w:tc>
          <w:tcPr>
            <w:tcW w:w="0" w:type="auto"/>
            <w:gridSpan w:val="3"/>
            <w:shd w:val="clear" w:color="auto" w:fill="auto"/>
            <w:tcMar>
              <w:top w:w="0" w:type="dxa"/>
              <w:left w:w="20" w:type="dxa"/>
              <w:bottom w:w="0" w:type="dxa"/>
              <w:right w:w="20" w:type="dxa"/>
            </w:tcMar>
            <w:vAlign w:val="bottom"/>
          </w:tcPr>
          <w:p w14:paraId="675353B4"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53B5" w14:textId="77777777" w:rsidR="001B77DD" w:rsidRDefault="001B77DD">
            <w:pPr>
              <w:rPr>
                <w:rFonts w:ascii="宋体"/>
              </w:rPr>
            </w:pPr>
          </w:p>
        </w:tc>
      </w:tr>
    </w:tbl>
    <w:p w14:paraId="675353B7" w14:textId="77777777" w:rsidR="001B77DD" w:rsidRDefault="00BF0A28">
      <w:pPr>
        <w:spacing w:after="180"/>
      </w:pPr>
      <w:r>
        <w:rPr>
          <w:rFonts w:ascii="Arial" w:eastAsia="宋体" w:hAnsi="Arial" w:cs="Arial"/>
          <w:color w:val="0068B5"/>
          <w:sz w:val="28"/>
          <w:szCs w:val="28"/>
        </w:rPr>
        <w:t>Sales and Marketing</w:t>
      </w:r>
    </w:p>
    <w:p w14:paraId="675353B8" w14:textId="77777777" w:rsidR="001B77DD" w:rsidRDefault="00BF0A28">
      <w:pPr>
        <w:spacing w:after="120"/>
      </w:pPr>
      <w:r>
        <w:rPr>
          <w:rFonts w:ascii="Arial" w:eastAsia="宋体" w:hAnsi="Arial" w:cs="Arial"/>
          <w:color w:val="0068B5"/>
        </w:rPr>
        <w:t>Customers</w:t>
      </w:r>
    </w:p>
    <w:p w14:paraId="675353B9" w14:textId="77777777" w:rsidR="001B77DD" w:rsidRDefault="00BF0A28">
      <w:pPr>
        <w:spacing w:after="180"/>
      </w:pPr>
      <w:r>
        <w:rPr>
          <w:rFonts w:ascii="Arial" w:eastAsia="宋体" w:hAnsi="Arial" w:cs="Arial"/>
          <w:color w:val="262626"/>
          <w:sz w:val="18"/>
          <w:szCs w:val="18"/>
        </w:rPr>
        <w:t xml:space="preserve">We sell our </w:t>
      </w:r>
      <w:r>
        <w:rPr>
          <w:rFonts w:ascii="Arial" w:eastAsia="宋体" w:hAnsi="Arial" w:cs="Arial"/>
          <w:color w:val="262626"/>
          <w:sz w:val="18"/>
          <w:szCs w:val="18"/>
        </w:rPr>
        <w:t>products primarily to OEMs, ODMs, and cloud service providers. ODMs provide design and manufacturing services to branded and unbranded private-label resellers. In addition, our customers include other manufacturers and service providers, such as industrial</w:t>
      </w:r>
      <w:r>
        <w:rPr>
          <w:rFonts w:ascii="Arial" w:eastAsia="宋体" w:hAnsi="Arial" w:cs="Arial"/>
          <w:color w:val="262626"/>
          <w:sz w:val="18"/>
          <w:szCs w:val="18"/>
        </w:rPr>
        <w:t xml:space="preserve"> and communication equipment manufacturers and other cloud service providers, who buy our products through distributor, reseller, retail, and OEM channels throughout the world. For more information about our customers, including customers who accounted for</w:t>
      </w:r>
      <w:r>
        <w:rPr>
          <w:rFonts w:ascii="Arial" w:eastAsia="宋体" w:hAnsi="Arial" w:cs="Arial"/>
          <w:color w:val="262626"/>
          <w:sz w:val="18"/>
          <w:szCs w:val="18"/>
        </w:rPr>
        <w:t xml:space="preserve"> greater than 10% of our net consolidated revenue, see "Note 3: Operating Segments" within the Consolidated Financial Statements.</w:t>
      </w:r>
    </w:p>
    <w:p w14:paraId="675353BA" w14:textId="77777777" w:rsidR="001B77DD" w:rsidRDefault="00BF0A28">
      <w:pPr>
        <w:spacing w:after="180"/>
      </w:pPr>
      <w:r>
        <w:rPr>
          <w:rFonts w:ascii="Arial" w:eastAsia="宋体" w:hAnsi="Arial" w:cs="Arial"/>
          <w:color w:val="262626"/>
          <w:sz w:val="18"/>
          <w:szCs w:val="18"/>
        </w:rPr>
        <w:t>Our worldwide reseller sales channel consists of thousands of indirect customers; systems builders that purchase Intel process</w:t>
      </w:r>
      <w:r>
        <w:rPr>
          <w:rFonts w:ascii="Arial" w:eastAsia="宋体" w:hAnsi="Arial" w:cs="Arial"/>
          <w:color w:val="262626"/>
          <w:sz w:val="18"/>
          <w:szCs w:val="18"/>
        </w:rPr>
        <w:t xml:space="preserve">ors and other products from our distributors. We have incentive programs that allow distributors to sell our microprocessors and other products in small quantities to systems integrators. Our microprocessors and other products are also available in direct </w:t>
      </w:r>
      <w:r>
        <w:rPr>
          <w:rFonts w:ascii="Arial" w:eastAsia="宋体" w:hAnsi="Arial" w:cs="Arial"/>
          <w:color w:val="262626"/>
          <w:sz w:val="18"/>
          <w:szCs w:val="18"/>
        </w:rPr>
        <w:t>retail outlets.</w:t>
      </w:r>
    </w:p>
    <w:p w14:paraId="675353BB" w14:textId="77777777" w:rsidR="001B77DD" w:rsidRDefault="00BF0A28">
      <w:pPr>
        <w:spacing w:after="120"/>
      </w:pPr>
      <w:r>
        <w:rPr>
          <w:rFonts w:ascii="Arial" w:eastAsia="宋体" w:hAnsi="Arial" w:cs="Arial"/>
          <w:color w:val="0068B5"/>
        </w:rPr>
        <w:t>Sales Arrangements</w:t>
      </w:r>
    </w:p>
    <w:p w14:paraId="675353BC" w14:textId="77777777" w:rsidR="001B77DD" w:rsidRDefault="00BF0A28">
      <w:pPr>
        <w:spacing w:after="180"/>
      </w:pPr>
      <w:r>
        <w:rPr>
          <w:rFonts w:ascii="Arial" w:eastAsia="宋体" w:hAnsi="Arial" w:cs="Arial"/>
          <w:color w:val="262626"/>
          <w:sz w:val="18"/>
          <w:szCs w:val="18"/>
        </w:rPr>
        <w:t>Our products are sold through distribution channels throughout the world. Sales of our products are frequently made via purchase order acknowledgments that contain standard terms and conditions covering matters such as pr</w:t>
      </w:r>
      <w:r>
        <w:rPr>
          <w:rFonts w:ascii="Arial" w:eastAsia="宋体" w:hAnsi="Arial" w:cs="Arial"/>
          <w:color w:val="262626"/>
          <w:sz w:val="18"/>
          <w:szCs w:val="18"/>
        </w:rPr>
        <w:t>icing, payment terms, and warranties, as well as indemnities for issues specific to our products, such as patent and copyright indemnities. Because our customers generally order from us on a purchase order basis, they can typically cancel, change, or delay</w:t>
      </w:r>
      <w:r>
        <w:rPr>
          <w:rFonts w:ascii="Arial" w:eastAsia="宋体" w:hAnsi="Arial" w:cs="Arial"/>
          <w:color w:val="262626"/>
          <w:sz w:val="18"/>
          <w:szCs w:val="18"/>
        </w:rPr>
        <w:t xml:space="preserve"> product purchase commitments with little or no notice to us and without penalty. From time to time, we may enter into additional agreements with customers covering, for example, changes from our standard terms and conditions, new product development and m</w:t>
      </w:r>
      <w:r>
        <w:rPr>
          <w:rFonts w:ascii="Arial" w:eastAsia="宋体" w:hAnsi="Arial" w:cs="Arial"/>
          <w:color w:val="262626"/>
          <w:sz w:val="18"/>
          <w:szCs w:val="18"/>
        </w:rPr>
        <w:t>arketing, and private-label branding. Our sales are routinely made using electronic and web-based processes that allow the customer to review inventory availability and track the progress of specific goods ordered. Pricing on particular products may vary b</w:t>
      </w:r>
      <w:r>
        <w:rPr>
          <w:rFonts w:ascii="Arial" w:eastAsia="宋体" w:hAnsi="Arial" w:cs="Arial"/>
          <w:color w:val="262626"/>
          <w:sz w:val="18"/>
          <w:szCs w:val="18"/>
        </w:rPr>
        <w:t>ased on volumes ordered and other factors. We also offer discounts, rebates, and other incentives to customers to increase acceptance of our products and technology.</w:t>
      </w:r>
    </w:p>
    <w:p w14:paraId="675353BD" w14:textId="77777777" w:rsidR="001B77DD" w:rsidRDefault="00BF0A28">
      <w:pPr>
        <w:spacing w:after="180"/>
      </w:pPr>
      <w:r>
        <w:rPr>
          <w:rFonts w:ascii="Arial" w:eastAsia="宋体" w:hAnsi="Arial" w:cs="Arial"/>
          <w:color w:val="262626"/>
          <w:sz w:val="18"/>
          <w:szCs w:val="18"/>
        </w:rPr>
        <w:t xml:space="preserve">In accordance with contract terms, revenue for product sales is recognized at the time of </w:t>
      </w:r>
      <w:r>
        <w:rPr>
          <w:rFonts w:ascii="Arial" w:eastAsia="宋体" w:hAnsi="Arial" w:cs="Arial"/>
          <w:color w:val="262626"/>
          <w:sz w:val="18"/>
          <w:szCs w:val="18"/>
        </w:rPr>
        <w:t>product shipment from our facilities or delivery to the customer location, as determined by the agreed upon shipping terms. Our standard terms and conditions of sale typically provide that payment is due at a later date, usually 30 days after shipment or d</w:t>
      </w:r>
      <w:r>
        <w:rPr>
          <w:rFonts w:ascii="Arial" w:eastAsia="宋体" w:hAnsi="Arial" w:cs="Arial"/>
          <w:color w:val="262626"/>
          <w:sz w:val="18"/>
          <w:szCs w:val="18"/>
        </w:rPr>
        <w:t>elivery. We assess credit risk through quantitative and qualitative analysis. From this analysis, we establish shipping and credit limits, and determine whether we will seek to use one or more credit support protection devices, such as obtaining a parent g</w:t>
      </w:r>
      <w:r>
        <w:rPr>
          <w:rFonts w:ascii="Arial" w:eastAsia="宋体" w:hAnsi="Arial" w:cs="Arial"/>
          <w:color w:val="262626"/>
          <w:sz w:val="18"/>
          <w:szCs w:val="18"/>
        </w:rPr>
        <w:t xml:space="preserve">uarantee, standby letter of credit, or credit insurance. Credit losses may still be incurred due to bankruptcy, fraud, or other failure of the customer to pay. </w:t>
      </w:r>
    </w:p>
    <w:p w14:paraId="675353BE" w14:textId="77777777" w:rsidR="001B77DD" w:rsidRDefault="00BF0A28">
      <w:pPr>
        <w:spacing w:after="180"/>
      </w:pPr>
      <w:r>
        <w:rPr>
          <w:rFonts w:ascii="Arial" w:eastAsia="宋体" w:hAnsi="Arial" w:cs="Arial"/>
          <w:color w:val="262626"/>
          <w:sz w:val="18"/>
          <w:szCs w:val="18"/>
        </w:rPr>
        <w:t xml:space="preserve">Our sales to distributors are typically made under agreements allowing for price protection on </w:t>
      </w:r>
      <w:r>
        <w:rPr>
          <w:rFonts w:ascii="Arial" w:eastAsia="宋体" w:hAnsi="Arial" w:cs="Arial"/>
          <w:color w:val="262626"/>
          <w:sz w:val="18"/>
          <w:szCs w:val="18"/>
        </w:rPr>
        <w:t>unsold merchandise and a right of return on stipulated quantities of unsold merchandise. Under the price protection program, we give distributors credits for the difference between the original price paid and the current price that we offer. Our products t</w:t>
      </w:r>
      <w:r>
        <w:rPr>
          <w:rFonts w:ascii="Arial" w:eastAsia="宋体" w:hAnsi="Arial" w:cs="Arial"/>
          <w:color w:val="262626"/>
          <w:sz w:val="18"/>
          <w:szCs w:val="18"/>
        </w:rPr>
        <w:t>ypically have no contractual limit on the amount of price protection, nor is there a limit on the time horizon under which price protection is granted. The right of return granted generally consists of a stock rotation program in which distributors can exc</w:t>
      </w:r>
      <w:r>
        <w:rPr>
          <w:rFonts w:ascii="Arial" w:eastAsia="宋体" w:hAnsi="Arial" w:cs="Arial"/>
          <w:color w:val="262626"/>
          <w:sz w:val="18"/>
          <w:szCs w:val="18"/>
        </w:rPr>
        <w:t xml:space="preserve">hange certain products based on the number of qualified purchases made by the distributor. </w:t>
      </w:r>
    </w:p>
    <w:p w14:paraId="675353BF" w14:textId="77777777" w:rsidR="001B77DD" w:rsidRDefault="00BF0A28">
      <w:pPr>
        <w:spacing w:after="120"/>
      </w:pPr>
      <w:r>
        <w:rPr>
          <w:rFonts w:ascii="Arial" w:eastAsia="宋体" w:hAnsi="Arial" w:cs="Arial"/>
          <w:color w:val="0068B5"/>
        </w:rPr>
        <w:t>Distribution</w:t>
      </w:r>
    </w:p>
    <w:p w14:paraId="675353C0" w14:textId="77777777" w:rsidR="001B77DD" w:rsidRDefault="00BF0A28">
      <w:pPr>
        <w:spacing w:after="180"/>
      </w:pPr>
      <w:r>
        <w:rPr>
          <w:rFonts w:ascii="Arial" w:eastAsia="宋体" w:hAnsi="Arial" w:cs="Arial"/>
          <w:color w:val="262626"/>
          <w:sz w:val="18"/>
          <w:szCs w:val="18"/>
        </w:rPr>
        <w:t>Distributors typically handle a wide variety of products, including those that compete with our products, and fill orders for many customers. Customers</w:t>
      </w:r>
      <w:r>
        <w:rPr>
          <w:rFonts w:ascii="Arial" w:eastAsia="宋体" w:hAnsi="Arial" w:cs="Arial"/>
          <w:color w:val="262626"/>
          <w:sz w:val="18"/>
          <w:szCs w:val="18"/>
        </w:rPr>
        <w:t xml:space="preserve"> may place orders directly with us or through distributors. We have several distribution warehouses that are located in proximity to key customers.</w:t>
      </w:r>
    </w:p>
    <w:p w14:paraId="675353C1" w14:textId="77777777" w:rsidR="001B77DD" w:rsidRDefault="00BF0A28">
      <w:pPr>
        <w:spacing w:after="120"/>
      </w:pPr>
      <w:r>
        <w:rPr>
          <w:rFonts w:ascii="Arial" w:eastAsia="宋体" w:hAnsi="Arial" w:cs="Arial"/>
          <w:color w:val="0068B5"/>
        </w:rPr>
        <w:t>Seasonal Trends</w:t>
      </w:r>
    </w:p>
    <w:p w14:paraId="675353C2" w14:textId="77777777" w:rsidR="001B77DD" w:rsidRDefault="00BF0A28">
      <w:pPr>
        <w:spacing w:after="180"/>
      </w:pPr>
      <w:r>
        <w:rPr>
          <w:rFonts w:ascii="Arial" w:eastAsia="宋体" w:hAnsi="Arial" w:cs="Arial"/>
          <w:color w:val="262626"/>
          <w:sz w:val="18"/>
          <w:szCs w:val="18"/>
        </w:rPr>
        <w:t xml:space="preserve">Historically, our net revenue has typically been higher in the second half of the year than </w:t>
      </w:r>
      <w:r>
        <w:rPr>
          <w:rFonts w:ascii="Arial" w:eastAsia="宋体" w:hAnsi="Arial" w:cs="Arial"/>
          <w:color w:val="262626"/>
          <w:sz w:val="18"/>
          <w:szCs w:val="18"/>
        </w:rPr>
        <w:t xml:space="preserve">in the first half of the year, accelerating in the third quarter and peaking in the fourth quarter. In 2021, continued strong COVID-driven notebook demand in the first half of the year contributed to a flatter trend than we historically observe. </w:t>
      </w:r>
    </w:p>
    <w:p w14:paraId="675353C3" w14:textId="77777777" w:rsidR="001B77DD" w:rsidRDefault="00BF0A28">
      <w:pPr>
        <w:spacing w:after="120"/>
      </w:pPr>
      <w:r>
        <w:rPr>
          <w:rFonts w:ascii="Arial" w:eastAsia="宋体" w:hAnsi="Arial" w:cs="Arial"/>
          <w:color w:val="0068B5"/>
        </w:rPr>
        <w:t>Marketing</w:t>
      </w:r>
    </w:p>
    <w:p w14:paraId="675353C4" w14:textId="77777777" w:rsidR="001B77DD" w:rsidRDefault="00BF0A28">
      <w:pPr>
        <w:spacing w:after="180"/>
      </w:pPr>
      <w:r>
        <w:rPr>
          <w:rFonts w:ascii="Arial" w:eastAsia="宋体" w:hAnsi="Arial" w:cs="Arial"/>
          <w:color w:val="262626"/>
          <w:sz w:val="18"/>
          <w:szCs w:val="18"/>
        </w:rPr>
        <w:t xml:space="preserve">Our global marketing objectives are to build a strong, well-known, differentiated, and meaningful Intel corporate brand that drives preference with businesses and consumers, and to offer a limited number of meaningful and valuable brands in our portfolio </w:t>
      </w:r>
      <w:r>
        <w:rPr>
          <w:rFonts w:ascii="Arial" w:eastAsia="宋体" w:hAnsi="Arial" w:cs="Arial"/>
          <w:color w:val="262626"/>
          <w:sz w:val="18"/>
          <w:szCs w:val="18"/>
        </w:rPr>
        <w:t>to aid businesses and consumers in making informed choices about technology purchases. The Intel Core processor family and the Intel Atom, Celeron</w:t>
      </w:r>
      <w:r>
        <w:rPr>
          <w:rFonts w:ascii="Arial" w:eastAsia="宋体" w:hAnsi="Arial" w:cs="Arial"/>
          <w:color w:val="262626"/>
          <w:sz w:val="11"/>
          <w:szCs w:val="11"/>
        </w:rPr>
        <w:t>®</w:t>
      </w:r>
      <w:r>
        <w:rPr>
          <w:rFonts w:ascii="Arial" w:eastAsia="宋体" w:hAnsi="Arial" w:cs="Arial"/>
          <w:color w:val="262626"/>
          <w:sz w:val="18"/>
          <w:szCs w:val="18"/>
        </w:rPr>
        <w:t>, Pentium</w:t>
      </w:r>
      <w:r>
        <w:rPr>
          <w:rFonts w:ascii="Arial" w:eastAsia="宋体" w:hAnsi="Arial" w:cs="Arial"/>
          <w:color w:val="262626"/>
          <w:sz w:val="11"/>
          <w:szCs w:val="11"/>
        </w:rPr>
        <w:t>®</w:t>
      </w:r>
      <w:r>
        <w:rPr>
          <w:rFonts w:ascii="Arial" w:eastAsia="宋体" w:hAnsi="Arial" w:cs="Arial"/>
          <w:color w:val="262626"/>
          <w:sz w:val="18"/>
          <w:szCs w:val="18"/>
        </w:rPr>
        <w:t>, and Intel Xeon</w:t>
      </w:r>
      <w:r>
        <w:rPr>
          <w:rFonts w:ascii="Arial" w:eastAsia="宋体" w:hAnsi="Arial" w:cs="Arial"/>
          <w:color w:val="262626"/>
          <w:sz w:val="11"/>
          <w:szCs w:val="11"/>
        </w:rPr>
        <w:t xml:space="preserve"> </w:t>
      </w:r>
      <w:r>
        <w:rPr>
          <w:rFonts w:ascii="Arial" w:eastAsia="宋体" w:hAnsi="Arial" w:cs="Arial"/>
          <w:color w:val="262626"/>
          <w:sz w:val="18"/>
          <w:szCs w:val="18"/>
        </w:rPr>
        <w:t xml:space="preserve">trademarks make up our key CPU brands. This year, we introduced the Intel Arc </w:t>
      </w:r>
      <w:r>
        <w:rPr>
          <w:rFonts w:ascii="Arial" w:eastAsia="宋体" w:hAnsi="Arial" w:cs="Arial"/>
          <w:color w:val="262626"/>
          <w:sz w:val="18"/>
          <w:szCs w:val="18"/>
        </w:rPr>
        <w:t>brand for our upcoming high-performance graphics products.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3CE" w14:textId="77777777">
        <w:tc>
          <w:tcPr>
            <w:tcW w:w="50" w:type="pct"/>
            <w:shd w:val="clear" w:color="auto" w:fill="auto"/>
            <w:vAlign w:val="bottom"/>
          </w:tcPr>
          <w:p w14:paraId="675353C5" w14:textId="77777777" w:rsidR="001B77DD" w:rsidRDefault="001B77DD">
            <w:pPr>
              <w:rPr>
                <w:rFonts w:ascii="宋体"/>
              </w:rPr>
            </w:pPr>
          </w:p>
        </w:tc>
        <w:tc>
          <w:tcPr>
            <w:tcW w:w="283" w:type="pct"/>
            <w:shd w:val="clear" w:color="auto" w:fill="auto"/>
            <w:vAlign w:val="bottom"/>
          </w:tcPr>
          <w:p w14:paraId="675353C6" w14:textId="77777777" w:rsidR="001B77DD" w:rsidRDefault="001B77DD">
            <w:pPr>
              <w:rPr>
                <w:rFonts w:ascii="宋体"/>
              </w:rPr>
            </w:pPr>
          </w:p>
        </w:tc>
        <w:tc>
          <w:tcPr>
            <w:tcW w:w="5" w:type="pct"/>
            <w:shd w:val="clear" w:color="auto" w:fill="auto"/>
            <w:vAlign w:val="bottom"/>
          </w:tcPr>
          <w:p w14:paraId="675353C7" w14:textId="77777777" w:rsidR="001B77DD" w:rsidRDefault="001B77DD">
            <w:pPr>
              <w:rPr>
                <w:rFonts w:ascii="宋体"/>
              </w:rPr>
            </w:pPr>
          </w:p>
        </w:tc>
        <w:tc>
          <w:tcPr>
            <w:tcW w:w="50" w:type="pct"/>
            <w:shd w:val="clear" w:color="auto" w:fill="auto"/>
            <w:vAlign w:val="bottom"/>
          </w:tcPr>
          <w:p w14:paraId="675353C8" w14:textId="77777777" w:rsidR="001B77DD" w:rsidRDefault="001B77DD">
            <w:pPr>
              <w:rPr>
                <w:rFonts w:ascii="宋体"/>
              </w:rPr>
            </w:pPr>
          </w:p>
        </w:tc>
        <w:tc>
          <w:tcPr>
            <w:tcW w:w="2656" w:type="pct"/>
            <w:shd w:val="clear" w:color="auto" w:fill="auto"/>
            <w:vAlign w:val="bottom"/>
          </w:tcPr>
          <w:p w14:paraId="675353C9" w14:textId="77777777" w:rsidR="001B77DD" w:rsidRDefault="001B77DD">
            <w:pPr>
              <w:rPr>
                <w:rFonts w:ascii="宋体"/>
              </w:rPr>
            </w:pPr>
          </w:p>
        </w:tc>
        <w:tc>
          <w:tcPr>
            <w:tcW w:w="5" w:type="pct"/>
            <w:shd w:val="clear" w:color="auto" w:fill="auto"/>
            <w:vAlign w:val="bottom"/>
          </w:tcPr>
          <w:p w14:paraId="675353CA" w14:textId="77777777" w:rsidR="001B77DD" w:rsidRDefault="001B77DD">
            <w:pPr>
              <w:rPr>
                <w:rFonts w:ascii="宋体"/>
              </w:rPr>
            </w:pPr>
          </w:p>
        </w:tc>
        <w:tc>
          <w:tcPr>
            <w:tcW w:w="50" w:type="pct"/>
            <w:shd w:val="clear" w:color="auto" w:fill="auto"/>
            <w:vAlign w:val="bottom"/>
          </w:tcPr>
          <w:p w14:paraId="675353CB" w14:textId="77777777" w:rsidR="001B77DD" w:rsidRDefault="001B77DD">
            <w:pPr>
              <w:rPr>
                <w:rFonts w:ascii="宋体"/>
              </w:rPr>
            </w:pPr>
          </w:p>
        </w:tc>
        <w:tc>
          <w:tcPr>
            <w:tcW w:w="1894" w:type="pct"/>
            <w:shd w:val="clear" w:color="auto" w:fill="auto"/>
            <w:vAlign w:val="bottom"/>
          </w:tcPr>
          <w:p w14:paraId="675353CC" w14:textId="77777777" w:rsidR="001B77DD" w:rsidRDefault="001B77DD">
            <w:pPr>
              <w:rPr>
                <w:rFonts w:ascii="宋体"/>
              </w:rPr>
            </w:pPr>
          </w:p>
        </w:tc>
        <w:tc>
          <w:tcPr>
            <w:tcW w:w="5" w:type="pct"/>
            <w:shd w:val="clear" w:color="auto" w:fill="auto"/>
            <w:vAlign w:val="bottom"/>
          </w:tcPr>
          <w:p w14:paraId="675353CD" w14:textId="77777777" w:rsidR="001B77DD" w:rsidRDefault="001B77DD">
            <w:pPr>
              <w:rPr>
                <w:rFonts w:ascii="宋体"/>
              </w:rPr>
            </w:pPr>
          </w:p>
        </w:tc>
      </w:tr>
      <w:tr w:rsidR="001B77DD" w14:paraId="675353D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3CF"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CE" wp14:editId="67538ECF">
                  <wp:extent cx="304800" cy="304800"/>
                  <wp:effectExtent l="0" t="0" r="0" b="0"/>
                  <wp:docPr id="181" name="图片 22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2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3D0"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3D1" w14:textId="77777777" w:rsidR="001B77DD" w:rsidRDefault="00BF0A28">
            <w:pPr>
              <w:jc w:val="right"/>
              <w:textAlignment w:val="center"/>
            </w:pPr>
            <w:r>
              <w:rPr>
                <w:rFonts w:ascii="Arial" w:eastAsia="宋体" w:hAnsi="Arial" w:cs="Arial"/>
                <w:color w:val="262626"/>
                <w:sz w:val="16"/>
                <w:szCs w:val="16"/>
              </w:rPr>
              <w:t>48</w:t>
            </w:r>
          </w:p>
        </w:tc>
      </w:tr>
    </w:tbl>
    <w:p w14:paraId="675353D3" w14:textId="77777777" w:rsidR="001B77DD" w:rsidRDefault="00BF0A28">
      <w:r>
        <w:pict w14:anchorId="67538ED0">
          <v:rect id="_x0000_i1074" style="width:415.3pt;height:1.5pt" o:hralign="center" o:hrstd="t" o:hr="t" fillcolor="#a0a0a0" stroked="f"/>
        </w:pict>
      </w:r>
    </w:p>
    <w:p w14:paraId="675353D4" w14:textId="77777777" w:rsidR="001B77DD" w:rsidRDefault="00BF0A28">
      <w:pPr>
        <w:jc w:val="right"/>
      </w:pPr>
      <w:hyperlink r:id="rId106" w:anchor="i6c9ced68f6b24d58a3dcf326e8c3c699_16" w:history="1">
        <w:r>
          <w:rPr>
            <w:rStyle w:val="a5"/>
            <w:rFonts w:ascii="Arial" w:eastAsia="宋体" w:hAnsi="Arial" w:cs="Arial"/>
            <w:b/>
            <w:bCs/>
            <w:sz w:val="16"/>
            <w:szCs w:val="16"/>
          </w:rPr>
          <w:t>Table of Contents</w:t>
        </w:r>
      </w:hyperlink>
    </w:p>
    <w:p w14:paraId="675353D5" w14:textId="77777777" w:rsidR="001B77DD" w:rsidRDefault="001B77DD">
      <w:pPr>
        <w:jc w:val="right"/>
      </w:pPr>
    </w:p>
    <w:p w14:paraId="675353D6" w14:textId="77777777" w:rsidR="001B77DD" w:rsidRDefault="00BF0A28">
      <w:pPr>
        <w:spacing w:after="180"/>
      </w:pPr>
      <w:r>
        <w:rPr>
          <w:rFonts w:ascii="Arial" w:eastAsia="宋体" w:hAnsi="Arial" w:cs="Arial"/>
          <w:color w:val="262626"/>
          <w:sz w:val="18"/>
          <w:szCs w:val="18"/>
        </w:rPr>
        <w:t>We promote brand awareness and preference, and generate demand through our own dire</w:t>
      </w:r>
      <w:r>
        <w:rPr>
          <w:rFonts w:ascii="Arial" w:eastAsia="宋体" w:hAnsi="Arial" w:cs="Arial"/>
          <w:color w:val="262626"/>
          <w:sz w:val="18"/>
          <w:szCs w:val="18"/>
        </w:rPr>
        <w:t>ct marketing, as well as through co-marketing programs. Our direct marketing activities primarily include advertising through digital and social media and television, as well as consumer and trade events, industry and consumer communications, and press rel</w:t>
      </w:r>
      <w:r>
        <w:rPr>
          <w:rFonts w:ascii="Arial" w:eastAsia="宋体" w:hAnsi="Arial" w:cs="Arial"/>
          <w:color w:val="262626"/>
          <w:sz w:val="18"/>
          <w:szCs w:val="18"/>
        </w:rPr>
        <w:t>ations. We market to consumer and business audiences and focus on building awareness and generating demand for our products. Our key messaging focuses on increased performance, improved energy efficiency, and other capabilities such as connectivity.</w:t>
      </w:r>
    </w:p>
    <w:p w14:paraId="675353D7" w14:textId="77777777" w:rsidR="001B77DD" w:rsidRDefault="00BF0A28">
      <w:r>
        <w:rPr>
          <w:rFonts w:ascii="Arial" w:eastAsia="宋体" w:hAnsi="Arial" w:cs="Arial"/>
          <w:color w:val="262626"/>
          <w:sz w:val="18"/>
          <w:szCs w:val="18"/>
        </w:rPr>
        <w:t>Certain customers participate in cooperative advertising and marketing programs. These cooperative advertising and marketing programs broaden the reach of our brands beyond the scope of our own direct marketing. Certain customers are licensed to place Inte</w:t>
      </w:r>
      <w:r>
        <w:rPr>
          <w:rFonts w:ascii="Arial" w:eastAsia="宋体" w:hAnsi="Arial" w:cs="Arial"/>
          <w:color w:val="262626"/>
          <w:sz w:val="18"/>
          <w:szCs w:val="18"/>
        </w:rPr>
        <w:t>l</w:t>
      </w:r>
      <w:r>
        <w:rPr>
          <w:rFonts w:ascii="Arial" w:eastAsia="宋体" w:hAnsi="Arial" w:cs="Arial"/>
          <w:color w:val="262626"/>
          <w:sz w:val="11"/>
          <w:szCs w:val="11"/>
        </w:rPr>
        <w:t>®</w:t>
      </w:r>
      <w:r>
        <w:rPr>
          <w:rFonts w:ascii="Arial" w:eastAsia="宋体" w:hAnsi="Arial" w:cs="Arial"/>
          <w:color w:val="262626"/>
          <w:sz w:val="18"/>
          <w:szCs w:val="18"/>
        </w:rPr>
        <w:t xml:space="preserve"> logos on computing devices containing our microprocessors and processor technologies, and to use our brands in their marketing activities. The program partially reimburses customers for marketing activities for products featuring Intel brands, subject t</w:t>
      </w:r>
      <w:r>
        <w:rPr>
          <w:rFonts w:ascii="Arial" w:eastAsia="宋体" w:hAnsi="Arial" w:cs="Arial"/>
          <w:color w:val="262626"/>
          <w:sz w:val="18"/>
          <w:szCs w:val="18"/>
        </w:rPr>
        <w:t>o customers meeting defined criteria. These marketing activities primarily include advertising through digital and social media and television, as well as press relations. We have also entered into joint marketing arrangements with certain customers.</w:t>
      </w:r>
    </w:p>
    <w:p w14:paraId="675353D8" w14:textId="77777777" w:rsidR="001B77DD" w:rsidRDefault="001B77DD"/>
    <w:p w14:paraId="675353D9" w14:textId="77777777" w:rsidR="001B77DD" w:rsidRDefault="00BF0A28">
      <w:pPr>
        <w:spacing w:after="180"/>
      </w:pPr>
      <w:r>
        <w:rPr>
          <w:rFonts w:ascii="Arial" w:eastAsia="宋体" w:hAnsi="Arial" w:cs="Arial"/>
          <w:color w:val="0068B5"/>
          <w:sz w:val="28"/>
          <w:szCs w:val="28"/>
        </w:rPr>
        <w:t>Quan</w:t>
      </w:r>
      <w:r>
        <w:rPr>
          <w:rFonts w:ascii="Arial" w:eastAsia="宋体" w:hAnsi="Arial" w:cs="Arial"/>
          <w:color w:val="0068B5"/>
          <w:sz w:val="28"/>
          <w:szCs w:val="28"/>
        </w:rPr>
        <w:t>titative and Qualitative Disclosures About Market Risk</w:t>
      </w:r>
    </w:p>
    <w:p w14:paraId="675353DA" w14:textId="77777777" w:rsidR="001B77DD" w:rsidRDefault="00BF0A28">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eliminate, the impacts of th</w:t>
      </w:r>
      <w:r>
        <w:rPr>
          <w:rFonts w:ascii="Arial" w:eastAsia="宋体" w:hAnsi="Arial" w:cs="Arial"/>
          <w:color w:val="262626"/>
          <w:sz w:val="18"/>
          <w:szCs w:val="18"/>
        </w:rPr>
        <w:t xml:space="preserve">ese risks. All of the following potential changes are based on sensitivity analyses performed on our financial positions as of December 25, 2021 and December 26, 2020. Actual results may differ materially. </w:t>
      </w:r>
    </w:p>
    <w:p w14:paraId="675353DB" w14:textId="77777777" w:rsidR="001B77DD" w:rsidRDefault="00BF0A28">
      <w:pPr>
        <w:spacing w:after="120"/>
      </w:pPr>
      <w:r>
        <w:rPr>
          <w:rFonts w:ascii="Arial" w:eastAsia="宋体" w:hAnsi="Arial" w:cs="Arial"/>
          <w:color w:val="0068B5"/>
        </w:rPr>
        <w:t>Currency Exchange Rates</w:t>
      </w:r>
    </w:p>
    <w:p w14:paraId="675353DC" w14:textId="77777777" w:rsidR="001B77DD" w:rsidRDefault="00BF0A28">
      <w:pPr>
        <w:spacing w:after="180"/>
      </w:pPr>
      <w:r>
        <w:rPr>
          <w:rFonts w:ascii="Arial" w:eastAsia="宋体" w:hAnsi="Arial" w:cs="Arial"/>
          <w:color w:val="262626"/>
          <w:sz w:val="18"/>
          <w:szCs w:val="18"/>
        </w:rPr>
        <w:t>We are exposed to currenc</w:t>
      </w:r>
      <w:r>
        <w:rPr>
          <w:rFonts w:ascii="Arial" w:eastAsia="宋体" w:hAnsi="Arial" w:cs="Arial"/>
          <w:color w:val="262626"/>
          <w:sz w:val="18"/>
          <w:szCs w:val="18"/>
        </w:rPr>
        <w:t>y exchange risks of non-US-dollar-denominated investments in debt and equity instruments and loans receivable, and may economically hedge this risk with foreign currency contracts, such as currency forward contracts or currency interest rate swaps. Gains o</w:t>
      </w:r>
      <w:r>
        <w:rPr>
          <w:rFonts w:ascii="Arial" w:eastAsia="宋体" w:hAnsi="Arial" w:cs="Arial"/>
          <w:color w:val="262626"/>
          <w:sz w:val="18"/>
          <w:szCs w:val="18"/>
        </w:rPr>
        <w:t>r losses on these non-US-currency investments are generally offset by corresponding losses or gains on the related hedging instruments. We are exposed to currency exchange risks from our non-US-dollar-denominated debt indebtedness and may use foreign curre</w:t>
      </w:r>
      <w:r>
        <w:rPr>
          <w:rFonts w:ascii="Arial" w:eastAsia="宋体" w:hAnsi="Arial" w:cs="Arial"/>
          <w:color w:val="262626"/>
          <w:sz w:val="18"/>
          <w:szCs w:val="18"/>
        </w:rPr>
        <w:t>ncy contracts designated as cash flow hedges to manage this risk.</w:t>
      </w:r>
    </w:p>
    <w:p w14:paraId="675353DD" w14:textId="77777777" w:rsidR="001B77DD" w:rsidRDefault="00BF0A28">
      <w:pPr>
        <w:spacing w:after="180"/>
      </w:pPr>
      <w:r>
        <w:rPr>
          <w:rFonts w:ascii="Arial" w:eastAsia="宋体" w:hAnsi="Arial" w:cs="Arial"/>
          <w:color w:val="262626"/>
          <w:sz w:val="18"/>
          <w:szCs w:val="18"/>
        </w:rPr>
        <w:t xml:space="preserve">Substantially all of our revenue is transacted in US dollars. However, a significant portion of our operating expenditures and capital purchases are incurred in other currencies, </w:t>
      </w:r>
      <w:r>
        <w:rPr>
          <w:rFonts w:ascii="Arial" w:eastAsia="宋体" w:hAnsi="Arial" w:cs="Arial"/>
          <w:color w:val="000000"/>
          <w:sz w:val="18"/>
          <w:szCs w:val="18"/>
        </w:rPr>
        <w:t>primarily t</w:t>
      </w:r>
      <w:r>
        <w:rPr>
          <w:rFonts w:ascii="Arial" w:eastAsia="宋体" w:hAnsi="Arial" w:cs="Arial"/>
          <w:color w:val="000000"/>
          <w:sz w:val="18"/>
          <w:szCs w:val="18"/>
        </w:rPr>
        <w:t>he European Union euro, the Israeli shekel, the Malaysian ringgit, the Japanese yen, and the Chinese yuan</w:t>
      </w:r>
      <w:r>
        <w:rPr>
          <w:rFonts w:ascii="Arial" w:eastAsia="宋体" w:hAnsi="Arial" w:cs="Arial"/>
          <w:color w:val="262626"/>
          <w:sz w:val="18"/>
          <w:szCs w:val="18"/>
        </w:rPr>
        <w:t>. We have established currency risk management programs to protect against currency exchange rate risks associated with non-US dollar forecasted future</w:t>
      </w:r>
      <w:r>
        <w:rPr>
          <w:rFonts w:ascii="Arial" w:eastAsia="宋体" w:hAnsi="Arial" w:cs="Arial"/>
          <w:color w:val="262626"/>
          <w:sz w:val="18"/>
          <w:szCs w:val="18"/>
        </w:rPr>
        <w:t xml:space="preserve"> cash flows and existing non-US dollar monetary assets and liabilities. We may also hedge currency risk arising from funding of foreign currency-denominated future investments. We may utilize foreign currency contracts, such as currency forwards or option </w:t>
      </w:r>
      <w:r>
        <w:rPr>
          <w:rFonts w:ascii="Arial" w:eastAsia="宋体" w:hAnsi="Arial" w:cs="Arial"/>
          <w:color w:val="262626"/>
          <w:sz w:val="18"/>
          <w:szCs w:val="18"/>
        </w:rPr>
        <w:t>contracts in these hedging programs. We considered the historical trends in currency exchange rates and determined that it was reasonably possible that a weighted average adverse change of 10% in currency exchange rates could be experienced in the near ter</w:t>
      </w:r>
      <w:r>
        <w:rPr>
          <w:rFonts w:ascii="Arial" w:eastAsia="宋体" w:hAnsi="Arial" w:cs="Arial"/>
          <w:color w:val="262626"/>
          <w:sz w:val="18"/>
          <w:szCs w:val="18"/>
        </w:rPr>
        <w:t>m. Such an adverse change, after taking into account balance sheet hedges only and offsetting recorded monetary asset and liability positions outstanding as of December 25, 2021 and December 26, 2020, would result in an adverse impact on income before taxe</w:t>
      </w:r>
      <w:r>
        <w:rPr>
          <w:rFonts w:ascii="Arial" w:eastAsia="宋体" w:hAnsi="Arial" w:cs="Arial"/>
          <w:color w:val="262626"/>
          <w:sz w:val="18"/>
          <w:szCs w:val="18"/>
        </w:rPr>
        <w:t>s of less than $38 million and less than $61 million, respectively.</w:t>
      </w:r>
    </w:p>
    <w:p w14:paraId="675353DE" w14:textId="77777777" w:rsidR="001B77DD" w:rsidRDefault="00BF0A28">
      <w:pPr>
        <w:spacing w:after="120"/>
      </w:pPr>
      <w:r>
        <w:rPr>
          <w:rFonts w:ascii="Arial" w:eastAsia="宋体" w:hAnsi="Arial" w:cs="Arial"/>
          <w:color w:val="0068B5"/>
        </w:rPr>
        <w:t>Interest Rates</w:t>
      </w:r>
    </w:p>
    <w:p w14:paraId="675353DF" w14:textId="77777777" w:rsidR="001B77DD" w:rsidRDefault="00BF0A28">
      <w:pPr>
        <w:spacing w:after="180"/>
      </w:pPr>
      <w:r>
        <w:rPr>
          <w:rFonts w:ascii="Arial" w:eastAsia="宋体" w:hAnsi="Arial" w:cs="Arial"/>
          <w:color w:val="262626"/>
          <w:sz w:val="18"/>
          <w:szCs w:val="18"/>
        </w:rPr>
        <w:t>We are exposed to interest rate risk related to our fixed-rate investment portfolio and outstanding debt. The primary objective of our investment policy is to preserve princ</w:t>
      </w:r>
      <w:r>
        <w:rPr>
          <w:rFonts w:ascii="Arial" w:eastAsia="宋体" w:hAnsi="Arial" w:cs="Arial"/>
          <w:color w:val="262626"/>
          <w:sz w:val="18"/>
          <w:szCs w:val="18"/>
        </w:rPr>
        <w:t>ipal and provide financial flexibility to fund our business while maximizing yields, which generally track the US dollar three-month LIBOR. We generally enter into interest rate contracts to convert the returns on our fixed-rate debt investment with remain</w:t>
      </w:r>
      <w:r>
        <w:rPr>
          <w:rFonts w:ascii="Arial" w:eastAsia="宋体" w:hAnsi="Arial" w:cs="Arial"/>
          <w:color w:val="262626"/>
          <w:sz w:val="18"/>
          <w:szCs w:val="18"/>
        </w:rPr>
        <w:t xml:space="preserve">ing maturities longer than six months into US dollar three-month LIBOR-based returns. We also enter into swaps to convert fixed-rate coupon payments into floating-rate coupon payments for our existing indebtedness. Gains or losses on these instruments are </w:t>
      </w:r>
      <w:r>
        <w:rPr>
          <w:rFonts w:ascii="Arial" w:eastAsia="宋体" w:hAnsi="Arial" w:cs="Arial"/>
          <w:color w:val="262626"/>
          <w:sz w:val="18"/>
          <w:szCs w:val="18"/>
        </w:rPr>
        <w:t>generally offset by corresponding losses or gains on the related hedging instruments.</w:t>
      </w:r>
    </w:p>
    <w:p w14:paraId="675353E0" w14:textId="77777777" w:rsidR="001B77DD" w:rsidRDefault="00BF0A28">
      <w:pPr>
        <w:spacing w:after="180"/>
      </w:pPr>
      <w:r>
        <w:rPr>
          <w:rFonts w:ascii="Arial" w:eastAsia="宋体" w:hAnsi="Arial" w:cs="Arial"/>
          <w:color w:val="262626"/>
          <w:sz w:val="18"/>
          <w:szCs w:val="18"/>
        </w:rPr>
        <w:t xml:space="preserve">A hypothetical increase in benchmark interest rates of 1%, after taking into account investment hedges, would have resulted in a decrease in the fair value of our </w:t>
      </w:r>
      <w:r>
        <w:rPr>
          <w:rFonts w:ascii="Arial" w:eastAsia="宋体" w:hAnsi="Arial" w:cs="Arial"/>
          <w:color w:val="262626"/>
          <w:sz w:val="18"/>
          <w:szCs w:val="18"/>
        </w:rPr>
        <w:t>investment portfolio of approximately $68 million as of December 25, 2021 (a hypothetical decrease of 1% would have resulted in an increase in the fair value of our investment portfolio of approximately $75 million as of December 26, 2020).</w:t>
      </w:r>
    </w:p>
    <w:p w14:paraId="675353E1" w14:textId="77777777" w:rsidR="001B77DD" w:rsidRDefault="00BF0A28">
      <w:pPr>
        <w:spacing w:after="180"/>
      </w:pPr>
      <w:r>
        <w:rPr>
          <w:rFonts w:ascii="Arial" w:eastAsia="宋体" w:hAnsi="Arial" w:cs="Arial"/>
          <w:color w:val="262626"/>
          <w:sz w:val="18"/>
          <w:szCs w:val="18"/>
        </w:rPr>
        <w:t>Taking into acc</w:t>
      </w:r>
      <w:r>
        <w:rPr>
          <w:rFonts w:ascii="Arial" w:eastAsia="宋体" w:hAnsi="Arial" w:cs="Arial"/>
          <w:color w:val="262626"/>
          <w:sz w:val="18"/>
          <w:szCs w:val="18"/>
        </w:rPr>
        <w:t>ount floating-rate debt and fixed-rate debt that is swapped to floating-rate debt, a hypothetical increase in interest rates of 1% would result in an increase in annual interest expense of approximately $132 million from debt outstanding as of December 25,</w:t>
      </w:r>
      <w:r>
        <w:rPr>
          <w:rFonts w:ascii="Arial" w:eastAsia="宋体" w:hAnsi="Arial" w:cs="Arial"/>
          <w:color w:val="262626"/>
          <w:sz w:val="18"/>
          <w:szCs w:val="18"/>
        </w:rPr>
        <w:t xml:space="preserve"> 2021 (a hypothetical increase of 1% would have resulted in an increase in annual interest expense of approximately $132 million from debt outstanding as of December 26, 2020). </w:t>
      </w:r>
    </w:p>
    <w:p w14:paraId="675353E2" w14:textId="77777777" w:rsidR="001B77DD" w:rsidRDefault="00BF0A28">
      <w:pPr>
        <w:spacing w:after="120"/>
      </w:pPr>
      <w:r>
        <w:rPr>
          <w:rFonts w:ascii="Arial" w:eastAsia="宋体" w:hAnsi="Arial" w:cs="Arial"/>
          <w:color w:val="0068B5"/>
        </w:rPr>
        <w:t>Equity Prices</w:t>
      </w:r>
    </w:p>
    <w:p w14:paraId="675353E3" w14:textId="77777777" w:rsidR="001B77DD" w:rsidRDefault="00BF0A28">
      <w:pPr>
        <w:spacing w:after="180"/>
      </w:pPr>
      <w:r>
        <w:rPr>
          <w:rFonts w:ascii="Arial" w:eastAsia="宋体" w:hAnsi="Arial" w:cs="Arial"/>
          <w:color w:val="262626"/>
          <w:sz w:val="18"/>
          <w:szCs w:val="18"/>
        </w:rPr>
        <w:t xml:space="preserve">We are exposed to equity market risk through our investments in </w:t>
      </w:r>
      <w:r>
        <w:rPr>
          <w:rFonts w:ascii="Arial" w:eastAsia="宋体" w:hAnsi="Arial" w:cs="Arial"/>
          <w:color w:val="262626"/>
          <w:sz w:val="18"/>
          <w:szCs w:val="18"/>
        </w:rPr>
        <w:t xml:space="preserve">marketable equity securities, which we typically do not attempt to reduce or eliminate through hedging activities. </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3ED" w14:textId="77777777">
        <w:tc>
          <w:tcPr>
            <w:tcW w:w="50" w:type="pct"/>
            <w:shd w:val="clear" w:color="auto" w:fill="auto"/>
            <w:vAlign w:val="bottom"/>
          </w:tcPr>
          <w:p w14:paraId="675353E4" w14:textId="77777777" w:rsidR="001B77DD" w:rsidRDefault="001B77DD">
            <w:pPr>
              <w:rPr>
                <w:rFonts w:ascii="宋体"/>
              </w:rPr>
            </w:pPr>
          </w:p>
        </w:tc>
        <w:tc>
          <w:tcPr>
            <w:tcW w:w="283" w:type="pct"/>
            <w:shd w:val="clear" w:color="auto" w:fill="auto"/>
            <w:vAlign w:val="bottom"/>
          </w:tcPr>
          <w:p w14:paraId="675353E5" w14:textId="77777777" w:rsidR="001B77DD" w:rsidRDefault="001B77DD">
            <w:pPr>
              <w:rPr>
                <w:rFonts w:ascii="宋体"/>
              </w:rPr>
            </w:pPr>
          </w:p>
        </w:tc>
        <w:tc>
          <w:tcPr>
            <w:tcW w:w="5" w:type="pct"/>
            <w:shd w:val="clear" w:color="auto" w:fill="auto"/>
            <w:vAlign w:val="bottom"/>
          </w:tcPr>
          <w:p w14:paraId="675353E6" w14:textId="77777777" w:rsidR="001B77DD" w:rsidRDefault="001B77DD">
            <w:pPr>
              <w:rPr>
                <w:rFonts w:ascii="宋体"/>
              </w:rPr>
            </w:pPr>
          </w:p>
        </w:tc>
        <w:tc>
          <w:tcPr>
            <w:tcW w:w="50" w:type="pct"/>
            <w:shd w:val="clear" w:color="auto" w:fill="auto"/>
            <w:vAlign w:val="bottom"/>
          </w:tcPr>
          <w:p w14:paraId="675353E7" w14:textId="77777777" w:rsidR="001B77DD" w:rsidRDefault="001B77DD">
            <w:pPr>
              <w:rPr>
                <w:rFonts w:ascii="宋体"/>
              </w:rPr>
            </w:pPr>
          </w:p>
        </w:tc>
        <w:tc>
          <w:tcPr>
            <w:tcW w:w="2656" w:type="pct"/>
            <w:shd w:val="clear" w:color="auto" w:fill="auto"/>
            <w:vAlign w:val="bottom"/>
          </w:tcPr>
          <w:p w14:paraId="675353E8" w14:textId="77777777" w:rsidR="001B77DD" w:rsidRDefault="001B77DD">
            <w:pPr>
              <w:rPr>
                <w:rFonts w:ascii="宋体"/>
              </w:rPr>
            </w:pPr>
          </w:p>
        </w:tc>
        <w:tc>
          <w:tcPr>
            <w:tcW w:w="5" w:type="pct"/>
            <w:shd w:val="clear" w:color="auto" w:fill="auto"/>
            <w:vAlign w:val="bottom"/>
          </w:tcPr>
          <w:p w14:paraId="675353E9" w14:textId="77777777" w:rsidR="001B77DD" w:rsidRDefault="001B77DD">
            <w:pPr>
              <w:rPr>
                <w:rFonts w:ascii="宋体"/>
              </w:rPr>
            </w:pPr>
          </w:p>
        </w:tc>
        <w:tc>
          <w:tcPr>
            <w:tcW w:w="50" w:type="pct"/>
            <w:shd w:val="clear" w:color="auto" w:fill="auto"/>
            <w:vAlign w:val="bottom"/>
          </w:tcPr>
          <w:p w14:paraId="675353EA" w14:textId="77777777" w:rsidR="001B77DD" w:rsidRDefault="001B77DD">
            <w:pPr>
              <w:rPr>
                <w:rFonts w:ascii="宋体"/>
              </w:rPr>
            </w:pPr>
          </w:p>
        </w:tc>
        <w:tc>
          <w:tcPr>
            <w:tcW w:w="1894" w:type="pct"/>
            <w:shd w:val="clear" w:color="auto" w:fill="auto"/>
            <w:vAlign w:val="bottom"/>
          </w:tcPr>
          <w:p w14:paraId="675353EB" w14:textId="77777777" w:rsidR="001B77DD" w:rsidRDefault="001B77DD">
            <w:pPr>
              <w:rPr>
                <w:rFonts w:ascii="宋体"/>
              </w:rPr>
            </w:pPr>
          </w:p>
        </w:tc>
        <w:tc>
          <w:tcPr>
            <w:tcW w:w="5" w:type="pct"/>
            <w:shd w:val="clear" w:color="auto" w:fill="auto"/>
            <w:vAlign w:val="bottom"/>
          </w:tcPr>
          <w:p w14:paraId="675353EC" w14:textId="77777777" w:rsidR="001B77DD" w:rsidRDefault="001B77DD">
            <w:pPr>
              <w:rPr>
                <w:rFonts w:ascii="宋体"/>
              </w:rPr>
            </w:pPr>
          </w:p>
        </w:tc>
      </w:tr>
      <w:tr w:rsidR="001B77DD" w14:paraId="675353F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3EE"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D1" wp14:editId="67538ED2">
                  <wp:extent cx="304800" cy="304800"/>
                  <wp:effectExtent l="0" t="0" r="0" b="0"/>
                  <wp:docPr id="182" name="图片 22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25"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3EF"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3F0" w14:textId="77777777" w:rsidR="001B77DD" w:rsidRDefault="00BF0A28">
            <w:pPr>
              <w:jc w:val="right"/>
              <w:textAlignment w:val="center"/>
            </w:pPr>
            <w:r>
              <w:rPr>
                <w:rFonts w:ascii="Arial" w:eastAsia="宋体" w:hAnsi="Arial" w:cs="Arial"/>
                <w:color w:val="262626"/>
                <w:sz w:val="16"/>
                <w:szCs w:val="16"/>
              </w:rPr>
              <w:t>49</w:t>
            </w:r>
          </w:p>
        </w:tc>
      </w:tr>
    </w:tbl>
    <w:p w14:paraId="675353F2" w14:textId="77777777" w:rsidR="001B77DD" w:rsidRDefault="00BF0A28">
      <w:r>
        <w:pict w14:anchorId="67538ED3">
          <v:rect id="_x0000_i1075" style="width:415.3pt;height:1.5pt" o:hralign="center" o:hrstd="t" o:hr="t" fillcolor="#a0a0a0" stroked="f"/>
        </w:pict>
      </w:r>
    </w:p>
    <w:p w14:paraId="675353F3" w14:textId="77777777" w:rsidR="001B77DD" w:rsidRDefault="00BF0A28">
      <w:pPr>
        <w:jc w:val="right"/>
      </w:pPr>
      <w:hyperlink r:id="rId107" w:anchor="i6c9ced68f6b24d58a3dcf326e8c3c699_16" w:history="1">
        <w:r>
          <w:rPr>
            <w:rStyle w:val="a5"/>
            <w:rFonts w:ascii="Arial" w:eastAsia="宋体" w:hAnsi="Arial" w:cs="Arial"/>
            <w:b/>
            <w:bCs/>
            <w:sz w:val="16"/>
            <w:szCs w:val="16"/>
          </w:rPr>
          <w:t>Table of Contents</w:t>
        </w:r>
      </w:hyperlink>
    </w:p>
    <w:p w14:paraId="675353F4" w14:textId="77777777" w:rsidR="001B77DD" w:rsidRDefault="001B77DD">
      <w:pPr>
        <w:jc w:val="right"/>
      </w:pPr>
    </w:p>
    <w:p w14:paraId="675353F5" w14:textId="77777777" w:rsidR="001B77DD" w:rsidRDefault="00BF0A28">
      <w:pPr>
        <w:spacing w:after="180"/>
      </w:pPr>
      <w:r>
        <w:rPr>
          <w:rFonts w:ascii="Arial" w:eastAsia="宋体" w:hAnsi="Arial" w:cs="Arial"/>
          <w:color w:val="262626"/>
          <w:sz w:val="18"/>
          <w:szCs w:val="18"/>
        </w:rPr>
        <w:t>As of December 25, 2021, the fair value of our marketable equity securities was $2.</w:t>
      </w:r>
      <w:r>
        <w:rPr>
          <w:rFonts w:ascii="Arial" w:eastAsia="宋体" w:hAnsi="Arial" w:cs="Arial"/>
          <w:color w:val="262626"/>
          <w:sz w:val="18"/>
          <w:szCs w:val="18"/>
        </w:rPr>
        <w:t xml:space="preserve">2 billion ($1.8 billion as of December 26, 2020). The substantial majority of our marketable equity securities portfolio as of December 25, 2021 was concentrated in securities traded on the Chinese Shanghai Stock Exchange Science and Technology Innovation </w:t>
      </w:r>
      <w:r>
        <w:rPr>
          <w:rFonts w:ascii="Arial" w:eastAsia="宋体" w:hAnsi="Arial" w:cs="Arial"/>
          <w:color w:val="262626"/>
          <w:sz w:val="18"/>
          <w:szCs w:val="18"/>
        </w:rPr>
        <w:t>Board. To determine reasonably possible decreases in the market value of our marketable equity securities, we have analyzed the historical market price sensitivity of our portfolio. Assuming a decline of 60% in market prices, the aggregate value of our mar</w:t>
      </w:r>
      <w:r>
        <w:rPr>
          <w:rFonts w:ascii="Arial" w:eastAsia="宋体" w:hAnsi="Arial" w:cs="Arial"/>
          <w:color w:val="262626"/>
          <w:sz w:val="18"/>
          <w:szCs w:val="18"/>
        </w:rPr>
        <w:t xml:space="preserve">ketable equity securities could decrease by approximately $1.3 billion, based on the value as of December 25, 2021 (a decrease in value of approximately $1.1 billion, based on the value as of December 26, 2020 using an assumed decline of 60%). </w:t>
      </w:r>
    </w:p>
    <w:p w14:paraId="675353F6" w14:textId="77777777" w:rsidR="001B77DD" w:rsidRDefault="00BF0A28">
      <w:pPr>
        <w:spacing w:after="180"/>
      </w:pPr>
      <w:r>
        <w:rPr>
          <w:rFonts w:ascii="Arial" w:eastAsia="宋体" w:hAnsi="Arial" w:cs="Arial"/>
          <w:color w:val="262626"/>
          <w:sz w:val="18"/>
          <w:szCs w:val="18"/>
        </w:rPr>
        <w:t xml:space="preserve">We utilize </w:t>
      </w:r>
      <w:r>
        <w:rPr>
          <w:rFonts w:ascii="Arial" w:eastAsia="宋体" w:hAnsi="Arial" w:cs="Arial"/>
          <w:color w:val="262626"/>
          <w:sz w:val="18"/>
          <w:szCs w:val="18"/>
        </w:rPr>
        <w:t xml:space="preserve">total return swaps to offset changes in liabilities related to the equity market risks of certain deferred compensation arrangements. Gains or losses from changes in fair value of these total return swaps are generally offset by the losses or gains on the </w:t>
      </w:r>
      <w:r>
        <w:rPr>
          <w:rFonts w:ascii="Arial" w:eastAsia="宋体" w:hAnsi="Arial" w:cs="Arial"/>
          <w:color w:val="262626"/>
          <w:sz w:val="18"/>
          <w:szCs w:val="18"/>
        </w:rPr>
        <w:t>related liabilities.</w:t>
      </w:r>
    </w:p>
    <w:p w14:paraId="675353F7" w14:textId="77777777" w:rsidR="001B77DD" w:rsidRDefault="00BF0A28">
      <w:pPr>
        <w:spacing w:after="180"/>
      </w:pPr>
      <w:r>
        <w:rPr>
          <w:rFonts w:ascii="Arial" w:eastAsia="宋体" w:hAnsi="Arial" w:cs="Arial"/>
          <w:color w:val="262626"/>
          <w:sz w:val="18"/>
          <w:szCs w:val="18"/>
        </w:rPr>
        <w:t>Many of the same factors that could result in an adverse movement of equity market prices affect our non-marketable equity investments, although we cannot always quantify the impacts directly. Financial markets are volatile, which coul</w:t>
      </w:r>
      <w:r>
        <w:rPr>
          <w:rFonts w:ascii="Arial" w:eastAsia="宋体" w:hAnsi="Arial" w:cs="Arial"/>
          <w:color w:val="262626"/>
          <w:sz w:val="18"/>
          <w:szCs w:val="18"/>
        </w:rPr>
        <w:t>d negatively affect the prospects of the companies we invest in, their ability to raise additional capital, and the likelihood of our ability to realize value in our investments through liquidity events such as initial public offerings, mergers, and privat</w:t>
      </w:r>
      <w:r>
        <w:rPr>
          <w:rFonts w:ascii="Arial" w:eastAsia="宋体" w:hAnsi="Arial" w:cs="Arial"/>
          <w:color w:val="262626"/>
          <w:sz w:val="18"/>
          <w:szCs w:val="18"/>
        </w:rPr>
        <w:t xml:space="preserve">e sales. These types of investments involve a great deal of risk, and there can be no assurance that any specific company will grow or become successful; consequently, we could lose all or part of our investment. Our non-marketable equity securities had a </w:t>
      </w:r>
      <w:r>
        <w:rPr>
          <w:rFonts w:ascii="Arial" w:eastAsia="宋体" w:hAnsi="Arial" w:cs="Arial"/>
          <w:color w:val="262626"/>
          <w:sz w:val="18"/>
          <w:szCs w:val="18"/>
        </w:rPr>
        <w:t xml:space="preserve">carrying amount of $4.1 billion as of December 25, 2021 ($3.3 billion as of December 26, 2020) and includes our investment in Beijing Unisoc Technology Ltd. of $1.1 billion ($658 million as of December 26, 2020). </w:t>
      </w:r>
    </w:p>
    <w:p w14:paraId="675353F8" w14:textId="77777777" w:rsidR="001B77DD" w:rsidRDefault="00BF0A28">
      <w:pPr>
        <w:spacing w:after="120"/>
      </w:pPr>
      <w:r>
        <w:rPr>
          <w:rFonts w:ascii="Arial" w:eastAsia="宋体" w:hAnsi="Arial" w:cs="Arial"/>
          <w:color w:val="0068B5"/>
        </w:rPr>
        <w:t>Commodity Price Risk</w:t>
      </w:r>
    </w:p>
    <w:p w14:paraId="675353F9" w14:textId="77777777" w:rsidR="001B77DD" w:rsidRDefault="00BF0A28">
      <w:pPr>
        <w:spacing w:after="180"/>
      </w:pPr>
      <w:r>
        <w:rPr>
          <w:rFonts w:ascii="Arial" w:eastAsia="宋体" w:hAnsi="Arial" w:cs="Arial"/>
          <w:color w:val="262626"/>
          <w:sz w:val="18"/>
          <w:szCs w:val="18"/>
        </w:rPr>
        <w:t>Although we operate f</w:t>
      </w:r>
      <w:r>
        <w:rPr>
          <w:rFonts w:ascii="Arial" w:eastAsia="宋体" w:hAnsi="Arial" w:cs="Arial"/>
          <w:color w:val="262626"/>
          <w:sz w:val="18"/>
          <w:szCs w:val="18"/>
        </w:rPr>
        <w:t>acilities that consume commodities, we are not directly affected by commodity price risk to a material degree. We have established forecasted transaction risk management programs to protect against fluctuations in commodity prices. We may use commodity der</w:t>
      </w:r>
      <w:r>
        <w:rPr>
          <w:rFonts w:ascii="Arial" w:eastAsia="宋体" w:hAnsi="Arial" w:cs="Arial"/>
          <w:color w:val="262626"/>
          <w:sz w:val="18"/>
          <w:szCs w:val="18"/>
        </w:rPr>
        <w:t xml:space="preserve">ivatives contracts, such as commodity swaps, in these hedging programs. In addition, we have sourcing plans in place that are designed to mitigate the risk of a potential supplier concentration for our key commodities. </w:t>
      </w:r>
    </w:p>
    <w:p w14:paraId="675353FA" w14:textId="77777777" w:rsidR="001B77DD" w:rsidRDefault="00BF0A28">
      <w:pPr>
        <w:spacing w:before="180" w:after="180"/>
      </w:pPr>
      <w:r>
        <w:rPr>
          <w:rFonts w:ascii="Arial" w:eastAsia="宋体" w:hAnsi="Arial" w:cs="Arial"/>
          <w:color w:val="0068B5"/>
          <w:sz w:val="28"/>
          <w:szCs w:val="28"/>
        </w:rPr>
        <w:t>Risk Factors</w:t>
      </w:r>
    </w:p>
    <w:p w14:paraId="675353FB" w14:textId="77777777" w:rsidR="001B77DD" w:rsidRDefault="00BF0A28">
      <w:pPr>
        <w:spacing w:after="180"/>
      </w:pPr>
      <w:r>
        <w:rPr>
          <w:rFonts w:ascii="Arial" w:eastAsia="宋体" w:hAnsi="Arial" w:cs="Arial"/>
          <w:color w:val="262626"/>
          <w:sz w:val="18"/>
          <w:szCs w:val="18"/>
        </w:rPr>
        <w:t>When any one or more of</w:t>
      </w:r>
      <w:r>
        <w:rPr>
          <w:rFonts w:ascii="Arial" w:eastAsia="宋体" w:hAnsi="Arial" w:cs="Arial"/>
          <w:color w:val="262626"/>
          <w:sz w:val="18"/>
          <w:szCs w:val="18"/>
        </w:rPr>
        <w:t xml:space="preserve"> the following risks materialize from time to time, our business, reputation, financial condition, cash flows, and results of operations can be materially and adversely affected, and the trading price of our common stock could decline. These risk factors d</w:t>
      </w:r>
      <w:r>
        <w:rPr>
          <w:rFonts w:ascii="Arial" w:eastAsia="宋体" w:hAnsi="Arial" w:cs="Arial"/>
          <w:color w:val="262626"/>
          <w:sz w:val="18"/>
          <w:szCs w:val="18"/>
        </w:rPr>
        <w:t>o not identify all risks that we face; our operations can also be affected by factors that are not presently known to us or that we currently consider to be immaterial to our operations. Due to risks and uncertainties, known and unknown, our past financial</w:t>
      </w:r>
      <w:r>
        <w:rPr>
          <w:rFonts w:ascii="Arial" w:eastAsia="宋体" w:hAnsi="Arial" w:cs="Arial"/>
          <w:color w:val="262626"/>
          <w:sz w:val="18"/>
          <w:szCs w:val="18"/>
        </w:rPr>
        <w:t xml:space="preserve"> results may not be a reliable indicator of future performance, and historical trends should not be used to anticipate results or trends in future periods. Refer also to the other information set forth in this Form 10-K, including in the MD&amp;A and Financial</w:t>
      </w:r>
      <w:r>
        <w:rPr>
          <w:rFonts w:ascii="Arial" w:eastAsia="宋体" w:hAnsi="Arial" w:cs="Arial"/>
          <w:color w:val="262626"/>
          <w:sz w:val="18"/>
          <w:szCs w:val="18"/>
        </w:rPr>
        <w:t xml:space="preserve"> Statements and Supplemental Details sections.</w:t>
      </w:r>
    </w:p>
    <w:p w14:paraId="675353FC" w14:textId="77777777" w:rsidR="001B77DD" w:rsidRDefault="00BF0A28">
      <w:pPr>
        <w:spacing w:after="120"/>
      </w:pPr>
      <w:r>
        <w:rPr>
          <w:rFonts w:ascii="Arial" w:eastAsia="宋体" w:hAnsi="Arial" w:cs="Arial"/>
          <w:color w:val="0068B5"/>
        </w:rPr>
        <w:t xml:space="preserve">Changes in product demand can adversely affect our financial results. </w:t>
      </w:r>
    </w:p>
    <w:p w14:paraId="675353FD" w14:textId="77777777" w:rsidR="001B77DD" w:rsidRDefault="00BF0A28">
      <w:pPr>
        <w:spacing w:after="180"/>
      </w:pPr>
      <w:r>
        <w:rPr>
          <w:rFonts w:ascii="Arial" w:eastAsia="宋体" w:hAnsi="Arial" w:cs="Arial"/>
          <w:color w:val="0068B5"/>
          <w:sz w:val="18"/>
          <w:szCs w:val="18"/>
        </w:rPr>
        <w:t xml:space="preserve">Demand for our products is variable and hard to predict. </w:t>
      </w:r>
      <w:r>
        <w:rPr>
          <w:rFonts w:ascii="Arial" w:eastAsia="宋体" w:hAnsi="Arial" w:cs="Arial"/>
          <w:color w:val="262626"/>
          <w:sz w:val="18"/>
          <w:szCs w:val="18"/>
        </w:rPr>
        <w:t>Our products are used in different market segments, and demand for our products v</w:t>
      </w:r>
      <w:r>
        <w:rPr>
          <w:rFonts w:ascii="Arial" w:eastAsia="宋体" w:hAnsi="Arial" w:cs="Arial"/>
          <w:color w:val="262626"/>
          <w:sz w:val="18"/>
          <w:szCs w:val="18"/>
        </w:rPr>
        <w:t>aries within or among them. It is difficult to forecast these changes and their impact. For example, we expect the PC TAM to grow over time driven by factors such as a larger installed base, new platforms, shorter replacement cycles, and adoption in new ma</w:t>
      </w:r>
      <w:r>
        <w:rPr>
          <w:rFonts w:ascii="Arial" w:eastAsia="宋体" w:hAnsi="Arial" w:cs="Arial"/>
          <w:color w:val="262626"/>
          <w:sz w:val="18"/>
          <w:szCs w:val="18"/>
        </w:rPr>
        <w:t>rkets; however, the PC industry has been highly cyclical in the past, and these growth expectations may not materialize or we may fail to capitalize on them. Changes in the demand for our products, particularly our CCG and DCG platform products, can reduce</w:t>
      </w:r>
      <w:r>
        <w:rPr>
          <w:rFonts w:ascii="Arial" w:eastAsia="宋体" w:hAnsi="Arial" w:cs="Arial"/>
          <w:color w:val="262626"/>
          <w:sz w:val="18"/>
          <w:szCs w:val="18"/>
        </w:rPr>
        <w:t xml:space="preserve"> our revenue, lower our gross margin, or require us to write down the value of our assets.</w:t>
      </w:r>
    </w:p>
    <w:p w14:paraId="675353FE" w14:textId="77777777" w:rsidR="001B77DD" w:rsidRDefault="00BF0A28">
      <w:pPr>
        <w:spacing w:after="120"/>
      </w:pPr>
      <w:r>
        <w:rPr>
          <w:rFonts w:ascii="Arial" w:eastAsia="宋体" w:hAnsi="Arial" w:cs="Arial"/>
          <w:color w:val="262626"/>
          <w:sz w:val="18"/>
          <w:szCs w:val="18"/>
        </w:rPr>
        <w:t>Important factors that lead to variation in the demand for our products include:</w:t>
      </w:r>
    </w:p>
    <w:p w14:paraId="675353FF"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business conditions, including downturns in the market segments in which we </w:t>
      </w:r>
      <w:r>
        <w:rPr>
          <w:rFonts w:ascii="Arial" w:eastAsia="宋体" w:hAnsi="Arial" w:cs="Arial"/>
          <w:color w:val="262626"/>
          <w:sz w:val="18"/>
          <w:szCs w:val="18"/>
        </w:rPr>
        <w:t>operate, or in global or regional economies;</w:t>
      </w:r>
    </w:p>
    <w:p w14:paraId="67535400"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consumer confidence, income levels, and customer capital spending, which can be impacted by changes in market conditions, including changes in government borrowing or spending, taxation, interest rates, the </w:t>
      </w:r>
      <w:r>
        <w:rPr>
          <w:rFonts w:ascii="Arial" w:eastAsia="宋体" w:hAnsi="Arial" w:cs="Arial"/>
          <w:color w:val="262626"/>
          <w:sz w:val="18"/>
          <w:szCs w:val="18"/>
        </w:rPr>
        <w:t>credit market, current or expected inflation, employment, and energy or other commodity prices;</w:t>
      </w:r>
    </w:p>
    <w:p w14:paraId="67535401"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geopolitical conditions, including trade policies;</w:t>
      </w:r>
    </w:p>
    <w:p w14:paraId="67535402"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our ability to timely introduce competitive products; </w:t>
      </w:r>
    </w:p>
    <w:p w14:paraId="67535403"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competitive and pricing pressures, including new pr</w:t>
      </w:r>
      <w:r>
        <w:rPr>
          <w:rFonts w:ascii="Arial" w:eastAsia="宋体" w:hAnsi="Arial" w:cs="Arial"/>
          <w:color w:val="262626"/>
          <w:sz w:val="18"/>
          <w:szCs w:val="18"/>
        </w:rPr>
        <w:t>oduct introductions and other actions taken by competitors;</w:t>
      </w:r>
    </w:p>
    <w:p w14:paraId="67535404"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the level of our customers' inventories and computing capacity;</w:t>
      </w:r>
    </w:p>
    <w:p w14:paraId="67535405"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customer order patterns and order cancellations, including as a result of maturing product cycles for our products, customers' pro</w:t>
      </w:r>
      <w:r>
        <w:rPr>
          <w:rFonts w:ascii="Arial" w:eastAsia="宋体" w:hAnsi="Arial" w:cs="Arial"/>
          <w:color w:val="262626"/>
          <w:sz w:val="18"/>
          <w:szCs w:val="18"/>
        </w:rPr>
        <w:t>ducts, and related products such as operating system upgrade cycles; and disruptions affecting customers, such as the ongoing industry substrate and component shortages that negatively impacted demand across several of our businesses in 2021;</w:t>
      </w:r>
    </w:p>
    <w:p w14:paraId="67535406"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market accep</w:t>
      </w:r>
      <w:r>
        <w:rPr>
          <w:rFonts w:ascii="Arial" w:eastAsia="宋体" w:hAnsi="Arial" w:cs="Arial"/>
          <w:color w:val="262626"/>
          <w:sz w:val="18"/>
          <w:szCs w:val="18"/>
        </w:rPr>
        <w:t>tance and industry support of our products, including the introduction and availability of software and other products used together with our products; and</w:t>
      </w:r>
    </w:p>
    <w:p w14:paraId="67535407"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customer product needs and emerging technology trends, including changes in the levels and nature o</w:t>
      </w:r>
      <w:r>
        <w:rPr>
          <w:rFonts w:ascii="Arial" w:eastAsia="宋体" w:hAnsi="Arial" w:cs="Arial"/>
          <w:color w:val="262626"/>
          <w:sz w:val="18"/>
          <w:szCs w:val="18"/>
        </w:rPr>
        <w:t>f customer and end-user computing workloads, such as work- and learn-from-home trends.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11" w14:textId="77777777">
        <w:tc>
          <w:tcPr>
            <w:tcW w:w="50" w:type="pct"/>
            <w:shd w:val="clear" w:color="auto" w:fill="auto"/>
            <w:vAlign w:val="bottom"/>
          </w:tcPr>
          <w:p w14:paraId="67535408" w14:textId="77777777" w:rsidR="001B77DD" w:rsidRDefault="001B77DD">
            <w:pPr>
              <w:rPr>
                <w:rFonts w:ascii="宋体"/>
              </w:rPr>
            </w:pPr>
          </w:p>
        </w:tc>
        <w:tc>
          <w:tcPr>
            <w:tcW w:w="283" w:type="pct"/>
            <w:shd w:val="clear" w:color="auto" w:fill="auto"/>
            <w:vAlign w:val="bottom"/>
          </w:tcPr>
          <w:p w14:paraId="67535409" w14:textId="77777777" w:rsidR="001B77DD" w:rsidRDefault="001B77DD">
            <w:pPr>
              <w:rPr>
                <w:rFonts w:ascii="宋体"/>
              </w:rPr>
            </w:pPr>
          </w:p>
        </w:tc>
        <w:tc>
          <w:tcPr>
            <w:tcW w:w="5" w:type="pct"/>
            <w:shd w:val="clear" w:color="auto" w:fill="auto"/>
            <w:vAlign w:val="bottom"/>
          </w:tcPr>
          <w:p w14:paraId="6753540A" w14:textId="77777777" w:rsidR="001B77DD" w:rsidRDefault="001B77DD">
            <w:pPr>
              <w:rPr>
                <w:rFonts w:ascii="宋体"/>
              </w:rPr>
            </w:pPr>
          </w:p>
        </w:tc>
        <w:tc>
          <w:tcPr>
            <w:tcW w:w="50" w:type="pct"/>
            <w:shd w:val="clear" w:color="auto" w:fill="auto"/>
            <w:vAlign w:val="bottom"/>
          </w:tcPr>
          <w:p w14:paraId="6753540B" w14:textId="77777777" w:rsidR="001B77DD" w:rsidRDefault="001B77DD">
            <w:pPr>
              <w:rPr>
                <w:rFonts w:ascii="宋体"/>
              </w:rPr>
            </w:pPr>
          </w:p>
        </w:tc>
        <w:tc>
          <w:tcPr>
            <w:tcW w:w="2656" w:type="pct"/>
            <w:shd w:val="clear" w:color="auto" w:fill="auto"/>
            <w:vAlign w:val="bottom"/>
          </w:tcPr>
          <w:p w14:paraId="6753540C" w14:textId="77777777" w:rsidR="001B77DD" w:rsidRDefault="001B77DD">
            <w:pPr>
              <w:rPr>
                <w:rFonts w:ascii="宋体"/>
              </w:rPr>
            </w:pPr>
          </w:p>
        </w:tc>
        <w:tc>
          <w:tcPr>
            <w:tcW w:w="5" w:type="pct"/>
            <w:shd w:val="clear" w:color="auto" w:fill="auto"/>
            <w:vAlign w:val="bottom"/>
          </w:tcPr>
          <w:p w14:paraId="6753540D" w14:textId="77777777" w:rsidR="001B77DD" w:rsidRDefault="001B77DD">
            <w:pPr>
              <w:rPr>
                <w:rFonts w:ascii="宋体"/>
              </w:rPr>
            </w:pPr>
          </w:p>
        </w:tc>
        <w:tc>
          <w:tcPr>
            <w:tcW w:w="50" w:type="pct"/>
            <w:shd w:val="clear" w:color="auto" w:fill="auto"/>
            <w:vAlign w:val="bottom"/>
          </w:tcPr>
          <w:p w14:paraId="6753540E" w14:textId="77777777" w:rsidR="001B77DD" w:rsidRDefault="001B77DD">
            <w:pPr>
              <w:rPr>
                <w:rFonts w:ascii="宋体"/>
              </w:rPr>
            </w:pPr>
          </w:p>
        </w:tc>
        <w:tc>
          <w:tcPr>
            <w:tcW w:w="1894" w:type="pct"/>
            <w:shd w:val="clear" w:color="auto" w:fill="auto"/>
            <w:vAlign w:val="bottom"/>
          </w:tcPr>
          <w:p w14:paraId="6753540F" w14:textId="77777777" w:rsidR="001B77DD" w:rsidRDefault="001B77DD">
            <w:pPr>
              <w:rPr>
                <w:rFonts w:ascii="宋体"/>
              </w:rPr>
            </w:pPr>
          </w:p>
        </w:tc>
        <w:tc>
          <w:tcPr>
            <w:tcW w:w="5" w:type="pct"/>
            <w:shd w:val="clear" w:color="auto" w:fill="auto"/>
            <w:vAlign w:val="bottom"/>
          </w:tcPr>
          <w:p w14:paraId="67535410" w14:textId="77777777" w:rsidR="001B77DD" w:rsidRDefault="001B77DD">
            <w:pPr>
              <w:rPr>
                <w:rFonts w:ascii="宋体"/>
              </w:rPr>
            </w:pPr>
          </w:p>
        </w:tc>
      </w:tr>
      <w:tr w:rsidR="001B77DD" w14:paraId="6753541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12"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D4" wp14:editId="67538ED5">
                  <wp:extent cx="304800" cy="304800"/>
                  <wp:effectExtent l="0" t="0" r="0" b="0"/>
                  <wp:docPr id="183" name="图片 22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2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13"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14" w14:textId="77777777" w:rsidR="001B77DD" w:rsidRDefault="00BF0A28">
            <w:pPr>
              <w:jc w:val="right"/>
              <w:textAlignment w:val="center"/>
            </w:pPr>
            <w:r>
              <w:rPr>
                <w:rFonts w:ascii="Arial" w:eastAsia="宋体" w:hAnsi="Arial" w:cs="Arial"/>
                <w:color w:val="262626"/>
                <w:sz w:val="16"/>
                <w:szCs w:val="16"/>
              </w:rPr>
              <w:t>50</w:t>
            </w:r>
          </w:p>
        </w:tc>
      </w:tr>
    </w:tbl>
    <w:p w14:paraId="67535416" w14:textId="77777777" w:rsidR="001B77DD" w:rsidRDefault="00BF0A28">
      <w:r>
        <w:pict w14:anchorId="67538ED6">
          <v:rect id="_x0000_i1076" style="width:415.3pt;height:1.5pt" o:hralign="center" o:hrstd="t" o:hr="t" fillcolor="#a0a0a0" stroked="f"/>
        </w:pict>
      </w:r>
    </w:p>
    <w:p w14:paraId="67535417" w14:textId="77777777" w:rsidR="001B77DD" w:rsidRDefault="00BF0A28">
      <w:pPr>
        <w:jc w:val="right"/>
      </w:pPr>
      <w:hyperlink r:id="rId108" w:anchor="i6c9ced68f6b24d58a3dcf326e8c3c699_16" w:history="1">
        <w:r>
          <w:rPr>
            <w:rStyle w:val="a5"/>
            <w:rFonts w:ascii="Arial" w:eastAsia="宋体" w:hAnsi="Arial" w:cs="Arial"/>
            <w:b/>
            <w:bCs/>
            <w:sz w:val="16"/>
            <w:szCs w:val="16"/>
          </w:rPr>
          <w:t>Table of Contents</w:t>
        </w:r>
      </w:hyperlink>
    </w:p>
    <w:p w14:paraId="67535418" w14:textId="77777777" w:rsidR="001B77DD" w:rsidRDefault="001B77DD">
      <w:pPr>
        <w:jc w:val="right"/>
      </w:pPr>
    </w:p>
    <w:p w14:paraId="67535419" w14:textId="77777777" w:rsidR="001B77DD" w:rsidRDefault="00BF0A28">
      <w:pPr>
        <w:spacing w:after="180"/>
      </w:pPr>
      <w:r>
        <w:rPr>
          <w:rFonts w:ascii="Arial" w:eastAsia="宋体" w:hAnsi="Arial" w:cs="Arial"/>
          <w:color w:val="0068B5"/>
          <w:sz w:val="18"/>
          <w:szCs w:val="18"/>
        </w:rPr>
        <w:t xml:space="preserve">Due to the complexity of our manufacturing operations, we are not always able to </w:t>
      </w:r>
      <w:r>
        <w:rPr>
          <w:rFonts w:ascii="Arial" w:eastAsia="宋体" w:hAnsi="Arial" w:cs="Arial"/>
          <w:color w:val="0068B5"/>
          <w:sz w:val="18"/>
          <w:szCs w:val="18"/>
        </w:rPr>
        <w:t>timely respond to fluctuations in demand and we may incur significant charges and costs.</w:t>
      </w:r>
      <w:r>
        <w:rPr>
          <w:rFonts w:ascii="Arial" w:eastAsia="宋体" w:hAnsi="Arial" w:cs="Arial"/>
          <w:b/>
          <w:bCs/>
          <w:color w:val="262626"/>
          <w:sz w:val="18"/>
          <w:szCs w:val="18"/>
        </w:rPr>
        <w:t xml:space="preserve"> </w:t>
      </w:r>
      <w:r>
        <w:rPr>
          <w:rFonts w:ascii="Arial" w:eastAsia="宋体" w:hAnsi="Arial" w:cs="Arial"/>
          <w:color w:val="262626"/>
          <w:sz w:val="18"/>
          <w:szCs w:val="18"/>
        </w:rPr>
        <w:t>Because we own and operate high-tech fabrication facilities, our operations have high costs that are fixed or difficult to reduce in the short term, including our cost</w:t>
      </w:r>
      <w:r>
        <w:rPr>
          <w:rFonts w:ascii="Arial" w:eastAsia="宋体" w:hAnsi="Arial" w:cs="Arial"/>
          <w:color w:val="262626"/>
          <w:sz w:val="18"/>
          <w:szCs w:val="18"/>
        </w:rPr>
        <w:t xml:space="preserve">s related to utilization of existing facilities, facility construction and equipment, R&amp;D, and the employment and training of a highly skilled workforce. To the extent product demand decreases or we fail to forecast demand accurately, we could be required </w:t>
      </w:r>
      <w:r>
        <w:rPr>
          <w:rFonts w:ascii="Arial" w:eastAsia="宋体" w:hAnsi="Arial" w:cs="Arial"/>
          <w:color w:val="262626"/>
          <w:sz w:val="18"/>
          <w:szCs w:val="18"/>
        </w:rPr>
        <w:t>to write off inventory or record excess capacity charges, which would lower our gross margin. To the extent the demand decrease is prolonged, our manufacturing or assembly and test capacity could be underutilized, and we may be required to write down our l</w:t>
      </w:r>
      <w:r>
        <w:rPr>
          <w:rFonts w:ascii="Arial" w:eastAsia="宋体" w:hAnsi="Arial" w:cs="Arial"/>
          <w:color w:val="262626"/>
          <w:sz w:val="18"/>
          <w:szCs w:val="18"/>
        </w:rPr>
        <w:t>ong-lived assets, which would increase our expenses. We may also be required to shorten the useful lives of under-used facilities and equipment and accelerate depreciation. As we make substantial investments in increasing our manufacturing capacity as part</w:t>
      </w:r>
      <w:r>
        <w:rPr>
          <w:rFonts w:ascii="Arial" w:eastAsia="宋体" w:hAnsi="Arial" w:cs="Arial"/>
          <w:color w:val="262626"/>
          <w:sz w:val="18"/>
          <w:szCs w:val="18"/>
        </w:rPr>
        <w:t xml:space="preserve"> of our IDM 2.0 strategy, these underutilization risks may be heightened. Conversely, at times demand increases or we fail to forecast accurately or produce the mix of products demanded. To the extent we are unable to add capacity or increase production fa</w:t>
      </w:r>
      <w:r>
        <w:rPr>
          <w:rFonts w:ascii="Arial" w:eastAsia="宋体" w:hAnsi="Arial" w:cs="Arial"/>
          <w:color w:val="262626"/>
          <w:sz w:val="18"/>
          <w:szCs w:val="18"/>
        </w:rPr>
        <w:t xml:space="preserve">st enough, we are at times required to make production decisions and/or are unable to fully meet market demand, which can result in a loss of revenue opportunities or market share, legal claims, and/or damage to customer relationships. </w:t>
      </w:r>
    </w:p>
    <w:p w14:paraId="6753541A" w14:textId="77777777" w:rsidR="001B77DD" w:rsidRDefault="00BF0A28">
      <w:pPr>
        <w:spacing w:after="180"/>
      </w:pPr>
      <w:r>
        <w:rPr>
          <w:rFonts w:ascii="Arial" w:eastAsia="宋体" w:hAnsi="Arial" w:cs="Arial"/>
          <w:color w:val="262626"/>
          <w:sz w:val="18"/>
          <w:szCs w:val="18"/>
        </w:rPr>
        <w:t>Our IDM 2.0 investm</w:t>
      </w:r>
      <w:r>
        <w:rPr>
          <w:rFonts w:ascii="Arial" w:eastAsia="宋体" w:hAnsi="Arial" w:cs="Arial"/>
          <w:color w:val="262626"/>
          <w:sz w:val="18"/>
          <w:szCs w:val="18"/>
        </w:rPr>
        <w:t>ents in capacity and our process technology roadmap will require capital expenditures above our historical levels, and if demand for our IFS business grows rapidly, we anticipate that we would need to accelerate our planned investments to meet that demand.</w:t>
      </w:r>
      <w:r>
        <w:rPr>
          <w:rFonts w:ascii="Arial" w:eastAsia="宋体" w:hAnsi="Arial" w:cs="Arial"/>
          <w:color w:val="262626"/>
          <w:sz w:val="18"/>
          <w:szCs w:val="18"/>
        </w:rPr>
        <w:t xml:space="preserve"> To the extent we do not generate expected cash flows, we may be required to increase our use of external funding sources to fund our investments and operations, which may not be available on favorable terms or at all. There is legislation under considerat</w:t>
      </w:r>
      <w:r>
        <w:rPr>
          <w:rFonts w:ascii="Arial" w:eastAsia="宋体" w:hAnsi="Arial" w:cs="Arial"/>
          <w:color w:val="262626"/>
          <w:sz w:val="18"/>
          <w:szCs w:val="18"/>
        </w:rPr>
        <w:t>ion in the US and EU to provide government funding for semiconductor manufacturing expansions in those regions, but there can be no assurance that such funding will be enacted, and there is uncertainty as to the amounts and timing of funding we may receive</w:t>
      </w:r>
      <w:r>
        <w:rPr>
          <w:rFonts w:ascii="Arial" w:eastAsia="宋体" w:hAnsi="Arial" w:cs="Arial"/>
          <w:color w:val="262626"/>
          <w:sz w:val="18"/>
          <w:szCs w:val="18"/>
        </w:rPr>
        <w:t xml:space="preserve"> and as to any restrictions on recipients. To the extent such funding is below our expectations, our anticipated cash requirements would increase. Our construction projects to expand capacity require available sources of labor, materials, and equipment. In</w:t>
      </w:r>
      <w:r>
        <w:rPr>
          <w:rFonts w:ascii="Arial" w:eastAsia="宋体" w:hAnsi="Arial" w:cs="Arial"/>
          <w:color w:val="262626"/>
          <w:sz w:val="18"/>
          <w:szCs w:val="18"/>
        </w:rPr>
        <w:t>creasing demand for such sources, including from other foundries; supply constraints, labor shortages, and other adverse market conditions; issues with permits or approvals; and other construction issues arise from time to time and can result in significan</w:t>
      </w:r>
      <w:r>
        <w:rPr>
          <w:rFonts w:ascii="Arial" w:eastAsia="宋体" w:hAnsi="Arial" w:cs="Arial"/>
          <w:color w:val="262626"/>
          <w:sz w:val="18"/>
          <w:szCs w:val="18"/>
        </w:rPr>
        <w:t>t delays and increased costs for our projects.</w:t>
      </w:r>
    </w:p>
    <w:p w14:paraId="6753541B" w14:textId="77777777" w:rsidR="001B77DD" w:rsidRDefault="00BF0A28">
      <w:pPr>
        <w:spacing w:after="180"/>
      </w:pPr>
      <w:r>
        <w:rPr>
          <w:rFonts w:ascii="Arial" w:eastAsia="宋体" w:hAnsi="Arial" w:cs="Arial"/>
          <w:color w:val="0068B5"/>
          <w:sz w:val="18"/>
          <w:szCs w:val="18"/>
        </w:rPr>
        <w:t>We face significant competition.</w:t>
      </w:r>
      <w:r>
        <w:rPr>
          <w:rFonts w:ascii="Arial" w:eastAsia="宋体" w:hAnsi="Arial" w:cs="Arial"/>
          <w:i/>
          <w:iCs/>
          <w:color w:val="262626"/>
          <w:sz w:val="18"/>
          <w:szCs w:val="18"/>
        </w:rPr>
        <w:t xml:space="preserve"> </w:t>
      </w:r>
      <w:r>
        <w:rPr>
          <w:rFonts w:ascii="Arial" w:eastAsia="宋体" w:hAnsi="Arial" w:cs="Arial"/>
          <w:color w:val="262626"/>
          <w:sz w:val="18"/>
          <w:szCs w:val="18"/>
        </w:rPr>
        <w:t>The industry in which we operate is highly competitive and subject to rapid technological and market developments; changes in industry standards; changes in customer and end-us</w:t>
      </w:r>
      <w:r>
        <w:rPr>
          <w:rFonts w:ascii="Arial" w:eastAsia="宋体" w:hAnsi="Arial" w:cs="Arial"/>
          <w:color w:val="262626"/>
          <w:sz w:val="18"/>
          <w:szCs w:val="18"/>
        </w:rPr>
        <w:t>er needs, expectations, and preferences; and frequent product introductions and improvements. When we do not anticipate or respond to these developments, our competitive position can weaken, and our products or technologies can become uncompetitive or obso</w:t>
      </w:r>
      <w:r>
        <w:rPr>
          <w:rFonts w:ascii="Arial" w:eastAsia="宋体" w:hAnsi="Arial" w:cs="Arial"/>
          <w:color w:val="262626"/>
          <w:sz w:val="18"/>
          <w:szCs w:val="18"/>
        </w:rPr>
        <w:t>lete. Our competitive environment has intensified, and we expect it to continue to do so in the future.</w:t>
      </w:r>
    </w:p>
    <w:p w14:paraId="6753541C" w14:textId="77777777" w:rsidR="001B77DD" w:rsidRDefault="00BF0A28">
      <w:pPr>
        <w:spacing w:after="180"/>
      </w:pPr>
      <w:r>
        <w:rPr>
          <w:rFonts w:ascii="Arial" w:eastAsia="宋体" w:hAnsi="Arial" w:cs="Arial"/>
          <w:color w:val="262626"/>
          <w:sz w:val="18"/>
          <w:szCs w:val="18"/>
        </w:rPr>
        <w:t>Our products primarily compete based on performance, energy efficiency, integration, ease-of-use, innovative design, features, workload optimization, pr</w:t>
      </w:r>
      <w:r>
        <w:rPr>
          <w:rFonts w:ascii="Arial" w:eastAsia="宋体" w:hAnsi="Arial" w:cs="Arial"/>
          <w:color w:val="262626"/>
          <w:sz w:val="18"/>
          <w:szCs w:val="18"/>
        </w:rPr>
        <w:t>ice, quality, reliability, security, software ecosystem and developer support, time-to-market, reliable product roadmap execution, brand recognition, customer support and customization, and availability. The importance of these factors varies by product an</w:t>
      </w:r>
      <w:r>
        <w:rPr>
          <w:rFonts w:ascii="Arial" w:eastAsia="宋体" w:hAnsi="Arial" w:cs="Arial"/>
          <w:color w:val="262626"/>
          <w:sz w:val="18"/>
          <w:szCs w:val="18"/>
        </w:rPr>
        <w:t>d market segment. For example, our competitors have introduced data center and client platform products with performance improvements and additional processor core counts that have contributed to an increasingly competitive environment. In our IOTG busines</w:t>
      </w:r>
      <w:r>
        <w:rPr>
          <w:rFonts w:ascii="Arial" w:eastAsia="宋体" w:hAnsi="Arial" w:cs="Arial"/>
          <w:color w:val="262626"/>
          <w:sz w:val="18"/>
          <w:szCs w:val="18"/>
        </w:rPr>
        <w:t>s, for example, interoperability, connectivity, safety, security, industrial use conditions, and long-life support are among the key competitive factors. To the extent our products do not meet our customers' requirements across these factors in an increasi</w:t>
      </w:r>
      <w:r>
        <w:rPr>
          <w:rFonts w:ascii="Arial" w:eastAsia="宋体" w:hAnsi="Arial" w:cs="Arial"/>
          <w:color w:val="262626"/>
          <w:sz w:val="18"/>
          <w:szCs w:val="18"/>
        </w:rPr>
        <w:t>ngly competitive landscape, our business and results of operation can be harmed.</w:t>
      </w:r>
    </w:p>
    <w:p w14:paraId="6753541D" w14:textId="77777777" w:rsidR="001B77DD" w:rsidRDefault="00BF0A28">
      <w:pPr>
        <w:spacing w:after="180"/>
      </w:pPr>
      <w:r>
        <w:rPr>
          <w:rFonts w:ascii="Arial" w:eastAsia="宋体" w:hAnsi="Arial" w:cs="Arial"/>
          <w:color w:val="262626"/>
          <w:sz w:val="18"/>
          <w:szCs w:val="18"/>
        </w:rPr>
        <w:t>We face intense competition across our product portfolio from companies offering platform products, such as AMD and Qualcomm; accelerator products such as GPUs, including thos</w:t>
      </w:r>
      <w:r>
        <w:rPr>
          <w:rFonts w:ascii="Arial" w:eastAsia="宋体" w:hAnsi="Arial" w:cs="Arial"/>
          <w:color w:val="262626"/>
          <w:sz w:val="18"/>
          <w:szCs w:val="18"/>
        </w:rPr>
        <w:t xml:space="preserve">e offered by NVIDIA; other accelerator products such as ASICs, application-specific standard products, and FPGAs; memory and storage products; connectivity and networking products; and other semiconductor products. Some of these competitors have developed </w:t>
      </w:r>
      <w:r>
        <w:rPr>
          <w:rFonts w:ascii="Arial" w:eastAsia="宋体" w:hAnsi="Arial" w:cs="Arial"/>
          <w:color w:val="262626"/>
          <w:sz w:val="18"/>
          <w:szCs w:val="18"/>
        </w:rPr>
        <w:t>or utilize competing computing architectures and platforms, such as the ARM architecture, and these architectures and platforms can produce beneficial network effects for competitors when an ecosystem of customers and application developers for such archit</w:t>
      </w:r>
      <w:r>
        <w:rPr>
          <w:rFonts w:ascii="Arial" w:eastAsia="宋体" w:hAnsi="Arial" w:cs="Arial"/>
          <w:color w:val="262626"/>
          <w:sz w:val="18"/>
          <w:szCs w:val="18"/>
        </w:rPr>
        <w:t>ectures and platforms grows at scale. For example, ARM-based products are being used in PCs and servers, which could lead to further development and growth of the ARM ecosystem. We also compete with internally developed semiconductors from OEMs, cloud serv</w:t>
      </w:r>
      <w:r>
        <w:rPr>
          <w:rFonts w:ascii="Arial" w:eastAsia="宋体" w:hAnsi="Arial" w:cs="Arial"/>
          <w:color w:val="262626"/>
          <w:sz w:val="18"/>
          <w:szCs w:val="18"/>
        </w:rPr>
        <w:t>ice providers, and others, some of whom are customers. Some of these customers vertically integrate their own semiconductor designs with their software assets and/or customize their designs for specific computing workloads. For example, in 2020, Apple intr</w:t>
      </w:r>
      <w:r>
        <w:rPr>
          <w:rFonts w:ascii="Arial" w:eastAsia="宋体" w:hAnsi="Arial" w:cs="Arial"/>
          <w:color w:val="262626"/>
          <w:sz w:val="18"/>
          <w:szCs w:val="18"/>
        </w:rPr>
        <w:t>oduced PC products utilizing its own internally developed ARM-based semiconductor designs in place of our client CPUs, and we face increasing competition from Apple's products and ecosystem.</w:t>
      </w:r>
    </w:p>
    <w:p w14:paraId="6753541E" w14:textId="77777777" w:rsidR="001B77DD" w:rsidRDefault="00BF0A28">
      <w:pPr>
        <w:spacing w:after="180"/>
      </w:pPr>
      <w:r>
        <w:rPr>
          <w:rFonts w:ascii="Arial" w:eastAsia="宋体" w:hAnsi="Arial" w:cs="Arial"/>
          <w:color w:val="262626"/>
          <w:sz w:val="18"/>
          <w:szCs w:val="18"/>
        </w:rPr>
        <w:t>Most of our competitors rely on third-party foundries, such as Ta</w:t>
      </w:r>
      <w:r>
        <w:rPr>
          <w:rFonts w:ascii="Arial" w:eastAsia="宋体" w:hAnsi="Arial" w:cs="Arial"/>
          <w:color w:val="262626"/>
          <w:sz w:val="18"/>
          <w:szCs w:val="18"/>
        </w:rPr>
        <w:t>iwan Semiconductor Manufacturing Company, Ltd. (TSMC) or Samsung Electronics Co., Ltd., and subcontractors for manufacture and assembly and test of their semiconductor components and products. Manufacturing process improvements introduced by TSMC have cont</w:t>
      </w:r>
      <w:r>
        <w:rPr>
          <w:rFonts w:ascii="Arial" w:eastAsia="宋体" w:hAnsi="Arial" w:cs="Arial"/>
          <w:color w:val="262626"/>
          <w:sz w:val="18"/>
          <w:szCs w:val="18"/>
        </w:rPr>
        <w:t>ributed, and may continue to contribute, to increasingly competitive offerings by our competitors. While we have set out a process technology roadmap to attain future process performance-per-watt parity and leadership relative to TSMC, our plans are subjec</w:t>
      </w:r>
      <w:r>
        <w:rPr>
          <w:rFonts w:ascii="Arial" w:eastAsia="宋体" w:hAnsi="Arial" w:cs="Arial"/>
          <w:color w:val="262626"/>
          <w:sz w:val="18"/>
          <w:szCs w:val="18"/>
        </w:rPr>
        <w:t>t to a number of risks and we could fail to realize our goals, including due to changes in competitor technology roadmaps, changes affecting our projections regarding our technology or competing technology, and the risks described in the section "We are vu</w:t>
      </w:r>
      <w:r>
        <w:rPr>
          <w:rFonts w:ascii="Arial" w:eastAsia="宋体" w:hAnsi="Arial" w:cs="Arial"/>
          <w:color w:val="262626"/>
          <w:sz w:val="18"/>
          <w:szCs w:val="18"/>
        </w:rPr>
        <w:t>lnerable to product and manufacturing-related risks." As an IDM, we have higher capital expenditures and R&amp;D spending than many of our "fabless" competitors. We also face new sources of competition as a result of changes in industry participants through, f</w:t>
      </w:r>
      <w:r>
        <w:rPr>
          <w:rFonts w:ascii="Arial" w:eastAsia="宋体" w:hAnsi="Arial" w:cs="Arial"/>
          <w:color w:val="262626"/>
          <w:sz w:val="18"/>
          <w:szCs w:val="18"/>
        </w:rPr>
        <w:t>or example, acquisitions or business collaborations, as well as new entrants, including in China, which could have a significant impact on our competitive position. For example, we could face increased competition as a result of China's programs to promote</w:t>
      </w:r>
      <w:r>
        <w:rPr>
          <w:rFonts w:ascii="Arial" w:eastAsia="宋体" w:hAnsi="Arial" w:cs="Arial"/>
          <w:color w:val="262626"/>
          <w:sz w:val="18"/>
          <w:szCs w:val="18"/>
        </w:rPr>
        <w:t xml:space="preserve"> a domestic semiconductor industry and supply chains.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28" w14:textId="77777777">
        <w:tc>
          <w:tcPr>
            <w:tcW w:w="50" w:type="pct"/>
            <w:shd w:val="clear" w:color="auto" w:fill="auto"/>
            <w:vAlign w:val="bottom"/>
          </w:tcPr>
          <w:p w14:paraId="6753541F" w14:textId="77777777" w:rsidR="001B77DD" w:rsidRDefault="001B77DD">
            <w:pPr>
              <w:rPr>
                <w:rFonts w:ascii="宋体"/>
              </w:rPr>
            </w:pPr>
          </w:p>
        </w:tc>
        <w:tc>
          <w:tcPr>
            <w:tcW w:w="283" w:type="pct"/>
            <w:shd w:val="clear" w:color="auto" w:fill="auto"/>
            <w:vAlign w:val="bottom"/>
          </w:tcPr>
          <w:p w14:paraId="67535420" w14:textId="77777777" w:rsidR="001B77DD" w:rsidRDefault="001B77DD">
            <w:pPr>
              <w:rPr>
                <w:rFonts w:ascii="宋体"/>
              </w:rPr>
            </w:pPr>
          </w:p>
        </w:tc>
        <w:tc>
          <w:tcPr>
            <w:tcW w:w="5" w:type="pct"/>
            <w:shd w:val="clear" w:color="auto" w:fill="auto"/>
            <w:vAlign w:val="bottom"/>
          </w:tcPr>
          <w:p w14:paraId="67535421" w14:textId="77777777" w:rsidR="001B77DD" w:rsidRDefault="001B77DD">
            <w:pPr>
              <w:rPr>
                <w:rFonts w:ascii="宋体"/>
              </w:rPr>
            </w:pPr>
          </w:p>
        </w:tc>
        <w:tc>
          <w:tcPr>
            <w:tcW w:w="50" w:type="pct"/>
            <w:shd w:val="clear" w:color="auto" w:fill="auto"/>
            <w:vAlign w:val="bottom"/>
          </w:tcPr>
          <w:p w14:paraId="67535422" w14:textId="77777777" w:rsidR="001B77DD" w:rsidRDefault="001B77DD">
            <w:pPr>
              <w:rPr>
                <w:rFonts w:ascii="宋体"/>
              </w:rPr>
            </w:pPr>
          </w:p>
        </w:tc>
        <w:tc>
          <w:tcPr>
            <w:tcW w:w="2656" w:type="pct"/>
            <w:shd w:val="clear" w:color="auto" w:fill="auto"/>
            <w:vAlign w:val="bottom"/>
          </w:tcPr>
          <w:p w14:paraId="67535423" w14:textId="77777777" w:rsidR="001B77DD" w:rsidRDefault="001B77DD">
            <w:pPr>
              <w:rPr>
                <w:rFonts w:ascii="宋体"/>
              </w:rPr>
            </w:pPr>
          </w:p>
        </w:tc>
        <w:tc>
          <w:tcPr>
            <w:tcW w:w="5" w:type="pct"/>
            <w:shd w:val="clear" w:color="auto" w:fill="auto"/>
            <w:vAlign w:val="bottom"/>
          </w:tcPr>
          <w:p w14:paraId="67535424" w14:textId="77777777" w:rsidR="001B77DD" w:rsidRDefault="001B77DD">
            <w:pPr>
              <w:rPr>
                <w:rFonts w:ascii="宋体"/>
              </w:rPr>
            </w:pPr>
          </w:p>
        </w:tc>
        <w:tc>
          <w:tcPr>
            <w:tcW w:w="50" w:type="pct"/>
            <w:shd w:val="clear" w:color="auto" w:fill="auto"/>
            <w:vAlign w:val="bottom"/>
          </w:tcPr>
          <w:p w14:paraId="67535425" w14:textId="77777777" w:rsidR="001B77DD" w:rsidRDefault="001B77DD">
            <w:pPr>
              <w:rPr>
                <w:rFonts w:ascii="宋体"/>
              </w:rPr>
            </w:pPr>
          </w:p>
        </w:tc>
        <w:tc>
          <w:tcPr>
            <w:tcW w:w="1894" w:type="pct"/>
            <w:shd w:val="clear" w:color="auto" w:fill="auto"/>
            <w:vAlign w:val="bottom"/>
          </w:tcPr>
          <w:p w14:paraId="67535426" w14:textId="77777777" w:rsidR="001B77DD" w:rsidRDefault="001B77DD">
            <w:pPr>
              <w:rPr>
                <w:rFonts w:ascii="宋体"/>
              </w:rPr>
            </w:pPr>
          </w:p>
        </w:tc>
        <w:tc>
          <w:tcPr>
            <w:tcW w:w="5" w:type="pct"/>
            <w:shd w:val="clear" w:color="auto" w:fill="auto"/>
            <w:vAlign w:val="bottom"/>
          </w:tcPr>
          <w:p w14:paraId="67535427" w14:textId="77777777" w:rsidR="001B77DD" w:rsidRDefault="001B77DD">
            <w:pPr>
              <w:rPr>
                <w:rFonts w:ascii="宋体"/>
              </w:rPr>
            </w:pPr>
          </w:p>
        </w:tc>
      </w:tr>
      <w:tr w:rsidR="001B77DD" w14:paraId="6753542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29"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D7" wp14:editId="67538ED8">
                  <wp:extent cx="304800" cy="304800"/>
                  <wp:effectExtent l="0" t="0" r="0" b="0"/>
                  <wp:docPr id="175" name="图片 22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2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2A"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2B" w14:textId="77777777" w:rsidR="001B77DD" w:rsidRDefault="00BF0A28">
            <w:pPr>
              <w:jc w:val="right"/>
              <w:textAlignment w:val="center"/>
            </w:pPr>
            <w:r>
              <w:rPr>
                <w:rFonts w:ascii="Arial" w:eastAsia="宋体" w:hAnsi="Arial" w:cs="Arial"/>
                <w:color w:val="262626"/>
                <w:sz w:val="16"/>
                <w:szCs w:val="16"/>
              </w:rPr>
              <w:t>51</w:t>
            </w:r>
          </w:p>
        </w:tc>
      </w:tr>
    </w:tbl>
    <w:p w14:paraId="6753542D" w14:textId="77777777" w:rsidR="001B77DD" w:rsidRDefault="00BF0A28">
      <w:r>
        <w:pict w14:anchorId="67538ED9">
          <v:rect id="_x0000_i1077" style="width:415.3pt;height:1.5pt" o:hralign="center" o:hrstd="t" o:hr="t" fillcolor="#a0a0a0" stroked="f"/>
        </w:pict>
      </w:r>
    </w:p>
    <w:p w14:paraId="6753542E" w14:textId="77777777" w:rsidR="001B77DD" w:rsidRDefault="00BF0A28">
      <w:pPr>
        <w:jc w:val="right"/>
      </w:pPr>
      <w:hyperlink r:id="rId109" w:anchor="i6c9ced68f6b24d58a3dcf326e8c3c699_16" w:history="1">
        <w:r>
          <w:rPr>
            <w:rStyle w:val="a5"/>
            <w:rFonts w:ascii="Arial" w:eastAsia="宋体" w:hAnsi="Arial" w:cs="Arial"/>
            <w:b/>
            <w:bCs/>
            <w:sz w:val="16"/>
            <w:szCs w:val="16"/>
          </w:rPr>
          <w:t>Table of Contents</w:t>
        </w:r>
      </w:hyperlink>
    </w:p>
    <w:p w14:paraId="6753542F" w14:textId="77777777" w:rsidR="001B77DD" w:rsidRDefault="001B77DD">
      <w:pPr>
        <w:jc w:val="right"/>
      </w:pPr>
    </w:p>
    <w:p w14:paraId="67535430" w14:textId="77777777" w:rsidR="001B77DD" w:rsidRDefault="00BF0A28">
      <w:pPr>
        <w:spacing w:after="180"/>
      </w:pPr>
      <w:r>
        <w:rPr>
          <w:rFonts w:ascii="Arial" w:eastAsia="宋体" w:hAnsi="Arial" w:cs="Arial"/>
          <w:color w:val="262626"/>
          <w:sz w:val="18"/>
          <w:szCs w:val="18"/>
        </w:rPr>
        <w:t xml:space="preserve">Introduction of competitive new products and technologies, aggressive pricing, and </w:t>
      </w:r>
      <w:r>
        <w:rPr>
          <w:rFonts w:ascii="Arial" w:eastAsia="宋体" w:hAnsi="Arial" w:cs="Arial"/>
          <w:color w:val="262626"/>
          <w:sz w:val="18"/>
          <w:szCs w:val="18"/>
        </w:rPr>
        <w:t xml:space="preserve">other actions taken by competitors can harm demand for our products, exert downward pricing pressure on our products, and adversely affect our business. For example, our DCG revenue and platform ASPs were negatively impacted by the competitive environment </w:t>
      </w:r>
      <w:r>
        <w:rPr>
          <w:rFonts w:ascii="Arial" w:eastAsia="宋体" w:hAnsi="Arial" w:cs="Arial"/>
          <w:color w:val="262626"/>
          <w:sz w:val="18"/>
          <w:szCs w:val="18"/>
        </w:rPr>
        <w:t>during 2021. Additionally, a number of business combinations and strategic partnerships in the semiconductor industry have occurred over the last several years, and more could occur in the future. For example, in 2020, NVIDIA announced an agreement to acqu</w:t>
      </w:r>
      <w:r>
        <w:rPr>
          <w:rFonts w:ascii="Arial" w:eastAsia="宋体" w:hAnsi="Arial" w:cs="Arial"/>
          <w:color w:val="262626"/>
          <w:sz w:val="18"/>
          <w:szCs w:val="18"/>
        </w:rPr>
        <w:t>ire ARM Holdings plc, and AMD announced an agreement to acquire Xilinx, Inc. Consolidation could also lead to fewer customers, partners, or suppliers, any of which could negatively affect our financial results.</w:t>
      </w:r>
    </w:p>
    <w:p w14:paraId="67535431" w14:textId="77777777" w:rsidR="001B77DD" w:rsidRDefault="00BF0A28">
      <w:pPr>
        <w:spacing w:after="180"/>
      </w:pPr>
      <w:r>
        <w:rPr>
          <w:rFonts w:ascii="Arial" w:eastAsia="宋体" w:hAnsi="Arial" w:cs="Arial"/>
          <w:color w:val="262626"/>
          <w:sz w:val="18"/>
          <w:szCs w:val="18"/>
        </w:rPr>
        <w:t>If we are not able to compete effectively, ou</w:t>
      </w:r>
      <w:r>
        <w:rPr>
          <w:rFonts w:ascii="Arial" w:eastAsia="宋体" w:hAnsi="Arial" w:cs="Arial"/>
          <w:color w:val="262626"/>
          <w:sz w:val="18"/>
          <w:szCs w:val="18"/>
        </w:rPr>
        <w:t>r financial results will be adversely affected, including reduced revenue and gross margin, and we may be required to accelerate the write-down of the value of certain assets.</w:t>
      </w:r>
    </w:p>
    <w:p w14:paraId="67535432" w14:textId="77777777" w:rsidR="001B77DD" w:rsidRDefault="00BF0A28">
      <w:pPr>
        <w:spacing w:after="180"/>
      </w:pPr>
      <w:r>
        <w:rPr>
          <w:rFonts w:ascii="Arial" w:eastAsia="宋体" w:hAnsi="Arial" w:cs="Arial"/>
          <w:color w:val="0068B5"/>
          <w:sz w:val="18"/>
          <w:szCs w:val="18"/>
        </w:rPr>
        <w:t>We invest significantly in R&amp;D, and to the extent our R&amp;D efforts are unsuccessf</w:t>
      </w:r>
      <w:r>
        <w:rPr>
          <w:rFonts w:ascii="Arial" w:eastAsia="宋体" w:hAnsi="Arial" w:cs="Arial"/>
          <w:color w:val="0068B5"/>
          <w:sz w:val="18"/>
          <w:szCs w:val="18"/>
        </w:rPr>
        <w:t>ul, our competitive position can be harmed and we may not realize a return on our investments.</w:t>
      </w:r>
      <w:r>
        <w:rPr>
          <w:rFonts w:ascii="Arial" w:eastAsia="宋体" w:hAnsi="Arial" w:cs="Arial"/>
          <w:color w:val="333333"/>
          <w:sz w:val="18"/>
          <w:szCs w:val="18"/>
        </w:rPr>
        <w:t xml:space="preserve"> </w:t>
      </w:r>
      <w:r>
        <w:rPr>
          <w:rFonts w:ascii="Arial" w:eastAsia="宋体" w:hAnsi="Arial" w:cs="Arial"/>
          <w:color w:val="262626"/>
          <w:sz w:val="18"/>
          <w:szCs w:val="18"/>
        </w:rPr>
        <w:t>To compete successfully, we must maintain an effective R&amp;D program, develop new products and manufacturing processes, and improve our existing products and proce</w:t>
      </w:r>
      <w:r>
        <w:rPr>
          <w:rFonts w:ascii="Arial" w:eastAsia="宋体" w:hAnsi="Arial" w:cs="Arial"/>
          <w:color w:val="262626"/>
          <w:sz w:val="18"/>
          <w:szCs w:val="18"/>
        </w:rPr>
        <w:t xml:space="preserve">sses, all ahead of competitors. We are focusing our R&amp;D efforts across several key areas, including process and packaging technology, our xPU products and features, and software. These include ambitious initiatives, such as our unified oneAPI portfolio of </w:t>
      </w:r>
      <w:r>
        <w:rPr>
          <w:rFonts w:ascii="Arial" w:eastAsia="宋体" w:hAnsi="Arial" w:cs="Arial"/>
          <w:color w:val="262626"/>
          <w:sz w:val="18"/>
          <w:szCs w:val="18"/>
        </w:rPr>
        <w:t>developer tools. We cannot guarantee that all of these efforts will deliver the benefits we anticipate. For example, we previously experienced significant delays in the implementation of our 10nm process technology, and during 2020, we announced that our I</w:t>
      </w:r>
      <w:r>
        <w:rPr>
          <w:rFonts w:ascii="Arial" w:eastAsia="宋体" w:hAnsi="Arial" w:cs="Arial"/>
          <w:color w:val="262626"/>
          <w:sz w:val="18"/>
          <w:szCs w:val="18"/>
        </w:rPr>
        <w:t>ntel 4 process technology (formerly 7nm) would be delayed relative to our prior expectations. To the extent we do not timely introduce new manufacturing process technologies that improve performance, performance per watt, and/or transistor density with suf</w:t>
      </w:r>
      <w:r>
        <w:rPr>
          <w:rFonts w:ascii="Arial" w:eastAsia="宋体" w:hAnsi="Arial" w:cs="Arial"/>
          <w:color w:val="262626"/>
          <w:sz w:val="18"/>
          <w:szCs w:val="18"/>
        </w:rPr>
        <w:t>ficient manufacturing yields and operational efficiency, relative to competing foundry processes, we can face cost, product performance, and time-to-market disadvantages. In addition, we are not always able to timely or successfully develop new products, i</w:t>
      </w:r>
      <w:r>
        <w:rPr>
          <w:rFonts w:ascii="Arial" w:eastAsia="宋体" w:hAnsi="Arial" w:cs="Arial"/>
          <w:color w:val="262626"/>
          <w:sz w:val="18"/>
          <w:szCs w:val="18"/>
        </w:rPr>
        <w:t>ncluding as a result of bugs, late changes to features due to customer requests, or other design challenges. To the extent our R&amp;D efforts do not develop new products on schedule with improvements in areas like performance, performance per watt, die utiliz</w:t>
      </w:r>
      <w:r>
        <w:rPr>
          <w:rFonts w:ascii="Arial" w:eastAsia="宋体" w:hAnsi="Arial" w:cs="Arial"/>
          <w:color w:val="262626"/>
          <w:sz w:val="18"/>
          <w:szCs w:val="18"/>
        </w:rPr>
        <w:t>ation, and core counts, and/or with new features such as optimizations for AI and other workloads, our competitive position can be harmed. We have adopted a disaggregated design approach for some of our future products, in which different processors and co</w:t>
      </w:r>
      <w:r>
        <w:rPr>
          <w:rFonts w:ascii="Arial" w:eastAsia="宋体" w:hAnsi="Arial" w:cs="Arial"/>
          <w:color w:val="262626"/>
          <w:sz w:val="18"/>
          <w:szCs w:val="18"/>
        </w:rPr>
        <w:t>mponents can be manufactured on different processes and connected by advanced packaging technology into a single package. This approach introduces new areas of complexity in design and manufacturability, particularly in the deployment of advanced packaging</w:t>
      </w:r>
      <w:r>
        <w:rPr>
          <w:rFonts w:ascii="Arial" w:eastAsia="宋体" w:hAnsi="Arial" w:cs="Arial"/>
          <w:color w:val="262626"/>
          <w:sz w:val="18"/>
          <w:szCs w:val="18"/>
        </w:rPr>
        <w:t xml:space="preserve"> technologies, several of which are novel, have a limited manufacturing history, and/or have increased costs. Delays or failures in implementing disaggregated designs could adversely affect our ability to timely introduce competitive products. For example,</w:t>
      </w:r>
      <w:r>
        <w:rPr>
          <w:rFonts w:ascii="Arial" w:eastAsia="宋体" w:hAnsi="Arial" w:cs="Arial"/>
          <w:color w:val="262626"/>
          <w:sz w:val="18"/>
          <w:szCs w:val="18"/>
        </w:rPr>
        <w:t xml:space="preserve"> adapting a processor or component design for a new or different manufacturing process involves additional R&amp;D expense and can result in delays in the development of the associated product.</w:t>
      </w:r>
    </w:p>
    <w:p w14:paraId="67535433" w14:textId="77777777" w:rsidR="001B77DD" w:rsidRDefault="00BF0A28">
      <w:pPr>
        <w:spacing w:after="180"/>
      </w:pPr>
      <w:r>
        <w:rPr>
          <w:rFonts w:ascii="Arial" w:eastAsia="宋体" w:hAnsi="Arial" w:cs="Arial"/>
          <w:color w:val="262626"/>
          <w:sz w:val="18"/>
          <w:szCs w:val="18"/>
        </w:rPr>
        <w:t>We do not expect all of our R&amp;D investments to be successful. Some</w:t>
      </w:r>
      <w:r>
        <w:rPr>
          <w:rFonts w:ascii="Arial" w:eastAsia="宋体" w:hAnsi="Arial" w:cs="Arial"/>
          <w:color w:val="262626"/>
          <w:sz w:val="18"/>
          <w:szCs w:val="18"/>
        </w:rPr>
        <w:t xml:space="preserve"> of our efforts to develop and market new products and technologies fail or fall short of our expectations, or are not well-received by customers, who may adopt competing technologies. We make significant investments in R&amp;D, and we expect our investments t</w:t>
      </w:r>
      <w:r>
        <w:rPr>
          <w:rFonts w:ascii="Arial" w:eastAsia="宋体" w:hAnsi="Arial" w:cs="Arial"/>
          <w:color w:val="262626"/>
          <w:sz w:val="18"/>
          <w:szCs w:val="18"/>
        </w:rPr>
        <w:t xml:space="preserve">o grow as we pursue our IDM 2.0 strategy. Our investments at times do not contribute to our future operating results for several years, if at all, and such contributions at times do not meet our expectations or even cover the costs of such investments. </w:t>
      </w:r>
    </w:p>
    <w:p w14:paraId="67535434" w14:textId="77777777" w:rsidR="001B77DD" w:rsidRDefault="00BF0A28">
      <w:pPr>
        <w:spacing w:after="180"/>
      </w:pPr>
      <w:r>
        <w:rPr>
          <w:rFonts w:ascii="Arial" w:eastAsia="宋体" w:hAnsi="Arial" w:cs="Arial"/>
          <w:color w:val="0068B5"/>
          <w:sz w:val="18"/>
          <w:szCs w:val="18"/>
        </w:rPr>
        <w:t>Ou</w:t>
      </w:r>
      <w:r>
        <w:rPr>
          <w:rFonts w:ascii="Arial" w:eastAsia="宋体" w:hAnsi="Arial" w:cs="Arial"/>
          <w:color w:val="0068B5"/>
          <w:sz w:val="18"/>
          <w:szCs w:val="18"/>
        </w:rPr>
        <w:t xml:space="preserve">r investments in new businesses, products, and technologies are inherently risky and do not always succeed. </w:t>
      </w:r>
      <w:r>
        <w:rPr>
          <w:rFonts w:ascii="Arial" w:eastAsia="宋体" w:hAnsi="Arial" w:cs="Arial"/>
          <w:color w:val="262626"/>
          <w:sz w:val="18"/>
          <w:szCs w:val="18"/>
        </w:rPr>
        <w:t xml:space="preserve">We have entered new areas and introduced new products and services as we seek to capitalize on the opportunities presented by ubiquitous computing, </w:t>
      </w:r>
      <w:r>
        <w:rPr>
          <w:rFonts w:ascii="Arial" w:eastAsia="宋体" w:hAnsi="Arial" w:cs="Arial"/>
          <w:color w:val="262626"/>
          <w:sz w:val="18"/>
          <w:szCs w:val="18"/>
        </w:rPr>
        <w:t>cloud to edge infrastructure, pervasive connectivity, and AI. In recent years, we have expanded our product offerings in areas such as discrete GPUs, mobility solutions, AI accelerators, IPU products, silicon photonics solutions, and Intel Optane technolog</w:t>
      </w:r>
      <w:r>
        <w:rPr>
          <w:rFonts w:ascii="Arial" w:eastAsia="宋体" w:hAnsi="Arial" w:cs="Arial"/>
          <w:color w:val="262626"/>
          <w:sz w:val="18"/>
          <w:szCs w:val="18"/>
        </w:rPr>
        <w:t>y products. As part of our IDM 2.0 strategy, we have announced plans to become a major provider of foundry capacity to manufacture semiconductors for others, establishing IFS. IFS faces competition from well-established competitors such as TSMC and Samsung</w:t>
      </w:r>
      <w:r>
        <w:rPr>
          <w:rFonts w:ascii="Arial" w:eastAsia="宋体" w:hAnsi="Arial" w:cs="Arial"/>
          <w:color w:val="262626"/>
          <w:sz w:val="18"/>
          <w:szCs w:val="18"/>
        </w:rPr>
        <w:t>, and to succeed, we will need to compete effectively across factors such as availability and time-to-market of manufacturing technology; advances in manufacturing processes in areas such as performance, performance per watt, and density; manufacturing cap</w:t>
      </w:r>
      <w:r>
        <w:rPr>
          <w:rFonts w:ascii="Arial" w:eastAsia="宋体" w:hAnsi="Arial" w:cs="Arial"/>
          <w:color w:val="262626"/>
          <w:sz w:val="18"/>
          <w:szCs w:val="18"/>
        </w:rPr>
        <w:t xml:space="preserve">acity; price; ease of use; quality; yields; customer satisfaction; and ecosystem support. Our "big bets" are inherently risky and are not always successful. For example, in 2019, we exited the 5G smartphone modem business, one of our prior big bets, based </w:t>
      </w:r>
      <w:r>
        <w:rPr>
          <w:rFonts w:ascii="Arial" w:eastAsia="宋体" w:hAnsi="Arial" w:cs="Arial"/>
          <w:color w:val="262626"/>
          <w:sz w:val="18"/>
          <w:szCs w:val="18"/>
        </w:rPr>
        <w:t xml:space="preserve">on our determination that there was no clear path to profitability for the business. </w:t>
      </w:r>
    </w:p>
    <w:p w14:paraId="67535435" w14:textId="77777777" w:rsidR="001B77DD" w:rsidRDefault="00BF0A28">
      <w:pPr>
        <w:spacing w:after="180"/>
      </w:pPr>
      <w:r>
        <w:rPr>
          <w:rFonts w:ascii="Arial" w:eastAsia="宋体" w:hAnsi="Arial" w:cs="Arial"/>
          <w:color w:val="262626"/>
          <w:sz w:val="18"/>
          <w:szCs w:val="18"/>
        </w:rPr>
        <w:t>These new and developing areas and products represent a significant portion of our revenue growth opportunity, and they also introduce new sources of competition, includi</w:t>
      </w:r>
      <w:r>
        <w:rPr>
          <w:rFonts w:ascii="Arial" w:eastAsia="宋体" w:hAnsi="Arial" w:cs="Arial"/>
          <w:color w:val="262626"/>
          <w:sz w:val="18"/>
          <w:szCs w:val="18"/>
        </w:rPr>
        <w:t>ng, in some cases, incumbent competitors with established technologies, ecosystems, and customer bases, lower prices or costs, and greater brand recognition. These developing products and market segments require significant investment, do not always grow a</w:t>
      </w:r>
      <w:r>
        <w:rPr>
          <w:rFonts w:ascii="Arial" w:eastAsia="宋体" w:hAnsi="Arial" w:cs="Arial"/>
          <w:color w:val="262626"/>
          <w:sz w:val="18"/>
          <w:szCs w:val="18"/>
        </w:rPr>
        <w:t>s projected or at all, or sometimes adopt competing technologies, and we may not realize an adequate return on our investments. For example, AI and machine learning are increasingly driving innovations in technology, but if we fail to develop leading produ</w:t>
      </w:r>
      <w:r>
        <w:rPr>
          <w:rFonts w:ascii="Arial" w:eastAsia="宋体" w:hAnsi="Arial" w:cs="Arial"/>
          <w:color w:val="262626"/>
          <w:sz w:val="18"/>
          <w:szCs w:val="18"/>
        </w:rPr>
        <w:t>cts for these workloads, or if our customers use competing technologies, we may not realize a return on our investments in these areas. Similarly, while we see significant opportunity in networking infrastructure and the distribution of computing to the ne</w:t>
      </w:r>
      <w:r>
        <w:rPr>
          <w:rFonts w:ascii="Arial" w:eastAsia="宋体" w:hAnsi="Arial" w:cs="Arial"/>
          <w:color w:val="262626"/>
          <w:sz w:val="18"/>
          <w:szCs w:val="18"/>
        </w:rPr>
        <w:t xml:space="preserve">twork edge, we expect intense competition for this opportunity and may not succeed in our efforts. To be successful, we need to cultivate relationships with customers and partners in these market segments and continue to improve our offerings. Despite our </w:t>
      </w:r>
      <w:r>
        <w:rPr>
          <w:rFonts w:ascii="Arial" w:eastAsia="宋体" w:hAnsi="Arial" w:cs="Arial"/>
          <w:color w:val="262626"/>
          <w:sz w:val="18"/>
          <w:szCs w:val="18"/>
        </w:rPr>
        <w:t>ongoing efforts, there is no guarantee that we will achieve or maintain market demand or acceptance for our products and services in these various market segments or realize an adequate return on our investments, which could lead to impairment of assets an</w:t>
      </w:r>
      <w:r>
        <w:rPr>
          <w:rFonts w:ascii="Arial" w:eastAsia="宋体" w:hAnsi="Arial" w:cs="Arial"/>
          <w:color w:val="262626"/>
          <w:sz w:val="18"/>
          <w:szCs w:val="18"/>
        </w:rPr>
        <w:t>d restructuring charges, as well as opportunity costs.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3F" w14:textId="77777777">
        <w:tc>
          <w:tcPr>
            <w:tcW w:w="50" w:type="pct"/>
            <w:shd w:val="clear" w:color="auto" w:fill="auto"/>
            <w:vAlign w:val="bottom"/>
          </w:tcPr>
          <w:p w14:paraId="67535436" w14:textId="77777777" w:rsidR="001B77DD" w:rsidRDefault="001B77DD">
            <w:pPr>
              <w:rPr>
                <w:rFonts w:ascii="宋体"/>
              </w:rPr>
            </w:pPr>
          </w:p>
        </w:tc>
        <w:tc>
          <w:tcPr>
            <w:tcW w:w="283" w:type="pct"/>
            <w:shd w:val="clear" w:color="auto" w:fill="auto"/>
            <w:vAlign w:val="bottom"/>
          </w:tcPr>
          <w:p w14:paraId="67535437" w14:textId="77777777" w:rsidR="001B77DD" w:rsidRDefault="001B77DD">
            <w:pPr>
              <w:rPr>
                <w:rFonts w:ascii="宋体"/>
              </w:rPr>
            </w:pPr>
          </w:p>
        </w:tc>
        <w:tc>
          <w:tcPr>
            <w:tcW w:w="5" w:type="pct"/>
            <w:shd w:val="clear" w:color="auto" w:fill="auto"/>
            <w:vAlign w:val="bottom"/>
          </w:tcPr>
          <w:p w14:paraId="67535438" w14:textId="77777777" w:rsidR="001B77DD" w:rsidRDefault="001B77DD">
            <w:pPr>
              <w:rPr>
                <w:rFonts w:ascii="宋体"/>
              </w:rPr>
            </w:pPr>
          </w:p>
        </w:tc>
        <w:tc>
          <w:tcPr>
            <w:tcW w:w="50" w:type="pct"/>
            <w:shd w:val="clear" w:color="auto" w:fill="auto"/>
            <w:vAlign w:val="bottom"/>
          </w:tcPr>
          <w:p w14:paraId="67535439" w14:textId="77777777" w:rsidR="001B77DD" w:rsidRDefault="001B77DD">
            <w:pPr>
              <w:rPr>
                <w:rFonts w:ascii="宋体"/>
              </w:rPr>
            </w:pPr>
          </w:p>
        </w:tc>
        <w:tc>
          <w:tcPr>
            <w:tcW w:w="2656" w:type="pct"/>
            <w:shd w:val="clear" w:color="auto" w:fill="auto"/>
            <w:vAlign w:val="bottom"/>
          </w:tcPr>
          <w:p w14:paraId="6753543A" w14:textId="77777777" w:rsidR="001B77DD" w:rsidRDefault="001B77DD">
            <w:pPr>
              <w:rPr>
                <w:rFonts w:ascii="宋体"/>
              </w:rPr>
            </w:pPr>
          </w:p>
        </w:tc>
        <w:tc>
          <w:tcPr>
            <w:tcW w:w="5" w:type="pct"/>
            <w:shd w:val="clear" w:color="auto" w:fill="auto"/>
            <w:vAlign w:val="bottom"/>
          </w:tcPr>
          <w:p w14:paraId="6753543B" w14:textId="77777777" w:rsidR="001B77DD" w:rsidRDefault="001B77DD">
            <w:pPr>
              <w:rPr>
                <w:rFonts w:ascii="宋体"/>
              </w:rPr>
            </w:pPr>
          </w:p>
        </w:tc>
        <w:tc>
          <w:tcPr>
            <w:tcW w:w="50" w:type="pct"/>
            <w:shd w:val="clear" w:color="auto" w:fill="auto"/>
            <w:vAlign w:val="bottom"/>
          </w:tcPr>
          <w:p w14:paraId="6753543C" w14:textId="77777777" w:rsidR="001B77DD" w:rsidRDefault="001B77DD">
            <w:pPr>
              <w:rPr>
                <w:rFonts w:ascii="宋体"/>
              </w:rPr>
            </w:pPr>
          </w:p>
        </w:tc>
        <w:tc>
          <w:tcPr>
            <w:tcW w:w="1894" w:type="pct"/>
            <w:shd w:val="clear" w:color="auto" w:fill="auto"/>
            <w:vAlign w:val="bottom"/>
          </w:tcPr>
          <w:p w14:paraId="6753543D" w14:textId="77777777" w:rsidR="001B77DD" w:rsidRDefault="001B77DD">
            <w:pPr>
              <w:rPr>
                <w:rFonts w:ascii="宋体"/>
              </w:rPr>
            </w:pPr>
          </w:p>
        </w:tc>
        <w:tc>
          <w:tcPr>
            <w:tcW w:w="5" w:type="pct"/>
            <w:shd w:val="clear" w:color="auto" w:fill="auto"/>
            <w:vAlign w:val="bottom"/>
          </w:tcPr>
          <w:p w14:paraId="6753543E" w14:textId="77777777" w:rsidR="001B77DD" w:rsidRDefault="001B77DD">
            <w:pPr>
              <w:rPr>
                <w:rFonts w:ascii="宋体"/>
              </w:rPr>
            </w:pPr>
          </w:p>
        </w:tc>
      </w:tr>
      <w:tr w:rsidR="001B77DD" w14:paraId="6753544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4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DA" wp14:editId="67538EDB">
                  <wp:extent cx="304800" cy="304800"/>
                  <wp:effectExtent l="0" t="0" r="0" b="0"/>
                  <wp:docPr id="177" name="图片 231"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31"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41"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42" w14:textId="77777777" w:rsidR="001B77DD" w:rsidRDefault="00BF0A28">
            <w:pPr>
              <w:jc w:val="right"/>
              <w:textAlignment w:val="center"/>
            </w:pPr>
            <w:r>
              <w:rPr>
                <w:rFonts w:ascii="Arial" w:eastAsia="宋体" w:hAnsi="Arial" w:cs="Arial"/>
                <w:color w:val="262626"/>
                <w:sz w:val="16"/>
                <w:szCs w:val="16"/>
              </w:rPr>
              <w:t>52</w:t>
            </w:r>
          </w:p>
        </w:tc>
      </w:tr>
    </w:tbl>
    <w:p w14:paraId="67535444" w14:textId="77777777" w:rsidR="001B77DD" w:rsidRDefault="00BF0A28">
      <w:r>
        <w:pict w14:anchorId="67538EDC">
          <v:rect id="_x0000_i1078" style="width:415.3pt;height:1.5pt" o:hralign="center" o:hrstd="t" o:hr="t" fillcolor="#a0a0a0" stroked="f"/>
        </w:pict>
      </w:r>
    </w:p>
    <w:p w14:paraId="67535445" w14:textId="77777777" w:rsidR="001B77DD" w:rsidRDefault="00BF0A28">
      <w:pPr>
        <w:jc w:val="right"/>
      </w:pPr>
      <w:hyperlink r:id="rId110" w:anchor="i6c9ced68f6b24d58a3dcf326e8c3c699_16" w:history="1">
        <w:r>
          <w:rPr>
            <w:rStyle w:val="a5"/>
            <w:rFonts w:ascii="Arial" w:eastAsia="宋体" w:hAnsi="Arial" w:cs="Arial"/>
            <w:b/>
            <w:bCs/>
            <w:sz w:val="16"/>
            <w:szCs w:val="16"/>
          </w:rPr>
          <w:t>Table of Contents</w:t>
        </w:r>
      </w:hyperlink>
    </w:p>
    <w:p w14:paraId="67535446" w14:textId="77777777" w:rsidR="001B77DD" w:rsidRDefault="001B77DD">
      <w:pPr>
        <w:jc w:val="right"/>
      </w:pPr>
    </w:p>
    <w:p w14:paraId="67535447" w14:textId="77777777" w:rsidR="001B77DD" w:rsidRDefault="00BF0A28">
      <w:pPr>
        <w:spacing w:after="180"/>
      </w:pPr>
      <w:r>
        <w:rPr>
          <w:rFonts w:ascii="Arial" w:eastAsia="宋体" w:hAnsi="Arial" w:cs="Arial"/>
          <w:color w:val="0068B5"/>
          <w:sz w:val="18"/>
          <w:szCs w:val="18"/>
        </w:rPr>
        <w:t xml:space="preserve">Changes in the mix of products sold can materially impact our financial results. </w:t>
      </w:r>
      <w:r>
        <w:rPr>
          <w:rFonts w:ascii="Arial" w:eastAsia="宋体" w:hAnsi="Arial" w:cs="Arial"/>
          <w:color w:val="262626"/>
          <w:sz w:val="18"/>
          <w:szCs w:val="18"/>
        </w:rPr>
        <w:t>Ou</w:t>
      </w:r>
      <w:r>
        <w:rPr>
          <w:rFonts w:ascii="Arial" w:eastAsia="宋体" w:hAnsi="Arial" w:cs="Arial"/>
          <w:color w:val="262626"/>
          <w:sz w:val="18"/>
          <w:szCs w:val="18"/>
        </w:rPr>
        <w:t>r pricing and margins vary across our products and market segments due in part to marketability of our products and differences in their features or manufacturing costs. For example, our platform product offerings range from lower-priced and entry-level pl</w:t>
      </w:r>
      <w:r>
        <w:rPr>
          <w:rFonts w:ascii="Arial" w:eastAsia="宋体" w:hAnsi="Arial" w:cs="Arial"/>
          <w:color w:val="262626"/>
          <w:sz w:val="18"/>
          <w:szCs w:val="18"/>
        </w:rPr>
        <w:t xml:space="preserve">atforms, such as those based on Intel Atom processors, to higher-end platforms based on Intel Xeon processors. Our adjacent products also typically have significantly lower margins than our higher-priced platform products, and at times are not profitable. </w:t>
      </w:r>
      <w:r>
        <w:rPr>
          <w:rFonts w:ascii="Arial" w:eastAsia="宋体" w:hAnsi="Arial" w:cs="Arial"/>
          <w:color w:val="262626"/>
          <w:sz w:val="18"/>
          <w:szCs w:val="18"/>
        </w:rPr>
        <w:t>To the extent demand shifts from our higher-priced to lower-priced platform products in any of our market segments, or our adjacent products represent a greater share of our mix of products sold, our gross margin percentage may decrease.</w:t>
      </w:r>
    </w:p>
    <w:p w14:paraId="67535448" w14:textId="77777777" w:rsidR="001B77DD" w:rsidRDefault="00BF0A28">
      <w:pPr>
        <w:spacing w:after="120"/>
      </w:pPr>
      <w:r>
        <w:rPr>
          <w:rFonts w:ascii="Arial" w:eastAsia="宋体" w:hAnsi="Arial" w:cs="Arial"/>
          <w:color w:val="0068B5"/>
        </w:rPr>
        <w:t xml:space="preserve">We are vulnerable </w:t>
      </w:r>
      <w:r>
        <w:rPr>
          <w:rFonts w:ascii="Arial" w:eastAsia="宋体" w:hAnsi="Arial" w:cs="Arial"/>
          <w:color w:val="0068B5"/>
        </w:rPr>
        <w:t>to product and manufacturing-related risks.</w:t>
      </w:r>
    </w:p>
    <w:p w14:paraId="67535449" w14:textId="77777777" w:rsidR="001B77DD" w:rsidRDefault="00BF0A28">
      <w:pPr>
        <w:spacing w:after="180"/>
      </w:pPr>
      <w:r>
        <w:rPr>
          <w:rFonts w:ascii="Arial" w:eastAsia="宋体" w:hAnsi="Arial" w:cs="Arial"/>
          <w:color w:val="0068B5"/>
          <w:sz w:val="18"/>
          <w:szCs w:val="18"/>
        </w:rPr>
        <w:t>We are subject to risks associated with the development and implementation of new manufacturing technologies.</w:t>
      </w:r>
      <w:r>
        <w:rPr>
          <w:rFonts w:ascii="Arial" w:eastAsia="宋体" w:hAnsi="Arial" w:cs="Arial"/>
          <w:color w:val="262626"/>
          <w:sz w:val="18"/>
          <w:szCs w:val="18"/>
        </w:rPr>
        <w:t xml:space="preserve"> Production of integrated circuits is a complex process. We are continually engaged in the development </w:t>
      </w:r>
      <w:r>
        <w:rPr>
          <w:rFonts w:ascii="Arial" w:eastAsia="宋体" w:hAnsi="Arial" w:cs="Arial"/>
          <w:color w:val="262626"/>
          <w:sz w:val="18"/>
          <w:szCs w:val="18"/>
        </w:rPr>
        <w:t>of next-generation process technologies at increasingly advanced nodes as we seek to realize the benefits of Moore's Law. Forecasting our progress and schedule for developing advanced nodes is challenging, and at times we encounter unexpected delays due to</w:t>
      </w:r>
      <w:r>
        <w:rPr>
          <w:rFonts w:ascii="Arial" w:eastAsia="宋体" w:hAnsi="Arial" w:cs="Arial"/>
          <w:color w:val="262626"/>
          <w:sz w:val="18"/>
          <w:szCs w:val="18"/>
        </w:rPr>
        <w:t xml:space="preserve"> the complexity of interactions among steps in the manufacturing process, challenges in using new materials or new production equipment, and other issues. Diagnosing defects in our manufacturing processes often takes a long time, as manufacturing throughpu</w:t>
      </w:r>
      <w:r>
        <w:rPr>
          <w:rFonts w:ascii="Arial" w:eastAsia="宋体" w:hAnsi="Arial" w:cs="Arial"/>
          <w:color w:val="262626"/>
          <w:sz w:val="18"/>
          <w:szCs w:val="18"/>
        </w:rPr>
        <w:t xml:space="preserve">t times can delay our receipt of data about defects and the effectiveness of fixes, and defects can be more serious and difficult to resolve than initially understood. </w:t>
      </w:r>
    </w:p>
    <w:p w14:paraId="6753544A" w14:textId="77777777" w:rsidR="001B77DD" w:rsidRDefault="00BF0A28">
      <w:pPr>
        <w:spacing w:after="180"/>
      </w:pPr>
      <w:r>
        <w:rPr>
          <w:rFonts w:ascii="Arial" w:eastAsia="宋体" w:hAnsi="Arial" w:cs="Arial"/>
          <w:color w:val="262626"/>
          <w:sz w:val="18"/>
          <w:szCs w:val="18"/>
        </w:rPr>
        <w:t>We are not always successful or efficient in developing or implementing new process nod</w:t>
      </w:r>
      <w:r>
        <w:rPr>
          <w:rFonts w:ascii="Arial" w:eastAsia="宋体" w:hAnsi="Arial" w:cs="Arial"/>
          <w:color w:val="262626"/>
          <w:sz w:val="18"/>
          <w:szCs w:val="18"/>
        </w:rPr>
        <w:t>es and manufacturing processes. We experienced significant delays in implementing our 10nm process technology, and in 2020, we encountered a defect mode in the development of our Intel 4 process technology (formerly 7nm) that resulted in delays relative to</w:t>
      </w:r>
      <w:r>
        <w:rPr>
          <w:rFonts w:ascii="Arial" w:eastAsia="宋体" w:hAnsi="Arial" w:cs="Arial"/>
          <w:color w:val="262626"/>
          <w:sz w:val="18"/>
          <w:szCs w:val="18"/>
        </w:rPr>
        <w:t xml:space="preserve"> our prior expectations. These delays have allowed competitors using third-party foundries such as TSMC to benefit from advancements in manufacturing processes introduced ahead of us by foundries, including improvements in performance, energy efficiency, a</w:t>
      </w:r>
      <w:r>
        <w:rPr>
          <w:rFonts w:ascii="Arial" w:eastAsia="宋体" w:hAnsi="Arial" w:cs="Arial"/>
          <w:color w:val="262626"/>
          <w:sz w:val="18"/>
          <w:szCs w:val="18"/>
        </w:rPr>
        <w:t>nd other features, which have helped increase the competitiveness of their products. Because of these prior delays in our process technologies, we may experience greater adverse competitive impacts in the event of delays in the development of future manufa</w:t>
      </w:r>
      <w:r>
        <w:rPr>
          <w:rFonts w:ascii="Arial" w:eastAsia="宋体" w:hAnsi="Arial" w:cs="Arial"/>
          <w:color w:val="262626"/>
          <w:sz w:val="18"/>
          <w:szCs w:val="18"/>
        </w:rPr>
        <w:t xml:space="preserve">cturing process technologies and products. </w:t>
      </w:r>
    </w:p>
    <w:p w14:paraId="6753544B" w14:textId="77777777" w:rsidR="001B77DD" w:rsidRDefault="00BF0A28">
      <w:pPr>
        <w:spacing w:after="180"/>
      </w:pPr>
      <w:r>
        <w:rPr>
          <w:rFonts w:ascii="Arial" w:eastAsia="宋体" w:hAnsi="Arial" w:cs="Arial"/>
          <w:color w:val="262626"/>
          <w:sz w:val="18"/>
          <w:szCs w:val="18"/>
        </w:rPr>
        <w:t xml:space="preserve">Our efforts to innovate involve significant expense and carry inherent risks, including difficulties in designing and developing next-generation process and packaging technologies, and investments in </w:t>
      </w:r>
      <w:r>
        <w:rPr>
          <w:rFonts w:ascii="Arial" w:eastAsia="宋体" w:hAnsi="Arial" w:cs="Arial"/>
          <w:color w:val="262626"/>
          <w:sz w:val="18"/>
          <w:szCs w:val="18"/>
        </w:rPr>
        <w:t xml:space="preserve">manufacturing assets and facilities that are made years in advance of the technology introduction. We cannot guarantee that we will realize the expected benefits of next-generation process technologies, including the expected cost, performance, power, and </w:t>
      </w:r>
      <w:r>
        <w:rPr>
          <w:rFonts w:ascii="Arial" w:eastAsia="宋体" w:hAnsi="Arial" w:cs="Arial"/>
          <w:color w:val="262626"/>
          <w:sz w:val="18"/>
          <w:szCs w:val="18"/>
        </w:rPr>
        <w:t>density advantages, or that we will achieve an adequate return on our capital and R&amp;D investments, particularly as development of new nodes has grown increasingly expensive. In such circumstances, we may be required to write down the value of some of our m</w:t>
      </w:r>
      <w:r>
        <w:rPr>
          <w:rFonts w:ascii="Arial" w:eastAsia="宋体" w:hAnsi="Arial" w:cs="Arial"/>
          <w:color w:val="262626"/>
          <w:sz w:val="18"/>
          <w:szCs w:val="18"/>
        </w:rPr>
        <w:t>anufacturing assets and facilities, increasing our expenses.</w:t>
      </w:r>
    </w:p>
    <w:p w14:paraId="6753544C" w14:textId="77777777" w:rsidR="001B77DD" w:rsidRDefault="00BF0A28">
      <w:pPr>
        <w:spacing w:after="180"/>
      </w:pPr>
      <w:r>
        <w:rPr>
          <w:rFonts w:ascii="Arial" w:eastAsia="宋体" w:hAnsi="Arial" w:cs="Arial"/>
          <w:color w:val="262626"/>
          <w:sz w:val="18"/>
          <w:szCs w:val="18"/>
        </w:rPr>
        <w:t>Risks inherent in the development of next-generation process technologies include production timing delays, lower-than-anticipated manufacturing yields, longer manufacturing throughput times, fai</w:t>
      </w:r>
      <w:r>
        <w:rPr>
          <w:rFonts w:ascii="Arial" w:eastAsia="宋体" w:hAnsi="Arial" w:cs="Arial"/>
          <w:color w:val="262626"/>
          <w:sz w:val="18"/>
          <w:szCs w:val="18"/>
        </w:rPr>
        <w:t>lure to achieve expected performance, power, and area improvements, and product defects and errata. Production timing delays have at times caused us to miss customer product design windows, which can result in lost revenue opportunities and damage to our c</w:t>
      </w:r>
      <w:r>
        <w:rPr>
          <w:rFonts w:ascii="Arial" w:eastAsia="宋体" w:hAnsi="Arial" w:cs="Arial"/>
          <w:color w:val="262626"/>
          <w:sz w:val="18"/>
          <w:szCs w:val="18"/>
        </w:rPr>
        <w:t>ustomer relationships. Furthermore, when the introduction of next-generation process nodes is delayed, adding cores or other competitive features to our products can result in larger die size products, manufacturing supply constraints, and increased produc</w:t>
      </w:r>
      <w:r>
        <w:rPr>
          <w:rFonts w:ascii="Arial" w:eastAsia="宋体" w:hAnsi="Arial" w:cs="Arial"/>
          <w:color w:val="262626"/>
          <w:sz w:val="18"/>
          <w:szCs w:val="18"/>
        </w:rPr>
        <w:t xml:space="preserve">t costs. Lower manufacturing yields and longer manufacturing throughput times, compared to previous process nodes, can increase our product costs and adversely affect our gross margins, and can contribute to manufacturing supply constraints. A new process </w:t>
      </w:r>
      <w:r>
        <w:rPr>
          <w:rFonts w:ascii="Arial" w:eastAsia="宋体" w:hAnsi="Arial" w:cs="Arial"/>
          <w:color w:val="262626"/>
          <w:sz w:val="18"/>
          <w:szCs w:val="18"/>
        </w:rPr>
        <w:t>node typically has higher costs compared to a mature node due to factors that include higher depreciation costs and lower yields, and costs and yields at times do not improve at the same rate as on prior nodes. As the die size of our products has increased</w:t>
      </w:r>
      <w:r>
        <w:rPr>
          <w:rFonts w:ascii="Arial" w:eastAsia="宋体" w:hAnsi="Arial" w:cs="Arial"/>
          <w:color w:val="262626"/>
          <w:sz w:val="18"/>
          <w:szCs w:val="18"/>
        </w:rPr>
        <w:t xml:space="preserve"> and our manufacturing process nodes have shrunk, our products and manufacturing processes have grown increasingly complex and more susceptible to product defects and errata, which at times also contribute to production timing delays and lower yields.</w:t>
      </w:r>
    </w:p>
    <w:p w14:paraId="6753544D" w14:textId="77777777" w:rsidR="001B77DD" w:rsidRDefault="00BF0A28">
      <w:pPr>
        <w:spacing w:after="180"/>
      </w:pPr>
      <w:r>
        <w:rPr>
          <w:rFonts w:ascii="Arial" w:eastAsia="宋体" w:hAnsi="Arial" w:cs="Arial"/>
          <w:color w:val="262626"/>
          <w:sz w:val="18"/>
          <w:szCs w:val="18"/>
        </w:rPr>
        <w:t>From</w:t>
      </w:r>
      <w:r>
        <w:rPr>
          <w:rFonts w:ascii="Arial" w:eastAsia="宋体" w:hAnsi="Arial" w:cs="Arial"/>
          <w:color w:val="262626"/>
          <w:sz w:val="18"/>
          <w:szCs w:val="18"/>
        </w:rPr>
        <w:t xml:space="preserve"> time to time, disruptions in the production process result from errors, defects in materials, delays in obtaining or revising permits and licenses, interruptions in our supply of materials, resources, or production equipment, adverse changes in equipment </w:t>
      </w:r>
      <w:r>
        <w:rPr>
          <w:rFonts w:ascii="Arial" w:eastAsia="宋体" w:hAnsi="Arial" w:cs="Arial"/>
          <w:color w:val="262626"/>
          <w:sz w:val="18"/>
          <w:szCs w:val="18"/>
        </w:rPr>
        <w:t>productivity, and disruptions at our fabrication and assembly and test facilities due to accidents, maintenance issues, power interruptions, equipment malfunctions, or unsafe working conditions—all of which could affect the timing of production ramps and y</w:t>
      </w:r>
      <w:r>
        <w:rPr>
          <w:rFonts w:ascii="Arial" w:eastAsia="宋体" w:hAnsi="Arial" w:cs="Arial"/>
          <w:color w:val="262626"/>
          <w:sz w:val="18"/>
          <w:szCs w:val="18"/>
        </w:rPr>
        <w:t>ields. Production issues periodically lead to increased costs and affect our ability to meet product demand, which can adversely impact our business and the results of operations. In addition, delays in our product introductions can cause us to become less</w:t>
      </w:r>
      <w:r>
        <w:rPr>
          <w:rFonts w:ascii="Arial" w:eastAsia="宋体" w:hAnsi="Arial" w:cs="Arial"/>
          <w:color w:val="262626"/>
          <w:sz w:val="18"/>
          <w:szCs w:val="18"/>
        </w:rPr>
        <w:t xml:space="preserve"> competitive and lose revenue opportunities, and our gross margin could be adversely affected because we incur significant costs up front in the product development stage and earn revenue to offset these costs over time.</w:t>
      </w:r>
    </w:p>
    <w:p w14:paraId="6753544E" w14:textId="77777777" w:rsidR="001B77DD" w:rsidRDefault="00BF0A28">
      <w:pPr>
        <w:spacing w:after="120"/>
      </w:pPr>
      <w:r>
        <w:rPr>
          <w:rFonts w:ascii="Arial" w:eastAsia="宋体" w:hAnsi="Arial" w:cs="Arial"/>
          <w:color w:val="0068B5"/>
          <w:sz w:val="18"/>
          <w:szCs w:val="18"/>
        </w:rPr>
        <w:t>We face supply chain risks.</w:t>
      </w:r>
      <w:r>
        <w:rPr>
          <w:rFonts w:ascii="Arial" w:eastAsia="宋体" w:hAnsi="Arial" w:cs="Arial"/>
          <w:color w:val="262626"/>
          <w:sz w:val="18"/>
          <w:szCs w:val="18"/>
        </w:rPr>
        <w:t xml:space="preserve"> We have</w:t>
      </w:r>
      <w:r>
        <w:rPr>
          <w:rFonts w:ascii="Arial" w:eastAsia="宋体" w:hAnsi="Arial" w:cs="Arial"/>
          <w:color w:val="262626"/>
          <w:sz w:val="18"/>
          <w:szCs w:val="18"/>
        </w:rPr>
        <w:t xml:space="preserve"> a highly complex global supply chain composed of thousands of suppliers. These suppliers provide direct materials for our production processes; supply tools, equipment, and IP for our factories; deliver logistics and packaging services; and supply softwar</w:t>
      </w:r>
      <w:r>
        <w:rPr>
          <w:rFonts w:ascii="Arial" w:eastAsia="宋体" w:hAnsi="Arial" w:cs="Arial"/>
          <w:color w:val="262626"/>
          <w:sz w:val="18"/>
          <w:szCs w:val="18"/>
        </w:rPr>
        <w:t xml:space="preserve">e, lab and office equipment, and other goods and services used in our business. We also rely on suppliers to provide certain components for our products and to manufacture and assemble and test some of our components and products. From time to time we are </w:t>
      </w:r>
      <w:r>
        <w:rPr>
          <w:rFonts w:ascii="Arial" w:eastAsia="宋体" w:hAnsi="Arial" w:cs="Arial"/>
          <w:color w:val="262626"/>
          <w:sz w:val="18"/>
          <w:szCs w:val="18"/>
        </w:rPr>
        <w:t>negatively impacted by supply chain issues, including the following:</w:t>
      </w:r>
    </w:p>
    <w:p w14:paraId="6753544F"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suppliers extending lead times, experiencing capacity constraints, limiting or canceling supply, allocating supply to other customers including competitors, delaying or </w:t>
      </w:r>
      <w:r>
        <w:rPr>
          <w:rFonts w:ascii="Arial" w:eastAsia="宋体" w:hAnsi="Arial" w:cs="Arial"/>
          <w:color w:val="262626"/>
          <w:sz w:val="18"/>
          <w:szCs w:val="18"/>
        </w:rPr>
        <w:t>canceling deliveries, or increasing prices;</w:t>
      </w:r>
    </w:p>
    <w:p w14:paraId="67535450"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supplier quality issues;</w:t>
      </w:r>
    </w:p>
    <w:p w14:paraId="67535451"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cybersecurity events, IP or other litigation, manmade or natural disasters, operational failures, or other events that disrupt suppliers;</w:t>
      </w:r>
    </w:p>
    <w:p w14:paraId="67535452"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long lead times to qualify alternate or additi</w:t>
      </w:r>
      <w:r>
        <w:rPr>
          <w:rFonts w:ascii="Arial" w:eastAsia="宋体" w:hAnsi="Arial" w:cs="Arial"/>
          <w:color w:val="262626"/>
          <w:sz w:val="18"/>
          <w:szCs w:val="18"/>
        </w:rPr>
        <w:t>onal suppliers, or the unavailability of qualified alternate suppliers; and</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5C" w14:textId="77777777">
        <w:tc>
          <w:tcPr>
            <w:tcW w:w="50" w:type="pct"/>
            <w:shd w:val="clear" w:color="auto" w:fill="auto"/>
            <w:vAlign w:val="bottom"/>
          </w:tcPr>
          <w:p w14:paraId="67535453" w14:textId="77777777" w:rsidR="001B77DD" w:rsidRDefault="001B77DD">
            <w:pPr>
              <w:rPr>
                <w:rFonts w:ascii="宋体"/>
              </w:rPr>
            </w:pPr>
          </w:p>
        </w:tc>
        <w:tc>
          <w:tcPr>
            <w:tcW w:w="283" w:type="pct"/>
            <w:shd w:val="clear" w:color="auto" w:fill="auto"/>
            <w:vAlign w:val="bottom"/>
          </w:tcPr>
          <w:p w14:paraId="67535454" w14:textId="77777777" w:rsidR="001B77DD" w:rsidRDefault="001B77DD">
            <w:pPr>
              <w:rPr>
                <w:rFonts w:ascii="宋体"/>
              </w:rPr>
            </w:pPr>
          </w:p>
        </w:tc>
        <w:tc>
          <w:tcPr>
            <w:tcW w:w="5" w:type="pct"/>
            <w:shd w:val="clear" w:color="auto" w:fill="auto"/>
            <w:vAlign w:val="bottom"/>
          </w:tcPr>
          <w:p w14:paraId="67535455" w14:textId="77777777" w:rsidR="001B77DD" w:rsidRDefault="001B77DD">
            <w:pPr>
              <w:rPr>
                <w:rFonts w:ascii="宋体"/>
              </w:rPr>
            </w:pPr>
          </w:p>
        </w:tc>
        <w:tc>
          <w:tcPr>
            <w:tcW w:w="50" w:type="pct"/>
            <w:shd w:val="clear" w:color="auto" w:fill="auto"/>
            <w:vAlign w:val="bottom"/>
          </w:tcPr>
          <w:p w14:paraId="67535456" w14:textId="77777777" w:rsidR="001B77DD" w:rsidRDefault="001B77DD">
            <w:pPr>
              <w:rPr>
                <w:rFonts w:ascii="宋体"/>
              </w:rPr>
            </w:pPr>
          </w:p>
        </w:tc>
        <w:tc>
          <w:tcPr>
            <w:tcW w:w="2656" w:type="pct"/>
            <w:shd w:val="clear" w:color="auto" w:fill="auto"/>
            <w:vAlign w:val="bottom"/>
          </w:tcPr>
          <w:p w14:paraId="67535457" w14:textId="77777777" w:rsidR="001B77DD" w:rsidRDefault="001B77DD">
            <w:pPr>
              <w:rPr>
                <w:rFonts w:ascii="宋体"/>
              </w:rPr>
            </w:pPr>
          </w:p>
        </w:tc>
        <w:tc>
          <w:tcPr>
            <w:tcW w:w="5" w:type="pct"/>
            <w:shd w:val="clear" w:color="auto" w:fill="auto"/>
            <w:vAlign w:val="bottom"/>
          </w:tcPr>
          <w:p w14:paraId="67535458" w14:textId="77777777" w:rsidR="001B77DD" w:rsidRDefault="001B77DD">
            <w:pPr>
              <w:rPr>
                <w:rFonts w:ascii="宋体"/>
              </w:rPr>
            </w:pPr>
          </w:p>
        </w:tc>
        <w:tc>
          <w:tcPr>
            <w:tcW w:w="50" w:type="pct"/>
            <w:shd w:val="clear" w:color="auto" w:fill="auto"/>
            <w:vAlign w:val="bottom"/>
          </w:tcPr>
          <w:p w14:paraId="67535459" w14:textId="77777777" w:rsidR="001B77DD" w:rsidRDefault="001B77DD">
            <w:pPr>
              <w:rPr>
                <w:rFonts w:ascii="宋体"/>
              </w:rPr>
            </w:pPr>
          </w:p>
        </w:tc>
        <w:tc>
          <w:tcPr>
            <w:tcW w:w="1894" w:type="pct"/>
            <w:shd w:val="clear" w:color="auto" w:fill="auto"/>
            <w:vAlign w:val="bottom"/>
          </w:tcPr>
          <w:p w14:paraId="6753545A" w14:textId="77777777" w:rsidR="001B77DD" w:rsidRDefault="001B77DD">
            <w:pPr>
              <w:rPr>
                <w:rFonts w:ascii="宋体"/>
              </w:rPr>
            </w:pPr>
          </w:p>
        </w:tc>
        <w:tc>
          <w:tcPr>
            <w:tcW w:w="5" w:type="pct"/>
            <w:shd w:val="clear" w:color="auto" w:fill="auto"/>
            <w:vAlign w:val="bottom"/>
          </w:tcPr>
          <w:p w14:paraId="6753545B" w14:textId="77777777" w:rsidR="001B77DD" w:rsidRDefault="001B77DD">
            <w:pPr>
              <w:rPr>
                <w:rFonts w:ascii="宋体"/>
              </w:rPr>
            </w:pPr>
          </w:p>
        </w:tc>
      </w:tr>
      <w:tr w:rsidR="001B77DD" w14:paraId="6753546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5D"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DD" wp14:editId="67538EDE">
                  <wp:extent cx="304800" cy="304800"/>
                  <wp:effectExtent l="0" t="0" r="0" b="0"/>
                  <wp:docPr id="178" name="图片 23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3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5E"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5F" w14:textId="77777777" w:rsidR="001B77DD" w:rsidRDefault="00BF0A28">
            <w:pPr>
              <w:jc w:val="right"/>
              <w:textAlignment w:val="center"/>
            </w:pPr>
            <w:r>
              <w:rPr>
                <w:rFonts w:ascii="Arial" w:eastAsia="宋体" w:hAnsi="Arial" w:cs="Arial"/>
                <w:color w:val="262626"/>
                <w:sz w:val="16"/>
                <w:szCs w:val="16"/>
              </w:rPr>
              <w:t>53</w:t>
            </w:r>
          </w:p>
        </w:tc>
      </w:tr>
    </w:tbl>
    <w:p w14:paraId="67535461" w14:textId="77777777" w:rsidR="001B77DD" w:rsidRDefault="00BF0A28">
      <w:r>
        <w:pict w14:anchorId="67538EDF">
          <v:rect id="_x0000_i1079" style="width:415.3pt;height:1.5pt" o:hralign="center" o:hrstd="t" o:hr="t" fillcolor="#a0a0a0" stroked="f"/>
        </w:pict>
      </w:r>
    </w:p>
    <w:p w14:paraId="67535462" w14:textId="77777777" w:rsidR="001B77DD" w:rsidRDefault="00BF0A28">
      <w:pPr>
        <w:jc w:val="right"/>
      </w:pPr>
      <w:hyperlink r:id="rId111" w:anchor="i6c9ced68f6b24d58a3dcf326e8c3c699_16" w:history="1">
        <w:r>
          <w:rPr>
            <w:rStyle w:val="a5"/>
            <w:rFonts w:ascii="Arial" w:eastAsia="宋体" w:hAnsi="Arial" w:cs="Arial"/>
            <w:b/>
            <w:bCs/>
            <w:sz w:val="16"/>
            <w:szCs w:val="16"/>
          </w:rPr>
          <w:t>Table of Contents</w:t>
        </w:r>
      </w:hyperlink>
    </w:p>
    <w:p w14:paraId="67535463" w14:textId="77777777" w:rsidR="001B77DD" w:rsidRDefault="001B77DD">
      <w:pPr>
        <w:jc w:val="right"/>
      </w:pPr>
    </w:p>
    <w:p w14:paraId="67535464"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increased regulation or stakeholder expectations regarding responsible </w:t>
      </w:r>
      <w:r>
        <w:rPr>
          <w:rFonts w:ascii="Arial" w:eastAsia="宋体" w:hAnsi="Arial" w:cs="Arial"/>
          <w:color w:val="262626"/>
          <w:sz w:val="18"/>
          <w:szCs w:val="18"/>
        </w:rPr>
        <w:t>sourcing practices, or supplier conduct that does not meet such standards, which can cause our compliance costs to increase or result in publicity that negatively affects our reputation.</w:t>
      </w:r>
    </w:p>
    <w:p w14:paraId="67535465" w14:textId="77777777" w:rsidR="001B77DD" w:rsidRDefault="00BF0A28">
      <w:pPr>
        <w:spacing w:after="180"/>
      </w:pPr>
      <w:r>
        <w:rPr>
          <w:rFonts w:ascii="Arial" w:eastAsia="宋体" w:hAnsi="Arial" w:cs="Arial"/>
          <w:color w:val="262626"/>
          <w:sz w:val="18"/>
          <w:szCs w:val="18"/>
        </w:rPr>
        <w:t>These and other supply chain issues can increase our costs, disrupt o</w:t>
      </w:r>
      <w:r>
        <w:rPr>
          <w:rFonts w:ascii="Arial" w:eastAsia="宋体" w:hAnsi="Arial" w:cs="Arial"/>
          <w:color w:val="262626"/>
          <w:sz w:val="18"/>
          <w:szCs w:val="18"/>
        </w:rPr>
        <w:t>r reduce our production, delay our product shipments, prevent us from meeting customer demand, and damage our customer relationships. They may keep us from successfully implementing our business strategy and can materially harm our business, competitive po</w:t>
      </w:r>
      <w:r>
        <w:rPr>
          <w:rFonts w:ascii="Arial" w:eastAsia="宋体" w:hAnsi="Arial" w:cs="Arial"/>
          <w:color w:val="262626"/>
          <w:sz w:val="18"/>
          <w:szCs w:val="18"/>
        </w:rPr>
        <w:t>sition, results of operation, and financial condition. From time to time, our customers experience disruptions or shortages in their own supply chains that constrain their demand for our products. During 2021, the semiconductor industry experienced widespr</w:t>
      </w:r>
      <w:r>
        <w:rPr>
          <w:rFonts w:ascii="Arial" w:eastAsia="宋体" w:hAnsi="Arial" w:cs="Arial"/>
          <w:color w:val="262626"/>
          <w:sz w:val="18"/>
          <w:szCs w:val="18"/>
        </w:rPr>
        <w:t>ead shortages of substrates and other components and available foundry manufacturing capacity, and we anticipate that such shortages will continue in 2022. These shortages have limited our ability to supply customer demand in certain of our businesses, suc</w:t>
      </w:r>
      <w:r>
        <w:rPr>
          <w:rFonts w:ascii="Arial" w:eastAsia="宋体" w:hAnsi="Arial" w:cs="Arial"/>
          <w:color w:val="262626"/>
          <w:sz w:val="18"/>
          <w:szCs w:val="18"/>
        </w:rPr>
        <w:t xml:space="preserve">h as for our PSG products, and have adversely affected customer demand for our products, including in our CCG and DCG businesses, as some customers have been unable to procure sufficient quantities of third-party components used together with our products </w:t>
      </w:r>
      <w:r>
        <w:rPr>
          <w:rFonts w:ascii="Arial" w:eastAsia="宋体" w:hAnsi="Arial" w:cs="Arial"/>
          <w:color w:val="262626"/>
          <w:sz w:val="18"/>
          <w:szCs w:val="18"/>
        </w:rPr>
        <w:t>to produce finished systems. It is difficult to predict the future impact of these ongoing shortages.</w:t>
      </w:r>
    </w:p>
    <w:p w14:paraId="67535466" w14:textId="77777777" w:rsidR="001B77DD" w:rsidRDefault="00BF0A28">
      <w:pPr>
        <w:spacing w:after="180"/>
      </w:pPr>
      <w:r>
        <w:rPr>
          <w:rFonts w:ascii="Arial" w:eastAsia="宋体" w:hAnsi="Arial" w:cs="Arial"/>
          <w:color w:val="262626"/>
          <w:sz w:val="18"/>
          <w:szCs w:val="18"/>
        </w:rPr>
        <w:t>To obtain future supply of certain materials and components, particularly substrates, and third-party foundry manufacturing capacity, we have increasingly</w:t>
      </w:r>
      <w:r>
        <w:rPr>
          <w:rFonts w:ascii="Arial" w:eastAsia="宋体" w:hAnsi="Arial" w:cs="Arial"/>
          <w:color w:val="262626"/>
          <w:sz w:val="18"/>
          <w:szCs w:val="18"/>
        </w:rPr>
        <w:t xml:space="preserve"> entered into arrangements with some of our suppliers that involve long-term purchase commitments and/or large prepayments. These arrangements could still prove inadequate to meet our requirements, or our suppliers may fail to deliver committed volumes on </w:t>
      </w:r>
      <w:r>
        <w:rPr>
          <w:rFonts w:ascii="Arial" w:eastAsia="宋体" w:hAnsi="Arial" w:cs="Arial"/>
          <w:color w:val="262626"/>
          <w:sz w:val="18"/>
          <w:szCs w:val="18"/>
        </w:rPr>
        <w:t>time or at all, or their financial condition may deteriorate. If future customer demand over the horizon of these arrangements falls below our expectations, we could have excess or obsolete inventory, unneeded capacity, and increased costs, and our prepaym</w:t>
      </w:r>
      <w:r>
        <w:rPr>
          <w:rFonts w:ascii="Arial" w:eastAsia="宋体" w:hAnsi="Arial" w:cs="Arial"/>
          <w:color w:val="262626"/>
          <w:sz w:val="18"/>
          <w:szCs w:val="18"/>
        </w:rPr>
        <w:t xml:space="preserve">ents may not be fully utilized, and in some cases may not be fully recoverable. </w:t>
      </w:r>
    </w:p>
    <w:p w14:paraId="67535467" w14:textId="77777777" w:rsidR="001B77DD" w:rsidRDefault="00BF0A28">
      <w:pPr>
        <w:spacing w:after="180"/>
      </w:pPr>
      <w:r>
        <w:rPr>
          <w:rFonts w:ascii="Arial" w:eastAsia="宋体" w:hAnsi="Arial" w:cs="Arial"/>
          <w:color w:val="262626"/>
          <w:sz w:val="18"/>
          <w:szCs w:val="18"/>
        </w:rPr>
        <w:t>We utilize third-party foundries and component suppliers to manufacture or supply certain components and products for areas such as</w:t>
      </w:r>
      <w:r>
        <w:rPr>
          <w:rFonts w:ascii="Arial" w:eastAsia="宋体" w:hAnsi="Arial" w:cs="Arial"/>
          <w:color w:val="262626"/>
        </w:rPr>
        <w:t xml:space="preserve"> </w:t>
      </w:r>
      <w:r>
        <w:rPr>
          <w:rFonts w:ascii="Arial" w:eastAsia="宋体" w:hAnsi="Arial" w:cs="Arial"/>
          <w:color w:val="262626"/>
          <w:sz w:val="18"/>
          <w:szCs w:val="18"/>
        </w:rPr>
        <w:t>networking, communications, graphics, progr</w:t>
      </w:r>
      <w:r>
        <w:rPr>
          <w:rFonts w:ascii="Arial" w:eastAsia="宋体" w:hAnsi="Arial" w:cs="Arial"/>
          <w:color w:val="262626"/>
          <w:sz w:val="18"/>
          <w:szCs w:val="18"/>
        </w:rPr>
        <w:t xml:space="preserve">ammable semiconductor solutions, and memory. </w:t>
      </w:r>
      <w:r>
        <w:rPr>
          <w:rFonts w:ascii="Arial" w:eastAsia="宋体" w:hAnsi="Arial" w:cs="Arial"/>
          <w:color w:val="333333"/>
          <w:sz w:val="18"/>
          <w:szCs w:val="18"/>
        </w:rPr>
        <w:t>As part of our IDM 2.0 strategy, we expect to increase our use of third-party foundries for manufacturing, which will include modular tiles manufactured on advanced foundry process technologies for use in our co</w:t>
      </w:r>
      <w:r>
        <w:rPr>
          <w:rFonts w:ascii="Arial" w:eastAsia="宋体" w:hAnsi="Arial" w:cs="Arial"/>
          <w:color w:val="333333"/>
          <w:sz w:val="18"/>
          <w:szCs w:val="18"/>
        </w:rPr>
        <w:t>re computing offerings. Delays in the development of foundries’ future manufacturing processes could delay the introduction of products or components we design for such processes, and insufficient foundry capacity could prevent us from meeting customer dem</w:t>
      </w:r>
      <w:r>
        <w:rPr>
          <w:rFonts w:ascii="Arial" w:eastAsia="宋体" w:hAnsi="Arial" w:cs="Arial"/>
          <w:color w:val="333333"/>
          <w:sz w:val="18"/>
          <w:szCs w:val="18"/>
        </w:rPr>
        <w:t xml:space="preserve">and. </w:t>
      </w:r>
      <w:r>
        <w:rPr>
          <w:rFonts w:ascii="Arial" w:eastAsia="宋体" w:hAnsi="Arial" w:cs="Arial"/>
          <w:color w:val="262626"/>
          <w:sz w:val="18"/>
          <w:szCs w:val="18"/>
        </w:rPr>
        <w:t>We typically have less control over delivery schedules, design and manufacturing co-optimization, manufacturing yields, quality, product quantities, and costs for components and products that are manufactured by third parties.</w:t>
      </w:r>
      <w:r>
        <w:rPr>
          <w:rFonts w:ascii="Arial" w:eastAsia="宋体" w:hAnsi="Arial" w:cs="Arial"/>
          <w:color w:val="333333"/>
          <w:sz w:val="18"/>
          <w:szCs w:val="18"/>
        </w:rPr>
        <w:t xml:space="preserve"> </w:t>
      </w:r>
    </w:p>
    <w:p w14:paraId="67535468" w14:textId="77777777" w:rsidR="001B77DD" w:rsidRDefault="00BF0A28">
      <w:pPr>
        <w:spacing w:after="180"/>
      </w:pPr>
      <w:r>
        <w:rPr>
          <w:rFonts w:ascii="Arial" w:eastAsia="宋体" w:hAnsi="Arial" w:cs="Arial"/>
          <w:color w:val="262626"/>
          <w:sz w:val="18"/>
          <w:szCs w:val="18"/>
        </w:rPr>
        <w:t>Where possible, we seek</w:t>
      </w:r>
      <w:r>
        <w:rPr>
          <w:rFonts w:ascii="Arial" w:eastAsia="宋体" w:hAnsi="Arial" w:cs="Arial"/>
          <w:color w:val="262626"/>
          <w:sz w:val="18"/>
          <w:szCs w:val="18"/>
        </w:rPr>
        <w:t xml:space="preserve"> to have several sources of supply. However, for certain components, services, materials, and equipment, we rely on a single or a limited number of suppliers, or upon suppliers in a single location. For example, ASML is currently the sole supplier of EUV p</w:t>
      </w:r>
      <w:r>
        <w:rPr>
          <w:rFonts w:ascii="Arial" w:eastAsia="宋体" w:hAnsi="Arial" w:cs="Arial"/>
          <w:color w:val="262626"/>
          <w:sz w:val="18"/>
          <w:szCs w:val="18"/>
        </w:rPr>
        <w:t>hotolithography tools that we will be deploying in our Intel 4 and other future manufacturing process nodes. These tools are highly complex to develop and produce, and increasingly costly, and from time to time there are increases in lead times or delays i</w:t>
      </w:r>
      <w:r>
        <w:rPr>
          <w:rFonts w:ascii="Arial" w:eastAsia="宋体" w:hAnsi="Arial" w:cs="Arial"/>
          <w:color w:val="262626"/>
          <w:sz w:val="18"/>
          <w:szCs w:val="18"/>
        </w:rPr>
        <w:t xml:space="preserve">n their development and availability, which could delay the development or ramp of our future process nodes. As a further example, a limited number of third-party foundries offer leading-edge manufacturing processes, and these providers are geographically </w:t>
      </w:r>
      <w:r>
        <w:rPr>
          <w:rFonts w:ascii="Arial" w:eastAsia="宋体" w:hAnsi="Arial" w:cs="Arial"/>
          <w:color w:val="262626"/>
          <w:sz w:val="18"/>
          <w:szCs w:val="18"/>
        </w:rPr>
        <w:t xml:space="preserve">concentrated in Asia. Supplier consolidation or business failures can also reduce the pool of qualified suppliers. Sole- or limited-source suppliers can impact the nature, quality, availability, and pricing of the products and services available to us and </w:t>
      </w:r>
      <w:r>
        <w:rPr>
          <w:rFonts w:ascii="Arial" w:eastAsia="宋体" w:hAnsi="Arial" w:cs="Arial"/>
          <w:color w:val="262626"/>
          <w:sz w:val="18"/>
          <w:szCs w:val="18"/>
        </w:rPr>
        <w:t>intensify the other risks described in this risk factor.</w:t>
      </w:r>
    </w:p>
    <w:p w14:paraId="67535469" w14:textId="77777777" w:rsidR="001B77DD" w:rsidRDefault="00BF0A28">
      <w:pPr>
        <w:spacing w:after="180"/>
      </w:pPr>
      <w:r>
        <w:rPr>
          <w:rFonts w:ascii="Arial" w:eastAsia="宋体" w:hAnsi="Arial" w:cs="Arial"/>
          <w:color w:val="0068B5"/>
          <w:sz w:val="18"/>
          <w:szCs w:val="18"/>
        </w:rPr>
        <w:t xml:space="preserve">Our disaggregated design strategy introduces additional production risks. </w:t>
      </w:r>
      <w:r>
        <w:rPr>
          <w:rFonts w:ascii="Arial" w:eastAsia="宋体" w:hAnsi="Arial" w:cs="Arial"/>
          <w:color w:val="262626"/>
          <w:sz w:val="18"/>
          <w:szCs w:val="18"/>
        </w:rPr>
        <w:t>Our disaggregated design strategy poses increased logistical risks and challenges, particularly where we decide to manufactur</w:t>
      </w:r>
      <w:r>
        <w:rPr>
          <w:rFonts w:ascii="Arial" w:eastAsia="宋体" w:hAnsi="Arial" w:cs="Arial"/>
          <w:color w:val="262626"/>
          <w:sz w:val="18"/>
          <w:szCs w:val="18"/>
        </w:rPr>
        <w:t>e different product components on different process technologies, including third-party foundries' process technologies. To combine components in a single package, they need to be manufactured on a timely basis and in sufficient quantities, while the manuf</w:t>
      </w:r>
      <w:r>
        <w:rPr>
          <w:rFonts w:ascii="Arial" w:eastAsia="宋体" w:hAnsi="Arial" w:cs="Arial"/>
          <w:color w:val="262626"/>
          <w:sz w:val="18"/>
          <w:szCs w:val="18"/>
        </w:rPr>
        <w:t>acturing processes we utilize may have differing yields, throughput times, and capacity constraints. We may be required to safely store some components pending the manufacture of others. Delays or quality issues with one component could limit our ability t</w:t>
      </w:r>
      <w:r>
        <w:rPr>
          <w:rFonts w:ascii="Arial" w:eastAsia="宋体" w:hAnsi="Arial" w:cs="Arial"/>
          <w:color w:val="262626"/>
          <w:sz w:val="18"/>
          <w:szCs w:val="18"/>
        </w:rPr>
        <w:t>o manufacture the entire completed product. In addition, the packaging technologies used to combine these components can increase our costs and may introduce additional complexity and quality issues. To the extent we are unable to manage these risks, our a</w:t>
      </w:r>
      <w:r>
        <w:rPr>
          <w:rFonts w:ascii="Arial" w:eastAsia="宋体" w:hAnsi="Arial" w:cs="Arial"/>
          <w:color w:val="262626"/>
          <w:sz w:val="18"/>
          <w:szCs w:val="18"/>
        </w:rPr>
        <w:t>bility to timely supply competitive products can be harmed and our costs could increase.</w:t>
      </w:r>
    </w:p>
    <w:p w14:paraId="6753546A" w14:textId="77777777" w:rsidR="001B77DD" w:rsidRDefault="00BF0A28">
      <w:pPr>
        <w:spacing w:after="180"/>
      </w:pPr>
      <w:r>
        <w:rPr>
          <w:rFonts w:ascii="Arial" w:eastAsia="宋体" w:hAnsi="Arial" w:cs="Arial"/>
          <w:color w:val="0068B5"/>
          <w:sz w:val="18"/>
          <w:szCs w:val="18"/>
        </w:rPr>
        <w:t>We are subject to the risks of product defects, errata, or other product issues.</w:t>
      </w:r>
      <w:r>
        <w:rPr>
          <w:rFonts w:ascii="Arial" w:eastAsia="宋体" w:hAnsi="Arial" w:cs="Arial"/>
          <w:color w:val="026DCE"/>
          <w:sz w:val="18"/>
          <w:szCs w:val="18"/>
        </w:rPr>
        <w:t xml:space="preserve"> </w:t>
      </w:r>
      <w:r>
        <w:rPr>
          <w:rFonts w:ascii="Arial" w:eastAsia="宋体" w:hAnsi="Arial" w:cs="Arial"/>
          <w:color w:val="262626"/>
          <w:sz w:val="18"/>
          <w:szCs w:val="18"/>
        </w:rPr>
        <w:t>From time to time, we identify product defects, errata (deviations from published spec</w:t>
      </w:r>
      <w:r>
        <w:rPr>
          <w:rFonts w:ascii="Arial" w:eastAsia="宋体" w:hAnsi="Arial" w:cs="Arial"/>
          <w:color w:val="262626"/>
          <w:sz w:val="18"/>
          <w:szCs w:val="18"/>
        </w:rPr>
        <w:t>ifications), and other product issues, which can result from problems in our product design or our manufacturing and assembly and test processes. Components and products we purchase or license from third-party suppliers, or gain through acquisitions, can a</w:t>
      </w:r>
      <w:r>
        <w:rPr>
          <w:rFonts w:ascii="Arial" w:eastAsia="宋体" w:hAnsi="Arial" w:cs="Arial"/>
          <w:color w:val="262626"/>
          <w:sz w:val="18"/>
          <w:szCs w:val="18"/>
        </w:rPr>
        <w:t>lso contain defects. Product issues also sometimes result from the interaction between our products and third-party products and software. We face risks if products that we design, manufacture, or sell, or that include our technology, cause personal injury</w:t>
      </w:r>
      <w:r>
        <w:rPr>
          <w:rFonts w:ascii="Arial" w:eastAsia="宋体" w:hAnsi="Arial" w:cs="Arial"/>
          <w:color w:val="262626"/>
          <w:sz w:val="18"/>
          <w:szCs w:val="18"/>
        </w:rPr>
        <w:t xml:space="preserve"> or property damage, even where the cause is unrelated to product defects or errata. These risks may increase as our products are introduced into new devices, market segments, technologies, or applications, including transportation, autonomous driving, hea</w:t>
      </w:r>
      <w:r>
        <w:rPr>
          <w:rFonts w:ascii="Arial" w:eastAsia="宋体" w:hAnsi="Arial" w:cs="Arial"/>
          <w:color w:val="262626"/>
          <w:sz w:val="18"/>
          <w:szCs w:val="18"/>
        </w:rPr>
        <w:t xml:space="preserve">lthcare, communications, financial services, and other industrial, critical infrastructure, and consumer uses. </w:t>
      </w:r>
    </w:p>
    <w:p w14:paraId="6753546B" w14:textId="77777777" w:rsidR="001B77DD" w:rsidRDefault="00BF0A28">
      <w:pPr>
        <w:spacing w:after="120"/>
      </w:pPr>
      <w:r>
        <w:rPr>
          <w:rFonts w:ascii="Arial" w:eastAsia="宋体" w:hAnsi="Arial" w:cs="Arial"/>
          <w:color w:val="262626"/>
          <w:sz w:val="18"/>
          <w:szCs w:val="18"/>
        </w:rPr>
        <w:t>Costs from defects, errata, or other product issues could include:</w:t>
      </w:r>
    </w:p>
    <w:p w14:paraId="6753546C"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writing off some or all of the value of inventory;</w:t>
      </w:r>
    </w:p>
    <w:p w14:paraId="6753546D"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recalling products that </w:t>
      </w:r>
      <w:r>
        <w:rPr>
          <w:rFonts w:ascii="Arial" w:eastAsia="宋体" w:hAnsi="Arial" w:cs="Arial"/>
          <w:color w:val="262626"/>
          <w:sz w:val="18"/>
          <w:szCs w:val="18"/>
        </w:rPr>
        <w:t>have been shipped;</w:t>
      </w:r>
    </w:p>
    <w:p w14:paraId="6753546E"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providing product replacements or modifications;</w:t>
      </w:r>
    </w:p>
    <w:p w14:paraId="6753546F"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providing consideration to customers, including reimbursement for certain costs they incur;</w:t>
      </w:r>
    </w:p>
    <w:p w14:paraId="67535470"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defending against litigation and/or paying resulting damages; and</w:t>
      </w:r>
    </w:p>
    <w:p w14:paraId="67535471"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paying fines </w:t>
      </w:r>
      <w:r>
        <w:rPr>
          <w:rFonts w:ascii="Arial" w:eastAsia="宋体" w:hAnsi="Arial" w:cs="Arial"/>
          <w:color w:val="262626"/>
          <w:sz w:val="18"/>
          <w:szCs w:val="18"/>
        </w:rPr>
        <w:t>imposed by regulatory agencies.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7B" w14:textId="77777777">
        <w:tc>
          <w:tcPr>
            <w:tcW w:w="50" w:type="pct"/>
            <w:shd w:val="clear" w:color="auto" w:fill="auto"/>
            <w:vAlign w:val="bottom"/>
          </w:tcPr>
          <w:p w14:paraId="67535472" w14:textId="77777777" w:rsidR="001B77DD" w:rsidRDefault="001B77DD">
            <w:pPr>
              <w:rPr>
                <w:rFonts w:ascii="宋体"/>
              </w:rPr>
            </w:pPr>
          </w:p>
        </w:tc>
        <w:tc>
          <w:tcPr>
            <w:tcW w:w="283" w:type="pct"/>
            <w:shd w:val="clear" w:color="auto" w:fill="auto"/>
            <w:vAlign w:val="bottom"/>
          </w:tcPr>
          <w:p w14:paraId="67535473" w14:textId="77777777" w:rsidR="001B77DD" w:rsidRDefault="001B77DD">
            <w:pPr>
              <w:rPr>
                <w:rFonts w:ascii="宋体"/>
              </w:rPr>
            </w:pPr>
          </w:p>
        </w:tc>
        <w:tc>
          <w:tcPr>
            <w:tcW w:w="5" w:type="pct"/>
            <w:shd w:val="clear" w:color="auto" w:fill="auto"/>
            <w:vAlign w:val="bottom"/>
          </w:tcPr>
          <w:p w14:paraId="67535474" w14:textId="77777777" w:rsidR="001B77DD" w:rsidRDefault="001B77DD">
            <w:pPr>
              <w:rPr>
                <w:rFonts w:ascii="宋体"/>
              </w:rPr>
            </w:pPr>
          </w:p>
        </w:tc>
        <w:tc>
          <w:tcPr>
            <w:tcW w:w="50" w:type="pct"/>
            <w:shd w:val="clear" w:color="auto" w:fill="auto"/>
            <w:vAlign w:val="bottom"/>
          </w:tcPr>
          <w:p w14:paraId="67535475" w14:textId="77777777" w:rsidR="001B77DD" w:rsidRDefault="001B77DD">
            <w:pPr>
              <w:rPr>
                <w:rFonts w:ascii="宋体"/>
              </w:rPr>
            </w:pPr>
          </w:p>
        </w:tc>
        <w:tc>
          <w:tcPr>
            <w:tcW w:w="2656" w:type="pct"/>
            <w:shd w:val="clear" w:color="auto" w:fill="auto"/>
            <w:vAlign w:val="bottom"/>
          </w:tcPr>
          <w:p w14:paraId="67535476" w14:textId="77777777" w:rsidR="001B77DD" w:rsidRDefault="001B77DD">
            <w:pPr>
              <w:rPr>
                <w:rFonts w:ascii="宋体"/>
              </w:rPr>
            </w:pPr>
          </w:p>
        </w:tc>
        <w:tc>
          <w:tcPr>
            <w:tcW w:w="5" w:type="pct"/>
            <w:shd w:val="clear" w:color="auto" w:fill="auto"/>
            <w:vAlign w:val="bottom"/>
          </w:tcPr>
          <w:p w14:paraId="67535477" w14:textId="77777777" w:rsidR="001B77DD" w:rsidRDefault="001B77DD">
            <w:pPr>
              <w:rPr>
                <w:rFonts w:ascii="宋体"/>
              </w:rPr>
            </w:pPr>
          </w:p>
        </w:tc>
        <w:tc>
          <w:tcPr>
            <w:tcW w:w="50" w:type="pct"/>
            <w:shd w:val="clear" w:color="auto" w:fill="auto"/>
            <w:vAlign w:val="bottom"/>
          </w:tcPr>
          <w:p w14:paraId="67535478" w14:textId="77777777" w:rsidR="001B77DD" w:rsidRDefault="001B77DD">
            <w:pPr>
              <w:rPr>
                <w:rFonts w:ascii="宋体"/>
              </w:rPr>
            </w:pPr>
          </w:p>
        </w:tc>
        <w:tc>
          <w:tcPr>
            <w:tcW w:w="1894" w:type="pct"/>
            <w:shd w:val="clear" w:color="auto" w:fill="auto"/>
            <w:vAlign w:val="bottom"/>
          </w:tcPr>
          <w:p w14:paraId="67535479" w14:textId="77777777" w:rsidR="001B77DD" w:rsidRDefault="001B77DD">
            <w:pPr>
              <w:rPr>
                <w:rFonts w:ascii="宋体"/>
              </w:rPr>
            </w:pPr>
          </w:p>
        </w:tc>
        <w:tc>
          <w:tcPr>
            <w:tcW w:w="5" w:type="pct"/>
            <w:shd w:val="clear" w:color="auto" w:fill="auto"/>
            <w:vAlign w:val="bottom"/>
          </w:tcPr>
          <w:p w14:paraId="6753547A" w14:textId="77777777" w:rsidR="001B77DD" w:rsidRDefault="001B77DD">
            <w:pPr>
              <w:rPr>
                <w:rFonts w:ascii="宋体"/>
              </w:rPr>
            </w:pPr>
          </w:p>
        </w:tc>
      </w:tr>
      <w:tr w:rsidR="001B77DD" w14:paraId="6753547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7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E0" wp14:editId="67538EE1">
                  <wp:extent cx="304800" cy="304800"/>
                  <wp:effectExtent l="0" t="0" r="0" b="0"/>
                  <wp:docPr id="176" name="图片 23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35"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7D"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7E" w14:textId="77777777" w:rsidR="001B77DD" w:rsidRDefault="00BF0A28">
            <w:pPr>
              <w:jc w:val="right"/>
              <w:textAlignment w:val="center"/>
            </w:pPr>
            <w:r>
              <w:rPr>
                <w:rFonts w:ascii="Arial" w:eastAsia="宋体" w:hAnsi="Arial" w:cs="Arial"/>
                <w:color w:val="262626"/>
                <w:sz w:val="16"/>
                <w:szCs w:val="16"/>
              </w:rPr>
              <w:t>54</w:t>
            </w:r>
          </w:p>
        </w:tc>
      </w:tr>
    </w:tbl>
    <w:p w14:paraId="67535480" w14:textId="77777777" w:rsidR="001B77DD" w:rsidRDefault="00BF0A28">
      <w:r>
        <w:pict w14:anchorId="67538EE2">
          <v:rect id="_x0000_i1080" style="width:415.3pt;height:1.5pt" o:hralign="center" o:hrstd="t" o:hr="t" fillcolor="#a0a0a0" stroked="f"/>
        </w:pict>
      </w:r>
    </w:p>
    <w:p w14:paraId="67535481" w14:textId="77777777" w:rsidR="001B77DD" w:rsidRDefault="00BF0A28">
      <w:pPr>
        <w:jc w:val="right"/>
      </w:pPr>
      <w:hyperlink r:id="rId112" w:anchor="i6c9ced68f6b24d58a3dcf326e8c3c699_16" w:history="1">
        <w:r>
          <w:rPr>
            <w:rStyle w:val="a5"/>
            <w:rFonts w:ascii="Arial" w:eastAsia="宋体" w:hAnsi="Arial" w:cs="Arial"/>
            <w:b/>
            <w:bCs/>
            <w:sz w:val="16"/>
            <w:szCs w:val="16"/>
          </w:rPr>
          <w:t>Table of Contents</w:t>
        </w:r>
      </w:hyperlink>
    </w:p>
    <w:p w14:paraId="67535482" w14:textId="77777777" w:rsidR="001B77DD" w:rsidRDefault="001B77DD">
      <w:pPr>
        <w:jc w:val="right"/>
      </w:pPr>
    </w:p>
    <w:p w14:paraId="67535483" w14:textId="77777777" w:rsidR="001B77DD" w:rsidRDefault="00BF0A28">
      <w:pPr>
        <w:spacing w:after="180"/>
      </w:pPr>
      <w:r>
        <w:rPr>
          <w:rFonts w:ascii="Arial" w:eastAsia="宋体" w:hAnsi="Arial" w:cs="Arial"/>
          <w:color w:val="262626"/>
          <w:sz w:val="18"/>
          <w:szCs w:val="18"/>
        </w:rPr>
        <w:t xml:space="preserve">These costs could be large and may increase expenses and lower gross margin, </w:t>
      </w:r>
      <w:r>
        <w:rPr>
          <w:rFonts w:ascii="Arial" w:eastAsia="宋体" w:hAnsi="Arial" w:cs="Arial"/>
          <w:color w:val="262626"/>
          <w:sz w:val="18"/>
          <w:szCs w:val="18"/>
        </w:rPr>
        <w:t xml:space="preserve">and/or result in delay or loss of revenue. Mitigation techniques designed to address product issues, including software and firmware updates, are not always available on a timely basis—or at all—and do not always operate as intended or effectively resolve </w:t>
      </w:r>
      <w:r>
        <w:rPr>
          <w:rFonts w:ascii="Arial" w:eastAsia="宋体" w:hAnsi="Arial" w:cs="Arial"/>
          <w:color w:val="262626"/>
          <w:sz w:val="18"/>
          <w:szCs w:val="18"/>
        </w:rPr>
        <w:t>such issues for all applications. We and third parties, such as hardware and software vendors, make prioritization decisions about which product issues to address, which can delay, limit, or prevent development or deployment of a mitigation and harm our re</w:t>
      </w:r>
      <w:r>
        <w:rPr>
          <w:rFonts w:ascii="Arial" w:eastAsia="宋体" w:hAnsi="Arial" w:cs="Arial"/>
          <w:color w:val="262626"/>
          <w:sz w:val="18"/>
          <w:szCs w:val="18"/>
        </w:rPr>
        <w:t>putation and result in costs. Product defects, errata, or other product issues and/or mitigation techniques can result in product failures, adverse performance and power effects, reboots, system instability or unavailability, loss of functionality, data lo</w:t>
      </w:r>
      <w:r>
        <w:rPr>
          <w:rFonts w:ascii="Arial" w:eastAsia="宋体" w:hAnsi="Arial" w:cs="Arial"/>
          <w:color w:val="262626"/>
          <w:sz w:val="18"/>
          <w:szCs w:val="18"/>
        </w:rPr>
        <w:t>ss or corruption, unpredictable system behavior, decisions by customers and end users to limit or change the applications in which they use our products or product features, and other issues. Product issues can damage our reputation, negatively affect prod</w:t>
      </w:r>
      <w:r>
        <w:rPr>
          <w:rFonts w:ascii="Arial" w:eastAsia="宋体" w:hAnsi="Arial" w:cs="Arial"/>
          <w:color w:val="262626"/>
          <w:sz w:val="18"/>
          <w:szCs w:val="18"/>
        </w:rPr>
        <w:t>uct demand, delay product releases or deployment, result in legal liability, or make our products less competitive, which could harm our business and financial results. Subsequent events or new information can develop that changes our assessment of the imp</w:t>
      </w:r>
      <w:r>
        <w:rPr>
          <w:rFonts w:ascii="Arial" w:eastAsia="宋体" w:hAnsi="Arial" w:cs="Arial"/>
          <w:color w:val="262626"/>
          <w:sz w:val="18"/>
          <w:szCs w:val="18"/>
        </w:rPr>
        <w:t>act of a product issue. In addition, our liability insurance coverage has certain exclusions or may not adequately cover liabilities incurred. Our insurance providers may be unable or unwilling to pay a claim, and losses not covered by insurance could be l</w:t>
      </w:r>
      <w:r>
        <w:rPr>
          <w:rFonts w:ascii="Arial" w:eastAsia="宋体" w:hAnsi="Arial" w:cs="Arial"/>
          <w:color w:val="262626"/>
          <w:sz w:val="18"/>
          <w:szCs w:val="18"/>
        </w:rPr>
        <w:t>arge, which could harm our financial condition.</w:t>
      </w:r>
    </w:p>
    <w:p w14:paraId="67535484" w14:textId="77777777" w:rsidR="001B77DD" w:rsidRDefault="00BF0A28">
      <w:pPr>
        <w:spacing w:after="180"/>
      </w:pPr>
      <w:r>
        <w:rPr>
          <w:rFonts w:ascii="Arial" w:eastAsia="宋体" w:hAnsi="Arial" w:cs="Arial"/>
          <w:color w:val="0068B5"/>
          <w:sz w:val="18"/>
          <w:szCs w:val="18"/>
        </w:rPr>
        <w:t xml:space="preserve">We face risks related to security vulnerabilities in our products. </w:t>
      </w:r>
      <w:r>
        <w:rPr>
          <w:rFonts w:ascii="Arial" w:eastAsia="宋体" w:hAnsi="Arial" w:cs="Arial"/>
          <w:color w:val="262626"/>
          <w:sz w:val="18"/>
          <w:szCs w:val="18"/>
        </w:rPr>
        <w:t>We or third parties regularly identify security vulnerabilities with respect to our processors and other products, as well as the operating s</w:t>
      </w:r>
      <w:r>
        <w:rPr>
          <w:rFonts w:ascii="Arial" w:eastAsia="宋体" w:hAnsi="Arial" w:cs="Arial"/>
          <w:color w:val="262626"/>
          <w:sz w:val="18"/>
          <w:szCs w:val="18"/>
        </w:rPr>
        <w:t>ystems and workloads that run on them and the components that interact with them. Components and IP we purchase or license from third parties for use in our products, as well as industry-standard specifications we implement in our products, are also regula</w:t>
      </w:r>
      <w:r>
        <w:rPr>
          <w:rFonts w:ascii="Arial" w:eastAsia="宋体" w:hAnsi="Arial" w:cs="Arial"/>
          <w:color w:val="262626"/>
          <w:sz w:val="18"/>
          <w:szCs w:val="18"/>
        </w:rPr>
        <w:t>rly subject to security vulnerabilities. Our processors and other products are being used in application areas that create new or increased cybersecurity and privacy risks, including applications that gather and process large amounts of data, such as the c</w:t>
      </w:r>
      <w:r>
        <w:rPr>
          <w:rFonts w:ascii="Arial" w:eastAsia="宋体" w:hAnsi="Arial" w:cs="Arial"/>
          <w:color w:val="262626"/>
          <w:sz w:val="18"/>
          <w:szCs w:val="18"/>
        </w:rPr>
        <w:t>loud or Internet of Things, and critical infrastructure and automotive applications. The security vulnerabilities identified in our processors include a category known as side-channel vulnerabilities, such as the variants referred to as "Spectre" and "Melt</w:t>
      </w:r>
      <w:r>
        <w:rPr>
          <w:rFonts w:ascii="Arial" w:eastAsia="宋体" w:hAnsi="Arial" w:cs="Arial"/>
          <w:color w:val="262626"/>
          <w:sz w:val="18"/>
          <w:szCs w:val="18"/>
        </w:rPr>
        <w:t>down." Additional categories and variants have been identified and are expected to continue to be identified. Publicity about these and other security vulnerabilities has resulted in, and is expected to continue to result in, increased attempts by third pa</w:t>
      </w:r>
      <w:r>
        <w:rPr>
          <w:rFonts w:ascii="Arial" w:eastAsia="宋体" w:hAnsi="Arial" w:cs="Arial"/>
          <w:color w:val="262626"/>
          <w:sz w:val="18"/>
          <w:szCs w:val="18"/>
        </w:rPr>
        <w:t xml:space="preserve">rties to identify additional vulnerabilities. Security and manageability features in our products cannot make our products absolutely secure, and these features themselves are subject to vulnerabilities and attempts by third parties to identify additional </w:t>
      </w:r>
      <w:r>
        <w:rPr>
          <w:rFonts w:ascii="Arial" w:eastAsia="宋体" w:hAnsi="Arial" w:cs="Arial"/>
          <w:color w:val="262626"/>
          <w:sz w:val="18"/>
          <w:szCs w:val="18"/>
        </w:rPr>
        <w:t xml:space="preserve">vulnerabilities. Vulnerabilities are not always mitigated before they become known. We, our customers, and the users of our products do not always promptly learn of or have the ability to fully assess the magnitude or effects of a vulnerability, including </w:t>
      </w:r>
      <w:r>
        <w:rPr>
          <w:rFonts w:ascii="Arial" w:eastAsia="宋体" w:hAnsi="Arial" w:cs="Arial"/>
          <w:color w:val="262626"/>
          <w:sz w:val="18"/>
          <w:szCs w:val="18"/>
        </w:rPr>
        <w:t>the extent, if any, to which a vulnerability has been exploited. Subsequent events or new information can develop that changes our assessment of the impact of a security vulnerability, including additional information learned as we develop and deploy mitig</w:t>
      </w:r>
      <w:r>
        <w:rPr>
          <w:rFonts w:ascii="Arial" w:eastAsia="宋体" w:hAnsi="Arial" w:cs="Arial"/>
          <w:color w:val="262626"/>
          <w:sz w:val="18"/>
          <w:szCs w:val="18"/>
        </w:rPr>
        <w:t xml:space="preserve">ations or updates, become aware of additional variants, evaluate the competitiveness of existing and new products, and address future warranty or other claims or customer satisfaction considerations, as well as developments in the course of any litigation </w:t>
      </w:r>
      <w:r>
        <w:rPr>
          <w:rFonts w:ascii="Arial" w:eastAsia="宋体" w:hAnsi="Arial" w:cs="Arial"/>
          <w:color w:val="262626"/>
          <w:sz w:val="18"/>
          <w:szCs w:val="18"/>
        </w:rPr>
        <w:t>or regulatory inquiries or actions over these matters.</w:t>
      </w:r>
    </w:p>
    <w:p w14:paraId="67535485" w14:textId="77777777" w:rsidR="001B77DD" w:rsidRDefault="00BF0A28">
      <w:pPr>
        <w:spacing w:after="180"/>
      </w:pPr>
      <w:r>
        <w:rPr>
          <w:rFonts w:ascii="Arial" w:eastAsia="宋体" w:hAnsi="Arial" w:cs="Arial"/>
          <w:color w:val="262626"/>
          <w:sz w:val="18"/>
          <w:szCs w:val="18"/>
        </w:rPr>
        <w:t>Mitigation techniques designed to address security vulnerabilities, including software and firmware updates or other preventative measures, are not always available on a timely basis—or at all—and at t</w:t>
      </w:r>
      <w:r>
        <w:rPr>
          <w:rFonts w:ascii="Arial" w:eastAsia="宋体" w:hAnsi="Arial" w:cs="Arial"/>
          <w:color w:val="262626"/>
          <w:sz w:val="18"/>
          <w:szCs w:val="18"/>
        </w:rPr>
        <w:t>imes do not operate as intended or effectively resolve vulnerabilities for all applications. In addition, we are often required to rely on third parties, including hardware, software, and services vendors, as well as our customers and end users, to develop</w:t>
      </w:r>
      <w:r>
        <w:rPr>
          <w:rFonts w:ascii="Arial" w:eastAsia="宋体" w:hAnsi="Arial" w:cs="Arial"/>
          <w:color w:val="262626"/>
          <w:sz w:val="18"/>
          <w:szCs w:val="18"/>
        </w:rPr>
        <w:t xml:space="preserve"> and/or deploy mitigation techniques, and the availability, effectiveness, and performance impact of mitigation techniques can depend solely or in part on the actions of these third parties in determining whether, when, and how to develop and deploy mitiga</w:t>
      </w:r>
      <w:r>
        <w:rPr>
          <w:rFonts w:ascii="Arial" w:eastAsia="宋体" w:hAnsi="Arial" w:cs="Arial"/>
          <w:color w:val="262626"/>
          <w:sz w:val="18"/>
          <w:szCs w:val="18"/>
        </w:rPr>
        <w:t>tions. We and such third parties make prioritization decisions about which vulnerabilities to address, which can delay, limit, or prevent development or deployment of a mitigation and harm our reputation. Security vulnerabilities and/or mitigation techniqu</w:t>
      </w:r>
      <w:r>
        <w:rPr>
          <w:rFonts w:ascii="Arial" w:eastAsia="宋体" w:hAnsi="Arial" w:cs="Arial"/>
          <w:color w:val="262626"/>
          <w:sz w:val="18"/>
          <w:szCs w:val="18"/>
        </w:rPr>
        <w:t>es can result in adverse performance or power effects, reboots, system instability or unavailability, loss of functionality, data loss or corruption, unpredictable system behavior, decisions by customers and end users to limit or change the applications in</w:t>
      </w:r>
      <w:r>
        <w:rPr>
          <w:rFonts w:ascii="Arial" w:eastAsia="宋体" w:hAnsi="Arial" w:cs="Arial"/>
          <w:color w:val="262626"/>
          <w:sz w:val="18"/>
          <w:szCs w:val="18"/>
        </w:rPr>
        <w:t xml:space="preserve"> which they use our products or product features, and/or the misappropriation of data by third parties.</w:t>
      </w:r>
    </w:p>
    <w:p w14:paraId="67535486" w14:textId="77777777" w:rsidR="001B77DD" w:rsidRDefault="00BF0A28">
      <w:pPr>
        <w:spacing w:after="180"/>
      </w:pPr>
      <w:r>
        <w:rPr>
          <w:rFonts w:ascii="Arial" w:eastAsia="宋体" w:hAnsi="Arial" w:cs="Arial"/>
          <w:color w:val="262626"/>
          <w:sz w:val="18"/>
          <w:szCs w:val="18"/>
        </w:rPr>
        <w:t>Security vulnerabilities and any limitations or adverse effects of mitigation techniques can adversely affect our results of operations, financial condi</w:t>
      </w:r>
      <w:r>
        <w:rPr>
          <w:rFonts w:ascii="Arial" w:eastAsia="宋体" w:hAnsi="Arial" w:cs="Arial"/>
          <w:color w:val="262626"/>
          <w:sz w:val="18"/>
          <w:szCs w:val="18"/>
        </w:rPr>
        <w:t>tion, customer relationships, prospects, and reputation in a number of ways, any of which may be material. For example, whether or not vulnerabilities involve attempted or successful exploits, they may result in our incurring significant costs related to d</w:t>
      </w:r>
      <w:r>
        <w:rPr>
          <w:rFonts w:ascii="Arial" w:eastAsia="宋体" w:hAnsi="Arial" w:cs="Arial"/>
          <w:color w:val="262626"/>
          <w:sz w:val="18"/>
          <w:szCs w:val="18"/>
        </w:rPr>
        <w:t>eveloping and deploying updates and mitigations, writing down inventory value, defending against product claims and litigation, responding to regulatory inquiries or actions, paying damages, addressing customer satisfaction considerations, providing produc</w:t>
      </w:r>
      <w:r>
        <w:rPr>
          <w:rFonts w:ascii="Arial" w:eastAsia="宋体" w:hAnsi="Arial" w:cs="Arial"/>
          <w:color w:val="262626"/>
          <w:sz w:val="18"/>
          <w:szCs w:val="18"/>
        </w:rPr>
        <w:t>t replacements or modifications, or taking other remedial steps with respect to third parties. Adverse publicity about security vulnerabilities or mitigations could damage our reputation with customers or users and reduce demand for our products and servic</w:t>
      </w:r>
      <w:r>
        <w:rPr>
          <w:rFonts w:ascii="Arial" w:eastAsia="宋体" w:hAnsi="Arial" w:cs="Arial"/>
          <w:color w:val="262626"/>
          <w:sz w:val="18"/>
          <w:szCs w:val="18"/>
        </w:rPr>
        <w:t xml:space="preserve">es. These effects may be greater to the extent that competing products are not susceptible to the same vulnerabilities or if vulnerabilities can be more effectively mitigated in competing products. Moreover, third parties can release information regarding </w:t>
      </w:r>
      <w:r>
        <w:rPr>
          <w:rFonts w:ascii="Arial" w:eastAsia="宋体" w:hAnsi="Arial" w:cs="Arial"/>
          <w:color w:val="262626"/>
          <w:sz w:val="18"/>
          <w:szCs w:val="18"/>
        </w:rPr>
        <w:t xml:space="preserve">potential vulnerabilities of our products before mitigations are available, which, in turn, could lead to attempted or successful exploits, adversely affect our ability to introduce mitigations, or otherwise harm our business and reputation. </w:t>
      </w:r>
    </w:p>
    <w:p w14:paraId="67535487" w14:textId="77777777" w:rsidR="001B77DD" w:rsidRDefault="00BF0A28">
      <w:pPr>
        <w:spacing w:after="180"/>
      </w:pPr>
      <w:r>
        <w:rPr>
          <w:rFonts w:ascii="Arial" w:eastAsia="宋体" w:hAnsi="Arial" w:cs="Arial"/>
          <w:color w:val="0068B5"/>
          <w:sz w:val="18"/>
          <w:szCs w:val="18"/>
        </w:rPr>
        <w:t>We are subjec</w:t>
      </w:r>
      <w:r>
        <w:rPr>
          <w:rFonts w:ascii="Arial" w:eastAsia="宋体" w:hAnsi="Arial" w:cs="Arial"/>
          <w:color w:val="0068B5"/>
          <w:sz w:val="18"/>
          <w:szCs w:val="18"/>
        </w:rPr>
        <w:t>t to risks associated with environmental, health, and safety regulations.</w:t>
      </w:r>
      <w:r>
        <w:rPr>
          <w:rFonts w:ascii="Arial" w:eastAsia="宋体" w:hAnsi="Arial" w:cs="Arial"/>
          <w:color w:val="262626"/>
          <w:sz w:val="18"/>
          <w:szCs w:val="18"/>
        </w:rPr>
        <w:t xml:space="preserve"> The manufacturing and assembly and test of our products require the use of hazardous materials that are subject to a broad array of environmental, health, and safety laws and regulat</w:t>
      </w:r>
      <w:r>
        <w:rPr>
          <w:rFonts w:ascii="Arial" w:eastAsia="宋体" w:hAnsi="Arial" w:cs="Arial"/>
          <w:color w:val="262626"/>
          <w:sz w:val="18"/>
          <w:szCs w:val="18"/>
        </w:rPr>
        <w:t>ions. Our failure to comply with these laws or regulations can result in regulatory penalties, fines, and legal liabilities; suspension of production; alteration of our manufacturing and assembly and test processes; damage to our reputation; and restrictio</w:t>
      </w:r>
      <w:r>
        <w:rPr>
          <w:rFonts w:ascii="Arial" w:eastAsia="宋体" w:hAnsi="Arial" w:cs="Arial"/>
          <w:color w:val="262626"/>
          <w:sz w:val="18"/>
          <w:szCs w:val="18"/>
        </w:rPr>
        <w:t>ns on our operations or sales. In addition, failure to comply by our suppliers of these materials can require us to suspend or alter our production processes.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91" w14:textId="77777777">
        <w:tc>
          <w:tcPr>
            <w:tcW w:w="50" w:type="pct"/>
            <w:shd w:val="clear" w:color="auto" w:fill="auto"/>
            <w:vAlign w:val="bottom"/>
          </w:tcPr>
          <w:p w14:paraId="67535488" w14:textId="77777777" w:rsidR="001B77DD" w:rsidRDefault="001B77DD">
            <w:pPr>
              <w:rPr>
                <w:rFonts w:ascii="宋体"/>
              </w:rPr>
            </w:pPr>
          </w:p>
        </w:tc>
        <w:tc>
          <w:tcPr>
            <w:tcW w:w="283" w:type="pct"/>
            <w:shd w:val="clear" w:color="auto" w:fill="auto"/>
            <w:vAlign w:val="bottom"/>
          </w:tcPr>
          <w:p w14:paraId="67535489" w14:textId="77777777" w:rsidR="001B77DD" w:rsidRDefault="001B77DD">
            <w:pPr>
              <w:rPr>
                <w:rFonts w:ascii="宋体"/>
              </w:rPr>
            </w:pPr>
          </w:p>
        </w:tc>
        <w:tc>
          <w:tcPr>
            <w:tcW w:w="5" w:type="pct"/>
            <w:shd w:val="clear" w:color="auto" w:fill="auto"/>
            <w:vAlign w:val="bottom"/>
          </w:tcPr>
          <w:p w14:paraId="6753548A" w14:textId="77777777" w:rsidR="001B77DD" w:rsidRDefault="001B77DD">
            <w:pPr>
              <w:rPr>
                <w:rFonts w:ascii="宋体"/>
              </w:rPr>
            </w:pPr>
          </w:p>
        </w:tc>
        <w:tc>
          <w:tcPr>
            <w:tcW w:w="50" w:type="pct"/>
            <w:shd w:val="clear" w:color="auto" w:fill="auto"/>
            <w:vAlign w:val="bottom"/>
          </w:tcPr>
          <w:p w14:paraId="6753548B" w14:textId="77777777" w:rsidR="001B77DD" w:rsidRDefault="001B77DD">
            <w:pPr>
              <w:rPr>
                <w:rFonts w:ascii="宋体"/>
              </w:rPr>
            </w:pPr>
          </w:p>
        </w:tc>
        <w:tc>
          <w:tcPr>
            <w:tcW w:w="2656" w:type="pct"/>
            <w:shd w:val="clear" w:color="auto" w:fill="auto"/>
            <w:vAlign w:val="bottom"/>
          </w:tcPr>
          <w:p w14:paraId="6753548C" w14:textId="77777777" w:rsidR="001B77DD" w:rsidRDefault="001B77DD">
            <w:pPr>
              <w:rPr>
                <w:rFonts w:ascii="宋体"/>
              </w:rPr>
            </w:pPr>
          </w:p>
        </w:tc>
        <w:tc>
          <w:tcPr>
            <w:tcW w:w="5" w:type="pct"/>
            <w:shd w:val="clear" w:color="auto" w:fill="auto"/>
            <w:vAlign w:val="bottom"/>
          </w:tcPr>
          <w:p w14:paraId="6753548D" w14:textId="77777777" w:rsidR="001B77DD" w:rsidRDefault="001B77DD">
            <w:pPr>
              <w:rPr>
                <w:rFonts w:ascii="宋体"/>
              </w:rPr>
            </w:pPr>
          </w:p>
        </w:tc>
        <w:tc>
          <w:tcPr>
            <w:tcW w:w="50" w:type="pct"/>
            <w:shd w:val="clear" w:color="auto" w:fill="auto"/>
            <w:vAlign w:val="bottom"/>
          </w:tcPr>
          <w:p w14:paraId="6753548E" w14:textId="77777777" w:rsidR="001B77DD" w:rsidRDefault="001B77DD">
            <w:pPr>
              <w:rPr>
                <w:rFonts w:ascii="宋体"/>
              </w:rPr>
            </w:pPr>
          </w:p>
        </w:tc>
        <w:tc>
          <w:tcPr>
            <w:tcW w:w="1894" w:type="pct"/>
            <w:shd w:val="clear" w:color="auto" w:fill="auto"/>
            <w:vAlign w:val="bottom"/>
          </w:tcPr>
          <w:p w14:paraId="6753548F" w14:textId="77777777" w:rsidR="001B77DD" w:rsidRDefault="001B77DD">
            <w:pPr>
              <w:rPr>
                <w:rFonts w:ascii="宋体"/>
              </w:rPr>
            </w:pPr>
          </w:p>
        </w:tc>
        <w:tc>
          <w:tcPr>
            <w:tcW w:w="5" w:type="pct"/>
            <w:shd w:val="clear" w:color="auto" w:fill="auto"/>
            <w:vAlign w:val="bottom"/>
          </w:tcPr>
          <w:p w14:paraId="67535490" w14:textId="77777777" w:rsidR="001B77DD" w:rsidRDefault="001B77DD">
            <w:pPr>
              <w:rPr>
                <w:rFonts w:ascii="宋体"/>
              </w:rPr>
            </w:pPr>
          </w:p>
        </w:tc>
      </w:tr>
      <w:tr w:rsidR="001B77DD" w14:paraId="6753549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92"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E3" wp14:editId="67538EE4">
                  <wp:extent cx="304800" cy="304800"/>
                  <wp:effectExtent l="0" t="0" r="0" b="0"/>
                  <wp:docPr id="179" name="图片 23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3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93"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94" w14:textId="77777777" w:rsidR="001B77DD" w:rsidRDefault="00BF0A28">
            <w:pPr>
              <w:jc w:val="right"/>
              <w:textAlignment w:val="center"/>
            </w:pPr>
            <w:r>
              <w:rPr>
                <w:rFonts w:ascii="Arial" w:eastAsia="宋体" w:hAnsi="Arial" w:cs="Arial"/>
                <w:color w:val="262626"/>
                <w:sz w:val="16"/>
                <w:szCs w:val="16"/>
              </w:rPr>
              <w:t>55</w:t>
            </w:r>
          </w:p>
        </w:tc>
      </w:tr>
    </w:tbl>
    <w:p w14:paraId="67535496" w14:textId="77777777" w:rsidR="001B77DD" w:rsidRDefault="00BF0A28">
      <w:r>
        <w:pict w14:anchorId="67538EE5">
          <v:rect id="_x0000_i1081" style="width:415.3pt;height:1.5pt" o:hralign="center" o:hrstd="t" o:hr="t" fillcolor="#a0a0a0" stroked="f"/>
        </w:pict>
      </w:r>
    </w:p>
    <w:p w14:paraId="67535497" w14:textId="77777777" w:rsidR="001B77DD" w:rsidRDefault="00BF0A28">
      <w:pPr>
        <w:jc w:val="right"/>
      </w:pPr>
      <w:hyperlink r:id="rId113" w:anchor="i6c9ced68f6b24d58a3dcf326e8c3c699_16" w:history="1">
        <w:r>
          <w:rPr>
            <w:rStyle w:val="a5"/>
            <w:rFonts w:ascii="Arial" w:eastAsia="宋体" w:hAnsi="Arial" w:cs="Arial"/>
            <w:b/>
            <w:bCs/>
            <w:sz w:val="16"/>
            <w:szCs w:val="16"/>
          </w:rPr>
          <w:t>Table of Contents</w:t>
        </w:r>
      </w:hyperlink>
    </w:p>
    <w:p w14:paraId="67535498" w14:textId="77777777" w:rsidR="001B77DD" w:rsidRDefault="001B77DD">
      <w:pPr>
        <w:jc w:val="right"/>
      </w:pPr>
    </w:p>
    <w:p w14:paraId="67535499" w14:textId="77777777" w:rsidR="001B77DD" w:rsidRDefault="00BF0A28">
      <w:pPr>
        <w:spacing w:after="180"/>
      </w:pPr>
      <w:r>
        <w:rPr>
          <w:rFonts w:ascii="Arial" w:eastAsia="宋体" w:hAnsi="Arial" w:cs="Arial"/>
          <w:color w:val="262626"/>
          <w:sz w:val="18"/>
          <w:szCs w:val="18"/>
        </w:rPr>
        <w:t xml:space="preserve">Our failure to manage the use, transportation, emissions, discharge, </w:t>
      </w:r>
      <w:r>
        <w:rPr>
          <w:rFonts w:ascii="Arial" w:eastAsia="宋体" w:hAnsi="Arial" w:cs="Arial"/>
          <w:color w:val="262626"/>
          <w:sz w:val="18"/>
          <w:szCs w:val="18"/>
        </w:rPr>
        <w:t>storage, recycling, or disposal of hazardous materials can lead to increased costs or future liabilities. Environmental regulations, such as air quality and wastewater requirements, may impede our ability to expand or modify our manufacturing capability in</w:t>
      </w:r>
      <w:r>
        <w:rPr>
          <w:rFonts w:ascii="Arial" w:eastAsia="宋体" w:hAnsi="Arial" w:cs="Arial"/>
          <w:color w:val="262626"/>
          <w:sz w:val="18"/>
          <w:szCs w:val="18"/>
        </w:rPr>
        <w:t xml:space="preserve"> the future. Environmental laws and regulations sometimes require us to acquire additional pollution abatement or remediation equipment, modify product designs, or incur other expenses. Regulations in response to climate change could result in increased ma</w:t>
      </w:r>
      <w:r>
        <w:rPr>
          <w:rFonts w:ascii="Arial" w:eastAsia="宋体" w:hAnsi="Arial" w:cs="Arial"/>
          <w:color w:val="262626"/>
          <w:sz w:val="18"/>
          <w:szCs w:val="18"/>
        </w:rPr>
        <w:t xml:space="preserve">nufacturing costs associated with air pollution requirements. For example, semiconductor manufacturing uses perfluorocarbons, which have historically made up a large portion of our direct greenhouse gas emissions. New or increased regulations limiting the </w:t>
      </w:r>
      <w:r>
        <w:rPr>
          <w:rFonts w:ascii="Arial" w:eastAsia="宋体" w:hAnsi="Arial" w:cs="Arial"/>
          <w:color w:val="262626"/>
          <w:sz w:val="18"/>
          <w:szCs w:val="18"/>
        </w:rPr>
        <w:t>use of such compounds, or other greenhouse gas emissions, could require us to install additional abatement equipment, purchase carbon offsets, and/or alter our production processes. In addition, new or increased climate change regulation could increase our</w:t>
      </w:r>
      <w:r>
        <w:rPr>
          <w:rFonts w:ascii="Arial" w:eastAsia="宋体" w:hAnsi="Arial" w:cs="Arial"/>
          <w:color w:val="262626"/>
          <w:sz w:val="18"/>
          <w:szCs w:val="18"/>
        </w:rPr>
        <w:t xml:space="preserve"> energy costs, for example as a result of carbon pricing impacts on electrical utilities. As we expand our manufacturing capacity as part of our IDM 2.0 strategy, the impacts of future regulation could be magnified. Many new materials that we are evaluatin</w:t>
      </w:r>
      <w:r>
        <w:rPr>
          <w:rFonts w:ascii="Arial" w:eastAsia="宋体" w:hAnsi="Arial" w:cs="Arial"/>
          <w:color w:val="262626"/>
          <w:sz w:val="18"/>
          <w:szCs w:val="18"/>
        </w:rPr>
        <w:t>g for use in our operations are subject to regulation under environmental laws and regulations. These restrictions could harm our business and results of operations by increasing our expenses or requiring us to alter manufacturing and assembly and test pro</w:t>
      </w:r>
      <w:r>
        <w:rPr>
          <w:rFonts w:ascii="Arial" w:eastAsia="宋体" w:hAnsi="Arial" w:cs="Arial"/>
          <w:color w:val="262626"/>
          <w:sz w:val="18"/>
          <w:szCs w:val="18"/>
        </w:rPr>
        <w:t>cesses.</w:t>
      </w:r>
    </w:p>
    <w:p w14:paraId="6753549A" w14:textId="77777777" w:rsidR="001B77DD" w:rsidRDefault="00BF0A28">
      <w:pPr>
        <w:spacing w:after="180"/>
      </w:pPr>
      <w:r>
        <w:rPr>
          <w:rFonts w:ascii="Arial" w:eastAsia="宋体" w:hAnsi="Arial" w:cs="Arial"/>
          <w:color w:val="0068B5"/>
        </w:rPr>
        <w:t xml:space="preserve">The COVID-19 pandemic could materially adversely affect our financial condition and results of operations. </w:t>
      </w:r>
    </w:p>
    <w:p w14:paraId="6753549B" w14:textId="77777777" w:rsidR="001B77DD" w:rsidRDefault="00BF0A28">
      <w:pPr>
        <w:spacing w:after="180"/>
      </w:pPr>
      <w:r>
        <w:rPr>
          <w:rFonts w:ascii="Arial" w:eastAsia="宋体" w:hAnsi="Arial" w:cs="Arial"/>
          <w:color w:val="262626"/>
          <w:sz w:val="18"/>
          <w:szCs w:val="18"/>
        </w:rPr>
        <w:t>The COVID-19 pandemic has previously adversely affected significant portions of our business and could have a material adverse effect on our</w:t>
      </w:r>
      <w:r>
        <w:rPr>
          <w:rFonts w:ascii="Arial" w:eastAsia="宋体" w:hAnsi="Arial" w:cs="Arial"/>
          <w:color w:val="262626"/>
          <w:sz w:val="18"/>
          <w:szCs w:val="18"/>
        </w:rPr>
        <w:t xml:space="preserve"> financial condition and results of operations. Authorities have imposed, and businesses and individuals have implemented</w:t>
      </w:r>
      <w:r>
        <w:rPr>
          <w:rFonts w:ascii="sans-serif" w:eastAsia="宋体" w:hAnsi="sans-serif" w:cs="sans-serif"/>
          <w:color w:val="262626"/>
          <w:sz w:val="18"/>
          <w:szCs w:val="18"/>
        </w:rPr>
        <w:t>,</w:t>
      </w:r>
      <w:r>
        <w:rPr>
          <w:rFonts w:ascii="Arial" w:eastAsia="宋体" w:hAnsi="Arial" w:cs="Arial"/>
          <w:color w:val="262626"/>
          <w:sz w:val="18"/>
          <w:szCs w:val="18"/>
        </w:rPr>
        <w:t xml:space="preserve"> numerous measures to try to contain the virus or treat its impact, such as travel bans and restrictions, quarantines, shelter</w:t>
      </w:r>
      <w:r>
        <w:rPr>
          <w:rFonts w:ascii="sans-serif" w:eastAsia="宋体" w:hAnsi="sans-serif" w:cs="sans-serif"/>
          <w:color w:val="262626"/>
          <w:sz w:val="18"/>
          <w:szCs w:val="18"/>
        </w:rPr>
        <w:t>-</w:t>
      </w:r>
      <w:r>
        <w:rPr>
          <w:rFonts w:ascii="Arial" w:eastAsia="宋体" w:hAnsi="Arial" w:cs="Arial"/>
          <w:color w:val="262626"/>
          <w:sz w:val="18"/>
          <w:szCs w:val="18"/>
        </w:rPr>
        <w:t>in</w:t>
      </w:r>
      <w:r>
        <w:rPr>
          <w:rFonts w:ascii="sans-serif" w:eastAsia="宋体" w:hAnsi="sans-serif" w:cs="sans-serif"/>
          <w:color w:val="262626"/>
          <w:sz w:val="18"/>
          <w:szCs w:val="18"/>
        </w:rPr>
        <w:t>-</w:t>
      </w:r>
      <w:r>
        <w:rPr>
          <w:rFonts w:ascii="Arial" w:eastAsia="宋体" w:hAnsi="Arial" w:cs="Arial"/>
          <w:color w:val="262626"/>
          <w:sz w:val="18"/>
          <w:szCs w:val="18"/>
        </w:rPr>
        <w:t>plac</w:t>
      </w:r>
      <w:r>
        <w:rPr>
          <w:rFonts w:ascii="Arial" w:eastAsia="宋体" w:hAnsi="Arial" w:cs="Arial"/>
          <w:color w:val="262626"/>
          <w:sz w:val="18"/>
          <w:szCs w:val="18"/>
        </w:rPr>
        <w:t>e/stay-at-home and social distancing orders, shutdowns, and vaccine requirements. These measures have impacted and may further impact our workforce and operations, the operations of our customers, and those of our respective suppliers and partners. We have</w:t>
      </w:r>
      <w:r>
        <w:rPr>
          <w:rFonts w:ascii="Arial" w:eastAsia="宋体" w:hAnsi="Arial" w:cs="Arial"/>
          <w:color w:val="262626"/>
          <w:sz w:val="18"/>
          <w:szCs w:val="18"/>
        </w:rPr>
        <w:t xml:space="preserve"> experienced, and could in the future experience, reduced workforce availability at some of our sites, construction delays, and reduced capacity at some of our suppliers. We have significant manufacturing operations in the US, Ireland, Israel, China, Malay</w:t>
      </w:r>
      <w:r>
        <w:rPr>
          <w:rFonts w:ascii="Arial" w:eastAsia="宋体" w:hAnsi="Arial" w:cs="Arial"/>
          <w:color w:val="262626"/>
          <w:sz w:val="18"/>
          <w:szCs w:val="18"/>
        </w:rPr>
        <w:t>sia, and Vietnam, and each of these countries is taking measures in response to the pandemic. Restrictions on our manufacturing or support operations or workforce, similar limitations for our suppliers, and transportation restrictions or disruptions can li</w:t>
      </w:r>
      <w:r>
        <w:rPr>
          <w:rFonts w:ascii="Arial" w:eastAsia="宋体" w:hAnsi="Arial" w:cs="Arial"/>
          <w:color w:val="262626"/>
          <w:sz w:val="18"/>
          <w:szCs w:val="18"/>
        </w:rPr>
        <w:t>mit our ability to meet customer demand and could have a material adverse effect on our financial condition and results of operations. Our customers have experienced, and may in the future experience, disruptions in their operations and supply chains, whic</w:t>
      </w:r>
      <w:r>
        <w:rPr>
          <w:rFonts w:ascii="Arial" w:eastAsia="宋体" w:hAnsi="Arial" w:cs="Arial"/>
          <w:color w:val="262626"/>
          <w:sz w:val="18"/>
          <w:szCs w:val="18"/>
        </w:rPr>
        <w:t xml:space="preserve">h can result in delayed, reduced, or cancelled orders, or collection risks, and which may adversely affect our results of operations. </w:t>
      </w:r>
    </w:p>
    <w:p w14:paraId="6753549C" w14:textId="77777777" w:rsidR="001B77DD" w:rsidRDefault="00BF0A28">
      <w:pPr>
        <w:spacing w:after="180"/>
      </w:pPr>
      <w:r>
        <w:rPr>
          <w:rFonts w:ascii="Arial" w:eastAsia="宋体" w:hAnsi="Arial" w:cs="Arial"/>
          <w:color w:val="262626"/>
          <w:sz w:val="18"/>
          <w:szCs w:val="18"/>
        </w:rPr>
        <w:t>The pandemic has caused us to modify our business practices, including with respect to employee travel; employee work loc</w:t>
      </w:r>
      <w:r>
        <w:rPr>
          <w:rFonts w:ascii="Arial" w:eastAsia="宋体" w:hAnsi="Arial" w:cs="Arial"/>
          <w:color w:val="262626"/>
          <w:sz w:val="18"/>
          <w:szCs w:val="18"/>
        </w:rPr>
        <w:t xml:space="preserve">ations; cancellation of physical participation in meetings, events, and conferences; and social distancing measures. As a US federal government contractor, we are subject to a federal executive order requiring our US employees to be vaccinated unless they </w:t>
      </w:r>
      <w:r>
        <w:rPr>
          <w:rFonts w:ascii="Arial" w:eastAsia="宋体" w:hAnsi="Arial" w:cs="Arial"/>
          <w:color w:val="262626"/>
          <w:sz w:val="18"/>
          <w:szCs w:val="18"/>
        </w:rPr>
        <w:t>qualify for medical or religious exemptions. The order has been challenged in court and its ultimate status, and the impact on our business, is uncertain. However, this requirement or other future vaccine mandates could adversely affect our workforce reten</w:t>
      </w:r>
      <w:r>
        <w:rPr>
          <w:rFonts w:ascii="Arial" w:eastAsia="宋体" w:hAnsi="Arial" w:cs="Arial"/>
          <w:color w:val="262626"/>
          <w:sz w:val="18"/>
          <w:szCs w:val="18"/>
        </w:rPr>
        <w:t>tion and hiring. Similarly, this requirement would apply to our suppliers working at our US sites, and to the extent such suppliers refuse to comply or decline to work with us based on the requirement or other future vaccine mandates, our business may be a</w:t>
      </w:r>
      <w:r>
        <w:rPr>
          <w:rFonts w:ascii="Arial" w:eastAsia="宋体" w:hAnsi="Arial" w:cs="Arial"/>
          <w:color w:val="262626"/>
          <w:sz w:val="18"/>
          <w:szCs w:val="18"/>
        </w:rPr>
        <w:t>dversely affected, including higher costs or delays for our construction projects. We may take further actions as required by government authorities or others, or that we determine are in the best interests of our employees, customers, suppliers, and partn</w:t>
      </w:r>
      <w:r>
        <w:rPr>
          <w:rFonts w:ascii="Arial" w:eastAsia="宋体" w:hAnsi="Arial" w:cs="Arial"/>
          <w:color w:val="262626"/>
          <w:sz w:val="18"/>
          <w:szCs w:val="18"/>
        </w:rPr>
        <w:t>ers. Work-from-home and other measures introduce additional operational risks, including cybersecurity risks, and have affected the way we conduct our product development, validation, and qualification, customer support, and other activities, which could h</w:t>
      </w:r>
      <w:r>
        <w:rPr>
          <w:rFonts w:ascii="Arial" w:eastAsia="宋体" w:hAnsi="Arial" w:cs="Arial"/>
          <w:color w:val="262626"/>
          <w:sz w:val="18"/>
          <w:szCs w:val="18"/>
        </w:rPr>
        <w:t xml:space="preserve">ave a material adverse effect on our operations. There is no certainty that such measures will be sufficient to mitigate the risks posed by the virus, and illness and workforce disruptions could lead to unavailability of key personnel and harm our ability </w:t>
      </w:r>
      <w:r>
        <w:rPr>
          <w:rFonts w:ascii="Arial" w:eastAsia="宋体" w:hAnsi="Arial" w:cs="Arial"/>
          <w:color w:val="262626"/>
          <w:sz w:val="18"/>
          <w:szCs w:val="18"/>
        </w:rPr>
        <w:t>to perform critical functions.</w:t>
      </w:r>
    </w:p>
    <w:p w14:paraId="6753549D" w14:textId="77777777" w:rsidR="001B77DD" w:rsidRDefault="00BF0A28">
      <w:pPr>
        <w:spacing w:after="180"/>
      </w:pPr>
      <w:r>
        <w:rPr>
          <w:rFonts w:ascii="Arial" w:eastAsia="宋体" w:hAnsi="Arial" w:cs="Arial"/>
          <w:color w:val="262626"/>
          <w:sz w:val="18"/>
          <w:szCs w:val="18"/>
        </w:rPr>
        <w:t>The pandemic has significantly increased economic and demand uncertainty, and has led to volatility in capital markets and credit markets. Risks related to adverse changes in global economic conditions are described in our ri</w:t>
      </w:r>
      <w:r>
        <w:rPr>
          <w:rFonts w:ascii="Arial" w:eastAsia="宋体" w:hAnsi="Arial" w:cs="Arial"/>
          <w:color w:val="262626"/>
          <w:sz w:val="18"/>
          <w:szCs w:val="18"/>
        </w:rPr>
        <w:t>sk factor titled "Global or regional conditions can harm our financial results," and include the risk that demand for our products will be significantly harmed. Given the continued and substantial economic uncertainty and volatility created by the pandemic</w:t>
      </w:r>
      <w:r>
        <w:rPr>
          <w:rFonts w:ascii="Arial" w:eastAsia="宋体" w:hAnsi="Arial" w:cs="Arial"/>
          <w:color w:val="262626"/>
          <w:sz w:val="18"/>
          <w:szCs w:val="18"/>
        </w:rPr>
        <w:t>, it is difficult to predict the nature and extent of impacts on demand for our products. For example, the increased demand for notebook products as a result of work- and learn-from-home dynamics may not continue as the pandemic progresses.</w:t>
      </w:r>
    </w:p>
    <w:p w14:paraId="6753549E" w14:textId="77777777" w:rsidR="001B77DD" w:rsidRDefault="00BF0A28">
      <w:pPr>
        <w:spacing w:after="180"/>
      </w:pPr>
      <w:r>
        <w:rPr>
          <w:rFonts w:ascii="Arial" w:eastAsia="宋体" w:hAnsi="Arial" w:cs="Arial"/>
          <w:color w:val="262626"/>
          <w:sz w:val="18"/>
          <w:szCs w:val="18"/>
        </w:rPr>
        <w:t>The degree to w</w:t>
      </w:r>
      <w:r>
        <w:rPr>
          <w:rFonts w:ascii="Arial" w:eastAsia="宋体" w:hAnsi="Arial" w:cs="Arial"/>
          <w:color w:val="262626"/>
          <w:sz w:val="18"/>
          <w:szCs w:val="18"/>
        </w:rPr>
        <w:t>hich COVID-19 impacts our results will depend on future developments, which are highly uncertain and cannot be predicted, including the duration and severity of the pandemic; the actions taken to contain the virus or treat its impact; other actions taken b</w:t>
      </w:r>
      <w:r>
        <w:rPr>
          <w:rFonts w:ascii="Arial" w:eastAsia="宋体" w:hAnsi="Arial" w:cs="Arial"/>
          <w:color w:val="262626"/>
          <w:sz w:val="18"/>
          <w:szCs w:val="18"/>
        </w:rPr>
        <w:t>y governments, businesses, and individuals in response to the virus and resulting economic disruption; and how quickly and to what extent normal economic and operating conditions can resume. Additional impacts and risks may arise that we are not aware of o</w:t>
      </w:r>
      <w:r>
        <w:rPr>
          <w:rFonts w:ascii="Arial" w:eastAsia="宋体" w:hAnsi="Arial" w:cs="Arial"/>
          <w:color w:val="262626"/>
          <w:sz w:val="18"/>
          <w:szCs w:val="18"/>
        </w:rPr>
        <w:t>r able to respond to effectively. We are similarly unable to predict the extent of the impact of the pandemic on our customers, suppliers, and other partners, but a material effect on these parties could also materially adversely affect us. The impact of C</w:t>
      </w:r>
      <w:r>
        <w:rPr>
          <w:rFonts w:ascii="Arial" w:eastAsia="宋体" w:hAnsi="Arial" w:cs="Arial"/>
          <w:color w:val="262626"/>
          <w:sz w:val="18"/>
          <w:szCs w:val="18"/>
        </w:rPr>
        <w:t>OVID-19 can also exacerbate other risks discussed in this Risk Factors section and throughout this report.</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A8" w14:textId="77777777">
        <w:tc>
          <w:tcPr>
            <w:tcW w:w="50" w:type="pct"/>
            <w:shd w:val="clear" w:color="auto" w:fill="auto"/>
            <w:vAlign w:val="bottom"/>
          </w:tcPr>
          <w:p w14:paraId="6753549F" w14:textId="77777777" w:rsidR="001B77DD" w:rsidRDefault="001B77DD">
            <w:pPr>
              <w:rPr>
                <w:rFonts w:ascii="宋体"/>
              </w:rPr>
            </w:pPr>
          </w:p>
        </w:tc>
        <w:tc>
          <w:tcPr>
            <w:tcW w:w="283" w:type="pct"/>
            <w:shd w:val="clear" w:color="auto" w:fill="auto"/>
            <w:vAlign w:val="bottom"/>
          </w:tcPr>
          <w:p w14:paraId="675354A0" w14:textId="77777777" w:rsidR="001B77DD" w:rsidRDefault="001B77DD">
            <w:pPr>
              <w:rPr>
                <w:rFonts w:ascii="宋体"/>
              </w:rPr>
            </w:pPr>
          </w:p>
        </w:tc>
        <w:tc>
          <w:tcPr>
            <w:tcW w:w="5" w:type="pct"/>
            <w:shd w:val="clear" w:color="auto" w:fill="auto"/>
            <w:vAlign w:val="bottom"/>
          </w:tcPr>
          <w:p w14:paraId="675354A1" w14:textId="77777777" w:rsidR="001B77DD" w:rsidRDefault="001B77DD">
            <w:pPr>
              <w:rPr>
                <w:rFonts w:ascii="宋体"/>
              </w:rPr>
            </w:pPr>
          </w:p>
        </w:tc>
        <w:tc>
          <w:tcPr>
            <w:tcW w:w="50" w:type="pct"/>
            <w:shd w:val="clear" w:color="auto" w:fill="auto"/>
            <w:vAlign w:val="bottom"/>
          </w:tcPr>
          <w:p w14:paraId="675354A2" w14:textId="77777777" w:rsidR="001B77DD" w:rsidRDefault="001B77DD">
            <w:pPr>
              <w:rPr>
                <w:rFonts w:ascii="宋体"/>
              </w:rPr>
            </w:pPr>
          </w:p>
        </w:tc>
        <w:tc>
          <w:tcPr>
            <w:tcW w:w="2656" w:type="pct"/>
            <w:shd w:val="clear" w:color="auto" w:fill="auto"/>
            <w:vAlign w:val="bottom"/>
          </w:tcPr>
          <w:p w14:paraId="675354A3" w14:textId="77777777" w:rsidR="001B77DD" w:rsidRDefault="001B77DD">
            <w:pPr>
              <w:rPr>
                <w:rFonts w:ascii="宋体"/>
              </w:rPr>
            </w:pPr>
          </w:p>
        </w:tc>
        <w:tc>
          <w:tcPr>
            <w:tcW w:w="5" w:type="pct"/>
            <w:shd w:val="clear" w:color="auto" w:fill="auto"/>
            <w:vAlign w:val="bottom"/>
          </w:tcPr>
          <w:p w14:paraId="675354A4" w14:textId="77777777" w:rsidR="001B77DD" w:rsidRDefault="001B77DD">
            <w:pPr>
              <w:rPr>
                <w:rFonts w:ascii="宋体"/>
              </w:rPr>
            </w:pPr>
          </w:p>
        </w:tc>
        <w:tc>
          <w:tcPr>
            <w:tcW w:w="50" w:type="pct"/>
            <w:shd w:val="clear" w:color="auto" w:fill="auto"/>
            <w:vAlign w:val="bottom"/>
          </w:tcPr>
          <w:p w14:paraId="675354A5" w14:textId="77777777" w:rsidR="001B77DD" w:rsidRDefault="001B77DD">
            <w:pPr>
              <w:rPr>
                <w:rFonts w:ascii="宋体"/>
              </w:rPr>
            </w:pPr>
          </w:p>
        </w:tc>
        <w:tc>
          <w:tcPr>
            <w:tcW w:w="1894" w:type="pct"/>
            <w:shd w:val="clear" w:color="auto" w:fill="auto"/>
            <w:vAlign w:val="bottom"/>
          </w:tcPr>
          <w:p w14:paraId="675354A6" w14:textId="77777777" w:rsidR="001B77DD" w:rsidRDefault="001B77DD">
            <w:pPr>
              <w:rPr>
                <w:rFonts w:ascii="宋体"/>
              </w:rPr>
            </w:pPr>
          </w:p>
        </w:tc>
        <w:tc>
          <w:tcPr>
            <w:tcW w:w="5" w:type="pct"/>
            <w:shd w:val="clear" w:color="auto" w:fill="auto"/>
            <w:vAlign w:val="bottom"/>
          </w:tcPr>
          <w:p w14:paraId="675354A7" w14:textId="77777777" w:rsidR="001B77DD" w:rsidRDefault="001B77DD">
            <w:pPr>
              <w:rPr>
                <w:rFonts w:ascii="宋体"/>
              </w:rPr>
            </w:pPr>
          </w:p>
        </w:tc>
      </w:tr>
      <w:tr w:rsidR="001B77DD" w14:paraId="675354A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A9"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E6" wp14:editId="67538EE7">
                  <wp:extent cx="304800" cy="304800"/>
                  <wp:effectExtent l="0" t="0" r="0" b="0"/>
                  <wp:docPr id="193" name="图片 23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3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AA"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AB" w14:textId="77777777" w:rsidR="001B77DD" w:rsidRDefault="00BF0A28">
            <w:pPr>
              <w:jc w:val="right"/>
              <w:textAlignment w:val="center"/>
            </w:pPr>
            <w:r>
              <w:rPr>
                <w:rFonts w:ascii="Arial" w:eastAsia="宋体" w:hAnsi="Arial" w:cs="Arial"/>
                <w:color w:val="262626"/>
                <w:sz w:val="16"/>
                <w:szCs w:val="16"/>
              </w:rPr>
              <w:t>56</w:t>
            </w:r>
          </w:p>
        </w:tc>
      </w:tr>
    </w:tbl>
    <w:p w14:paraId="675354AD" w14:textId="77777777" w:rsidR="001B77DD" w:rsidRDefault="00BF0A28">
      <w:r>
        <w:pict w14:anchorId="67538EE8">
          <v:rect id="_x0000_i1082" style="width:415.3pt;height:1.5pt" o:hralign="center" o:hrstd="t" o:hr="t" fillcolor="#a0a0a0" stroked="f"/>
        </w:pict>
      </w:r>
    </w:p>
    <w:p w14:paraId="675354AE" w14:textId="77777777" w:rsidR="001B77DD" w:rsidRDefault="00BF0A28">
      <w:pPr>
        <w:jc w:val="right"/>
      </w:pPr>
      <w:hyperlink r:id="rId114" w:anchor="i6c9ced68f6b24d58a3dcf326e8c3c699_16" w:history="1">
        <w:r>
          <w:rPr>
            <w:rStyle w:val="a5"/>
            <w:rFonts w:ascii="Arial" w:eastAsia="宋体" w:hAnsi="Arial" w:cs="Arial"/>
            <w:b/>
            <w:bCs/>
            <w:sz w:val="16"/>
            <w:szCs w:val="16"/>
          </w:rPr>
          <w:t>Table of Contents</w:t>
        </w:r>
      </w:hyperlink>
    </w:p>
    <w:p w14:paraId="675354AF" w14:textId="77777777" w:rsidR="001B77DD" w:rsidRDefault="001B77DD">
      <w:pPr>
        <w:jc w:val="right"/>
      </w:pPr>
    </w:p>
    <w:p w14:paraId="675354B0" w14:textId="77777777" w:rsidR="001B77DD" w:rsidRDefault="00BF0A28">
      <w:pPr>
        <w:spacing w:after="180"/>
      </w:pPr>
      <w:r>
        <w:rPr>
          <w:rFonts w:ascii="Arial" w:eastAsia="宋体" w:hAnsi="Arial" w:cs="Arial"/>
          <w:color w:val="0068B5"/>
        </w:rPr>
        <w:t>We operate globally and are subject to significant risks in many jurisdictions.</w:t>
      </w:r>
    </w:p>
    <w:p w14:paraId="675354B1" w14:textId="77777777" w:rsidR="001B77DD" w:rsidRDefault="00BF0A28">
      <w:pPr>
        <w:spacing w:after="180"/>
      </w:pPr>
      <w:r>
        <w:rPr>
          <w:rFonts w:ascii="Arial" w:eastAsia="宋体" w:hAnsi="Arial" w:cs="Arial"/>
          <w:color w:val="0068B5"/>
          <w:sz w:val="18"/>
          <w:szCs w:val="18"/>
        </w:rPr>
        <w:t>Glo</w:t>
      </w:r>
      <w:r>
        <w:rPr>
          <w:rFonts w:ascii="Arial" w:eastAsia="宋体" w:hAnsi="Arial" w:cs="Arial"/>
          <w:color w:val="0068B5"/>
          <w:sz w:val="18"/>
          <w:szCs w:val="18"/>
        </w:rPr>
        <w:t>bal or regional conditions can harm our financial results.</w:t>
      </w:r>
      <w:r>
        <w:rPr>
          <w:rFonts w:ascii="Arial" w:eastAsia="宋体" w:hAnsi="Arial" w:cs="Arial"/>
          <w:color w:val="0071C5"/>
          <w:sz w:val="18"/>
          <w:szCs w:val="18"/>
        </w:rPr>
        <w:t xml:space="preserve"> </w:t>
      </w:r>
      <w:r>
        <w:rPr>
          <w:rFonts w:ascii="Arial" w:eastAsia="宋体" w:hAnsi="Arial" w:cs="Arial"/>
          <w:color w:val="262626"/>
          <w:sz w:val="18"/>
          <w:szCs w:val="18"/>
        </w:rPr>
        <w:t>We have manufacturing, assembly and test, R&amp;D, sales, and other operations in many countries, and some of our business activities are concentrated in one or more geographic areas. Moreover, sales o</w:t>
      </w:r>
      <w:r>
        <w:rPr>
          <w:rFonts w:ascii="Arial" w:eastAsia="宋体" w:hAnsi="Arial" w:cs="Arial"/>
          <w:color w:val="262626"/>
          <w:sz w:val="18"/>
          <w:szCs w:val="18"/>
        </w:rPr>
        <w:t>utside the US accounted for 82% of our revenue for the fiscal year ended December 25, 2021, with revenue from billings to China contributing 27% of our total revenue. As a result, our operations and our financial results, including our ability to manufactu</w:t>
      </w:r>
      <w:r>
        <w:rPr>
          <w:rFonts w:ascii="Arial" w:eastAsia="宋体" w:hAnsi="Arial" w:cs="Arial"/>
          <w:color w:val="262626"/>
          <w:sz w:val="18"/>
          <w:szCs w:val="18"/>
        </w:rPr>
        <w:t xml:space="preserve">re, assemble and test, design, develop, or sell products, and the demand for our products, are at times adversely affected by a number of global and regional factors outside of our control. </w:t>
      </w:r>
    </w:p>
    <w:p w14:paraId="675354B2" w14:textId="77777777" w:rsidR="001B77DD" w:rsidRDefault="00BF0A28">
      <w:pPr>
        <w:spacing w:after="180"/>
      </w:pPr>
      <w:r>
        <w:rPr>
          <w:rFonts w:ascii="Arial" w:eastAsia="宋体" w:hAnsi="Arial" w:cs="Arial"/>
          <w:color w:val="262626"/>
          <w:sz w:val="18"/>
          <w:szCs w:val="18"/>
        </w:rPr>
        <w:t>Adverse changes in global or regional economic conditions periodi</w:t>
      </w:r>
      <w:r>
        <w:rPr>
          <w:rFonts w:ascii="Arial" w:eastAsia="宋体" w:hAnsi="Arial" w:cs="Arial"/>
          <w:color w:val="262626"/>
          <w:sz w:val="18"/>
          <w:szCs w:val="18"/>
        </w:rPr>
        <w:t>cally occur, including recession or slowing growth, changes or uncertainty in fiscal, monetary, or trade policy, higher interest rates, tighter credit, inflation, lower capital expenditures by businesses including on IT infrastructure, increases in unemplo</w:t>
      </w:r>
      <w:r>
        <w:rPr>
          <w:rFonts w:ascii="Arial" w:eastAsia="宋体" w:hAnsi="Arial" w:cs="Arial"/>
          <w:color w:val="262626"/>
          <w:sz w:val="18"/>
          <w:szCs w:val="18"/>
        </w:rPr>
        <w:t>yment, and lower consumer confidence and spending. Adverse changes in economic conditions, including those related to the COVID-19 pandemic, can significantly harm demand for our products and make it more challenging to forecast our operating results and m</w:t>
      </w:r>
      <w:r>
        <w:rPr>
          <w:rFonts w:ascii="Arial" w:eastAsia="宋体" w:hAnsi="Arial" w:cs="Arial"/>
          <w:color w:val="262626"/>
          <w:sz w:val="18"/>
          <w:szCs w:val="18"/>
        </w:rPr>
        <w:t>ake business decisions, including regarding prioritization of investments in our business. An economic downturn or increased uncertainty may also lead to increased credit and collectability risks, higher borrowing costs or reduced availability of capital a</w:t>
      </w:r>
      <w:r>
        <w:rPr>
          <w:rFonts w:ascii="Arial" w:eastAsia="宋体" w:hAnsi="Arial" w:cs="Arial"/>
          <w:color w:val="262626"/>
          <w:sz w:val="18"/>
          <w:szCs w:val="18"/>
        </w:rPr>
        <w:t>nd credit markets, reduced liquidity, adverse impacts on our suppliers, failures of counterparties including financial institutions and insurers, asset impairments, and declines in the value of our financial instruments.</w:t>
      </w:r>
    </w:p>
    <w:p w14:paraId="675354B3" w14:textId="77777777" w:rsidR="001B77DD" w:rsidRDefault="00BF0A28">
      <w:pPr>
        <w:spacing w:after="120"/>
      </w:pPr>
      <w:r>
        <w:rPr>
          <w:rFonts w:ascii="Arial" w:eastAsia="宋体" w:hAnsi="Arial" w:cs="Arial"/>
          <w:color w:val="262626"/>
          <w:sz w:val="18"/>
          <w:szCs w:val="18"/>
        </w:rPr>
        <w:t>We can be adversely affected by oth</w:t>
      </w:r>
      <w:r>
        <w:rPr>
          <w:rFonts w:ascii="Arial" w:eastAsia="宋体" w:hAnsi="Arial" w:cs="Arial"/>
          <w:color w:val="262626"/>
          <w:sz w:val="18"/>
          <w:szCs w:val="18"/>
        </w:rPr>
        <w:t>er global and regional factors that periodically occur, including:</w:t>
      </w:r>
    </w:p>
    <w:p w14:paraId="675354B4"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geopolitical and security issues, such as armed conflict and civil or military unrest, political instability, human rights concerns, and terrorist activity, including, for example, </w:t>
      </w:r>
      <w:r>
        <w:rPr>
          <w:rFonts w:ascii="Arial" w:eastAsia="宋体" w:hAnsi="Arial" w:cs="Arial"/>
          <w:color w:val="262626"/>
          <w:sz w:val="18"/>
          <w:szCs w:val="18"/>
        </w:rPr>
        <w:t>geopolitical tensions and conflict affecting Israel, where our Mobileye business headquarters and certain of our fabrication facilities are located;</w:t>
      </w:r>
    </w:p>
    <w:p w14:paraId="675354B5"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natural disasters, public health issues </w:t>
      </w:r>
      <w:r>
        <w:rPr>
          <w:rFonts w:ascii="Arial" w:eastAsia="宋体" w:hAnsi="Arial" w:cs="Arial"/>
          <w:color w:val="333333"/>
          <w:sz w:val="18"/>
          <w:szCs w:val="18"/>
          <w:shd w:val="clear" w:color="auto" w:fill="FFFFFF"/>
        </w:rPr>
        <w:t>(including the COVID-19 pandemic)</w:t>
      </w:r>
      <w:r>
        <w:rPr>
          <w:rFonts w:ascii="Arial" w:eastAsia="宋体" w:hAnsi="Arial" w:cs="Arial"/>
          <w:color w:val="262626"/>
          <w:sz w:val="18"/>
          <w:szCs w:val="18"/>
        </w:rPr>
        <w:t>, and other catastrophic events;</w:t>
      </w:r>
    </w:p>
    <w:p w14:paraId="675354B6"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inefficient infrastructure and other disruptions, such as supply chain interruptions and large-scale outages or unreliable provision of services from utilities, transportation, data hosting, or telecommunications providers;</w:t>
      </w:r>
    </w:p>
    <w:p w14:paraId="675354B7"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formal or informal imposition </w:t>
      </w:r>
      <w:r>
        <w:rPr>
          <w:rFonts w:ascii="Arial" w:eastAsia="宋体" w:hAnsi="Arial" w:cs="Arial"/>
          <w:color w:val="262626"/>
          <w:sz w:val="18"/>
          <w:szCs w:val="18"/>
        </w:rPr>
        <w:t>of new or revised export, import, or doing-business regulations, including trade sanctions, tariffs, and changes in the ability to obtain export licenses, which could be changed without notice;</w:t>
      </w:r>
    </w:p>
    <w:p w14:paraId="675354B8"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government restrictions on, or nationalization of, our operat</w:t>
      </w:r>
      <w:r>
        <w:rPr>
          <w:rFonts w:ascii="Arial" w:eastAsia="宋体" w:hAnsi="Arial" w:cs="Arial"/>
          <w:color w:val="262626"/>
          <w:sz w:val="18"/>
          <w:szCs w:val="18"/>
        </w:rPr>
        <w:t>ions in any country, or restrictions on our ability to repatriate earnings from a particular country;</w:t>
      </w:r>
    </w:p>
    <w:p w14:paraId="675354B9"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adverse changes relating to government grants, tax credits, or other government incentives, including more favorable incentives provided to </w:t>
      </w:r>
      <w:r>
        <w:rPr>
          <w:rFonts w:ascii="Arial" w:eastAsia="宋体" w:hAnsi="Arial" w:cs="Arial"/>
          <w:color w:val="262626"/>
          <w:sz w:val="18"/>
          <w:szCs w:val="18"/>
        </w:rPr>
        <w:t>competitors;</w:t>
      </w:r>
    </w:p>
    <w:p w14:paraId="675354BA"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differing employment practices and labor issues;</w:t>
      </w:r>
    </w:p>
    <w:p w14:paraId="675354BB"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ineffective legal protection of our IP rights in certain countries;</w:t>
      </w:r>
    </w:p>
    <w:p w14:paraId="675354BC"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local business and cultural factors that differ from our current standards and practices;</w:t>
      </w:r>
    </w:p>
    <w:p w14:paraId="675354BD"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continuing uncertainty regarding</w:t>
      </w:r>
      <w:r>
        <w:rPr>
          <w:rFonts w:ascii="Arial" w:eastAsia="宋体" w:hAnsi="Arial" w:cs="Arial"/>
          <w:color w:val="262626"/>
          <w:sz w:val="18"/>
          <w:szCs w:val="18"/>
        </w:rPr>
        <w:t xml:space="preserve"> social, political, immigration, and tax and trade policies in the US and abroad; and</w:t>
      </w:r>
    </w:p>
    <w:p w14:paraId="675354BE"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fluctuations in the market values of our domestic and international investments, which can be negatively affected by liquidity, credit deterioration or losses, interest </w:t>
      </w:r>
      <w:r>
        <w:rPr>
          <w:rFonts w:ascii="Arial" w:eastAsia="宋体" w:hAnsi="Arial" w:cs="Arial"/>
          <w:color w:val="262626"/>
          <w:sz w:val="18"/>
          <w:szCs w:val="18"/>
        </w:rPr>
        <w:t>rate changes, financial results, political risk, sovereign risk, or other factors.</w:t>
      </w:r>
    </w:p>
    <w:p w14:paraId="675354BF" w14:textId="77777777" w:rsidR="001B77DD" w:rsidRDefault="00BF0A28">
      <w:pPr>
        <w:spacing w:after="180"/>
      </w:pPr>
      <w:r>
        <w:rPr>
          <w:rFonts w:ascii="Arial" w:eastAsia="宋体" w:hAnsi="Arial" w:cs="Arial"/>
          <w:color w:val="262626"/>
          <w:sz w:val="18"/>
          <w:szCs w:val="18"/>
        </w:rPr>
        <w:t>We are also subject to risks related to the cessation of US dollar LIBOR. Certain of our derivatives and floating-rate investments reference US dollar LIBOR, and a portion o</w:t>
      </w:r>
      <w:r>
        <w:rPr>
          <w:rFonts w:ascii="Arial" w:eastAsia="宋体" w:hAnsi="Arial" w:cs="Arial"/>
          <w:color w:val="262626"/>
          <w:sz w:val="18"/>
          <w:szCs w:val="18"/>
        </w:rPr>
        <w:t xml:space="preserve">f our indebtedness bears interest at variable interest rates, primarily based on US dollar LIBOR. No new US dollar LIBOR-based activity should be conducted after 2021, and US dollar LIBOR will be unavailable for use in our existing contracts and financial </w:t>
      </w:r>
      <w:r>
        <w:rPr>
          <w:rFonts w:ascii="Arial" w:eastAsia="宋体" w:hAnsi="Arial" w:cs="Arial"/>
          <w:color w:val="262626"/>
          <w:sz w:val="18"/>
          <w:szCs w:val="18"/>
        </w:rPr>
        <w:t>instruments beyond June 30, 2023. While reasonable alternatives to LIBOR have been introduced into markets, our transition from LIBOR to alternative reference rates could result in an increase in our interest expense and/or a reduction in our interest inco</w:t>
      </w:r>
      <w:r>
        <w:rPr>
          <w:rFonts w:ascii="Arial" w:eastAsia="宋体" w:hAnsi="Arial" w:cs="Arial"/>
          <w:color w:val="262626"/>
          <w:sz w:val="18"/>
          <w:szCs w:val="18"/>
        </w:rPr>
        <w:t>me.</w:t>
      </w:r>
    </w:p>
    <w:p w14:paraId="675354C0" w14:textId="77777777" w:rsidR="001B77DD" w:rsidRDefault="00BF0A28">
      <w:pPr>
        <w:spacing w:after="180"/>
      </w:pPr>
      <w:r>
        <w:rPr>
          <w:rFonts w:ascii="Arial" w:eastAsia="宋体" w:hAnsi="Arial" w:cs="Arial"/>
          <w:color w:val="0068B5"/>
          <w:sz w:val="18"/>
          <w:szCs w:val="18"/>
        </w:rPr>
        <w:t xml:space="preserve">We are subject to risks related to trade policies and regulations. </w:t>
      </w:r>
      <w:r>
        <w:rPr>
          <w:rFonts w:ascii="Arial" w:eastAsia="宋体" w:hAnsi="Arial" w:cs="Arial"/>
          <w:color w:val="262626"/>
          <w:sz w:val="18"/>
          <w:szCs w:val="18"/>
        </w:rPr>
        <w:t>Trade policies and disputes at times result in increased tariffs, trade barriers, and other protectionist measures, which can increase our manufacturing costs, make our products less co</w:t>
      </w:r>
      <w:r>
        <w:rPr>
          <w:rFonts w:ascii="Arial" w:eastAsia="宋体" w:hAnsi="Arial" w:cs="Arial"/>
          <w:color w:val="262626"/>
          <w:sz w:val="18"/>
          <w:szCs w:val="18"/>
        </w:rPr>
        <w:t>mpetitive, reduce demand for our products, limit our ability to sell to certain customers, limit our ability to procure components or raw materials, or impede or slow the movement of our goods across borders. Increasing protectionism and economic nationali</w:t>
      </w:r>
      <w:r>
        <w:rPr>
          <w:rFonts w:ascii="Arial" w:eastAsia="宋体" w:hAnsi="Arial" w:cs="Arial"/>
          <w:color w:val="262626"/>
          <w:sz w:val="18"/>
          <w:szCs w:val="18"/>
        </w:rPr>
        <w:t xml:space="preserve">sm may lead to further changes in trade policies and regulations, domestic sourcing initiatives, or other formal and informal measures that could make it more difficult to sell our products in, or restrict our access to, some markets. </w:t>
      </w:r>
    </w:p>
    <w:p w14:paraId="675354C1" w14:textId="77777777" w:rsidR="001B77DD" w:rsidRDefault="00BF0A28">
      <w:pPr>
        <w:spacing w:after="180"/>
      </w:pPr>
      <w:r>
        <w:rPr>
          <w:rFonts w:ascii="Arial" w:eastAsia="宋体" w:hAnsi="Arial" w:cs="Arial"/>
          <w:color w:val="262626"/>
          <w:sz w:val="18"/>
          <w:szCs w:val="18"/>
        </w:rPr>
        <w:t>In particular, trade</w:t>
      </w:r>
      <w:r>
        <w:rPr>
          <w:rFonts w:ascii="Arial" w:eastAsia="宋体" w:hAnsi="Arial" w:cs="Arial"/>
          <w:color w:val="262626"/>
          <w:sz w:val="18"/>
          <w:szCs w:val="18"/>
        </w:rPr>
        <w:t xml:space="preserve"> tensions between the US and China have led to increased tariffs and trade restrictions, including tariffs applicable to some of our products, and have affected customer ordering patterns. The US has imposed restrictions on the export of US-regulated produ</w:t>
      </w:r>
      <w:r>
        <w:rPr>
          <w:rFonts w:ascii="Arial" w:eastAsia="宋体" w:hAnsi="Arial" w:cs="Arial"/>
          <w:color w:val="262626"/>
          <w:sz w:val="18"/>
          <w:szCs w:val="18"/>
        </w:rPr>
        <w:t>cts and technology to certain Chinese technology companies, including certain of our customers. These restrictions have reduced our sales, and continuing or future restrictions could adversely affect our financial performance, result in reputational harm t</w:t>
      </w:r>
      <w:r>
        <w:rPr>
          <w:rFonts w:ascii="Arial" w:eastAsia="宋体" w:hAnsi="Arial" w:cs="Arial"/>
          <w:color w:val="262626"/>
          <w:sz w:val="18"/>
          <w:szCs w:val="18"/>
        </w:rPr>
        <w:t>o us, or lead such companies to develop or adopt technologies that compete with our products. It is difficult to predict what further trade-related actions governments may take, which may include trade restrictions and additional or increased tariffs and e</w:t>
      </w:r>
      <w:r>
        <w:rPr>
          <w:rFonts w:ascii="Arial" w:eastAsia="宋体" w:hAnsi="Arial" w:cs="Arial"/>
          <w:color w:val="262626"/>
          <w:sz w:val="18"/>
          <w:szCs w:val="18"/>
        </w:rPr>
        <w:t xml:space="preserve">xport controls imposed on short notice, and we may be unable to quickly and effectively react to or mitigate such actions. </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CB" w14:textId="77777777">
        <w:tc>
          <w:tcPr>
            <w:tcW w:w="50" w:type="pct"/>
            <w:shd w:val="clear" w:color="auto" w:fill="auto"/>
            <w:vAlign w:val="bottom"/>
          </w:tcPr>
          <w:p w14:paraId="675354C2" w14:textId="77777777" w:rsidR="001B77DD" w:rsidRDefault="001B77DD">
            <w:pPr>
              <w:rPr>
                <w:rFonts w:ascii="宋体"/>
              </w:rPr>
            </w:pPr>
          </w:p>
        </w:tc>
        <w:tc>
          <w:tcPr>
            <w:tcW w:w="283" w:type="pct"/>
            <w:shd w:val="clear" w:color="auto" w:fill="auto"/>
            <w:vAlign w:val="bottom"/>
          </w:tcPr>
          <w:p w14:paraId="675354C3" w14:textId="77777777" w:rsidR="001B77DD" w:rsidRDefault="001B77DD">
            <w:pPr>
              <w:rPr>
                <w:rFonts w:ascii="宋体"/>
              </w:rPr>
            </w:pPr>
          </w:p>
        </w:tc>
        <w:tc>
          <w:tcPr>
            <w:tcW w:w="5" w:type="pct"/>
            <w:shd w:val="clear" w:color="auto" w:fill="auto"/>
            <w:vAlign w:val="bottom"/>
          </w:tcPr>
          <w:p w14:paraId="675354C4" w14:textId="77777777" w:rsidR="001B77DD" w:rsidRDefault="001B77DD">
            <w:pPr>
              <w:rPr>
                <w:rFonts w:ascii="宋体"/>
              </w:rPr>
            </w:pPr>
          </w:p>
        </w:tc>
        <w:tc>
          <w:tcPr>
            <w:tcW w:w="50" w:type="pct"/>
            <w:shd w:val="clear" w:color="auto" w:fill="auto"/>
            <w:vAlign w:val="bottom"/>
          </w:tcPr>
          <w:p w14:paraId="675354C5" w14:textId="77777777" w:rsidR="001B77DD" w:rsidRDefault="001B77DD">
            <w:pPr>
              <w:rPr>
                <w:rFonts w:ascii="宋体"/>
              </w:rPr>
            </w:pPr>
          </w:p>
        </w:tc>
        <w:tc>
          <w:tcPr>
            <w:tcW w:w="2656" w:type="pct"/>
            <w:shd w:val="clear" w:color="auto" w:fill="auto"/>
            <w:vAlign w:val="bottom"/>
          </w:tcPr>
          <w:p w14:paraId="675354C6" w14:textId="77777777" w:rsidR="001B77DD" w:rsidRDefault="001B77DD">
            <w:pPr>
              <w:rPr>
                <w:rFonts w:ascii="宋体"/>
              </w:rPr>
            </w:pPr>
          </w:p>
        </w:tc>
        <w:tc>
          <w:tcPr>
            <w:tcW w:w="5" w:type="pct"/>
            <w:shd w:val="clear" w:color="auto" w:fill="auto"/>
            <w:vAlign w:val="bottom"/>
          </w:tcPr>
          <w:p w14:paraId="675354C7" w14:textId="77777777" w:rsidR="001B77DD" w:rsidRDefault="001B77DD">
            <w:pPr>
              <w:rPr>
                <w:rFonts w:ascii="宋体"/>
              </w:rPr>
            </w:pPr>
          </w:p>
        </w:tc>
        <w:tc>
          <w:tcPr>
            <w:tcW w:w="50" w:type="pct"/>
            <w:shd w:val="clear" w:color="auto" w:fill="auto"/>
            <w:vAlign w:val="bottom"/>
          </w:tcPr>
          <w:p w14:paraId="675354C8" w14:textId="77777777" w:rsidR="001B77DD" w:rsidRDefault="001B77DD">
            <w:pPr>
              <w:rPr>
                <w:rFonts w:ascii="宋体"/>
              </w:rPr>
            </w:pPr>
          </w:p>
        </w:tc>
        <w:tc>
          <w:tcPr>
            <w:tcW w:w="1894" w:type="pct"/>
            <w:shd w:val="clear" w:color="auto" w:fill="auto"/>
            <w:vAlign w:val="bottom"/>
          </w:tcPr>
          <w:p w14:paraId="675354C9" w14:textId="77777777" w:rsidR="001B77DD" w:rsidRDefault="001B77DD">
            <w:pPr>
              <w:rPr>
                <w:rFonts w:ascii="宋体"/>
              </w:rPr>
            </w:pPr>
          </w:p>
        </w:tc>
        <w:tc>
          <w:tcPr>
            <w:tcW w:w="5" w:type="pct"/>
            <w:shd w:val="clear" w:color="auto" w:fill="auto"/>
            <w:vAlign w:val="bottom"/>
          </w:tcPr>
          <w:p w14:paraId="675354CA" w14:textId="77777777" w:rsidR="001B77DD" w:rsidRDefault="001B77DD">
            <w:pPr>
              <w:rPr>
                <w:rFonts w:ascii="宋体"/>
              </w:rPr>
            </w:pPr>
          </w:p>
        </w:tc>
      </w:tr>
      <w:tr w:rsidR="001B77DD" w14:paraId="675354C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C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E9" wp14:editId="67538EEA">
                  <wp:extent cx="304800" cy="304800"/>
                  <wp:effectExtent l="0" t="0" r="0" b="0"/>
                  <wp:docPr id="194" name="图片 241"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41"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CD"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CE" w14:textId="77777777" w:rsidR="001B77DD" w:rsidRDefault="00BF0A28">
            <w:pPr>
              <w:jc w:val="right"/>
              <w:textAlignment w:val="center"/>
            </w:pPr>
            <w:r>
              <w:rPr>
                <w:rFonts w:ascii="Arial" w:eastAsia="宋体" w:hAnsi="Arial" w:cs="Arial"/>
                <w:color w:val="262626"/>
                <w:sz w:val="16"/>
                <w:szCs w:val="16"/>
              </w:rPr>
              <w:t>57</w:t>
            </w:r>
          </w:p>
        </w:tc>
      </w:tr>
    </w:tbl>
    <w:p w14:paraId="675354D0" w14:textId="77777777" w:rsidR="001B77DD" w:rsidRDefault="00BF0A28">
      <w:r>
        <w:pict w14:anchorId="67538EEB">
          <v:rect id="_x0000_i1083" style="width:415.3pt;height:1.5pt" o:hralign="center" o:hrstd="t" o:hr="t" fillcolor="#a0a0a0" stroked="f"/>
        </w:pict>
      </w:r>
    </w:p>
    <w:p w14:paraId="675354D1" w14:textId="77777777" w:rsidR="001B77DD" w:rsidRDefault="00BF0A28">
      <w:pPr>
        <w:jc w:val="right"/>
      </w:pPr>
      <w:hyperlink r:id="rId115" w:anchor="i6c9ced68f6b24d58a3dcf326e8c3c699_16" w:history="1">
        <w:r>
          <w:rPr>
            <w:rStyle w:val="a5"/>
            <w:rFonts w:ascii="Arial" w:eastAsia="宋体" w:hAnsi="Arial" w:cs="Arial"/>
            <w:b/>
            <w:bCs/>
            <w:sz w:val="16"/>
            <w:szCs w:val="16"/>
          </w:rPr>
          <w:t>Table of Contents</w:t>
        </w:r>
      </w:hyperlink>
    </w:p>
    <w:p w14:paraId="675354D2" w14:textId="77777777" w:rsidR="001B77DD" w:rsidRDefault="001B77DD">
      <w:pPr>
        <w:jc w:val="right"/>
      </w:pPr>
    </w:p>
    <w:p w14:paraId="675354D3" w14:textId="77777777" w:rsidR="001B77DD" w:rsidRDefault="00BF0A28">
      <w:pPr>
        <w:spacing w:after="180"/>
      </w:pPr>
      <w:r>
        <w:rPr>
          <w:rFonts w:ascii="Arial" w:eastAsia="宋体" w:hAnsi="Arial" w:cs="Arial"/>
          <w:color w:val="262626"/>
          <w:sz w:val="18"/>
          <w:szCs w:val="18"/>
        </w:rPr>
        <w:t>Trade disputes and protectionist measures, or continued uncertainty about such matt</w:t>
      </w:r>
      <w:r>
        <w:rPr>
          <w:rFonts w:ascii="Arial" w:eastAsia="宋体" w:hAnsi="Arial" w:cs="Arial"/>
          <w:color w:val="262626"/>
          <w:sz w:val="18"/>
          <w:szCs w:val="18"/>
        </w:rPr>
        <w:t>ers, could result in declining consumer confidence and slowing economic growth or recession, and could cause our customers to reduce, cancel, or alter the timing of their purchases with us. Sustained geopolitical tensions could lead to long-term changes in</w:t>
      </w:r>
      <w:r>
        <w:rPr>
          <w:rFonts w:ascii="Arial" w:eastAsia="宋体" w:hAnsi="Arial" w:cs="Arial"/>
          <w:color w:val="262626"/>
          <w:sz w:val="18"/>
          <w:szCs w:val="18"/>
        </w:rPr>
        <w:t xml:space="preserve"> global trade and technology supply chains, and decoupling of global trade networks, which could have a material adverse effect on our business and growth prospects.</w:t>
      </w:r>
    </w:p>
    <w:p w14:paraId="675354D4" w14:textId="77777777" w:rsidR="001B77DD" w:rsidRDefault="00BF0A28">
      <w:pPr>
        <w:spacing w:after="180"/>
      </w:pPr>
      <w:r>
        <w:rPr>
          <w:rFonts w:ascii="Arial" w:eastAsia="宋体" w:hAnsi="Arial" w:cs="Arial"/>
          <w:color w:val="0068B5"/>
          <w:sz w:val="18"/>
          <w:szCs w:val="18"/>
        </w:rPr>
        <w:t>Laws and regulations can have a negative impact on our business.</w:t>
      </w:r>
      <w:r>
        <w:rPr>
          <w:rFonts w:ascii="Arial" w:eastAsia="宋体" w:hAnsi="Arial" w:cs="Arial"/>
          <w:color w:val="262626"/>
          <w:sz w:val="18"/>
          <w:szCs w:val="18"/>
        </w:rPr>
        <w:t xml:space="preserve"> We are subject to laws an</w:t>
      </w:r>
      <w:r>
        <w:rPr>
          <w:rFonts w:ascii="Arial" w:eastAsia="宋体" w:hAnsi="Arial" w:cs="Arial"/>
          <w:color w:val="262626"/>
          <w:sz w:val="18"/>
          <w:szCs w:val="18"/>
        </w:rPr>
        <w:t>d regulations worldwide that differ among jurisdictions, affecting our operations in areas including, but not limited to: IP ownership and infringement; tax; import and export requirements; anti-corruption; foreign exchange controls and cash repatriation r</w:t>
      </w:r>
      <w:r>
        <w:rPr>
          <w:rFonts w:ascii="Arial" w:eastAsia="宋体" w:hAnsi="Arial" w:cs="Arial"/>
          <w:color w:val="262626"/>
          <w:sz w:val="18"/>
          <w:szCs w:val="18"/>
        </w:rPr>
        <w:t>estrictions; data privacy and localization requirements; competition; advertising; employment; product regulations; environment, health, and safety requirements; and consumer laws. Compliance with such requirements can be onerous and expensive, and may oth</w:t>
      </w:r>
      <w:r>
        <w:rPr>
          <w:rFonts w:ascii="Arial" w:eastAsia="宋体" w:hAnsi="Arial" w:cs="Arial"/>
          <w:color w:val="262626"/>
          <w:sz w:val="18"/>
          <w:szCs w:val="18"/>
        </w:rPr>
        <w:t>erwise impact our business operations negatively. For example, unfavorable developments with evolving laws and regulations worldwide related to 5G or autonomous driving technology and MaaS may limit global adoption, impede our strategy, or negatively impac</w:t>
      </w:r>
      <w:r>
        <w:rPr>
          <w:rFonts w:ascii="Arial" w:eastAsia="宋体" w:hAnsi="Arial" w:cs="Arial"/>
          <w:color w:val="262626"/>
          <w:sz w:val="18"/>
          <w:szCs w:val="18"/>
        </w:rPr>
        <w:t>t our long-term expectations for our investments in these areas. Expanding privacy legislation and compliance costs of privacy-related and data protection measures could adversely affect our customers and their products and services, particularly in cloud,</w:t>
      </w:r>
      <w:r>
        <w:rPr>
          <w:rFonts w:ascii="Arial" w:eastAsia="宋体" w:hAnsi="Arial" w:cs="Arial"/>
          <w:color w:val="262626"/>
          <w:sz w:val="18"/>
          <w:szCs w:val="18"/>
        </w:rPr>
        <w:t xml:space="preserve"> Internet of Things, and AI applications, which could in turn reduce demand for our products used for those workloads.</w:t>
      </w:r>
    </w:p>
    <w:p w14:paraId="675354D5" w14:textId="77777777" w:rsidR="001B77DD" w:rsidRDefault="00BF0A28">
      <w:pPr>
        <w:spacing w:after="180"/>
      </w:pPr>
      <w:r>
        <w:rPr>
          <w:rFonts w:ascii="Arial" w:eastAsia="宋体" w:hAnsi="Arial" w:cs="Arial"/>
          <w:color w:val="262626"/>
          <w:sz w:val="18"/>
          <w:szCs w:val="18"/>
        </w:rPr>
        <w:t>Although we have policies, controls, and procedures designed to help ensure compliance with applicable laws, there can be no assurance th</w:t>
      </w:r>
      <w:r>
        <w:rPr>
          <w:rFonts w:ascii="Arial" w:eastAsia="宋体" w:hAnsi="Arial" w:cs="Arial"/>
          <w:color w:val="262626"/>
          <w:sz w:val="18"/>
          <w:szCs w:val="18"/>
        </w:rPr>
        <w:t xml:space="preserve">at our employees, contractors, suppliers, or agents will not violate such laws or our policies. Violations of these laws and regulations can result in fines; criminal sanctions against us, our officers, or our employees; prohibitions on the conduct of our </w:t>
      </w:r>
      <w:r>
        <w:rPr>
          <w:rFonts w:ascii="Arial" w:eastAsia="宋体" w:hAnsi="Arial" w:cs="Arial"/>
          <w:color w:val="262626"/>
          <w:sz w:val="18"/>
          <w:szCs w:val="18"/>
        </w:rPr>
        <w:t>business; and damage to our reputation. The technology industry is subject to intense media, political, and regulatory scrutiny, which can increase our exposure to government investigations, legal actions, and penalties.</w:t>
      </w:r>
    </w:p>
    <w:p w14:paraId="675354D6" w14:textId="77777777" w:rsidR="001B77DD" w:rsidRDefault="00BF0A28">
      <w:pPr>
        <w:spacing w:after="180"/>
      </w:pPr>
      <w:r>
        <w:rPr>
          <w:rFonts w:ascii="Arial" w:eastAsia="宋体" w:hAnsi="Arial" w:cs="Arial"/>
          <w:color w:val="0068B5"/>
          <w:sz w:val="18"/>
          <w:szCs w:val="18"/>
        </w:rPr>
        <w:t xml:space="preserve">We are affected by fluctuations in </w:t>
      </w:r>
      <w:r>
        <w:rPr>
          <w:rFonts w:ascii="Arial" w:eastAsia="宋体" w:hAnsi="Arial" w:cs="Arial"/>
          <w:color w:val="0068B5"/>
          <w:sz w:val="18"/>
          <w:szCs w:val="18"/>
        </w:rPr>
        <w:t>currency exchange rates.</w:t>
      </w:r>
      <w:r>
        <w:rPr>
          <w:rFonts w:ascii="Arial" w:eastAsia="宋体" w:hAnsi="Arial" w:cs="Arial"/>
          <w:b/>
          <w:bCs/>
          <w:color w:val="262626"/>
          <w:sz w:val="18"/>
          <w:szCs w:val="18"/>
        </w:rPr>
        <w:t xml:space="preserve"> </w:t>
      </w:r>
      <w:r>
        <w:rPr>
          <w:rFonts w:ascii="Arial" w:eastAsia="宋体" w:hAnsi="Arial" w:cs="Arial"/>
          <w:color w:val="262626"/>
          <w:sz w:val="18"/>
          <w:szCs w:val="18"/>
        </w:rPr>
        <w:t>We are exposed to adverse as well as beneficial movements in currency exchange rates. Although most of our sales occur in US dollars, expenses may be paid in local currencies. An increase in the value of the dollar can increase the</w:t>
      </w:r>
      <w:r>
        <w:rPr>
          <w:rFonts w:ascii="Arial" w:eastAsia="宋体" w:hAnsi="Arial" w:cs="Arial"/>
          <w:color w:val="262626"/>
          <w:sz w:val="18"/>
          <w:szCs w:val="18"/>
        </w:rPr>
        <w:t xml:space="preserve"> real cost to our customers of our products in those markets outside the US where we sell in dollars, and a weakened dollar can increase the cost of expenses such as payroll, utilities, tax, and marketing expenses, as well as overseas capital expenditures.</w:t>
      </w:r>
      <w:r>
        <w:rPr>
          <w:rFonts w:ascii="Arial" w:eastAsia="宋体" w:hAnsi="Arial" w:cs="Arial"/>
          <w:color w:val="262626"/>
          <w:sz w:val="18"/>
          <w:szCs w:val="18"/>
        </w:rPr>
        <w:t> We also conduct certain investing and financing activities in local currencies. Our hedging programs may not be effective to offset any, or more than a portion, of the adverse impact of currency exchange rate movements; therefore, changes in exchange rate</w:t>
      </w:r>
      <w:r>
        <w:rPr>
          <w:rFonts w:ascii="Arial" w:eastAsia="宋体" w:hAnsi="Arial" w:cs="Arial"/>
          <w:color w:val="262626"/>
          <w:sz w:val="18"/>
          <w:szCs w:val="18"/>
        </w:rPr>
        <w:t xml:space="preserve">s can harm our results of operations and financial condition. </w:t>
      </w:r>
    </w:p>
    <w:p w14:paraId="675354D7" w14:textId="77777777" w:rsidR="001B77DD" w:rsidRDefault="00BF0A28">
      <w:pPr>
        <w:spacing w:after="180"/>
      </w:pPr>
      <w:r>
        <w:rPr>
          <w:rFonts w:ascii="Arial" w:eastAsia="宋体" w:hAnsi="Arial" w:cs="Arial"/>
          <w:color w:val="0068B5"/>
          <w:sz w:val="18"/>
          <w:szCs w:val="18"/>
        </w:rPr>
        <w:t>Catastrophic events can have a material adverse effect on our operations and financial results.</w:t>
      </w:r>
      <w:r>
        <w:rPr>
          <w:rFonts w:ascii="Arial" w:eastAsia="宋体" w:hAnsi="Arial" w:cs="Arial"/>
          <w:b/>
          <w:bCs/>
          <w:color w:val="262626"/>
          <w:sz w:val="18"/>
          <w:szCs w:val="18"/>
        </w:rPr>
        <w:t xml:space="preserve"> </w:t>
      </w:r>
      <w:r>
        <w:rPr>
          <w:rFonts w:ascii="Arial" w:eastAsia="宋体" w:hAnsi="Arial" w:cs="Arial"/>
          <w:color w:val="262626"/>
          <w:sz w:val="18"/>
          <w:szCs w:val="18"/>
        </w:rPr>
        <w:t>Our operations and business, and those of our customers and suppliers, can be disrupted by natura</w:t>
      </w:r>
      <w:r>
        <w:rPr>
          <w:rFonts w:ascii="Arial" w:eastAsia="宋体" w:hAnsi="Arial" w:cs="Arial"/>
          <w:color w:val="262626"/>
          <w:sz w:val="18"/>
          <w:szCs w:val="18"/>
        </w:rPr>
        <w:t xml:space="preserve">l disasters; industrial accidents; public health issues </w:t>
      </w:r>
      <w:r>
        <w:rPr>
          <w:rFonts w:ascii="Arial" w:eastAsia="宋体" w:hAnsi="Arial" w:cs="Arial"/>
          <w:color w:val="262626"/>
          <w:sz w:val="18"/>
          <w:szCs w:val="18"/>
          <w:shd w:val="clear" w:color="auto" w:fill="FFFFFF"/>
        </w:rPr>
        <w:t>(including the COVID-19 pandemic)</w:t>
      </w:r>
      <w:r>
        <w:rPr>
          <w:rFonts w:ascii="Arial" w:eastAsia="宋体" w:hAnsi="Arial" w:cs="Arial"/>
          <w:color w:val="262626"/>
          <w:sz w:val="18"/>
          <w:szCs w:val="18"/>
        </w:rPr>
        <w:t>; cybersecurity incidents; interruptions of service from utilities, transportation, telecommunications, or IT systems providers; manufacturing equipment failures; or other catastrophic events. For example, we have at times experienced disruptions in our ma</w:t>
      </w:r>
      <w:r>
        <w:rPr>
          <w:rFonts w:ascii="Arial" w:eastAsia="宋体" w:hAnsi="Arial" w:cs="Arial"/>
          <w:color w:val="262626"/>
          <w:sz w:val="18"/>
          <w:szCs w:val="18"/>
        </w:rPr>
        <w:t>nufacturing processes as a result of power outages, improperly functioning equipment, and disruptions in supply of raw materials or components, including due to cybersecurity incidents affecting our suppliers. Our headquarters and many of our operations an</w:t>
      </w:r>
      <w:r>
        <w:rPr>
          <w:rFonts w:ascii="Arial" w:eastAsia="宋体" w:hAnsi="Arial" w:cs="Arial"/>
          <w:color w:val="262626"/>
          <w:sz w:val="18"/>
          <w:szCs w:val="18"/>
        </w:rPr>
        <w:t xml:space="preserve">d facilities are in locations that are prone to earthquakes and other natural disasters. Global climate change can result in certain natural disasters occurring more frequently or with greater intensity, such as drought, wildfires, storms, sea-level rise, </w:t>
      </w:r>
      <w:r>
        <w:rPr>
          <w:rFonts w:ascii="Arial" w:eastAsia="宋体" w:hAnsi="Arial" w:cs="Arial"/>
          <w:color w:val="262626"/>
          <w:sz w:val="18"/>
          <w:szCs w:val="18"/>
        </w:rPr>
        <w:t>and flooding, and could disrupt the availability of water necessary for the operation of our fabrication facilities, including facilities located in water-sensitive regions such as Arizona and Israel. In addition, to the extent we are unable to successfull</w:t>
      </w:r>
      <w:r>
        <w:rPr>
          <w:rFonts w:ascii="Arial" w:eastAsia="宋体" w:hAnsi="Arial" w:cs="Arial"/>
          <w:color w:val="262626"/>
          <w:sz w:val="18"/>
          <w:szCs w:val="18"/>
        </w:rPr>
        <w:t>y manage and conserve water resources, our reputation could be harmed. In recent years, the west coast of the US has experienced significant wildfires, including in Oregon, where we have major manufacturing facilities. The long-term effects of climate chan</w:t>
      </w:r>
      <w:r>
        <w:rPr>
          <w:rFonts w:ascii="Arial" w:eastAsia="宋体" w:hAnsi="Arial" w:cs="Arial"/>
          <w:color w:val="262626"/>
          <w:sz w:val="18"/>
          <w:szCs w:val="18"/>
        </w:rPr>
        <w:t xml:space="preserve">ge on the global economy and the technology industry in particular are unclear, but could be severe. </w:t>
      </w:r>
    </w:p>
    <w:p w14:paraId="675354D8" w14:textId="77777777" w:rsidR="001B77DD" w:rsidRDefault="00BF0A28">
      <w:pPr>
        <w:spacing w:after="180"/>
      </w:pPr>
      <w:r>
        <w:rPr>
          <w:rFonts w:ascii="Arial" w:eastAsia="宋体" w:hAnsi="Arial" w:cs="Arial"/>
          <w:color w:val="262626"/>
          <w:sz w:val="18"/>
          <w:szCs w:val="18"/>
        </w:rPr>
        <w:t>Catastrophic events could make it difficult or impossible to manufacture or deliver products to our customers, receive production materials from our suppl</w:t>
      </w:r>
      <w:r>
        <w:rPr>
          <w:rFonts w:ascii="Arial" w:eastAsia="宋体" w:hAnsi="Arial" w:cs="Arial"/>
          <w:color w:val="262626"/>
          <w:sz w:val="18"/>
          <w:szCs w:val="18"/>
        </w:rPr>
        <w:t xml:space="preserve">iers, or perform critical functions, which could adversely affect our revenue and require significant recovery time and expenditures to resume operations. While we maintain business recovery plans, some of our systems are not fully redundant and we cannot </w:t>
      </w:r>
      <w:r>
        <w:rPr>
          <w:rFonts w:ascii="Arial" w:eastAsia="宋体" w:hAnsi="Arial" w:cs="Arial"/>
          <w:color w:val="262626"/>
          <w:sz w:val="18"/>
          <w:szCs w:val="18"/>
        </w:rPr>
        <w:t>be sure that our plans will fully protect us from such disruptions. Furthermore, even if our operations are unaffected or recover quickly, if our customers or suppliers cannot timely resume their own operations due to a catastrophic event, we may experienc</w:t>
      </w:r>
      <w:r>
        <w:rPr>
          <w:rFonts w:ascii="Arial" w:eastAsia="宋体" w:hAnsi="Arial" w:cs="Arial"/>
          <w:color w:val="262626"/>
          <w:sz w:val="18"/>
          <w:szCs w:val="18"/>
        </w:rPr>
        <w:t>e reduced or cancelled orders or disruptions to our supply chain that may adversely affect our results of operations.</w:t>
      </w:r>
    </w:p>
    <w:p w14:paraId="675354D9" w14:textId="77777777" w:rsidR="001B77DD" w:rsidRDefault="00BF0A28">
      <w:pPr>
        <w:spacing w:after="180"/>
      </w:pPr>
      <w:r>
        <w:rPr>
          <w:rFonts w:ascii="Arial" w:eastAsia="宋体" w:hAnsi="Arial" w:cs="Arial"/>
          <w:color w:val="262626"/>
          <w:sz w:val="18"/>
          <w:szCs w:val="18"/>
        </w:rPr>
        <w:t>We maintain a program of insurance coverage for a variety of property, casualty, and other risks. The types and amounts of insurance we ob</w:t>
      </w:r>
      <w:r>
        <w:rPr>
          <w:rFonts w:ascii="Arial" w:eastAsia="宋体" w:hAnsi="Arial" w:cs="Arial"/>
          <w:color w:val="262626"/>
          <w:sz w:val="18"/>
          <w:szCs w:val="18"/>
        </w:rPr>
        <w:t>tain vary depending on availability, cost, and decisions with respect to risk retention. Some of our policies have large deductibles and broad exclusions. In addition, one or more of our insurance providers may be unable or unwilling to pay a claim. Losses</w:t>
      </w:r>
      <w:r>
        <w:rPr>
          <w:rFonts w:ascii="Arial" w:eastAsia="宋体" w:hAnsi="Arial" w:cs="Arial"/>
          <w:color w:val="262626"/>
          <w:sz w:val="18"/>
          <w:szCs w:val="18"/>
        </w:rPr>
        <w:t xml:space="preserve"> not covered by insurance may be large, which could harm our results of operations and financial condition.</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E3" w14:textId="77777777">
        <w:tc>
          <w:tcPr>
            <w:tcW w:w="50" w:type="pct"/>
            <w:shd w:val="clear" w:color="auto" w:fill="auto"/>
            <w:vAlign w:val="bottom"/>
          </w:tcPr>
          <w:p w14:paraId="675354DA" w14:textId="77777777" w:rsidR="001B77DD" w:rsidRDefault="001B77DD">
            <w:pPr>
              <w:rPr>
                <w:rFonts w:ascii="宋体"/>
              </w:rPr>
            </w:pPr>
          </w:p>
        </w:tc>
        <w:tc>
          <w:tcPr>
            <w:tcW w:w="283" w:type="pct"/>
            <w:shd w:val="clear" w:color="auto" w:fill="auto"/>
            <w:vAlign w:val="bottom"/>
          </w:tcPr>
          <w:p w14:paraId="675354DB" w14:textId="77777777" w:rsidR="001B77DD" w:rsidRDefault="001B77DD">
            <w:pPr>
              <w:rPr>
                <w:rFonts w:ascii="宋体"/>
              </w:rPr>
            </w:pPr>
          </w:p>
        </w:tc>
        <w:tc>
          <w:tcPr>
            <w:tcW w:w="5" w:type="pct"/>
            <w:shd w:val="clear" w:color="auto" w:fill="auto"/>
            <w:vAlign w:val="bottom"/>
          </w:tcPr>
          <w:p w14:paraId="675354DC" w14:textId="77777777" w:rsidR="001B77DD" w:rsidRDefault="001B77DD">
            <w:pPr>
              <w:rPr>
                <w:rFonts w:ascii="宋体"/>
              </w:rPr>
            </w:pPr>
          </w:p>
        </w:tc>
        <w:tc>
          <w:tcPr>
            <w:tcW w:w="50" w:type="pct"/>
            <w:shd w:val="clear" w:color="auto" w:fill="auto"/>
            <w:vAlign w:val="bottom"/>
          </w:tcPr>
          <w:p w14:paraId="675354DD" w14:textId="77777777" w:rsidR="001B77DD" w:rsidRDefault="001B77DD">
            <w:pPr>
              <w:rPr>
                <w:rFonts w:ascii="宋体"/>
              </w:rPr>
            </w:pPr>
          </w:p>
        </w:tc>
        <w:tc>
          <w:tcPr>
            <w:tcW w:w="2656" w:type="pct"/>
            <w:shd w:val="clear" w:color="auto" w:fill="auto"/>
            <w:vAlign w:val="bottom"/>
          </w:tcPr>
          <w:p w14:paraId="675354DE" w14:textId="77777777" w:rsidR="001B77DD" w:rsidRDefault="001B77DD">
            <w:pPr>
              <w:rPr>
                <w:rFonts w:ascii="宋体"/>
              </w:rPr>
            </w:pPr>
          </w:p>
        </w:tc>
        <w:tc>
          <w:tcPr>
            <w:tcW w:w="5" w:type="pct"/>
            <w:shd w:val="clear" w:color="auto" w:fill="auto"/>
            <w:vAlign w:val="bottom"/>
          </w:tcPr>
          <w:p w14:paraId="675354DF" w14:textId="77777777" w:rsidR="001B77DD" w:rsidRDefault="001B77DD">
            <w:pPr>
              <w:rPr>
                <w:rFonts w:ascii="宋体"/>
              </w:rPr>
            </w:pPr>
          </w:p>
        </w:tc>
        <w:tc>
          <w:tcPr>
            <w:tcW w:w="50" w:type="pct"/>
            <w:shd w:val="clear" w:color="auto" w:fill="auto"/>
            <w:vAlign w:val="bottom"/>
          </w:tcPr>
          <w:p w14:paraId="675354E0" w14:textId="77777777" w:rsidR="001B77DD" w:rsidRDefault="001B77DD">
            <w:pPr>
              <w:rPr>
                <w:rFonts w:ascii="宋体"/>
              </w:rPr>
            </w:pPr>
          </w:p>
        </w:tc>
        <w:tc>
          <w:tcPr>
            <w:tcW w:w="1894" w:type="pct"/>
            <w:shd w:val="clear" w:color="auto" w:fill="auto"/>
            <w:vAlign w:val="bottom"/>
          </w:tcPr>
          <w:p w14:paraId="675354E1" w14:textId="77777777" w:rsidR="001B77DD" w:rsidRDefault="001B77DD">
            <w:pPr>
              <w:rPr>
                <w:rFonts w:ascii="宋体"/>
              </w:rPr>
            </w:pPr>
          </w:p>
        </w:tc>
        <w:tc>
          <w:tcPr>
            <w:tcW w:w="5" w:type="pct"/>
            <w:shd w:val="clear" w:color="auto" w:fill="auto"/>
            <w:vAlign w:val="bottom"/>
          </w:tcPr>
          <w:p w14:paraId="675354E2" w14:textId="77777777" w:rsidR="001B77DD" w:rsidRDefault="001B77DD">
            <w:pPr>
              <w:rPr>
                <w:rFonts w:ascii="宋体"/>
              </w:rPr>
            </w:pPr>
          </w:p>
        </w:tc>
      </w:tr>
      <w:tr w:rsidR="001B77DD" w14:paraId="675354E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E4"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EC" wp14:editId="67538EED">
                  <wp:extent cx="304800" cy="304800"/>
                  <wp:effectExtent l="0" t="0" r="0" b="0"/>
                  <wp:docPr id="195" name="图片 24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4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E5"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E6" w14:textId="77777777" w:rsidR="001B77DD" w:rsidRDefault="00BF0A28">
            <w:pPr>
              <w:jc w:val="right"/>
              <w:textAlignment w:val="center"/>
            </w:pPr>
            <w:r>
              <w:rPr>
                <w:rFonts w:ascii="Arial" w:eastAsia="宋体" w:hAnsi="Arial" w:cs="Arial"/>
                <w:color w:val="262626"/>
                <w:sz w:val="16"/>
                <w:szCs w:val="16"/>
              </w:rPr>
              <w:t>58</w:t>
            </w:r>
          </w:p>
        </w:tc>
      </w:tr>
    </w:tbl>
    <w:p w14:paraId="675354E8" w14:textId="77777777" w:rsidR="001B77DD" w:rsidRDefault="00BF0A28">
      <w:r>
        <w:pict w14:anchorId="67538EEE">
          <v:rect id="_x0000_i1084" style="width:415.3pt;height:1.5pt" o:hralign="center" o:hrstd="t" o:hr="t" fillcolor="#a0a0a0" stroked="f"/>
        </w:pict>
      </w:r>
    </w:p>
    <w:p w14:paraId="675354E9" w14:textId="77777777" w:rsidR="001B77DD" w:rsidRDefault="00BF0A28">
      <w:pPr>
        <w:jc w:val="right"/>
      </w:pPr>
      <w:hyperlink r:id="rId116" w:anchor="i6c9ced68f6b24d58a3dcf326e8c3c699_16" w:history="1">
        <w:r>
          <w:rPr>
            <w:rStyle w:val="a5"/>
            <w:rFonts w:ascii="Arial" w:eastAsia="宋体" w:hAnsi="Arial" w:cs="Arial"/>
            <w:b/>
            <w:bCs/>
            <w:sz w:val="16"/>
            <w:szCs w:val="16"/>
          </w:rPr>
          <w:t>Table of Contents</w:t>
        </w:r>
      </w:hyperlink>
    </w:p>
    <w:p w14:paraId="675354EA" w14:textId="77777777" w:rsidR="001B77DD" w:rsidRDefault="001B77DD">
      <w:pPr>
        <w:jc w:val="right"/>
      </w:pPr>
    </w:p>
    <w:p w14:paraId="675354EB" w14:textId="77777777" w:rsidR="001B77DD" w:rsidRDefault="00BF0A28">
      <w:pPr>
        <w:spacing w:after="180"/>
      </w:pPr>
      <w:r>
        <w:rPr>
          <w:rFonts w:ascii="Arial" w:eastAsia="宋体" w:hAnsi="Arial" w:cs="Arial"/>
          <w:color w:val="0068B5"/>
          <w:sz w:val="18"/>
          <w:szCs w:val="18"/>
        </w:rPr>
        <w:t>Damage to our reputation can damage our business.</w:t>
      </w:r>
      <w:r>
        <w:rPr>
          <w:rFonts w:ascii="Arial" w:eastAsia="宋体" w:hAnsi="Arial" w:cs="Arial"/>
          <w:color w:val="262626"/>
          <w:sz w:val="18"/>
          <w:szCs w:val="18"/>
        </w:rPr>
        <w:t xml:space="preserve"> Our reputation is a critical factor in our relationships with customers, employees, governments, suppliers, and other stakeholders. Our failure to address, or the appearance of our failure to address, issues that give rise to reputational risk, including </w:t>
      </w:r>
      <w:r>
        <w:rPr>
          <w:rFonts w:ascii="Arial" w:eastAsia="宋体" w:hAnsi="Arial" w:cs="Arial"/>
          <w:color w:val="262626"/>
          <w:sz w:val="18"/>
          <w:szCs w:val="18"/>
        </w:rPr>
        <w:t>those described throughout this Risk Factors section, could significantly harm our reputation and our brands. Our reputation can be impacted by catastrophic events (including our response to the COVID-19 pandemic); incidents involving unethical behavior or</w:t>
      </w:r>
      <w:r>
        <w:rPr>
          <w:rFonts w:ascii="Arial" w:eastAsia="宋体" w:hAnsi="Arial" w:cs="Arial"/>
          <w:color w:val="262626"/>
          <w:sz w:val="18"/>
          <w:szCs w:val="18"/>
        </w:rPr>
        <w:t xml:space="preserve"> misconduct; product quality, security, or safety issues; allegations of legal noncompliance; internal control failures; corporate governance issues; data breaches; workplace safety incidents; environmental incidents; our response to climate change, includ</w:t>
      </w:r>
      <w:r>
        <w:rPr>
          <w:rFonts w:ascii="Arial" w:eastAsia="宋体" w:hAnsi="Arial" w:cs="Arial"/>
          <w:color w:val="262626"/>
          <w:sz w:val="18"/>
          <w:szCs w:val="18"/>
        </w:rPr>
        <w:t xml:space="preserve">ing our greenhouse gas emission levels; the use of our products for illegal or objectionable applications, including AI and machine learning applications that present ethical, regulatory, or other issues; marketing practices; media statements; the conduct </w:t>
      </w:r>
      <w:r>
        <w:rPr>
          <w:rFonts w:ascii="Arial" w:eastAsia="宋体" w:hAnsi="Arial" w:cs="Arial"/>
          <w:color w:val="262626"/>
          <w:sz w:val="18"/>
          <w:szCs w:val="18"/>
        </w:rPr>
        <w:t>of our suppliers or representatives; and other issues, incidents, or statements that, whether actual or perceived, result in adverse publicity. To the extent we fail to respond quickly and effectively to address corporate crises, the ensuing negative publi</w:t>
      </w:r>
      <w:r>
        <w:rPr>
          <w:rFonts w:ascii="Arial" w:eastAsia="宋体" w:hAnsi="Arial" w:cs="Arial"/>
          <w:color w:val="262626"/>
          <w:sz w:val="18"/>
          <w:szCs w:val="18"/>
        </w:rPr>
        <w:t xml:space="preserve">c reaction could significantly harm our reputation and our brands and could lead to increases in litigation claims and asserted damages or subject us to regulatory actions or restrictions. </w:t>
      </w:r>
    </w:p>
    <w:p w14:paraId="675354EC" w14:textId="77777777" w:rsidR="001B77DD" w:rsidRDefault="00BF0A28">
      <w:pPr>
        <w:spacing w:after="180"/>
      </w:pPr>
      <w:r>
        <w:rPr>
          <w:rFonts w:ascii="Arial" w:eastAsia="宋体" w:hAnsi="Arial" w:cs="Arial"/>
          <w:color w:val="262626"/>
          <w:sz w:val="18"/>
          <w:szCs w:val="18"/>
        </w:rPr>
        <w:t xml:space="preserve">Damage to our reputation could reduce demand for our products and </w:t>
      </w:r>
      <w:r>
        <w:rPr>
          <w:rFonts w:ascii="Arial" w:eastAsia="宋体" w:hAnsi="Arial" w:cs="Arial"/>
          <w:color w:val="262626"/>
          <w:sz w:val="18"/>
          <w:szCs w:val="18"/>
        </w:rPr>
        <w:t>adversely affect our business and operating environment. It could reduce investor confidence in us, adversely affecting our stock price. It may also limit our ability to be seen as an employer of choice when competing for highly skilled employees. Moreover</w:t>
      </w:r>
      <w:r>
        <w:rPr>
          <w:rFonts w:ascii="Arial" w:eastAsia="宋体" w:hAnsi="Arial" w:cs="Arial"/>
          <w:color w:val="262626"/>
          <w:sz w:val="18"/>
          <w:szCs w:val="18"/>
        </w:rPr>
        <w:t>, repairing our reputation and brands may be difficult, time-consuming, and expensive.</w:t>
      </w:r>
    </w:p>
    <w:p w14:paraId="675354ED" w14:textId="77777777" w:rsidR="001B77DD" w:rsidRDefault="00BF0A28">
      <w:pPr>
        <w:spacing w:after="120"/>
      </w:pPr>
      <w:r>
        <w:rPr>
          <w:rFonts w:ascii="Arial" w:eastAsia="宋体" w:hAnsi="Arial" w:cs="Arial"/>
          <w:color w:val="0068B5"/>
        </w:rPr>
        <w:t>We are subject to cybersecurity and privacy risks.</w:t>
      </w:r>
    </w:p>
    <w:p w14:paraId="675354EE" w14:textId="77777777" w:rsidR="001B77DD" w:rsidRDefault="00BF0A28">
      <w:pPr>
        <w:spacing w:after="180"/>
      </w:pPr>
      <w:r>
        <w:rPr>
          <w:rFonts w:ascii="Arial" w:eastAsia="宋体" w:hAnsi="Arial" w:cs="Arial"/>
          <w:color w:val="0068B5"/>
          <w:sz w:val="18"/>
          <w:szCs w:val="18"/>
        </w:rPr>
        <w:t>We face risks related to cybersecurity threats and incidents.</w:t>
      </w:r>
      <w:r>
        <w:rPr>
          <w:rFonts w:ascii="Arial" w:eastAsia="宋体" w:hAnsi="Arial" w:cs="Arial"/>
          <w:color w:val="262626"/>
          <w:sz w:val="18"/>
          <w:szCs w:val="18"/>
        </w:rPr>
        <w:t> We regularly face attempts by others to gain unauthorize</w:t>
      </w:r>
      <w:r>
        <w:rPr>
          <w:rFonts w:ascii="Arial" w:eastAsia="宋体" w:hAnsi="Arial" w:cs="Arial"/>
          <w:color w:val="262626"/>
          <w:sz w:val="18"/>
          <w:szCs w:val="18"/>
        </w:rPr>
        <w:t>d access through the Internet, or to introduce malicious software, to our IT systems. Individuals or organizations, including malicious hackers, state-sponsored organizations, insider threats including employees and third-party service providers, or intrud</w:t>
      </w:r>
      <w:r>
        <w:rPr>
          <w:rFonts w:ascii="Arial" w:eastAsia="宋体" w:hAnsi="Arial" w:cs="Arial"/>
          <w:color w:val="262626"/>
          <w:sz w:val="18"/>
          <w:szCs w:val="18"/>
        </w:rPr>
        <w:t>ers into our physical facilities, at times attempt to gain unauthorized access and/or corrupt the processes used to design and manufacture our hardware products and our associated software and services. Due to the widespread use of our products, we are a f</w:t>
      </w:r>
      <w:r>
        <w:rPr>
          <w:rFonts w:ascii="Arial" w:eastAsia="宋体" w:hAnsi="Arial" w:cs="Arial"/>
          <w:color w:val="262626"/>
          <w:sz w:val="18"/>
          <w:szCs w:val="18"/>
        </w:rPr>
        <w:t>requent target of computer hackers and organizations that intend to sabotage, compromise, take control of, or otherwise corrupt our manufacturing or other processes, products, and services. We are also a target of malicious attackers who attempt to gain ac</w:t>
      </w:r>
      <w:r>
        <w:rPr>
          <w:rFonts w:ascii="Arial" w:eastAsia="宋体" w:hAnsi="Arial" w:cs="Arial"/>
          <w:color w:val="262626"/>
          <w:sz w:val="18"/>
          <w:szCs w:val="18"/>
        </w:rPr>
        <w:t>cess to our network or data centers or those of our suppliers, customers, partners, or end users; steal proprietary information related to our business, products, employees, suppliers, and customers; interrupt our systems and services or those of our suppl</w:t>
      </w:r>
      <w:r>
        <w:rPr>
          <w:rFonts w:ascii="Arial" w:eastAsia="宋体" w:hAnsi="Arial" w:cs="Arial"/>
          <w:color w:val="262626"/>
          <w:sz w:val="18"/>
          <w:szCs w:val="18"/>
        </w:rPr>
        <w:t>iers, customers, or others; or demand ransom to return control of such systems and services. Such attempts are increasing in number and in technical sophistication, and if successful, expose us and the affected parties to risk of loss or misuse of propriet</w:t>
      </w:r>
      <w:r>
        <w:rPr>
          <w:rFonts w:ascii="Arial" w:eastAsia="宋体" w:hAnsi="Arial" w:cs="Arial"/>
          <w:color w:val="262626"/>
          <w:sz w:val="18"/>
          <w:szCs w:val="18"/>
        </w:rPr>
        <w:t>ary or confidential information or disruptions of our business operations, including our manufacturing operations. Our IT infrastructure also includes products and services provided by third parties, and these providers can experience breaches of their sys</w:t>
      </w:r>
      <w:r>
        <w:rPr>
          <w:rFonts w:ascii="Arial" w:eastAsia="宋体" w:hAnsi="Arial" w:cs="Arial"/>
          <w:color w:val="262626"/>
          <w:sz w:val="18"/>
          <w:szCs w:val="18"/>
        </w:rPr>
        <w:t>tems and products, or provide inadequate updates or support, which can impact the security of our systems and our proprietary or confidential information.</w:t>
      </w:r>
    </w:p>
    <w:p w14:paraId="675354EF" w14:textId="77777777" w:rsidR="001B77DD" w:rsidRDefault="00BF0A28">
      <w:pPr>
        <w:spacing w:after="180"/>
      </w:pPr>
      <w:r>
        <w:rPr>
          <w:rFonts w:ascii="Arial" w:eastAsia="宋体" w:hAnsi="Arial" w:cs="Arial"/>
          <w:color w:val="262626"/>
          <w:sz w:val="18"/>
          <w:szCs w:val="18"/>
        </w:rPr>
        <w:t>From time to time, we encounter intrusions or unauthorized access to our network, products, services,</w:t>
      </w:r>
      <w:r>
        <w:rPr>
          <w:rFonts w:ascii="Arial" w:eastAsia="宋体" w:hAnsi="Arial" w:cs="Arial"/>
          <w:color w:val="262626"/>
          <w:sz w:val="18"/>
          <w:szCs w:val="18"/>
        </w:rPr>
        <w:t xml:space="preserve"> or infrastructure, as well as those of third parties who provide products and services to us. For example, in the fourth quarter of 2020, our Habana Labs subsidiary’s network was breached, resulting in unauthorized third-party access of certain confidenti</w:t>
      </w:r>
      <w:r>
        <w:rPr>
          <w:rFonts w:ascii="Arial" w:eastAsia="宋体" w:hAnsi="Arial" w:cs="Arial"/>
          <w:color w:val="262626"/>
          <w:sz w:val="18"/>
          <w:szCs w:val="18"/>
        </w:rPr>
        <w:t>al information, in connection with a suspected unsuccessful ransomware attack. The breach was confined to our subsidiary's network and has not had a material impact on Habana Labs’ business. We are also subject to risks associated with attacks involving ou</w:t>
      </w:r>
      <w:r>
        <w:rPr>
          <w:rFonts w:ascii="Arial" w:eastAsia="宋体" w:hAnsi="Arial" w:cs="Arial"/>
          <w:color w:val="262626"/>
          <w:sz w:val="18"/>
          <w:szCs w:val="18"/>
        </w:rPr>
        <w:t>r supply chain, such as the compromise of IT infrastructure management software provided by SolarWinds Corporation, reported in the fourth quarter of 2020. During 2021, we have observed an increase in ransomware attacks in our supply chain. In December 202</w:t>
      </w:r>
      <w:r>
        <w:rPr>
          <w:rFonts w:ascii="Arial" w:eastAsia="宋体" w:hAnsi="Arial" w:cs="Arial"/>
          <w:color w:val="262626"/>
          <w:sz w:val="18"/>
          <w:szCs w:val="18"/>
        </w:rPr>
        <w:t>1, a vulnerability named “Log4Shell” was reported for the widely used Java logging library, Apache Log4j 2. We have reviewed the use of this library within our software product portfolio and in our IT environment and have taken steps to mitigate the vulner</w:t>
      </w:r>
      <w:r>
        <w:rPr>
          <w:rFonts w:ascii="Arial" w:eastAsia="宋体" w:hAnsi="Arial" w:cs="Arial"/>
          <w:color w:val="262626"/>
          <w:sz w:val="18"/>
          <w:szCs w:val="18"/>
        </w:rPr>
        <w:t>ability. To date, cybersecurity incidents have not resulted in a material adverse impact to our business or operations, but there can be no guarantee we will not experience such an impact. Such incidents, whether or not successful, could result in our incu</w:t>
      </w:r>
      <w:r>
        <w:rPr>
          <w:rFonts w:ascii="Arial" w:eastAsia="宋体" w:hAnsi="Arial" w:cs="Arial"/>
          <w:color w:val="262626"/>
          <w:sz w:val="18"/>
          <w:szCs w:val="18"/>
        </w:rPr>
        <w:t>rring significant costs related to, for example, rebuilding internal systems, writing down inventory value, implementing additional threat protection measures, providing modifications to our products and services, defending against litigation, responding t</w:t>
      </w:r>
      <w:r>
        <w:rPr>
          <w:rFonts w:ascii="Arial" w:eastAsia="宋体" w:hAnsi="Arial" w:cs="Arial"/>
          <w:color w:val="262626"/>
          <w:sz w:val="18"/>
          <w:szCs w:val="18"/>
        </w:rPr>
        <w:t>o regulatory inquiries or actions, paying damages, providing customers with incentives to maintain the business relationship, or taking other remedial steps with respect to third parties, as well as reputational harm. In addition, these threats are constan</w:t>
      </w:r>
      <w:r>
        <w:rPr>
          <w:rFonts w:ascii="Arial" w:eastAsia="宋体" w:hAnsi="Arial" w:cs="Arial"/>
          <w:color w:val="262626"/>
          <w:sz w:val="18"/>
          <w:szCs w:val="18"/>
        </w:rPr>
        <w:t>tly evolving, thereby increasing the difficulty of successfully defending against them or implementing adequate preventative measures. As a result of the COVID-19 pandemic, remote work and remote access to our systems has increased significantly, which als</w:t>
      </w:r>
      <w:r>
        <w:rPr>
          <w:rFonts w:ascii="Arial" w:eastAsia="宋体" w:hAnsi="Arial" w:cs="Arial"/>
          <w:color w:val="262626"/>
          <w:sz w:val="18"/>
          <w:szCs w:val="18"/>
        </w:rPr>
        <w:t>o increases our cybersecurity attack surface. We have also seen an increase in cyberattack volume, frequency, and sophistication driven by the global enablement of remote workforces. We seek to detect and investigate unauthorized attempts and attacks again</w:t>
      </w:r>
      <w:r>
        <w:rPr>
          <w:rFonts w:ascii="Arial" w:eastAsia="宋体" w:hAnsi="Arial" w:cs="Arial"/>
          <w:color w:val="262626"/>
          <w:sz w:val="18"/>
          <w:szCs w:val="18"/>
        </w:rPr>
        <w:t>st our network, products, and services, and to prevent their recurrence where practicable through changes or updates to our internal processes and tools and changes or updates to our products and services; however, we remain potentially vulnerable to addit</w:t>
      </w:r>
      <w:r>
        <w:rPr>
          <w:rFonts w:ascii="Arial" w:eastAsia="宋体" w:hAnsi="Arial" w:cs="Arial"/>
          <w:color w:val="262626"/>
          <w:sz w:val="18"/>
          <w:szCs w:val="18"/>
        </w:rPr>
        <w:t xml:space="preserve">ional known or unknown threats. In some instances, we, our suppliers, our customers, and the users of our products and services can be unaware of an incident or its magnitude and effects. There is increasing regulation regarding responses to cybersecurity </w:t>
      </w:r>
      <w:r>
        <w:rPr>
          <w:rFonts w:ascii="Arial" w:eastAsia="宋体" w:hAnsi="Arial" w:cs="Arial"/>
          <w:color w:val="262626"/>
          <w:sz w:val="18"/>
          <w:szCs w:val="18"/>
        </w:rPr>
        <w:t>incidents, including reporting to regulators, which could subject us to additional liability and reputational harm.</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4F9" w14:textId="77777777">
        <w:tc>
          <w:tcPr>
            <w:tcW w:w="50" w:type="pct"/>
            <w:shd w:val="clear" w:color="auto" w:fill="auto"/>
            <w:vAlign w:val="bottom"/>
          </w:tcPr>
          <w:p w14:paraId="675354F0" w14:textId="77777777" w:rsidR="001B77DD" w:rsidRDefault="001B77DD">
            <w:pPr>
              <w:rPr>
                <w:rFonts w:ascii="宋体"/>
              </w:rPr>
            </w:pPr>
          </w:p>
        </w:tc>
        <w:tc>
          <w:tcPr>
            <w:tcW w:w="283" w:type="pct"/>
            <w:shd w:val="clear" w:color="auto" w:fill="auto"/>
            <w:vAlign w:val="bottom"/>
          </w:tcPr>
          <w:p w14:paraId="675354F1" w14:textId="77777777" w:rsidR="001B77DD" w:rsidRDefault="001B77DD">
            <w:pPr>
              <w:rPr>
                <w:rFonts w:ascii="宋体"/>
              </w:rPr>
            </w:pPr>
          </w:p>
        </w:tc>
        <w:tc>
          <w:tcPr>
            <w:tcW w:w="5" w:type="pct"/>
            <w:shd w:val="clear" w:color="auto" w:fill="auto"/>
            <w:vAlign w:val="bottom"/>
          </w:tcPr>
          <w:p w14:paraId="675354F2" w14:textId="77777777" w:rsidR="001B77DD" w:rsidRDefault="001B77DD">
            <w:pPr>
              <w:rPr>
                <w:rFonts w:ascii="宋体"/>
              </w:rPr>
            </w:pPr>
          </w:p>
        </w:tc>
        <w:tc>
          <w:tcPr>
            <w:tcW w:w="50" w:type="pct"/>
            <w:shd w:val="clear" w:color="auto" w:fill="auto"/>
            <w:vAlign w:val="bottom"/>
          </w:tcPr>
          <w:p w14:paraId="675354F3" w14:textId="77777777" w:rsidR="001B77DD" w:rsidRDefault="001B77DD">
            <w:pPr>
              <w:rPr>
                <w:rFonts w:ascii="宋体"/>
              </w:rPr>
            </w:pPr>
          </w:p>
        </w:tc>
        <w:tc>
          <w:tcPr>
            <w:tcW w:w="2656" w:type="pct"/>
            <w:shd w:val="clear" w:color="auto" w:fill="auto"/>
            <w:vAlign w:val="bottom"/>
          </w:tcPr>
          <w:p w14:paraId="675354F4" w14:textId="77777777" w:rsidR="001B77DD" w:rsidRDefault="001B77DD">
            <w:pPr>
              <w:rPr>
                <w:rFonts w:ascii="宋体"/>
              </w:rPr>
            </w:pPr>
          </w:p>
        </w:tc>
        <w:tc>
          <w:tcPr>
            <w:tcW w:w="5" w:type="pct"/>
            <w:shd w:val="clear" w:color="auto" w:fill="auto"/>
            <w:vAlign w:val="bottom"/>
          </w:tcPr>
          <w:p w14:paraId="675354F5" w14:textId="77777777" w:rsidR="001B77DD" w:rsidRDefault="001B77DD">
            <w:pPr>
              <w:rPr>
                <w:rFonts w:ascii="宋体"/>
              </w:rPr>
            </w:pPr>
          </w:p>
        </w:tc>
        <w:tc>
          <w:tcPr>
            <w:tcW w:w="50" w:type="pct"/>
            <w:shd w:val="clear" w:color="auto" w:fill="auto"/>
            <w:vAlign w:val="bottom"/>
          </w:tcPr>
          <w:p w14:paraId="675354F6" w14:textId="77777777" w:rsidR="001B77DD" w:rsidRDefault="001B77DD">
            <w:pPr>
              <w:rPr>
                <w:rFonts w:ascii="宋体"/>
              </w:rPr>
            </w:pPr>
          </w:p>
        </w:tc>
        <w:tc>
          <w:tcPr>
            <w:tcW w:w="1894" w:type="pct"/>
            <w:shd w:val="clear" w:color="auto" w:fill="auto"/>
            <w:vAlign w:val="bottom"/>
          </w:tcPr>
          <w:p w14:paraId="675354F7" w14:textId="77777777" w:rsidR="001B77DD" w:rsidRDefault="001B77DD">
            <w:pPr>
              <w:rPr>
                <w:rFonts w:ascii="宋体"/>
              </w:rPr>
            </w:pPr>
          </w:p>
        </w:tc>
        <w:tc>
          <w:tcPr>
            <w:tcW w:w="5" w:type="pct"/>
            <w:shd w:val="clear" w:color="auto" w:fill="auto"/>
            <w:vAlign w:val="bottom"/>
          </w:tcPr>
          <w:p w14:paraId="675354F8" w14:textId="77777777" w:rsidR="001B77DD" w:rsidRDefault="001B77DD">
            <w:pPr>
              <w:rPr>
                <w:rFonts w:ascii="宋体"/>
              </w:rPr>
            </w:pPr>
          </w:p>
        </w:tc>
      </w:tr>
      <w:tr w:rsidR="001B77DD" w14:paraId="675354F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4F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EF" wp14:editId="67538EF0">
                  <wp:extent cx="304800" cy="304800"/>
                  <wp:effectExtent l="0" t="0" r="0" b="0"/>
                  <wp:docPr id="196" name="图片 24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45"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FB"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4FC" w14:textId="77777777" w:rsidR="001B77DD" w:rsidRDefault="00BF0A28">
            <w:pPr>
              <w:jc w:val="right"/>
              <w:textAlignment w:val="center"/>
            </w:pPr>
            <w:r>
              <w:rPr>
                <w:rFonts w:ascii="Arial" w:eastAsia="宋体" w:hAnsi="Arial" w:cs="Arial"/>
                <w:color w:val="262626"/>
                <w:sz w:val="16"/>
                <w:szCs w:val="16"/>
              </w:rPr>
              <w:t>59</w:t>
            </w:r>
          </w:p>
        </w:tc>
      </w:tr>
    </w:tbl>
    <w:p w14:paraId="675354FE" w14:textId="77777777" w:rsidR="001B77DD" w:rsidRDefault="00BF0A28">
      <w:r>
        <w:pict w14:anchorId="67538EF1">
          <v:rect id="_x0000_i1085" style="width:415.3pt;height:1.5pt" o:hralign="center" o:hrstd="t" o:hr="t" fillcolor="#a0a0a0" stroked="f"/>
        </w:pict>
      </w:r>
    </w:p>
    <w:p w14:paraId="675354FF" w14:textId="77777777" w:rsidR="001B77DD" w:rsidRDefault="00BF0A28">
      <w:pPr>
        <w:jc w:val="right"/>
      </w:pPr>
      <w:hyperlink r:id="rId117" w:anchor="i6c9ced68f6b24d58a3dcf326e8c3c699_16" w:history="1">
        <w:r>
          <w:rPr>
            <w:rStyle w:val="a5"/>
            <w:rFonts w:ascii="Arial" w:eastAsia="宋体" w:hAnsi="Arial" w:cs="Arial"/>
            <w:b/>
            <w:bCs/>
            <w:sz w:val="16"/>
            <w:szCs w:val="16"/>
          </w:rPr>
          <w:t>Table of Contents</w:t>
        </w:r>
      </w:hyperlink>
    </w:p>
    <w:p w14:paraId="67535500" w14:textId="77777777" w:rsidR="001B77DD" w:rsidRDefault="001B77DD">
      <w:pPr>
        <w:jc w:val="right"/>
      </w:pPr>
    </w:p>
    <w:p w14:paraId="67535501" w14:textId="77777777" w:rsidR="001B77DD" w:rsidRDefault="00BF0A28">
      <w:pPr>
        <w:spacing w:after="180"/>
      </w:pPr>
      <w:r>
        <w:rPr>
          <w:rFonts w:ascii="Arial" w:eastAsia="宋体" w:hAnsi="Arial" w:cs="Arial"/>
          <w:color w:val="0068B5"/>
          <w:sz w:val="18"/>
          <w:szCs w:val="18"/>
        </w:rPr>
        <w:t xml:space="preserve">Theft, loss, or misuse of personal data about our employees, customers, or </w:t>
      </w:r>
      <w:r>
        <w:rPr>
          <w:rFonts w:ascii="Arial" w:eastAsia="宋体" w:hAnsi="Arial" w:cs="Arial"/>
          <w:color w:val="0068B5"/>
          <w:sz w:val="18"/>
          <w:szCs w:val="18"/>
        </w:rPr>
        <w:t>other third parties could increase our expenses, damage our reputation, or result in legal or regulatory proceedings.</w:t>
      </w:r>
      <w:r>
        <w:rPr>
          <w:rFonts w:ascii="Arial" w:eastAsia="宋体" w:hAnsi="Arial" w:cs="Arial"/>
          <w:color w:val="262626"/>
          <w:sz w:val="18"/>
          <w:szCs w:val="18"/>
        </w:rPr>
        <w:t xml:space="preserve"> The theft, loss, or misuse of personal data collected, used, stored, or transferred by us to run our business, including data stored with </w:t>
      </w:r>
      <w:r>
        <w:rPr>
          <w:rFonts w:ascii="Arial" w:eastAsia="宋体" w:hAnsi="Arial" w:cs="Arial"/>
          <w:color w:val="262626"/>
          <w:sz w:val="18"/>
          <w:szCs w:val="18"/>
        </w:rPr>
        <w:t>vendors or other third parties, could result in significantly increased business and security costs or costs related to defending legal claims. We anticipate that our collection of such personal data will increase as we enter into the MaaS market in our Mo</w:t>
      </w:r>
      <w:r>
        <w:rPr>
          <w:rFonts w:ascii="Arial" w:eastAsia="宋体" w:hAnsi="Arial" w:cs="Arial"/>
          <w:color w:val="262626"/>
          <w:sz w:val="18"/>
          <w:szCs w:val="18"/>
        </w:rPr>
        <w:t>bileye business, and it may increase as we enter into other new or adjacent businesses. Global privacy legislation, enforcement, and policy activity in this area are rapidly expanding and creating a complex regulatory compliance environment. Costs to compl</w:t>
      </w:r>
      <w:r>
        <w:rPr>
          <w:rFonts w:ascii="Arial" w:eastAsia="宋体" w:hAnsi="Arial" w:cs="Arial"/>
          <w:color w:val="262626"/>
          <w:sz w:val="18"/>
          <w:szCs w:val="18"/>
        </w:rPr>
        <w:t>y with and implement these privacy-related and data protection measures could be significant, and noncompliance could expose us to significant monetary penalties, damage to our reputation, suspension of online services or sites in certain countries, and ev</w:t>
      </w:r>
      <w:r>
        <w:rPr>
          <w:rFonts w:ascii="Arial" w:eastAsia="宋体" w:hAnsi="Arial" w:cs="Arial"/>
          <w:color w:val="262626"/>
          <w:sz w:val="18"/>
          <w:szCs w:val="18"/>
        </w:rPr>
        <w:t xml:space="preserve">en criminal sanctions. Even our inadvertent failure to comply with federal, state, or international privacy-related or data-protection laws and regulations could result in audits, regulatory inquiries, or proceedings against us by governmental entities or </w:t>
      </w:r>
      <w:r>
        <w:rPr>
          <w:rFonts w:ascii="Arial" w:eastAsia="宋体" w:hAnsi="Arial" w:cs="Arial"/>
          <w:color w:val="262626"/>
          <w:sz w:val="18"/>
          <w:szCs w:val="18"/>
        </w:rPr>
        <w:t>other third parties.</w:t>
      </w:r>
    </w:p>
    <w:p w14:paraId="67535502" w14:textId="77777777" w:rsidR="001B77DD" w:rsidRDefault="00BF0A28">
      <w:pPr>
        <w:spacing w:after="120"/>
      </w:pPr>
      <w:r>
        <w:rPr>
          <w:rFonts w:ascii="Arial" w:eastAsia="宋体" w:hAnsi="Arial" w:cs="Arial"/>
          <w:color w:val="0068B5"/>
        </w:rPr>
        <w:t xml:space="preserve">We are subject to IP risks and risks associated with litigation and regulatory proceedings. </w:t>
      </w:r>
    </w:p>
    <w:p w14:paraId="67535503" w14:textId="77777777" w:rsidR="001B77DD" w:rsidRDefault="00BF0A28">
      <w:pPr>
        <w:spacing w:after="180"/>
      </w:pPr>
      <w:r>
        <w:rPr>
          <w:rFonts w:ascii="Arial" w:eastAsia="宋体" w:hAnsi="Arial" w:cs="Arial"/>
          <w:color w:val="0068B5"/>
          <w:sz w:val="18"/>
          <w:szCs w:val="18"/>
        </w:rPr>
        <w:t>We cannot always protect our IP or enforce our IP rights.</w:t>
      </w:r>
      <w:r>
        <w:rPr>
          <w:rFonts w:ascii="Arial" w:eastAsia="宋体" w:hAnsi="Arial" w:cs="Arial"/>
          <w:color w:val="026DCE"/>
          <w:sz w:val="18"/>
          <w:szCs w:val="18"/>
        </w:rPr>
        <w:t xml:space="preserve"> </w:t>
      </w:r>
      <w:r>
        <w:rPr>
          <w:rFonts w:ascii="Arial" w:eastAsia="宋体" w:hAnsi="Arial" w:cs="Arial"/>
          <w:color w:val="262626"/>
          <w:sz w:val="18"/>
          <w:szCs w:val="18"/>
        </w:rPr>
        <w:t>We regard our patents, copyrights, trade secrets, and other IP rights as important t</w:t>
      </w:r>
      <w:r>
        <w:rPr>
          <w:rFonts w:ascii="Arial" w:eastAsia="宋体" w:hAnsi="Arial" w:cs="Arial"/>
          <w:color w:val="262626"/>
          <w:sz w:val="18"/>
          <w:szCs w:val="18"/>
        </w:rPr>
        <w:t xml:space="preserve">o the success of our business. We rely on IP law—as well as confidentiality and licensing agreements with our customers, employees, technology development partners, and others—to protect our IP and IP rights. Our ability to enforce these rights is subject </w:t>
      </w:r>
      <w:r>
        <w:rPr>
          <w:rFonts w:ascii="Arial" w:eastAsia="宋体" w:hAnsi="Arial" w:cs="Arial"/>
          <w:color w:val="262626"/>
          <w:sz w:val="18"/>
          <w:szCs w:val="18"/>
        </w:rPr>
        <w:t>to general litigation risks, as well as uncertainty as to the enforceability of our IP rights in various countries. We are not always able to obtain protection for our IP or enforce or protect our IP rights. Enforcement is costly and time-consuming and can</w:t>
      </w:r>
      <w:r>
        <w:rPr>
          <w:rFonts w:ascii="Arial" w:eastAsia="宋体" w:hAnsi="Arial" w:cs="Arial"/>
          <w:color w:val="262626"/>
          <w:sz w:val="18"/>
          <w:szCs w:val="18"/>
        </w:rPr>
        <w:t xml:space="preserve"> divert management attention. When we seek to enforce our rights, we may be subject to claims that our IP rights are invalid, not enforceable, or licensed to an opposing party. Our assertion of IP rights may result in another party seeking to assert claims</w:t>
      </w:r>
      <w:r>
        <w:rPr>
          <w:rFonts w:ascii="Arial" w:eastAsia="宋体" w:hAnsi="Arial" w:cs="Arial"/>
          <w:color w:val="262626"/>
          <w:sz w:val="18"/>
          <w:szCs w:val="18"/>
        </w:rPr>
        <w:t xml:space="preserve"> against us, which could harm our business. From time to time, governments adopt regulations—and governments or courts render decisions—requiring compulsory licensing of IP rights, or governments require products to meet standards that favor local companie</w:t>
      </w:r>
      <w:r>
        <w:rPr>
          <w:rFonts w:ascii="Arial" w:eastAsia="宋体" w:hAnsi="Arial" w:cs="Arial"/>
          <w:color w:val="262626"/>
          <w:sz w:val="18"/>
          <w:szCs w:val="18"/>
        </w:rPr>
        <w:t xml:space="preserve">s. Our inability to enforce our IP rights under any of these circumstances can harm our competitive position and business. </w:t>
      </w:r>
      <w:r>
        <w:rPr>
          <w:rFonts w:ascii="Arial" w:eastAsia="宋体" w:hAnsi="Arial" w:cs="Arial"/>
          <w:color w:val="333333"/>
          <w:sz w:val="18"/>
          <w:szCs w:val="18"/>
        </w:rPr>
        <w:t xml:space="preserve">In some cases, our IP rights can offer inadequate protection for our innovations. </w:t>
      </w:r>
      <w:r>
        <w:rPr>
          <w:rFonts w:ascii="Arial" w:eastAsia="宋体" w:hAnsi="Arial" w:cs="Arial"/>
          <w:color w:val="262626"/>
          <w:sz w:val="18"/>
          <w:szCs w:val="18"/>
        </w:rPr>
        <w:t>In addition, the theft or unauthorized use or publi</w:t>
      </w:r>
      <w:r>
        <w:rPr>
          <w:rFonts w:ascii="Arial" w:eastAsia="宋体" w:hAnsi="Arial" w:cs="Arial"/>
          <w:color w:val="262626"/>
          <w:sz w:val="18"/>
          <w:szCs w:val="18"/>
        </w:rPr>
        <w:t>cation of our trade secrets and other confidential business information could harm our competitive position and reduce acceptance of our products; as a result, the value of our investment in R&amp;D, product development, and marketing could be reduced. This ri</w:t>
      </w:r>
      <w:r>
        <w:rPr>
          <w:rFonts w:ascii="Arial" w:eastAsia="宋体" w:hAnsi="Arial" w:cs="Arial"/>
          <w:color w:val="262626"/>
          <w:sz w:val="18"/>
          <w:szCs w:val="18"/>
        </w:rPr>
        <w:t>sk is heightened as competitors for technical talent increasingly seek to hire our employees</w:t>
      </w:r>
      <w:r>
        <w:rPr>
          <w:rFonts w:ascii="Times New Roman" w:eastAsia="宋体" w:hAnsi="Times New Roman"/>
          <w:color w:val="262626"/>
          <w:sz w:val="18"/>
          <w:szCs w:val="18"/>
        </w:rPr>
        <w:t>.</w:t>
      </w:r>
    </w:p>
    <w:p w14:paraId="67535504" w14:textId="77777777" w:rsidR="001B77DD" w:rsidRDefault="00BF0A28">
      <w:pPr>
        <w:spacing w:after="180"/>
      </w:pPr>
      <w:r>
        <w:rPr>
          <w:rFonts w:ascii="Arial" w:eastAsia="宋体" w:hAnsi="Arial" w:cs="Arial"/>
          <w:color w:val="0068B5"/>
          <w:sz w:val="18"/>
          <w:szCs w:val="18"/>
        </w:rPr>
        <w:t xml:space="preserve">Our licenses with other companies and participation in industry initiatives at times allow competitors to use some of our patent rights. </w:t>
      </w:r>
      <w:r>
        <w:rPr>
          <w:rFonts w:ascii="Arial" w:eastAsia="宋体" w:hAnsi="Arial" w:cs="Arial"/>
          <w:color w:val="262626"/>
          <w:sz w:val="18"/>
          <w:szCs w:val="18"/>
        </w:rPr>
        <w:t>Technology companies ofte</w:t>
      </w:r>
      <w:r>
        <w:rPr>
          <w:rFonts w:ascii="Arial" w:eastAsia="宋体" w:hAnsi="Arial" w:cs="Arial"/>
          <w:color w:val="262626"/>
          <w:sz w:val="18"/>
          <w:szCs w:val="18"/>
        </w:rPr>
        <w:t>n bilaterally license patents between each other to settle disputes or as part of business agreements. Some of our competitors have in the past had, and may in the future have, licenses to some of our patents, and under current case law, some of the licens</w:t>
      </w:r>
      <w:r>
        <w:rPr>
          <w:rFonts w:ascii="Arial" w:eastAsia="宋体" w:hAnsi="Arial" w:cs="Arial"/>
          <w:color w:val="262626"/>
          <w:sz w:val="18"/>
          <w:szCs w:val="18"/>
        </w:rPr>
        <w:t>es can exhaust our patent rights as to licensed product sales under some circumstances. Our participation in industry standards organizations or with other industry initiatives at times requires us to offer to license our patents to companies that adopt in</w:t>
      </w:r>
      <w:r>
        <w:rPr>
          <w:rFonts w:ascii="Arial" w:eastAsia="宋体" w:hAnsi="Arial" w:cs="Arial"/>
          <w:color w:val="262626"/>
          <w:sz w:val="18"/>
          <w:szCs w:val="18"/>
        </w:rPr>
        <w:t>dustry-standard specifications. Depending on the rules of the organization, government regulations, or court decisions, we sometimes have to grant licenses to some of our patents for little or no cost, and as a result, we may be unable to enforce certain p</w:t>
      </w:r>
      <w:r>
        <w:rPr>
          <w:rFonts w:ascii="Arial" w:eastAsia="宋体" w:hAnsi="Arial" w:cs="Arial"/>
          <w:color w:val="262626"/>
          <w:sz w:val="18"/>
          <w:szCs w:val="18"/>
        </w:rPr>
        <w:t>atents against others, and the value of our IP rights may be impaired.</w:t>
      </w:r>
    </w:p>
    <w:p w14:paraId="67535505" w14:textId="77777777" w:rsidR="001B77DD" w:rsidRDefault="00BF0A28">
      <w:pPr>
        <w:spacing w:after="180"/>
      </w:pPr>
      <w:r>
        <w:rPr>
          <w:rFonts w:ascii="Arial" w:eastAsia="宋体" w:hAnsi="Arial" w:cs="Arial"/>
          <w:color w:val="0068B5"/>
          <w:sz w:val="18"/>
          <w:szCs w:val="18"/>
        </w:rPr>
        <w:t>Third parties assert claims based on IP rights against us and our products, which could harm our business.</w:t>
      </w:r>
      <w:r>
        <w:rPr>
          <w:rFonts w:ascii="Arial" w:eastAsia="宋体" w:hAnsi="Arial" w:cs="Arial"/>
          <w:i/>
          <w:iCs/>
          <w:color w:val="026DCE"/>
          <w:sz w:val="18"/>
          <w:szCs w:val="18"/>
        </w:rPr>
        <w:t xml:space="preserve"> </w:t>
      </w:r>
      <w:r>
        <w:rPr>
          <w:rFonts w:ascii="Arial" w:eastAsia="宋体" w:hAnsi="Arial" w:cs="Arial"/>
          <w:color w:val="262626"/>
          <w:sz w:val="18"/>
          <w:szCs w:val="18"/>
        </w:rPr>
        <w:t xml:space="preserve">We face claims based on IP rights from individuals, companies, </w:t>
      </w:r>
      <w:r>
        <w:rPr>
          <w:rFonts w:ascii="Arial" w:eastAsia="宋体" w:hAnsi="Arial" w:cs="Arial"/>
          <w:color w:val="262626"/>
          <w:sz w:val="18"/>
          <w:szCs w:val="18"/>
        </w:rPr>
        <w:t>non-practicing entities, academic and research institutions, and other parties, including claims from those who have aggregated patents acquired from multiple sources to form a new, larger portfolio to assert claims against us and other companies. Addition</w:t>
      </w:r>
      <w:r>
        <w:rPr>
          <w:rFonts w:ascii="Arial" w:eastAsia="宋体" w:hAnsi="Arial" w:cs="Arial"/>
          <w:color w:val="262626"/>
          <w:sz w:val="18"/>
          <w:szCs w:val="18"/>
        </w:rPr>
        <w:t>ally, large patent portfolio owners sometimes divest portions of their portfolios to more than one individual or company, increasing the number of parties who own IP rights previously all held by a single party. We have seen an increase in patent assertion</w:t>
      </w:r>
      <w:r>
        <w:rPr>
          <w:rFonts w:ascii="Arial" w:eastAsia="宋体" w:hAnsi="Arial" w:cs="Arial"/>
          <w:color w:val="262626"/>
          <w:sz w:val="18"/>
          <w:szCs w:val="18"/>
        </w:rPr>
        <w:t>s and lawsuits initiated by well-funded non-practicing entities, including entities funded by investment firms and other third parties. In some instances, these entities have filed multi-jurisdiction litigation seeking large monetary damages and/or injunct</w:t>
      </w:r>
      <w:r>
        <w:rPr>
          <w:rFonts w:ascii="Arial" w:eastAsia="宋体" w:hAnsi="Arial" w:cs="Arial"/>
          <w:color w:val="262626"/>
          <w:sz w:val="18"/>
          <w:szCs w:val="18"/>
        </w:rPr>
        <w:t>ions against us. These lawsuits can increase our cost of doing business and could disrupt our operations if they succeed in blocking the trade of our products. For example, in the multi-jurisdiction litigation brought against us by VLSI, a jury in one of t</w:t>
      </w:r>
      <w:r>
        <w:rPr>
          <w:rFonts w:ascii="Arial" w:eastAsia="宋体" w:hAnsi="Arial" w:cs="Arial"/>
          <w:color w:val="262626"/>
          <w:sz w:val="18"/>
          <w:szCs w:val="18"/>
        </w:rPr>
        <w:t>he pending US federal court cases returned a verdict in February 2021 awarding approximately $2.2 billion in damages to VLSI, as discussed in Note 19: Commitments and Contingencies within the Consolidated Financial Statements. The patent litigation environ</w:t>
      </w:r>
      <w:r>
        <w:rPr>
          <w:rFonts w:ascii="Arial" w:eastAsia="宋体" w:hAnsi="Arial" w:cs="Arial"/>
          <w:color w:val="262626"/>
          <w:sz w:val="18"/>
          <w:szCs w:val="18"/>
        </w:rPr>
        <w:t>ment has also become more challenging due to the emergence of venues adopting procedural and substantive rules that make them more favorable for patent asserters, including the availability of injunctive relief for non-practicing entities, and the US Paten</w:t>
      </w:r>
      <w:r>
        <w:rPr>
          <w:rFonts w:ascii="Arial" w:eastAsia="宋体" w:hAnsi="Arial" w:cs="Arial"/>
          <w:color w:val="262626"/>
          <w:sz w:val="18"/>
          <w:szCs w:val="18"/>
        </w:rPr>
        <w:t>t and Trademark Office’s reduction of inter partes patent review under the America Invents Act. As a result, we believe we are facing a more hostile IP litigation environment.</w:t>
      </w:r>
    </w:p>
    <w:p w14:paraId="67535506" w14:textId="77777777" w:rsidR="001B77DD" w:rsidRDefault="00BF0A28">
      <w:pPr>
        <w:spacing w:after="180"/>
      </w:pPr>
      <w:r>
        <w:rPr>
          <w:rFonts w:ascii="Arial" w:eastAsia="宋体" w:hAnsi="Arial" w:cs="Arial"/>
          <w:color w:val="262626"/>
          <w:sz w:val="18"/>
          <w:szCs w:val="18"/>
        </w:rPr>
        <w:t>We are typically engaged in a number of disputes involving IP rights. Claims tha</w:t>
      </w:r>
      <w:r>
        <w:rPr>
          <w:rFonts w:ascii="Arial" w:eastAsia="宋体" w:hAnsi="Arial" w:cs="Arial"/>
          <w:color w:val="262626"/>
          <w:sz w:val="18"/>
          <w:szCs w:val="18"/>
        </w:rPr>
        <w:t xml:space="preserve">t our products, technologies, or processes infringe the IP rights of others, regardless of their merits, cause us to incur large costs to respond to, defend, and resolve the claims, and they divert the efforts and attention of our management and technical </w:t>
      </w:r>
      <w:r>
        <w:rPr>
          <w:rFonts w:ascii="Arial" w:eastAsia="宋体" w:hAnsi="Arial" w:cs="Arial"/>
          <w:color w:val="262626"/>
          <w:sz w:val="18"/>
          <w:szCs w:val="18"/>
        </w:rPr>
        <w:t>personnel from our business and operations. In addition, we may face claims based on the alleged theft or unauthorized use or disclosure of third-party trade secrets, confidential information, or end-user data that we obtain in conducting our business. Any</w:t>
      </w:r>
      <w:r>
        <w:rPr>
          <w:rFonts w:ascii="Arial" w:eastAsia="宋体" w:hAnsi="Arial" w:cs="Arial"/>
          <w:color w:val="262626"/>
          <w:sz w:val="18"/>
          <w:szCs w:val="18"/>
        </w:rPr>
        <w:t xml:space="preserve"> such incidents and claims could severely disrupt our business, and we could suffer losses, including the cost of product recalls and returns, and reputational harm. Furthermore, we have agreed to indemnify customers for certain IP rights claims against th</w:t>
      </w:r>
      <w:r>
        <w:rPr>
          <w:rFonts w:ascii="Arial" w:eastAsia="宋体" w:hAnsi="Arial" w:cs="Arial"/>
          <w:color w:val="262626"/>
          <w:sz w:val="18"/>
          <w:szCs w:val="18"/>
        </w:rPr>
        <w:t>em. IP rights claims against our customers could also limit demand for our products or disrupt our customers' businesses, which could in turn adversely affect our results of operations.</w:t>
      </w:r>
    </w:p>
    <w:p w14:paraId="67535507" w14:textId="77777777" w:rsidR="001B77DD" w:rsidRDefault="00BF0A28">
      <w:pPr>
        <w:spacing w:after="120"/>
      </w:pPr>
      <w:r>
        <w:rPr>
          <w:rFonts w:ascii="Arial" w:eastAsia="宋体" w:hAnsi="Arial" w:cs="Arial"/>
          <w:color w:val="262626"/>
          <w:sz w:val="18"/>
          <w:szCs w:val="18"/>
        </w:rPr>
        <w:t>As a result of IP rights claims, we could:</w:t>
      </w:r>
    </w:p>
    <w:p w14:paraId="67535508"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pay monetary damages, paym</w:t>
      </w:r>
      <w:r>
        <w:rPr>
          <w:rFonts w:ascii="Arial" w:eastAsia="宋体" w:hAnsi="Arial" w:cs="Arial"/>
          <w:color w:val="262626"/>
          <w:sz w:val="18"/>
          <w:szCs w:val="18"/>
        </w:rPr>
        <w:t>ents to satisfy indemnification obligations, royalties, fines, or penalties;</w:t>
      </w:r>
    </w:p>
    <w:p w14:paraId="67535509"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stop manufacturing, using, selling, offering to sell, or importing products or technology subject to claims;    </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513" w14:textId="77777777">
        <w:tc>
          <w:tcPr>
            <w:tcW w:w="50" w:type="pct"/>
            <w:shd w:val="clear" w:color="auto" w:fill="auto"/>
            <w:vAlign w:val="bottom"/>
          </w:tcPr>
          <w:p w14:paraId="6753550A" w14:textId="77777777" w:rsidR="001B77DD" w:rsidRDefault="001B77DD">
            <w:pPr>
              <w:rPr>
                <w:rFonts w:ascii="宋体"/>
              </w:rPr>
            </w:pPr>
          </w:p>
        </w:tc>
        <w:tc>
          <w:tcPr>
            <w:tcW w:w="283" w:type="pct"/>
            <w:shd w:val="clear" w:color="auto" w:fill="auto"/>
            <w:vAlign w:val="bottom"/>
          </w:tcPr>
          <w:p w14:paraId="6753550B" w14:textId="77777777" w:rsidR="001B77DD" w:rsidRDefault="001B77DD">
            <w:pPr>
              <w:rPr>
                <w:rFonts w:ascii="宋体"/>
              </w:rPr>
            </w:pPr>
          </w:p>
        </w:tc>
        <w:tc>
          <w:tcPr>
            <w:tcW w:w="5" w:type="pct"/>
            <w:shd w:val="clear" w:color="auto" w:fill="auto"/>
            <w:vAlign w:val="bottom"/>
          </w:tcPr>
          <w:p w14:paraId="6753550C" w14:textId="77777777" w:rsidR="001B77DD" w:rsidRDefault="001B77DD">
            <w:pPr>
              <w:rPr>
                <w:rFonts w:ascii="宋体"/>
              </w:rPr>
            </w:pPr>
          </w:p>
        </w:tc>
        <w:tc>
          <w:tcPr>
            <w:tcW w:w="50" w:type="pct"/>
            <w:shd w:val="clear" w:color="auto" w:fill="auto"/>
            <w:vAlign w:val="bottom"/>
          </w:tcPr>
          <w:p w14:paraId="6753550D" w14:textId="77777777" w:rsidR="001B77DD" w:rsidRDefault="001B77DD">
            <w:pPr>
              <w:rPr>
                <w:rFonts w:ascii="宋体"/>
              </w:rPr>
            </w:pPr>
          </w:p>
        </w:tc>
        <w:tc>
          <w:tcPr>
            <w:tcW w:w="2656" w:type="pct"/>
            <w:shd w:val="clear" w:color="auto" w:fill="auto"/>
            <w:vAlign w:val="bottom"/>
          </w:tcPr>
          <w:p w14:paraId="6753550E" w14:textId="77777777" w:rsidR="001B77DD" w:rsidRDefault="001B77DD">
            <w:pPr>
              <w:rPr>
                <w:rFonts w:ascii="宋体"/>
              </w:rPr>
            </w:pPr>
          </w:p>
        </w:tc>
        <w:tc>
          <w:tcPr>
            <w:tcW w:w="5" w:type="pct"/>
            <w:shd w:val="clear" w:color="auto" w:fill="auto"/>
            <w:vAlign w:val="bottom"/>
          </w:tcPr>
          <w:p w14:paraId="6753550F" w14:textId="77777777" w:rsidR="001B77DD" w:rsidRDefault="001B77DD">
            <w:pPr>
              <w:rPr>
                <w:rFonts w:ascii="宋体"/>
              </w:rPr>
            </w:pPr>
          </w:p>
        </w:tc>
        <w:tc>
          <w:tcPr>
            <w:tcW w:w="50" w:type="pct"/>
            <w:shd w:val="clear" w:color="auto" w:fill="auto"/>
            <w:vAlign w:val="bottom"/>
          </w:tcPr>
          <w:p w14:paraId="67535510" w14:textId="77777777" w:rsidR="001B77DD" w:rsidRDefault="001B77DD">
            <w:pPr>
              <w:rPr>
                <w:rFonts w:ascii="宋体"/>
              </w:rPr>
            </w:pPr>
          </w:p>
        </w:tc>
        <w:tc>
          <w:tcPr>
            <w:tcW w:w="1894" w:type="pct"/>
            <w:shd w:val="clear" w:color="auto" w:fill="auto"/>
            <w:vAlign w:val="bottom"/>
          </w:tcPr>
          <w:p w14:paraId="67535511" w14:textId="77777777" w:rsidR="001B77DD" w:rsidRDefault="001B77DD">
            <w:pPr>
              <w:rPr>
                <w:rFonts w:ascii="宋体"/>
              </w:rPr>
            </w:pPr>
          </w:p>
        </w:tc>
        <w:tc>
          <w:tcPr>
            <w:tcW w:w="5" w:type="pct"/>
            <w:shd w:val="clear" w:color="auto" w:fill="auto"/>
            <w:vAlign w:val="bottom"/>
          </w:tcPr>
          <w:p w14:paraId="67535512" w14:textId="77777777" w:rsidR="001B77DD" w:rsidRDefault="001B77DD">
            <w:pPr>
              <w:rPr>
                <w:rFonts w:ascii="宋体"/>
              </w:rPr>
            </w:pPr>
          </w:p>
        </w:tc>
      </w:tr>
      <w:tr w:rsidR="001B77DD" w14:paraId="6753551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514"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F2" wp14:editId="67538EF3">
                  <wp:extent cx="304800" cy="304800"/>
                  <wp:effectExtent l="0" t="0" r="0" b="0"/>
                  <wp:docPr id="197" name="图片 247"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47"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15"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16" w14:textId="77777777" w:rsidR="001B77DD" w:rsidRDefault="00BF0A28">
            <w:pPr>
              <w:jc w:val="right"/>
              <w:textAlignment w:val="center"/>
            </w:pPr>
            <w:r>
              <w:rPr>
                <w:rFonts w:ascii="Arial" w:eastAsia="宋体" w:hAnsi="Arial" w:cs="Arial"/>
                <w:color w:val="262626"/>
                <w:sz w:val="16"/>
                <w:szCs w:val="16"/>
              </w:rPr>
              <w:t>60</w:t>
            </w:r>
          </w:p>
        </w:tc>
      </w:tr>
    </w:tbl>
    <w:p w14:paraId="67535518" w14:textId="77777777" w:rsidR="001B77DD" w:rsidRDefault="00BF0A28">
      <w:r>
        <w:pict w14:anchorId="67538EF4">
          <v:rect id="_x0000_i1086" style="width:415.3pt;height:1.5pt" o:hralign="center" o:hrstd="t" o:hr="t" fillcolor="#a0a0a0" stroked="f"/>
        </w:pict>
      </w:r>
    </w:p>
    <w:p w14:paraId="67535519" w14:textId="77777777" w:rsidR="001B77DD" w:rsidRDefault="00BF0A28">
      <w:pPr>
        <w:jc w:val="right"/>
      </w:pPr>
      <w:hyperlink r:id="rId118" w:anchor="i6c9ced68f6b24d58a3dcf326e8c3c699_16" w:history="1">
        <w:r>
          <w:rPr>
            <w:rStyle w:val="a5"/>
            <w:rFonts w:ascii="Arial" w:eastAsia="宋体" w:hAnsi="Arial" w:cs="Arial"/>
            <w:b/>
            <w:bCs/>
            <w:sz w:val="16"/>
            <w:szCs w:val="16"/>
          </w:rPr>
          <w:t>Table of Contents</w:t>
        </w:r>
      </w:hyperlink>
    </w:p>
    <w:p w14:paraId="6753551A" w14:textId="77777777" w:rsidR="001B77DD" w:rsidRDefault="001B77DD">
      <w:pPr>
        <w:jc w:val="right"/>
      </w:pPr>
    </w:p>
    <w:p w14:paraId="6753551B"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need to develop other products or technology not subject to claims, which could be time-consuming or costly; and/or</w:t>
      </w:r>
    </w:p>
    <w:p w14:paraId="6753551C"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enter into settlement or license </w:t>
      </w:r>
      <w:r>
        <w:rPr>
          <w:rFonts w:ascii="Arial" w:eastAsia="宋体" w:hAnsi="Arial" w:cs="Arial"/>
          <w:color w:val="262626"/>
          <w:sz w:val="18"/>
          <w:szCs w:val="18"/>
        </w:rPr>
        <w:t>agreements, which may not be available on commercially reasonable terms and may be costly.</w:t>
      </w:r>
    </w:p>
    <w:p w14:paraId="6753551D" w14:textId="77777777" w:rsidR="001B77DD" w:rsidRDefault="00BF0A28">
      <w:pPr>
        <w:spacing w:after="180"/>
      </w:pPr>
      <w:r>
        <w:rPr>
          <w:rFonts w:ascii="Arial" w:eastAsia="宋体" w:hAnsi="Arial" w:cs="Arial"/>
          <w:color w:val="262626"/>
          <w:sz w:val="18"/>
          <w:szCs w:val="18"/>
        </w:rPr>
        <w:t>These IP rights claims could harm our competitive position, result in expenses, or require us to impair our assets. If we alter or stop production of affected items,</w:t>
      </w:r>
      <w:r>
        <w:rPr>
          <w:rFonts w:ascii="Arial" w:eastAsia="宋体" w:hAnsi="Arial" w:cs="Arial"/>
          <w:color w:val="262626"/>
          <w:sz w:val="18"/>
          <w:szCs w:val="18"/>
        </w:rPr>
        <w:t xml:space="preserve"> our revenue could be harmed.</w:t>
      </w:r>
    </w:p>
    <w:p w14:paraId="6753551E" w14:textId="77777777" w:rsidR="001B77DD" w:rsidRDefault="00BF0A28">
      <w:pPr>
        <w:spacing w:after="180"/>
      </w:pPr>
      <w:r>
        <w:rPr>
          <w:rFonts w:ascii="Arial" w:eastAsia="宋体" w:hAnsi="Arial" w:cs="Arial"/>
          <w:color w:val="0068B5"/>
          <w:sz w:val="18"/>
          <w:szCs w:val="18"/>
        </w:rPr>
        <w:t>We rely on access to third-party IP, which may not be available to us on commercially reasonable terms or at all.</w:t>
      </w:r>
      <w:r>
        <w:rPr>
          <w:rFonts w:ascii="Arial" w:eastAsia="宋体" w:hAnsi="Arial" w:cs="Arial"/>
          <w:b/>
          <w:bCs/>
          <w:color w:val="333333"/>
          <w:sz w:val="18"/>
          <w:szCs w:val="18"/>
        </w:rPr>
        <w:t xml:space="preserve"> </w:t>
      </w:r>
      <w:r>
        <w:rPr>
          <w:rFonts w:ascii="Arial" w:eastAsia="宋体" w:hAnsi="Arial" w:cs="Arial"/>
          <w:color w:val="262626"/>
          <w:sz w:val="18"/>
          <w:szCs w:val="18"/>
        </w:rPr>
        <w:t>Many of our products are designed to include third-party technology or implement industry standards, which may r</w:t>
      </w:r>
      <w:r>
        <w:rPr>
          <w:rFonts w:ascii="Arial" w:eastAsia="宋体" w:hAnsi="Arial" w:cs="Arial"/>
          <w:color w:val="262626"/>
          <w:sz w:val="18"/>
          <w:szCs w:val="18"/>
        </w:rPr>
        <w:t>equire licenses from third parties. In addition, from time to time, third parties notify us that they believe we are using their IP. There is no assurance that necessary licenses to such third-party IP can be obtained on commercially reasonable terms or at</w:t>
      </w:r>
      <w:r>
        <w:rPr>
          <w:rFonts w:ascii="Arial" w:eastAsia="宋体" w:hAnsi="Arial" w:cs="Arial"/>
          <w:color w:val="262626"/>
          <w:sz w:val="18"/>
          <w:szCs w:val="18"/>
        </w:rPr>
        <w:t xml:space="preserve"> all, or that our existing licenses to third-party IP will continue to be available on commercially reasonable terms or at all. Failure to obtain the right to use third-party technology, or to license IP on commercially reasonable terms, could preclude us </w:t>
      </w:r>
      <w:r>
        <w:rPr>
          <w:rFonts w:ascii="Arial" w:eastAsia="宋体" w:hAnsi="Arial" w:cs="Arial"/>
          <w:color w:val="262626"/>
          <w:sz w:val="18"/>
          <w:szCs w:val="18"/>
        </w:rPr>
        <w:t>from selling certain products or otherwise have a material adverse impact on our financial condition and operating results. To the extent our products include software that contains or is derived from open-source software, we may be required to make the so</w:t>
      </w:r>
      <w:r>
        <w:rPr>
          <w:rFonts w:ascii="Arial" w:eastAsia="宋体" w:hAnsi="Arial" w:cs="Arial"/>
          <w:color w:val="262626"/>
          <w:sz w:val="18"/>
          <w:szCs w:val="18"/>
        </w:rPr>
        <w:t>ftware's source code publicly available and/or license the software under open-source licensing terms.</w:t>
      </w:r>
    </w:p>
    <w:p w14:paraId="6753551F" w14:textId="77777777" w:rsidR="001B77DD" w:rsidRDefault="00BF0A28">
      <w:pPr>
        <w:spacing w:after="180"/>
      </w:pPr>
      <w:r>
        <w:rPr>
          <w:rFonts w:ascii="Arial" w:eastAsia="宋体" w:hAnsi="Arial" w:cs="Arial"/>
          <w:color w:val="0068B5"/>
          <w:sz w:val="18"/>
          <w:szCs w:val="18"/>
        </w:rPr>
        <w:t xml:space="preserve">We are subject to risks associated with litigation and regulatory matters. </w:t>
      </w:r>
      <w:r>
        <w:rPr>
          <w:rFonts w:ascii="Arial" w:eastAsia="宋体" w:hAnsi="Arial" w:cs="Arial"/>
          <w:color w:val="262626"/>
          <w:sz w:val="18"/>
          <w:szCs w:val="18"/>
        </w:rPr>
        <w:t>From time to time,</w:t>
      </w:r>
      <w:r>
        <w:rPr>
          <w:rFonts w:ascii="Arial" w:eastAsia="宋体" w:hAnsi="Arial" w:cs="Arial"/>
          <w:b/>
          <w:bCs/>
          <w:i/>
          <w:iCs/>
          <w:color w:val="262626"/>
          <w:sz w:val="18"/>
          <w:szCs w:val="18"/>
        </w:rPr>
        <w:t xml:space="preserve"> </w:t>
      </w:r>
      <w:r>
        <w:rPr>
          <w:rFonts w:ascii="Arial" w:eastAsia="宋体" w:hAnsi="Arial" w:cs="Arial"/>
          <w:color w:val="262626"/>
          <w:sz w:val="18"/>
          <w:szCs w:val="18"/>
        </w:rPr>
        <w:t xml:space="preserve">we face legal claims or regulatory matters </w:t>
      </w:r>
      <w:r>
        <w:rPr>
          <w:rFonts w:ascii="Arial" w:eastAsia="宋体" w:hAnsi="Arial" w:cs="Arial"/>
          <w:color w:val="262626"/>
          <w:sz w:val="18"/>
          <w:szCs w:val="18"/>
        </w:rPr>
        <w:t>involving stockholder, consumer, competition, commercial, IP, labor and employment, compliance, and other issues on a global basis. As described in "Note 19: Commitments and Contingencies" within the Consolidated Financial Statements, we are engaged in a n</w:t>
      </w:r>
      <w:r>
        <w:rPr>
          <w:rFonts w:ascii="Arial" w:eastAsia="宋体" w:hAnsi="Arial" w:cs="Arial"/>
          <w:color w:val="262626"/>
          <w:sz w:val="18"/>
          <w:szCs w:val="18"/>
        </w:rPr>
        <w:t>umber of litigation and regulatory matters. Litigation and regulatory proceedings are inherently uncertain, and adverse rulings, excessive verdicts, or other events could occur, including monetary damages, fines, penalties, or an injunction stopping us fro</w:t>
      </w:r>
      <w:r>
        <w:rPr>
          <w:rFonts w:ascii="Arial" w:eastAsia="宋体" w:hAnsi="Arial" w:cs="Arial"/>
          <w:color w:val="262626"/>
          <w:sz w:val="18"/>
          <w:szCs w:val="18"/>
        </w:rPr>
        <w:t xml:space="preserve">m manufacturing or selling certain products, engaging in certain business practices, or requiring other remedies, such as compulsory licensing of patents. An unfavorable outcome can result in a material adverse impact on our business, financial condition, </w:t>
      </w:r>
      <w:r>
        <w:rPr>
          <w:rFonts w:ascii="Arial" w:eastAsia="宋体" w:hAnsi="Arial" w:cs="Arial"/>
          <w:color w:val="262626"/>
          <w:sz w:val="18"/>
          <w:szCs w:val="18"/>
        </w:rPr>
        <w:t>and results of operations. Regardless of the outcome, litigation and regulatory proceedings can be costly, time-consuming, disruptive to our operations, harmful to our reputation, and distracting to management.</w:t>
      </w:r>
    </w:p>
    <w:p w14:paraId="67535520" w14:textId="77777777" w:rsidR="001B77DD" w:rsidRDefault="00BF0A28">
      <w:pPr>
        <w:spacing w:before="180" w:after="120"/>
      </w:pPr>
      <w:r>
        <w:rPr>
          <w:rFonts w:ascii="Arial" w:eastAsia="宋体" w:hAnsi="Arial" w:cs="Arial"/>
          <w:color w:val="0068B5"/>
        </w:rPr>
        <w:t>We must attract, retain, and motivate key emp</w:t>
      </w:r>
      <w:r>
        <w:rPr>
          <w:rFonts w:ascii="Arial" w:eastAsia="宋体" w:hAnsi="Arial" w:cs="Arial"/>
          <w:color w:val="0068B5"/>
        </w:rPr>
        <w:t xml:space="preserve">loyees. </w:t>
      </w:r>
    </w:p>
    <w:p w14:paraId="67535521" w14:textId="77777777" w:rsidR="001B77DD" w:rsidRDefault="00BF0A28">
      <w:pPr>
        <w:spacing w:after="180"/>
      </w:pPr>
      <w:r>
        <w:rPr>
          <w:rFonts w:ascii="Arial" w:eastAsia="宋体" w:hAnsi="Arial" w:cs="Arial"/>
          <w:color w:val="262626"/>
          <w:sz w:val="18"/>
          <w:szCs w:val="18"/>
        </w:rPr>
        <w:t>Hiring and retaining qualified executives, scientists, engineers, technical staff, and sales representatives are critical to our business. The competition for highly skilled employees in our industry is increasingly intense. Competitors for techni</w:t>
      </w:r>
      <w:r>
        <w:rPr>
          <w:rFonts w:ascii="Arial" w:eastAsia="宋体" w:hAnsi="Arial" w:cs="Arial"/>
          <w:color w:val="262626"/>
          <w:sz w:val="18"/>
          <w:szCs w:val="18"/>
        </w:rPr>
        <w:t>cal talent increasingly seek to hire our employees, and the increased availability of work-from-home arrangements, accelerated by the COVID-19 pandemic, has both intensified and expanded competition. In addition, changes in immigration policies may further</w:t>
      </w:r>
      <w:r>
        <w:rPr>
          <w:rFonts w:ascii="Arial" w:eastAsia="宋体" w:hAnsi="Arial" w:cs="Arial"/>
          <w:color w:val="262626"/>
          <w:sz w:val="18"/>
          <w:szCs w:val="18"/>
        </w:rPr>
        <w:t xml:space="preserve"> limit the pool of available talent and impair our ability to recruit and hire technical and professional talent. We have intensified our efforts to recruit and retain talent. These efforts have increased our expenses, and they may not be successful in att</w:t>
      </w:r>
      <w:r>
        <w:rPr>
          <w:rFonts w:ascii="Arial" w:eastAsia="宋体" w:hAnsi="Arial" w:cs="Arial"/>
          <w:color w:val="262626"/>
          <w:sz w:val="18"/>
          <w:szCs w:val="18"/>
        </w:rPr>
        <w:t>racting, retaining, and motivating the workforce necessary to deliver on our strategy. Changes in employment-related laws applicable to our workforce practices may also result in increased expenses and less flexibility in how we meet our changing workforce</w:t>
      </w:r>
      <w:r>
        <w:rPr>
          <w:rFonts w:ascii="Arial" w:eastAsia="宋体" w:hAnsi="Arial" w:cs="Arial"/>
          <w:color w:val="262626"/>
          <w:sz w:val="18"/>
          <w:szCs w:val="18"/>
        </w:rPr>
        <w:t xml:space="preserve"> needs. To help attract, retain, and motivate qualified employees, we use share-based awards, such as RSUs, and performance-based cash incentive awards. Sustained declines in our stock price, or lower stock price performance relative to competitors, can re</w:t>
      </w:r>
      <w:r>
        <w:rPr>
          <w:rFonts w:ascii="Arial" w:eastAsia="宋体" w:hAnsi="Arial" w:cs="Arial"/>
          <w:color w:val="262626"/>
          <w:sz w:val="18"/>
          <w:szCs w:val="18"/>
        </w:rPr>
        <w:t>duce the retention value of our share-based awards. Our employee hiring and retention also depend on our ability to build and maintain a diverse and inclusive workplace culture and be viewed as an employer of choice. To the extent our compensation programs</w:t>
      </w:r>
      <w:r>
        <w:rPr>
          <w:rFonts w:ascii="Arial" w:eastAsia="宋体" w:hAnsi="Arial" w:cs="Arial"/>
          <w:color w:val="262626"/>
          <w:sz w:val="18"/>
          <w:szCs w:val="18"/>
        </w:rPr>
        <w:t xml:space="preserve"> and workplace culture are not viewed as competitive, our ability to attract, retain, and motivate employees can be weakened, which could harm our results of operations. </w:t>
      </w:r>
    </w:p>
    <w:p w14:paraId="67535522" w14:textId="77777777" w:rsidR="001B77DD" w:rsidRDefault="00BF0A28">
      <w:pPr>
        <w:spacing w:after="180"/>
      </w:pPr>
      <w:r>
        <w:rPr>
          <w:rFonts w:ascii="Arial" w:eastAsia="宋体" w:hAnsi="Arial" w:cs="Arial"/>
          <w:color w:val="262626"/>
          <w:sz w:val="18"/>
          <w:szCs w:val="18"/>
        </w:rPr>
        <w:t>Changes in our management team can also disrupt our business. For example, we appoint</w:t>
      </w:r>
      <w:r>
        <w:rPr>
          <w:rFonts w:ascii="Arial" w:eastAsia="宋体" w:hAnsi="Arial" w:cs="Arial"/>
          <w:color w:val="262626"/>
          <w:sz w:val="18"/>
          <w:szCs w:val="18"/>
        </w:rPr>
        <w:t>ed a new CEO effective in February 2021 and a new CFO in January 2022 and made several other changes to our senior leadership during the past year. The failure to successfully transition and assimilate key employees could adversely affect our results of op</w:t>
      </w:r>
      <w:r>
        <w:rPr>
          <w:rFonts w:ascii="Arial" w:eastAsia="宋体" w:hAnsi="Arial" w:cs="Arial"/>
          <w:color w:val="262626"/>
          <w:sz w:val="18"/>
          <w:szCs w:val="18"/>
        </w:rPr>
        <w:t>erations. To the extent we do not effectively hire, onboard, retain, and motivate key employees, our business can be harmed.</w:t>
      </w:r>
    </w:p>
    <w:p w14:paraId="67535523" w14:textId="77777777" w:rsidR="001B77DD" w:rsidRDefault="00BF0A28">
      <w:pPr>
        <w:spacing w:after="120"/>
      </w:pPr>
      <w:r>
        <w:rPr>
          <w:rFonts w:ascii="Arial" w:eastAsia="宋体" w:hAnsi="Arial" w:cs="Arial"/>
          <w:color w:val="0068B5"/>
        </w:rPr>
        <w:t>We are subject to risks associated with our strategic transactions.</w:t>
      </w:r>
    </w:p>
    <w:p w14:paraId="67535524" w14:textId="77777777" w:rsidR="001B77DD" w:rsidRDefault="00BF0A28">
      <w:pPr>
        <w:spacing w:after="120"/>
      </w:pPr>
      <w:r>
        <w:rPr>
          <w:rFonts w:ascii="Arial" w:eastAsia="宋体" w:hAnsi="Arial" w:cs="Arial"/>
          <w:color w:val="0068B5"/>
          <w:sz w:val="18"/>
          <w:szCs w:val="18"/>
        </w:rPr>
        <w:t>Our acquisitions, divestitures, and other strategic transaction</w:t>
      </w:r>
      <w:r>
        <w:rPr>
          <w:rFonts w:ascii="Arial" w:eastAsia="宋体" w:hAnsi="Arial" w:cs="Arial"/>
          <w:color w:val="0068B5"/>
          <w:sz w:val="18"/>
          <w:szCs w:val="18"/>
        </w:rPr>
        <w:t>s could fail to achieve our financial or strategic objectives, disrupt our ongoing business, and adversely impact our results of operations.</w:t>
      </w:r>
      <w:r>
        <w:rPr>
          <w:rFonts w:ascii="Arial" w:eastAsia="宋体" w:hAnsi="Arial" w:cs="Arial"/>
          <w:color w:val="262626"/>
          <w:sz w:val="18"/>
          <w:szCs w:val="18"/>
        </w:rPr>
        <w:t xml:space="preserve"> Strategic transactions are an important component of our financial capital allocation strategy. We routinely evaluate opportunities and enter into agreements for possible acquisitions, divestitures, and other strategic transactions. These transactions inv</w:t>
      </w:r>
      <w:r>
        <w:rPr>
          <w:rFonts w:ascii="Arial" w:eastAsia="宋体" w:hAnsi="Arial" w:cs="Arial"/>
          <w:color w:val="262626"/>
          <w:sz w:val="18"/>
          <w:szCs w:val="18"/>
        </w:rPr>
        <w:t>olve numerous risks, including:</w:t>
      </w:r>
    </w:p>
    <w:p w14:paraId="67535525"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identify opportunities in a timely manner or on terms acceptable to us;</w:t>
      </w:r>
    </w:p>
    <w:p w14:paraId="67535526"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failure of the transaction to advance our business strategy and failure of its anticipated benefits to materialize;</w:t>
      </w:r>
    </w:p>
    <w:p w14:paraId="67535527"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disruption of ou</w:t>
      </w:r>
      <w:r>
        <w:rPr>
          <w:rFonts w:ascii="Arial" w:eastAsia="宋体" w:hAnsi="Arial" w:cs="Arial"/>
          <w:color w:val="262626"/>
          <w:sz w:val="18"/>
          <w:szCs w:val="18"/>
        </w:rPr>
        <w:t>r ongoing operations and diversion of our management's attention;</w:t>
      </w:r>
    </w:p>
    <w:p w14:paraId="67535528"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failure to complete a transaction in a timely manner, if at all, due to our inability to obtain required government or other approvals at all or without materially burdensome conditions, IP</w:t>
      </w:r>
      <w:r>
        <w:rPr>
          <w:rFonts w:ascii="Arial" w:eastAsia="宋体" w:hAnsi="Arial" w:cs="Arial"/>
          <w:color w:val="262626"/>
          <w:sz w:val="18"/>
          <w:szCs w:val="18"/>
        </w:rPr>
        <w:t xml:space="preserve"> disputes or other litigation, difficulty in obtaining financing on terms acceptable to us, or other unforeseen factors;</w:t>
      </w:r>
    </w:p>
    <w:p w14:paraId="67535529"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failure to realize a satisfactory return on our investment, potentially resulting in an impairment of goodwill and other assets, a</w:t>
      </w:r>
      <w:r>
        <w:rPr>
          <w:rFonts w:ascii="Arial" w:eastAsia="宋体" w:hAnsi="Arial" w:cs="Arial"/>
          <w:color w:val="262626"/>
          <w:sz w:val="18"/>
          <w:szCs w:val="18"/>
        </w:rPr>
        <w:t>nd restructuring charges;</w:t>
      </w:r>
    </w:p>
    <w:p w14:paraId="6753552A"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effectively enter new market segments through our strategic transactions or retain customers and partners of acquired businesses;</w:t>
      </w:r>
    </w:p>
    <w:p w14:paraId="6753552B"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inability to retain key personnel of acquired businesses or our difficulty in</w:t>
      </w:r>
      <w:r>
        <w:rPr>
          <w:rFonts w:ascii="Arial" w:eastAsia="宋体" w:hAnsi="Arial" w:cs="Arial"/>
          <w:color w:val="262626"/>
          <w:sz w:val="18"/>
          <w:szCs w:val="18"/>
        </w:rPr>
        <w:t xml:space="preserve"> integrating employees, business systems, and technology;</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535" w14:textId="77777777">
        <w:tc>
          <w:tcPr>
            <w:tcW w:w="50" w:type="pct"/>
            <w:shd w:val="clear" w:color="auto" w:fill="auto"/>
            <w:vAlign w:val="bottom"/>
          </w:tcPr>
          <w:p w14:paraId="6753552C" w14:textId="77777777" w:rsidR="001B77DD" w:rsidRDefault="001B77DD">
            <w:pPr>
              <w:rPr>
                <w:rFonts w:ascii="宋体"/>
              </w:rPr>
            </w:pPr>
          </w:p>
        </w:tc>
        <w:tc>
          <w:tcPr>
            <w:tcW w:w="283" w:type="pct"/>
            <w:shd w:val="clear" w:color="auto" w:fill="auto"/>
            <w:vAlign w:val="bottom"/>
          </w:tcPr>
          <w:p w14:paraId="6753552D" w14:textId="77777777" w:rsidR="001B77DD" w:rsidRDefault="001B77DD">
            <w:pPr>
              <w:rPr>
                <w:rFonts w:ascii="宋体"/>
              </w:rPr>
            </w:pPr>
          </w:p>
        </w:tc>
        <w:tc>
          <w:tcPr>
            <w:tcW w:w="5" w:type="pct"/>
            <w:shd w:val="clear" w:color="auto" w:fill="auto"/>
            <w:vAlign w:val="bottom"/>
          </w:tcPr>
          <w:p w14:paraId="6753552E" w14:textId="77777777" w:rsidR="001B77DD" w:rsidRDefault="001B77DD">
            <w:pPr>
              <w:rPr>
                <w:rFonts w:ascii="宋体"/>
              </w:rPr>
            </w:pPr>
          </w:p>
        </w:tc>
        <w:tc>
          <w:tcPr>
            <w:tcW w:w="50" w:type="pct"/>
            <w:shd w:val="clear" w:color="auto" w:fill="auto"/>
            <w:vAlign w:val="bottom"/>
          </w:tcPr>
          <w:p w14:paraId="6753552F" w14:textId="77777777" w:rsidR="001B77DD" w:rsidRDefault="001B77DD">
            <w:pPr>
              <w:rPr>
                <w:rFonts w:ascii="宋体"/>
              </w:rPr>
            </w:pPr>
          </w:p>
        </w:tc>
        <w:tc>
          <w:tcPr>
            <w:tcW w:w="2656" w:type="pct"/>
            <w:shd w:val="clear" w:color="auto" w:fill="auto"/>
            <w:vAlign w:val="bottom"/>
          </w:tcPr>
          <w:p w14:paraId="67535530" w14:textId="77777777" w:rsidR="001B77DD" w:rsidRDefault="001B77DD">
            <w:pPr>
              <w:rPr>
                <w:rFonts w:ascii="宋体"/>
              </w:rPr>
            </w:pPr>
          </w:p>
        </w:tc>
        <w:tc>
          <w:tcPr>
            <w:tcW w:w="5" w:type="pct"/>
            <w:shd w:val="clear" w:color="auto" w:fill="auto"/>
            <w:vAlign w:val="bottom"/>
          </w:tcPr>
          <w:p w14:paraId="67535531" w14:textId="77777777" w:rsidR="001B77DD" w:rsidRDefault="001B77DD">
            <w:pPr>
              <w:rPr>
                <w:rFonts w:ascii="宋体"/>
              </w:rPr>
            </w:pPr>
          </w:p>
        </w:tc>
        <w:tc>
          <w:tcPr>
            <w:tcW w:w="50" w:type="pct"/>
            <w:shd w:val="clear" w:color="auto" w:fill="auto"/>
            <w:vAlign w:val="bottom"/>
          </w:tcPr>
          <w:p w14:paraId="67535532" w14:textId="77777777" w:rsidR="001B77DD" w:rsidRDefault="001B77DD">
            <w:pPr>
              <w:rPr>
                <w:rFonts w:ascii="宋体"/>
              </w:rPr>
            </w:pPr>
          </w:p>
        </w:tc>
        <w:tc>
          <w:tcPr>
            <w:tcW w:w="1894" w:type="pct"/>
            <w:shd w:val="clear" w:color="auto" w:fill="auto"/>
            <w:vAlign w:val="bottom"/>
          </w:tcPr>
          <w:p w14:paraId="67535533" w14:textId="77777777" w:rsidR="001B77DD" w:rsidRDefault="001B77DD">
            <w:pPr>
              <w:rPr>
                <w:rFonts w:ascii="宋体"/>
              </w:rPr>
            </w:pPr>
          </w:p>
        </w:tc>
        <w:tc>
          <w:tcPr>
            <w:tcW w:w="5" w:type="pct"/>
            <w:shd w:val="clear" w:color="auto" w:fill="auto"/>
            <w:vAlign w:val="bottom"/>
          </w:tcPr>
          <w:p w14:paraId="67535534" w14:textId="77777777" w:rsidR="001B77DD" w:rsidRDefault="001B77DD">
            <w:pPr>
              <w:rPr>
                <w:rFonts w:ascii="宋体"/>
              </w:rPr>
            </w:pPr>
          </w:p>
        </w:tc>
      </w:tr>
      <w:tr w:rsidR="001B77DD" w14:paraId="6753553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536"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F5" wp14:editId="67538EF6">
                  <wp:extent cx="304800" cy="304800"/>
                  <wp:effectExtent l="0" t="0" r="0" b="0"/>
                  <wp:docPr id="198" name="图片 249"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49"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37"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38" w14:textId="77777777" w:rsidR="001B77DD" w:rsidRDefault="00BF0A28">
            <w:pPr>
              <w:jc w:val="right"/>
              <w:textAlignment w:val="center"/>
            </w:pPr>
            <w:r>
              <w:rPr>
                <w:rFonts w:ascii="Arial" w:eastAsia="宋体" w:hAnsi="Arial" w:cs="Arial"/>
                <w:color w:val="262626"/>
                <w:sz w:val="16"/>
                <w:szCs w:val="16"/>
              </w:rPr>
              <w:t>61</w:t>
            </w:r>
          </w:p>
        </w:tc>
      </w:tr>
    </w:tbl>
    <w:p w14:paraId="6753553A" w14:textId="77777777" w:rsidR="001B77DD" w:rsidRDefault="00BF0A28">
      <w:r>
        <w:pict w14:anchorId="67538EF7">
          <v:rect id="_x0000_i1087" style="width:415.3pt;height:1.5pt" o:hralign="center" o:hrstd="t" o:hr="t" fillcolor="#a0a0a0" stroked="f"/>
        </w:pict>
      </w:r>
    </w:p>
    <w:p w14:paraId="6753553B" w14:textId="77777777" w:rsidR="001B77DD" w:rsidRDefault="00BF0A28">
      <w:pPr>
        <w:jc w:val="right"/>
      </w:pPr>
      <w:hyperlink r:id="rId119" w:anchor="i6c9ced68f6b24d58a3dcf326e8c3c699_16" w:history="1">
        <w:r>
          <w:rPr>
            <w:rStyle w:val="a5"/>
            <w:rFonts w:ascii="Arial" w:eastAsia="宋体" w:hAnsi="Arial" w:cs="Arial"/>
            <w:b/>
            <w:bCs/>
            <w:sz w:val="16"/>
            <w:szCs w:val="16"/>
          </w:rPr>
          <w:t>Table of Contents</w:t>
        </w:r>
      </w:hyperlink>
    </w:p>
    <w:p w14:paraId="6753553C" w14:textId="77777777" w:rsidR="001B77DD" w:rsidRDefault="001B77DD">
      <w:pPr>
        <w:jc w:val="right"/>
      </w:pPr>
    </w:p>
    <w:p w14:paraId="6753553D"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controls, processes, and procedures of acquired businesses that do not </w:t>
      </w:r>
      <w:r>
        <w:rPr>
          <w:rFonts w:ascii="Arial" w:eastAsia="宋体" w:hAnsi="Arial" w:cs="Arial"/>
          <w:color w:val="262626"/>
          <w:sz w:val="18"/>
          <w:szCs w:val="18"/>
        </w:rPr>
        <w:t>adequately ensure compliance with laws and regulations, and our failure to identify compliance issues or liabilities;</w:t>
      </w:r>
    </w:p>
    <w:p w14:paraId="6753553E"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our failure to identify, or our underestimation of, commitments, liabilities, and other risks associated with acquired businesses or asse</w:t>
      </w:r>
      <w:r>
        <w:rPr>
          <w:rFonts w:ascii="Arial" w:eastAsia="宋体" w:hAnsi="Arial" w:cs="Arial"/>
          <w:color w:val="262626"/>
          <w:sz w:val="18"/>
          <w:szCs w:val="18"/>
        </w:rPr>
        <w:t>ts; and</w:t>
      </w:r>
    </w:p>
    <w:p w14:paraId="6753553F"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the potential for our acquisitions to result in dilutive issuances of our equity securities or significant additional debt.</w:t>
      </w:r>
    </w:p>
    <w:p w14:paraId="67535540" w14:textId="77777777" w:rsidR="001B77DD" w:rsidRDefault="00BF0A28">
      <w:pPr>
        <w:spacing w:after="180"/>
      </w:pPr>
      <w:r>
        <w:rPr>
          <w:rFonts w:ascii="Arial" w:eastAsia="宋体" w:hAnsi="Arial" w:cs="Arial"/>
          <w:color w:val="262626"/>
          <w:sz w:val="18"/>
          <w:szCs w:val="18"/>
        </w:rPr>
        <w:t>Any of these risks could have a material adverse effect on our business, results of operations, financial condition, or cas</w:t>
      </w:r>
      <w:r>
        <w:rPr>
          <w:rFonts w:ascii="Arial" w:eastAsia="宋体" w:hAnsi="Arial" w:cs="Arial"/>
          <w:color w:val="262626"/>
          <w:sz w:val="18"/>
          <w:szCs w:val="18"/>
        </w:rPr>
        <w:t>h flows, particularly in the case of a large acquisition or several concurrent acquisitions. Moreover, our resources are limited and our decision to pursue a transaction has opportunity costs; accordingly, if we pursue a particular transaction, we at times</w:t>
      </w:r>
      <w:r>
        <w:rPr>
          <w:rFonts w:ascii="Arial" w:eastAsia="宋体" w:hAnsi="Arial" w:cs="Arial"/>
          <w:color w:val="262626"/>
          <w:sz w:val="18"/>
          <w:szCs w:val="18"/>
        </w:rPr>
        <w:t xml:space="preserve"> need to forgo the prospect of entering into other transactions that could help us achieve our financial or strategic objectives. </w:t>
      </w:r>
    </w:p>
    <w:p w14:paraId="67535541" w14:textId="77777777" w:rsidR="001B77DD" w:rsidRDefault="00BF0A28">
      <w:pPr>
        <w:spacing w:after="180"/>
      </w:pPr>
      <w:r>
        <w:rPr>
          <w:rFonts w:ascii="Arial" w:eastAsia="宋体" w:hAnsi="Arial" w:cs="Arial"/>
          <w:color w:val="262626"/>
          <w:sz w:val="18"/>
          <w:szCs w:val="18"/>
        </w:rPr>
        <w:t>Where an existing investment does not strategically align to our key priorities, we routinely evaluate opportunities for poss</w:t>
      </w:r>
      <w:r>
        <w:rPr>
          <w:rFonts w:ascii="Arial" w:eastAsia="宋体" w:hAnsi="Arial" w:cs="Arial"/>
          <w:color w:val="262626"/>
          <w:sz w:val="18"/>
          <w:szCs w:val="18"/>
        </w:rPr>
        <w:t>ible divestitures and other options. We may not realize the anticipated benefits of divestitures due to risks that include unfavorable prices and terms; changes in market conditions or geopolitical conditions affecting the regions or industries in which we</w:t>
      </w:r>
      <w:r>
        <w:rPr>
          <w:rFonts w:ascii="Arial" w:eastAsia="宋体" w:hAnsi="Arial" w:cs="Arial"/>
          <w:color w:val="262626"/>
          <w:sz w:val="18"/>
          <w:szCs w:val="18"/>
        </w:rPr>
        <w:t xml:space="preserve"> or counterparties operate; failure to receive regulatory or governmental approvals; limitations or restrictions due to regulatory or governmental approvals, litigation, contractual terms, or other conditions; delays in closing; lack of support by third pa</w:t>
      </w:r>
      <w:r>
        <w:rPr>
          <w:rFonts w:ascii="Arial" w:eastAsia="宋体" w:hAnsi="Arial" w:cs="Arial"/>
          <w:color w:val="262626"/>
          <w:sz w:val="18"/>
          <w:szCs w:val="18"/>
        </w:rPr>
        <w:t>rties; actions by competitors; adverse effects on our business relationships, operating results, or business due to the announcement and pendency of such transactions; and continued financial obligations, unanticipated liabilities, or transition costs asso</w:t>
      </w:r>
      <w:r>
        <w:rPr>
          <w:rFonts w:ascii="Arial" w:eastAsia="宋体" w:hAnsi="Arial" w:cs="Arial"/>
          <w:color w:val="262626"/>
          <w:sz w:val="18"/>
          <w:szCs w:val="18"/>
        </w:rPr>
        <w:t>ciated with such transactions</w:t>
      </w:r>
      <w:r>
        <w:rPr>
          <w:rFonts w:ascii="Times New Roman" w:eastAsia="宋体" w:hAnsi="Times New Roman"/>
          <w:color w:val="262626"/>
          <w:sz w:val="18"/>
          <w:szCs w:val="18"/>
        </w:rPr>
        <w:t xml:space="preserve">. </w:t>
      </w:r>
      <w:r>
        <w:rPr>
          <w:rFonts w:ascii="Arial" w:eastAsia="宋体" w:hAnsi="Arial" w:cs="Arial"/>
          <w:color w:val="262626"/>
          <w:sz w:val="18"/>
          <w:szCs w:val="18"/>
        </w:rPr>
        <w:t>In some cases, we are not able to divest investments on acceptable terms or at all</w:t>
      </w:r>
      <w:r>
        <w:rPr>
          <w:rFonts w:ascii="Times New Roman" w:eastAsia="宋体" w:hAnsi="Times New Roman"/>
          <w:color w:val="262626"/>
          <w:sz w:val="18"/>
          <w:szCs w:val="18"/>
        </w:rPr>
        <w:t>.</w:t>
      </w:r>
    </w:p>
    <w:p w14:paraId="67535542" w14:textId="77777777" w:rsidR="001B77DD" w:rsidRDefault="00BF0A28">
      <w:pPr>
        <w:spacing w:after="180"/>
      </w:pPr>
      <w:r>
        <w:rPr>
          <w:rFonts w:ascii="Arial" w:eastAsia="宋体" w:hAnsi="Arial" w:cs="Arial"/>
          <w:color w:val="0068B5"/>
          <w:sz w:val="18"/>
          <w:szCs w:val="18"/>
        </w:rPr>
        <w:t>We invest in public and private companies and do not always realize a return on our investments.</w:t>
      </w:r>
      <w:r>
        <w:rPr>
          <w:rFonts w:ascii="Arial" w:eastAsia="宋体" w:hAnsi="Arial" w:cs="Arial"/>
          <w:b/>
          <w:bCs/>
          <w:color w:val="026DCE"/>
          <w:sz w:val="18"/>
          <w:szCs w:val="18"/>
        </w:rPr>
        <w:t xml:space="preserve"> </w:t>
      </w:r>
      <w:r>
        <w:rPr>
          <w:rFonts w:ascii="Arial" w:eastAsia="宋体" w:hAnsi="Arial" w:cs="Arial"/>
          <w:color w:val="262626"/>
          <w:sz w:val="18"/>
          <w:szCs w:val="18"/>
        </w:rPr>
        <w:t>We make investments in public and private co</w:t>
      </w:r>
      <w:r>
        <w:rPr>
          <w:rFonts w:ascii="Arial" w:eastAsia="宋体" w:hAnsi="Arial" w:cs="Arial"/>
          <w:color w:val="262626"/>
          <w:sz w:val="18"/>
          <w:szCs w:val="18"/>
        </w:rPr>
        <w:t>mpanies to further our strategic and financial objectives and to support certain key business initiatives. These companies can include early-stage companies still defining their strategic direction. Many of the instruments in which we invest are non-market</w:t>
      </w:r>
      <w:r>
        <w:rPr>
          <w:rFonts w:ascii="Arial" w:eastAsia="宋体" w:hAnsi="Arial" w:cs="Arial"/>
          <w:color w:val="262626"/>
          <w:sz w:val="18"/>
          <w:szCs w:val="18"/>
        </w:rPr>
        <w:t>able and illiquid at the time of our initial investment, and we are not always able to achieve a return in a timely fashion, if at all. Our ability to realize a return on our investment in a private company, if any, is typically dependent on the company pa</w:t>
      </w:r>
      <w:r>
        <w:rPr>
          <w:rFonts w:ascii="Arial" w:eastAsia="宋体" w:hAnsi="Arial" w:cs="Arial"/>
          <w:color w:val="262626"/>
          <w:sz w:val="18"/>
          <w:szCs w:val="18"/>
        </w:rPr>
        <w:t>rticipating in a liquidity event, such as a public offering or acquisition. To the extent any of the companies in which we invest are not successful, which at times includes bankruptcy, we could recognize an impairment and/or lose all or part of our invest</w:t>
      </w:r>
      <w:r>
        <w:rPr>
          <w:rFonts w:ascii="Arial" w:eastAsia="宋体" w:hAnsi="Arial" w:cs="Arial"/>
          <w:color w:val="262626"/>
          <w:sz w:val="18"/>
          <w:szCs w:val="18"/>
        </w:rPr>
        <w:t>ment.</w:t>
      </w:r>
    </w:p>
    <w:p w14:paraId="67535543" w14:textId="77777777" w:rsidR="001B77DD" w:rsidRDefault="00BF0A28">
      <w:pPr>
        <w:spacing w:after="180"/>
      </w:pPr>
      <w:r>
        <w:rPr>
          <w:rFonts w:ascii="Arial" w:eastAsia="宋体" w:hAnsi="Arial" w:cs="Arial"/>
          <w:color w:val="0068B5"/>
          <w:sz w:val="18"/>
          <w:szCs w:val="18"/>
        </w:rPr>
        <w:t xml:space="preserve">There are risks associated with our previously-announced proposed IPO of Mobileye. </w:t>
      </w:r>
      <w:r>
        <w:rPr>
          <w:rFonts w:ascii="Arial" w:eastAsia="宋体" w:hAnsi="Arial" w:cs="Arial"/>
          <w:color w:val="262626"/>
          <w:sz w:val="18"/>
          <w:szCs w:val="18"/>
        </w:rPr>
        <w:t>We announced that we intend to take Mobileye public in the US via an IPO of newly issued Mobileye stock, and that we expect to retain majority ownership of Mobileye fo</w:t>
      </w:r>
      <w:r>
        <w:rPr>
          <w:rFonts w:ascii="Arial" w:eastAsia="宋体" w:hAnsi="Arial" w:cs="Arial"/>
          <w:color w:val="262626"/>
          <w:sz w:val="18"/>
          <w:szCs w:val="18"/>
        </w:rPr>
        <w:t>llowing the completion of the IPO. The IPO may not be completed in our expected timeframe, or at all, due to factors that include adverse changes in economic or market conditions or in our business; delays in regulatory, stock exchange, or other approvals;</w:t>
      </w:r>
      <w:r>
        <w:rPr>
          <w:rFonts w:ascii="Arial" w:eastAsia="宋体" w:hAnsi="Arial" w:cs="Arial"/>
          <w:color w:val="262626"/>
          <w:sz w:val="18"/>
          <w:szCs w:val="18"/>
        </w:rPr>
        <w:t xml:space="preserve"> loss of Mobileye key employees, and changes in our business strategy. If we do not complete the IPO, our ability to retain and attract Mobileye employees could be adversely affected, and we will have incurred expenses that we will be unable to recover, an</w:t>
      </w:r>
      <w:r>
        <w:rPr>
          <w:rFonts w:ascii="Arial" w:eastAsia="宋体" w:hAnsi="Arial" w:cs="Arial"/>
          <w:color w:val="262626"/>
          <w:sz w:val="18"/>
          <w:szCs w:val="18"/>
        </w:rPr>
        <w:t>d for which we will not receive any benefit. If completed, the IPO may not produce any increase for our stockholders in the market value of their holdings in our company. In addition, the market price of our common stock could be more volatile after the IP</w:t>
      </w:r>
      <w:r>
        <w:rPr>
          <w:rFonts w:ascii="Arial" w:eastAsia="宋体" w:hAnsi="Arial" w:cs="Arial"/>
          <w:color w:val="262626"/>
          <w:sz w:val="18"/>
          <w:szCs w:val="18"/>
        </w:rPr>
        <w:t>O.</w:t>
      </w:r>
    </w:p>
    <w:p w14:paraId="67535544" w14:textId="77777777" w:rsidR="001B77DD" w:rsidRDefault="00BF0A28">
      <w:pPr>
        <w:spacing w:after="120"/>
      </w:pPr>
      <w:r>
        <w:rPr>
          <w:rFonts w:ascii="Arial" w:eastAsia="宋体" w:hAnsi="Arial" w:cs="Arial"/>
          <w:color w:val="0068B5"/>
        </w:rPr>
        <w:t xml:space="preserve">We are subject to sales-related risks. </w:t>
      </w:r>
    </w:p>
    <w:p w14:paraId="67535545" w14:textId="77777777" w:rsidR="001B77DD" w:rsidRDefault="00BF0A28">
      <w:pPr>
        <w:spacing w:after="180"/>
      </w:pPr>
      <w:r>
        <w:rPr>
          <w:rFonts w:ascii="Arial" w:eastAsia="宋体" w:hAnsi="Arial" w:cs="Arial"/>
          <w:color w:val="0068B5"/>
          <w:sz w:val="18"/>
          <w:szCs w:val="18"/>
        </w:rPr>
        <w:t>We face risks related to sales through distributors and other third parties.</w:t>
      </w:r>
      <w:r>
        <w:rPr>
          <w:rFonts w:ascii="Arial" w:eastAsia="宋体" w:hAnsi="Arial" w:cs="Arial"/>
          <w:color w:val="262626"/>
          <w:sz w:val="18"/>
          <w:szCs w:val="18"/>
        </w:rPr>
        <w:t xml:space="preserve"> We sell a significant portion of our products through third parties such as distributors, value-added resellers, and channel partners (collectively referred to as distributors), as well as OEMs and ODMs. We depend on many distributors to help us create en</w:t>
      </w:r>
      <w:r>
        <w:rPr>
          <w:rFonts w:ascii="Arial" w:eastAsia="宋体" w:hAnsi="Arial" w:cs="Arial"/>
          <w:color w:val="262626"/>
          <w:sz w:val="18"/>
          <w:szCs w:val="18"/>
        </w:rPr>
        <w:t>d-customer demand, provide technical support and other value-added services to customers, fill customer orders, and stock our products. At times, we rely on one or more key distributors for a product, and a material change in our relationship with one or m</w:t>
      </w:r>
      <w:r>
        <w:rPr>
          <w:rFonts w:ascii="Arial" w:eastAsia="宋体" w:hAnsi="Arial" w:cs="Arial"/>
          <w:color w:val="262626"/>
          <w:sz w:val="18"/>
          <w:szCs w:val="18"/>
        </w:rPr>
        <w:t>ore of these distributors or their failure to perform as expected could reduce our revenue. Our ability to add or replace distributors for some of our products is limited. In addition, our distributors' expertise in the determination and stocking of accept</w:t>
      </w:r>
      <w:r>
        <w:rPr>
          <w:rFonts w:ascii="Arial" w:eastAsia="宋体" w:hAnsi="Arial" w:cs="Arial"/>
          <w:color w:val="262626"/>
          <w:sz w:val="18"/>
          <w:szCs w:val="18"/>
        </w:rPr>
        <w:t>able inventory levels for some of our products is not always easily transferable to a new distributor; as a result, end customers may be hesitant to accept the addition or replacement of a distributor. Using third parties for distribution exposes us to man</w:t>
      </w:r>
      <w:r>
        <w:rPr>
          <w:rFonts w:ascii="Arial" w:eastAsia="宋体" w:hAnsi="Arial" w:cs="Arial"/>
          <w:color w:val="262626"/>
          <w:sz w:val="18"/>
          <w:szCs w:val="18"/>
        </w:rPr>
        <w:t>y risks, including competitive pressure and concentration, credit, and compliance risks. Distributors and other third parties sell products that compete with our products, and we sometimes need to provide financial and other incentives to focus them on the</w:t>
      </w:r>
      <w:r>
        <w:rPr>
          <w:rFonts w:ascii="Arial" w:eastAsia="宋体" w:hAnsi="Arial" w:cs="Arial"/>
          <w:color w:val="262626"/>
          <w:sz w:val="18"/>
          <w:szCs w:val="18"/>
        </w:rPr>
        <w:t xml:space="preserve"> sale of our products. From time to time, they face financial difficulties, including bankruptcy, which could harm our collection of accounts receivable and financial results. Violations of the Foreign Corrupt Practices Act or similar laws by distributors </w:t>
      </w:r>
      <w:r>
        <w:rPr>
          <w:rFonts w:ascii="Arial" w:eastAsia="宋体" w:hAnsi="Arial" w:cs="Arial"/>
          <w:color w:val="262626"/>
          <w:sz w:val="18"/>
          <w:szCs w:val="18"/>
        </w:rPr>
        <w:t>or other third-party intermediaries could have a material impact on our business. Failure to manage risks related to our use of distributors and other third parties may reduce sales, increase expenses, and weaken our competitive position.</w:t>
      </w:r>
    </w:p>
    <w:p w14:paraId="67535546" w14:textId="77777777" w:rsidR="001B77DD" w:rsidRDefault="00BF0A28">
      <w:pPr>
        <w:spacing w:after="180"/>
      </w:pPr>
      <w:r>
        <w:rPr>
          <w:rFonts w:ascii="Arial" w:eastAsia="宋体" w:hAnsi="Arial" w:cs="Arial"/>
          <w:color w:val="262626"/>
          <w:sz w:val="18"/>
          <w:szCs w:val="18"/>
        </w:rPr>
        <w:t>From time to time</w:t>
      </w:r>
      <w:r>
        <w:rPr>
          <w:rFonts w:ascii="Arial" w:eastAsia="宋体" w:hAnsi="Arial" w:cs="Arial"/>
          <w:color w:val="262626"/>
          <w:sz w:val="18"/>
          <w:szCs w:val="18"/>
        </w:rPr>
        <w:t xml:space="preserve">, our products are resold by third parties in an unauthorized "gray market." Gray market products can distort demand and pricing dynamics in our distribution channel and certain geographies, which at times adversely affects our revenue opportunities. Gray </w:t>
      </w:r>
      <w:r>
        <w:rPr>
          <w:rFonts w:ascii="Arial" w:eastAsia="宋体" w:hAnsi="Arial" w:cs="Arial"/>
          <w:color w:val="262626"/>
          <w:sz w:val="18"/>
          <w:szCs w:val="18"/>
        </w:rPr>
        <w:t>market activity is difficult to monitor and can make forecasting demand more challenging. Gray market products also sometimes include parts that have been altered or damaged, and our reputation may be harmed when these products fail or are found to be subs</w:t>
      </w:r>
      <w:r>
        <w:rPr>
          <w:rFonts w:ascii="Arial" w:eastAsia="宋体" w:hAnsi="Arial" w:cs="Arial"/>
          <w:color w:val="262626"/>
          <w:sz w:val="18"/>
          <w:szCs w:val="18"/>
        </w:rPr>
        <w:t>tandard.</w:t>
      </w:r>
    </w:p>
    <w:p w14:paraId="67535547" w14:textId="77777777" w:rsidR="001B77DD" w:rsidRDefault="00BF0A28">
      <w:pPr>
        <w:spacing w:after="180"/>
      </w:pPr>
      <w:r>
        <w:rPr>
          <w:rFonts w:ascii="Arial" w:eastAsia="宋体" w:hAnsi="Arial" w:cs="Arial"/>
          <w:color w:val="0068B5"/>
          <w:sz w:val="18"/>
          <w:szCs w:val="18"/>
        </w:rPr>
        <w:t>We receive a significant portion of our revenue from a limited number of customers.</w:t>
      </w:r>
      <w:r>
        <w:rPr>
          <w:rFonts w:ascii="Arial" w:eastAsia="宋体" w:hAnsi="Arial" w:cs="Arial"/>
          <w:color w:val="262626"/>
          <w:sz w:val="18"/>
          <w:szCs w:val="18"/>
        </w:rPr>
        <w:t xml:space="preserve"> Collectively, our three largest customers accounted for 43% of our net revenue in 2021 and 39% of our net revenue in 2020. We expect a small number of customers wi</w:t>
      </w:r>
      <w:r>
        <w:rPr>
          <w:rFonts w:ascii="Arial" w:eastAsia="宋体" w:hAnsi="Arial" w:cs="Arial"/>
          <w:color w:val="262626"/>
          <w:sz w:val="18"/>
          <w:szCs w:val="18"/>
        </w:rPr>
        <w:t>ll continue to account for a significant portion of our revenue in the foreseeable future.</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551" w14:textId="77777777">
        <w:tc>
          <w:tcPr>
            <w:tcW w:w="50" w:type="pct"/>
            <w:shd w:val="clear" w:color="auto" w:fill="auto"/>
            <w:vAlign w:val="bottom"/>
          </w:tcPr>
          <w:p w14:paraId="67535548" w14:textId="77777777" w:rsidR="001B77DD" w:rsidRDefault="001B77DD">
            <w:pPr>
              <w:rPr>
                <w:rFonts w:ascii="宋体"/>
              </w:rPr>
            </w:pPr>
          </w:p>
        </w:tc>
        <w:tc>
          <w:tcPr>
            <w:tcW w:w="283" w:type="pct"/>
            <w:shd w:val="clear" w:color="auto" w:fill="auto"/>
            <w:vAlign w:val="bottom"/>
          </w:tcPr>
          <w:p w14:paraId="67535549" w14:textId="77777777" w:rsidR="001B77DD" w:rsidRDefault="001B77DD">
            <w:pPr>
              <w:rPr>
                <w:rFonts w:ascii="宋体"/>
              </w:rPr>
            </w:pPr>
          </w:p>
        </w:tc>
        <w:tc>
          <w:tcPr>
            <w:tcW w:w="5" w:type="pct"/>
            <w:shd w:val="clear" w:color="auto" w:fill="auto"/>
            <w:vAlign w:val="bottom"/>
          </w:tcPr>
          <w:p w14:paraId="6753554A" w14:textId="77777777" w:rsidR="001B77DD" w:rsidRDefault="001B77DD">
            <w:pPr>
              <w:rPr>
                <w:rFonts w:ascii="宋体"/>
              </w:rPr>
            </w:pPr>
          </w:p>
        </w:tc>
        <w:tc>
          <w:tcPr>
            <w:tcW w:w="50" w:type="pct"/>
            <w:shd w:val="clear" w:color="auto" w:fill="auto"/>
            <w:vAlign w:val="bottom"/>
          </w:tcPr>
          <w:p w14:paraId="6753554B" w14:textId="77777777" w:rsidR="001B77DD" w:rsidRDefault="001B77DD">
            <w:pPr>
              <w:rPr>
                <w:rFonts w:ascii="宋体"/>
              </w:rPr>
            </w:pPr>
          </w:p>
        </w:tc>
        <w:tc>
          <w:tcPr>
            <w:tcW w:w="2656" w:type="pct"/>
            <w:shd w:val="clear" w:color="auto" w:fill="auto"/>
            <w:vAlign w:val="bottom"/>
          </w:tcPr>
          <w:p w14:paraId="6753554C" w14:textId="77777777" w:rsidR="001B77DD" w:rsidRDefault="001B77DD">
            <w:pPr>
              <w:rPr>
                <w:rFonts w:ascii="宋体"/>
              </w:rPr>
            </w:pPr>
          </w:p>
        </w:tc>
        <w:tc>
          <w:tcPr>
            <w:tcW w:w="5" w:type="pct"/>
            <w:shd w:val="clear" w:color="auto" w:fill="auto"/>
            <w:vAlign w:val="bottom"/>
          </w:tcPr>
          <w:p w14:paraId="6753554D" w14:textId="77777777" w:rsidR="001B77DD" w:rsidRDefault="001B77DD">
            <w:pPr>
              <w:rPr>
                <w:rFonts w:ascii="宋体"/>
              </w:rPr>
            </w:pPr>
          </w:p>
        </w:tc>
        <w:tc>
          <w:tcPr>
            <w:tcW w:w="50" w:type="pct"/>
            <w:shd w:val="clear" w:color="auto" w:fill="auto"/>
            <w:vAlign w:val="bottom"/>
          </w:tcPr>
          <w:p w14:paraId="6753554E" w14:textId="77777777" w:rsidR="001B77DD" w:rsidRDefault="001B77DD">
            <w:pPr>
              <w:rPr>
                <w:rFonts w:ascii="宋体"/>
              </w:rPr>
            </w:pPr>
          </w:p>
        </w:tc>
        <w:tc>
          <w:tcPr>
            <w:tcW w:w="1894" w:type="pct"/>
            <w:shd w:val="clear" w:color="auto" w:fill="auto"/>
            <w:vAlign w:val="bottom"/>
          </w:tcPr>
          <w:p w14:paraId="6753554F" w14:textId="77777777" w:rsidR="001B77DD" w:rsidRDefault="001B77DD">
            <w:pPr>
              <w:rPr>
                <w:rFonts w:ascii="宋体"/>
              </w:rPr>
            </w:pPr>
          </w:p>
        </w:tc>
        <w:tc>
          <w:tcPr>
            <w:tcW w:w="5" w:type="pct"/>
            <w:shd w:val="clear" w:color="auto" w:fill="auto"/>
            <w:vAlign w:val="bottom"/>
          </w:tcPr>
          <w:p w14:paraId="67535550" w14:textId="77777777" w:rsidR="001B77DD" w:rsidRDefault="001B77DD">
            <w:pPr>
              <w:rPr>
                <w:rFonts w:ascii="宋体"/>
              </w:rPr>
            </w:pPr>
          </w:p>
        </w:tc>
      </w:tr>
      <w:tr w:rsidR="001B77DD" w14:paraId="6753555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552"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F8" wp14:editId="67538EF9">
                  <wp:extent cx="304800" cy="304800"/>
                  <wp:effectExtent l="0" t="0" r="0" b="0"/>
                  <wp:docPr id="199" name="图片 251"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51"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53"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54" w14:textId="77777777" w:rsidR="001B77DD" w:rsidRDefault="00BF0A28">
            <w:pPr>
              <w:jc w:val="right"/>
              <w:textAlignment w:val="center"/>
            </w:pPr>
            <w:r>
              <w:rPr>
                <w:rFonts w:ascii="Arial" w:eastAsia="宋体" w:hAnsi="Arial" w:cs="Arial"/>
                <w:color w:val="262626"/>
                <w:sz w:val="16"/>
                <w:szCs w:val="16"/>
              </w:rPr>
              <w:t>62</w:t>
            </w:r>
          </w:p>
        </w:tc>
      </w:tr>
    </w:tbl>
    <w:p w14:paraId="67535556" w14:textId="77777777" w:rsidR="001B77DD" w:rsidRDefault="00BF0A28">
      <w:r>
        <w:pict w14:anchorId="67538EFA">
          <v:rect id="_x0000_i1088" style="width:415.3pt;height:1.5pt" o:hralign="center" o:hrstd="t" o:hr="t" fillcolor="#a0a0a0" stroked="f"/>
        </w:pict>
      </w:r>
    </w:p>
    <w:p w14:paraId="67535557" w14:textId="77777777" w:rsidR="001B77DD" w:rsidRDefault="00BF0A28">
      <w:pPr>
        <w:jc w:val="right"/>
      </w:pPr>
      <w:hyperlink r:id="rId120" w:anchor="i6c9ced68f6b24d58a3dcf326e8c3c699_16" w:history="1">
        <w:r>
          <w:rPr>
            <w:rStyle w:val="a5"/>
            <w:rFonts w:ascii="Arial" w:eastAsia="宋体" w:hAnsi="Arial" w:cs="Arial"/>
            <w:b/>
            <w:bCs/>
            <w:sz w:val="16"/>
            <w:szCs w:val="16"/>
          </w:rPr>
          <w:t>Table of Contents</w:t>
        </w:r>
      </w:hyperlink>
    </w:p>
    <w:p w14:paraId="67535558" w14:textId="77777777" w:rsidR="001B77DD" w:rsidRDefault="001B77DD">
      <w:pPr>
        <w:jc w:val="right"/>
      </w:pPr>
    </w:p>
    <w:p w14:paraId="67535559" w14:textId="77777777" w:rsidR="001B77DD" w:rsidRDefault="00BF0A28">
      <w:pPr>
        <w:spacing w:after="180"/>
      </w:pPr>
      <w:r>
        <w:rPr>
          <w:rFonts w:ascii="Arial" w:eastAsia="宋体" w:hAnsi="Arial" w:cs="Arial"/>
          <w:color w:val="262626"/>
          <w:sz w:val="18"/>
          <w:szCs w:val="18"/>
        </w:rPr>
        <w:t xml:space="preserve">Industry trends, such as the increasing shift of data center workloads to the public cloud, have increased the significance and purchasing power of certain customers, particularly cloud service providers, in some of our data center-focused businesses. The </w:t>
      </w:r>
      <w:r>
        <w:rPr>
          <w:rFonts w:ascii="Arial" w:eastAsia="宋体" w:hAnsi="Arial" w:cs="Arial"/>
          <w:color w:val="262626"/>
          <w:sz w:val="18"/>
          <w:szCs w:val="18"/>
        </w:rPr>
        <w:t>cloud and cloud applications represent a new and increasingly demanding computing environment. The further consolidation of computing workloads in the cloud, and consolidation among cloud service providers, can heighten the competitive importance of factor</w:t>
      </w:r>
      <w:r>
        <w:rPr>
          <w:rFonts w:ascii="Arial" w:eastAsia="宋体" w:hAnsi="Arial" w:cs="Arial"/>
          <w:color w:val="262626"/>
          <w:sz w:val="18"/>
          <w:szCs w:val="18"/>
        </w:rPr>
        <w:t>s such as collaboration and customization with cloud service provider customers to optimize products for their environments; optimization for cloud services and applications; product performance; energy efficiency; feature differentiation; product quality,</w:t>
      </w:r>
      <w:r>
        <w:rPr>
          <w:rFonts w:ascii="Arial" w:eastAsia="宋体" w:hAnsi="Arial" w:cs="Arial"/>
          <w:color w:val="262626"/>
          <w:sz w:val="18"/>
          <w:szCs w:val="18"/>
        </w:rPr>
        <w:t xml:space="preserve"> reliability, and factors affecting server uptime; and product security and security features. Our competitive position can be eroded to the extent we do not execute effectively across these factors. We are operating in an increasingly competitive environm</w:t>
      </w:r>
      <w:r>
        <w:rPr>
          <w:rFonts w:ascii="Arial" w:eastAsia="宋体" w:hAnsi="Arial" w:cs="Arial"/>
          <w:color w:val="262626"/>
          <w:sz w:val="18"/>
          <w:szCs w:val="18"/>
        </w:rPr>
        <w:t xml:space="preserve">ent, including in serving cloud service provider customers, and the competitive environment adversely affected our results in DCG in 2021. </w:t>
      </w:r>
    </w:p>
    <w:p w14:paraId="6753555A" w14:textId="77777777" w:rsidR="001B77DD" w:rsidRDefault="00BF0A28">
      <w:pPr>
        <w:spacing w:after="180"/>
      </w:pPr>
      <w:r>
        <w:rPr>
          <w:rFonts w:ascii="Arial" w:eastAsia="宋体" w:hAnsi="Arial" w:cs="Arial"/>
          <w:color w:val="262626"/>
          <w:sz w:val="18"/>
          <w:szCs w:val="18"/>
        </w:rPr>
        <w:t>Some cloud service provider customers have also internally developed, and may continue to develop, their own semicon</w:t>
      </w:r>
      <w:r>
        <w:rPr>
          <w:rFonts w:ascii="Arial" w:eastAsia="宋体" w:hAnsi="Arial" w:cs="Arial"/>
          <w:color w:val="262626"/>
          <w:sz w:val="18"/>
          <w:szCs w:val="18"/>
        </w:rPr>
        <w:t>ductors, including designs customized for their specific computing workloads. In addition, cloud services can be marketed to end users based on service levels or features rather than hardware specifications, or they can abstract hardware under layers of so</w:t>
      </w:r>
      <w:r>
        <w:rPr>
          <w:rFonts w:ascii="Arial" w:eastAsia="宋体" w:hAnsi="Arial" w:cs="Arial"/>
          <w:color w:val="262626"/>
          <w:sz w:val="18"/>
          <w:szCs w:val="18"/>
        </w:rPr>
        <w:t>ftware, which can make it more difficult to differentiate our products to customers and end users. The shift of data center workloads to the cloud has also adversely affected, and may continue to affect, sales to enterprise and government market segment cu</w:t>
      </w:r>
      <w:r>
        <w:rPr>
          <w:rFonts w:ascii="Arial" w:eastAsia="宋体" w:hAnsi="Arial" w:cs="Arial"/>
          <w:color w:val="262626"/>
          <w:sz w:val="18"/>
          <w:szCs w:val="18"/>
        </w:rPr>
        <w:t xml:space="preserve">stomers when end users have elected to migrate workloads. To the extent we differentiate our products through customization to meet cloud customer specifications, order changes, delays, or cancellations may result in non-recoverable costs. </w:t>
      </w:r>
    </w:p>
    <w:p w14:paraId="6753555B" w14:textId="77777777" w:rsidR="001B77DD" w:rsidRDefault="00BF0A28">
      <w:pPr>
        <w:spacing w:after="180"/>
      </w:pPr>
      <w:r>
        <w:rPr>
          <w:rFonts w:ascii="Arial" w:eastAsia="宋体" w:hAnsi="Arial" w:cs="Arial"/>
          <w:color w:val="262626"/>
          <w:sz w:val="18"/>
          <w:szCs w:val="18"/>
        </w:rPr>
        <w:t>The loss of a k</w:t>
      </w:r>
      <w:r>
        <w:rPr>
          <w:rFonts w:ascii="Arial" w:eastAsia="宋体" w:hAnsi="Arial" w:cs="Arial"/>
          <w:color w:val="262626"/>
          <w:sz w:val="18"/>
          <w:szCs w:val="18"/>
        </w:rPr>
        <w:t>ey customer, a substantial reduction in sales to them, or changes in the timing of their orders can lead to a reduction in our revenue, increase the volatility of our results, and harm our results of operations and financial condition. For more information</w:t>
      </w:r>
      <w:r>
        <w:rPr>
          <w:rFonts w:ascii="Arial" w:eastAsia="宋体" w:hAnsi="Arial" w:cs="Arial"/>
          <w:color w:val="262626"/>
          <w:sz w:val="18"/>
          <w:szCs w:val="18"/>
        </w:rPr>
        <w:t xml:space="preserve"> about our customers, including customers who accounted for greater than 10% of our net consolidated revenue, see "Note 3: Operating Segments" within the Consolidated Financial Statements.</w:t>
      </w:r>
    </w:p>
    <w:p w14:paraId="6753555C" w14:textId="77777777" w:rsidR="001B77DD" w:rsidRDefault="00BF0A28">
      <w:pPr>
        <w:spacing w:after="180"/>
      </w:pPr>
      <w:r>
        <w:rPr>
          <w:rFonts w:ascii="Arial" w:eastAsia="宋体" w:hAnsi="Arial" w:cs="Arial"/>
          <w:color w:val="0068B5"/>
          <w:sz w:val="18"/>
          <w:szCs w:val="18"/>
        </w:rPr>
        <w:t xml:space="preserve">We face risks related to transactions with government entities. </w:t>
      </w:r>
      <w:r>
        <w:rPr>
          <w:rFonts w:ascii="Arial" w:eastAsia="宋体" w:hAnsi="Arial" w:cs="Arial"/>
          <w:color w:val="262626"/>
          <w:sz w:val="18"/>
          <w:szCs w:val="18"/>
        </w:rPr>
        <w:t xml:space="preserve">We </w:t>
      </w:r>
      <w:r>
        <w:rPr>
          <w:rFonts w:ascii="Arial" w:eastAsia="宋体" w:hAnsi="Arial" w:cs="Arial"/>
          <w:color w:val="262626"/>
          <w:sz w:val="18"/>
          <w:szCs w:val="18"/>
        </w:rPr>
        <w:t>receive proceeds from US federal, state, local, and foreign government entities associated with grants, incentives, and sales of our products and services. Government demand and payment are often affected by public sector budgetary cycles and funding autho</w:t>
      </w:r>
      <w:r>
        <w:rPr>
          <w:rFonts w:ascii="Arial" w:eastAsia="宋体" w:hAnsi="Arial" w:cs="Arial"/>
          <w:color w:val="262626"/>
          <w:sz w:val="18"/>
          <w:szCs w:val="18"/>
        </w:rPr>
        <w:t>rizations, including, with respect to US government contracts, congressional approval of appropriations. Government contracts are subject to procurement laws and regulations relating to the award, administration, and performance of those contracts, as well</w:t>
      </w:r>
      <w:r>
        <w:rPr>
          <w:rFonts w:ascii="Arial" w:eastAsia="宋体" w:hAnsi="Arial" w:cs="Arial"/>
          <w:color w:val="262626"/>
          <w:sz w:val="18"/>
          <w:szCs w:val="18"/>
        </w:rPr>
        <w:t xml:space="preserve"> as oversight and penalties for violations. For example, certain agreements with the US government are subject to special rules on accounting, IP rights, expenses, reviews, information handling, security, and/or employees, and failure to comply with these </w:t>
      </w:r>
      <w:r>
        <w:rPr>
          <w:rFonts w:ascii="Arial" w:eastAsia="宋体" w:hAnsi="Arial" w:cs="Arial"/>
          <w:color w:val="262626"/>
          <w:sz w:val="18"/>
          <w:szCs w:val="18"/>
        </w:rPr>
        <w:t>rules could result in civil and criminal penalties and sanctions, including termination of contracts, fines, and suspension or debarment from future business with the US government.</w:t>
      </w:r>
    </w:p>
    <w:p w14:paraId="6753555D" w14:textId="77777777" w:rsidR="001B77DD" w:rsidRDefault="00BF0A28">
      <w:pPr>
        <w:spacing w:after="120"/>
      </w:pPr>
      <w:r>
        <w:rPr>
          <w:rFonts w:ascii="Arial" w:eastAsia="宋体" w:hAnsi="Arial" w:cs="Arial"/>
          <w:color w:val="0068B5"/>
        </w:rPr>
        <w:t>Changes in our effective tax rate may reduce our net income.</w:t>
      </w:r>
    </w:p>
    <w:p w14:paraId="6753555E" w14:textId="77777777" w:rsidR="001B77DD" w:rsidRDefault="00BF0A28">
      <w:pPr>
        <w:spacing w:after="120"/>
      </w:pPr>
      <w:r>
        <w:rPr>
          <w:rFonts w:ascii="Arial" w:eastAsia="宋体" w:hAnsi="Arial" w:cs="Arial"/>
          <w:color w:val="262626"/>
          <w:sz w:val="18"/>
          <w:szCs w:val="18"/>
        </w:rPr>
        <w:t xml:space="preserve">A </w:t>
      </w:r>
      <w:r>
        <w:rPr>
          <w:rFonts w:ascii="Arial" w:eastAsia="宋体" w:hAnsi="Arial" w:cs="Arial"/>
          <w:color w:val="262626"/>
          <w:sz w:val="18"/>
          <w:szCs w:val="18"/>
        </w:rPr>
        <w:t>number of factors can increase our effective tax rate, which could reduce our net income, including:    </w:t>
      </w:r>
    </w:p>
    <w:p w14:paraId="6753555F"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the volume and mix of profits earned and location of assets across jurisdictions with varying tax rates;</w:t>
      </w:r>
    </w:p>
    <w:p w14:paraId="67535560"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the resolution of issues arising </w:t>
      </w:r>
      <w:r>
        <w:rPr>
          <w:rFonts w:ascii="Arial" w:eastAsia="宋体" w:hAnsi="Arial" w:cs="Arial"/>
          <w:color w:val="262626"/>
          <w:sz w:val="18"/>
          <w:szCs w:val="18"/>
        </w:rPr>
        <w:t>from tax audits, including payment of interest and penalties;</w:t>
      </w:r>
    </w:p>
    <w:p w14:paraId="67535561"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the valuation of our deferred tax assets and liabilities, and in deferred tax valuation allowances;</w:t>
      </w:r>
    </w:p>
    <w:p w14:paraId="67535562"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adjustments to income taxes upon finalization of tax returns;</w:t>
      </w:r>
    </w:p>
    <w:p w14:paraId="67535563"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increases in expen</w:t>
      </w:r>
      <w:r>
        <w:rPr>
          <w:rFonts w:ascii="Arial" w:eastAsia="宋体" w:hAnsi="Arial" w:cs="Arial"/>
          <w:color w:val="262626"/>
          <w:sz w:val="18"/>
          <w:szCs w:val="18"/>
        </w:rPr>
        <w:t>ses not deductible for tax purposes, including impairments of goodwill;</w:t>
      </w:r>
    </w:p>
    <w:p w14:paraId="67535564"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available tax credits;</w:t>
      </w:r>
    </w:p>
    <w:p w14:paraId="67535565"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our ability to secure new, or renew existing, tax holidays and incentives;</w:t>
      </w:r>
    </w:p>
    <w:p w14:paraId="67535566"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US federal, state, or foreign tax laws or their in</w:t>
      </w:r>
      <w:r>
        <w:rPr>
          <w:rFonts w:ascii="Arial" w:eastAsia="宋体" w:hAnsi="Arial" w:cs="Arial"/>
          <w:color w:val="262626"/>
          <w:sz w:val="18"/>
          <w:szCs w:val="18"/>
        </w:rPr>
        <w:t>terpretation, including changes in the US to the taxation of manufacturing enterprises and of non-US income and expenses and changes resulting from the adoption by countries of OECD recommendations or other legislative actions;</w:t>
      </w:r>
    </w:p>
    <w:p w14:paraId="67535567"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changes in accounting stand</w:t>
      </w:r>
      <w:r>
        <w:rPr>
          <w:rFonts w:ascii="Arial" w:eastAsia="宋体" w:hAnsi="Arial" w:cs="Arial"/>
          <w:color w:val="262626"/>
          <w:sz w:val="18"/>
          <w:szCs w:val="18"/>
        </w:rPr>
        <w:t>ards; and</w:t>
      </w:r>
    </w:p>
    <w:p w14:paraId="67535568"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our decision to repatriate non-US earnings for which we have not previously provided for local country withholding taxes incurred upon repatriation.</w:t>
      </w:r>
    </w:p>
    <w:p w14:paraId="67535569" w14:textId="77777777" w:rsidR="001B77DD" w:rsidRDefault="00BF0A28">
      <w:pPr>
        <w:spacing w:after="120"/>
      </w:pPr>
      <w:r>
        <w:rPr>
          <w:rFonts w:ascii="Arial" w:eastAsia="宋体" w:hAnsi="Arial" w:cs="Arial"/>
          <w:color w:val="0068B5"/>
        </w:rPr>
        <w:t xml:space="preserve">We have fluctuations in the amount and frequency of our stock repurchases. </w:t>
      </w:r>
    </w:p>
    <w:p w14:paraId="6753556A" w14:textId="77777777" w:rsidR="001B77DD" w:rsidRDefault="00BF0A28">
      <w:pPr>
        <w:spacing w:after="180"/>
      </w:pPr>
      <w:r>
        <w:rPr>
          <w:rFonts w:ascii="Arial" w:eastAsia="宋体" w:hAnsi="Arial" w:cs="Arial"/>
          <w:color w:val="262626"/>
          <w:sz w:val="18"/>
          <w:szCs w:val="18"/>
        </w:rPr>
        <w:t>We are not obligated</w:t>
      </w:r>
      <w:r>
        <w:rPr>
          <w:rFonts w:ascii="Arial" w:eastAsia="宋体" w:hAnsi="Arial" w:cs="Arial"/>
          <w:color w:val="262626"/>
          <w:sz w:val="18"/>
          <w:szCs w:val="18"/>
        </w:rPr>
        <w:t xml:space="preserve"> to make repurchases under our stock repurchase program. The amount, timing, and execution of our repurchases fluctuate based on factors that include prioritizing cash for other purposes, such as investing in our business, including operational spending, c</w:t>
      </w:r>
      <w:r>
        <w:rPr>
          <w:rFonts w:ascii="Arial" w:eastAsia="宋体" w:hAnsi="Arial" w:cs="Arial"/>
          <w:color w:val="262626"/>
          <w:sz w:val="18"/>
          <w:szCs w:val="18"/>
        </w:rPr>
        <w:t xml:space="preserve">apital spending, and acquisitions, and returning cash to our stockholders as dividend payments. </w:t>
      </w:r>
      <w:r>
        <w:rPr>
          <w:rFonts w:ascii="Arial" w:eastAsia="宋体" w:hAnsi="Arial" w:cs="Arial"/>
          <w:color w:val="333333"/>
          <w:sz w:val="18"/>
          <w:szCs w:val="18"/>
        </w:rPr>
        <w:t>Our stock repurchase program may be suspended or terminated at any time. Moreover, we cannot guarantee that repurchases will enhance long-term stockholder value</w:t>
      </w:r>
      <w:r>
        <w:rPr>
          <w:rFonts w:ascii="Arial" w:eastAsia="宋体" w:hAnsi="Arial" w:cs="Arial"/>
          <w:color w:val="333333"/>
          <w:sz w:val="18"/>
          <w:szCs w:val="18"/>
        </w:rPr>
        <w:t xml:space="preserve">. We expect our future stock repurchases to be significantly below our levels from the last few years. </w:t>
      </w:r>
    </w:p>
    <w:p w14:paraId="6753556B" w14:textId="77777777" w:rsidR="001B77DD" w:rsidRDefault="001B77DD">
      <w:pPr>
        <w:spacing w:after="180"/>
      </w:pPr>
    </w:p>
    <w:p w14:paraId="6753556C" w14:textId="77777777" w:rsidR="001B77DD" w:rsidRDefault="001B77DD"/>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576" w14:textId="77777777">
        <w:tc>
          <w:tcPr>
            <w:tcW w:w="50" w:type="pct"/>
            <w:shd w:val="clear" w:color="auto" w:fill="auto"/>
            <w:vAlign w:val="bottom"/>
          </w:tcPr>
          <w:p w14:paraId="6753556D" w14:textId="77777777" w:rsidR="001B77DD" w:rsidRDefault="001B77DD">
            <w:pPr>
              <w:rPr>
                <w:rFonts w:ascii="宋体"/>
              </w:rPr>
            </w:pPr>
          </w:p>
        </w:tc>
        <w:tc>
          <w:tcPr>
            <w:tcW w:w="283" w:type="pct"/>
            <w:shd w:val="clear" w:color="auto" w:fill="auto"/>
            <w:vAlign w:val="bottom"/>
          </w:tcPr>
          <w:p w14:paraId="6753556E" w14:textId="77777777" w:rsidR="001B77DD" w:rsidRDefault="001B77DD">
            <w:pPr>
              <w:rPr>
                <w:rFonts w:ascii="宋体"/>
              </w:rPr>
            </w:pPr>
          </w:p>
        </w:tc>
        <w:tc>
          <w:tcPr>
            <w:tcW w:w="5" w:type="pct"/>
            <w:shd w:val="clear" w:color="auto" w:fill="auto"/>
            <w:vAlign w:val="bottom"/>
          </w:tcPr>
          <w:p w14:paraId="6753556F" w14:textId="77777777" w:rsidR="001B77DD" w:rsidRDefault="001B77DD">
            <w:pPr>
              <w:rPr>
                <w:rFonts w:ascii="宋体"/>
              </w:rPr>
            </w:pPr>
          </w:p>
        </w:tc>
        <w:tc>
          <w:tcPr>
            <w:tcW w:w="50" w:type="pct"/>
            <w:shd w:val="clear" w:color="auto" w:fill="auto"/>
            <w:vAlign w:val="bottom"/>
          </w:tcPr>
          <w:p w14:paraId="67535570" w14:textId="77777777" w:rsidR="001B77DD" w:rsidRDefault="001B77DD">
            <w:pPr>
              <w:rPr>
                <w:rFonts w:ascii="宋体"/>
              </w:rPr>
            </w:pPr>
          </w:p>
        </w:tc>
        <w:tc>
          <w:tcPr>
            <w:tcW w:w="2656" w:type="pct"/>
            <w:shd w:val="clear" w:color="auto" w:fill="auto"/>
            <w:vAlign w:val="bottom"/>
          </w:tcPr>
          <w:p w14:paraId="67535571" w14:textId="77777777" w:rsidR="001B77DD" w:rsidRDefault="001B77DD">
            <w:pPr>
              <w:rPr>
                <w:rFonts w:ascii="宋体"/>
              </w:rPr>
            </w:pPr>
          </w:p>
        </w:tc>
        <w:tc>
          <w:tcPr>
            <w:tcW w:w="5" w:type="pct"/>
            <w:shd w:val="clear" w:color="auto" w:fill="auto"/>
            <w:vAlign w:val="bottom"/>
          </w:tcPr>
          <w:p w14:paraId="67535572" w14:textId="77777777" w:rsidR="001B77DD" w:rsidRDefault="001B77DD">
            <w:pPr>
              <w:rPr>
                <w:rFonts w:ascii="宋体"/>
              </w:rPr>
            </w:pPr>
          </w:p>
        </w:tc>
        <w:tc>
          <w:tcPr>
            <w:tcW w:w="50" w:type="pct"/>
            <w:shd w:val="clear" w:color="auto" w:fill="auto"/>
            <w:vAlign w:val="bottom"/>
          </w:tcPr>
          <w:p w14:paraId="67535573" w14:textId="77777777" w:rsidR="001B77DD" w:rsidRDefault="001B77DD">
            <w:pPr>
              <w:rPr>
                <w:rFonts w:ascii="宋体"/>
              </w:rPr>
            </w:pPr>
          </w:p>
        </w:tc>
        <w:tc>
          <w:tcPr>
            <w:tcW w:w="1894" w:type="pct"/>
            <w:shd w:val="clear" w:color="auto" w:fill="auto"/>
            <w:vAlign w:val="bottom"/>
          </w:tcPr>
          <w:p w14:paraId="67535574" w14:textId="77777777" w:rsidR="001B77DD" w:rsidRDefault="001B77DD">
            <w:pPr>
              <w:rPr>
                <w:rFonts w:ascii="宋体"/>
              </w:rPr>
            </w:pPr>
          </w:p>
        </w:tc>
        <w:tc>
          <w:tcPr>
            <w:tcW w:w="5" w:type="pct"/>
            <w:shd w:val="clear" w:color="auto" w:fill="auto"/>
            <w:vAlign w:val="bottom"/>
          </w:tcPr>
          <w:p w14:paraId="67535575" w14:textId="77777777" w:rsidR="001B77DD" w:rsidRDefault="001B77DD">
            <w:pPr>
              <w:rPr>
                <w:rFonts w:ascii="宋体"/>
              </w:rPr>
            </w:pPr>
          </w:p>
        </w:tc>
      </w:tr>
      <w:tr w:rsidR="001B77DD" w14:paraId="6753557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577"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FB" wp14:editId="67538EFC">
                  <wp:extent cx="304800" cy="304800"/>
                  <wp:effectExtent l="0" t="0" r="0" b="0"/>
                  <wp:docPr id="189" name="图片 253"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53"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78"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79" w14:textId="77777777" w:rsidR="001B77DD" w:rsidRDefault="00BF0A28">
            <w:pPr>
              <w:jc w:val="right"/>
              <w:textAlignment w:val="center"/>
            </w:pPr>
            <w:r>
              <w:rPr>
                <w:rFonts w:ascii="Arial" w:eastAsia="宋体" w:hAnsi="Arial" w:cs="Arial"/>
                <w:color w:val="262626"/>
                <w:sz w:val="16"/>
                <w:szCs w:val="16"/>
              </w:rPr>
              <w:t>63</w:t>
            </w:r>
          </w:p>
        </w:tc>
      </w:tr>
    </w:tbl>
    <w:p w14:paraId="6753557B" w14:textId="77777777" w:rsidR="001B77DD" w:rsidRDefault="00BF0A28">
      <w:r>
        <w:pict w14:anchorId="67538EFD">
          <v:rect id="_x0000_i1089" style="width:415.3pt;height:1.5pt" o:hralign="center" o:hrstd="t" o:hr="t" fillcolor="#a0a0a0" stroked="f"/>
        </w:pict>
      </w:r>
    </w:p>
    <w:p w14:paraId="6753557C" w14:textId="77777777" w:rsidR="001B77DD" w:rsidRDefault="00BF0A28">
      <w:pPr>
        <w:jc w:val="right"/>
      </w:pPr>
      <w:hyperlink r:id="rId121" w:anchor="i6c9ced68f6b24d58a3dcf326e8c3c699_16" w:history="1">
        <w:r>
          <w:rPr>
            <w:rStyle w:val="a5"/>
            <w:rFonts w:ascii="Arial" w:eastAsia="宋体" w:hAnsi="Arial" w:cs="Arial"/>
            <w:b/>
            <w:bCs/>
            <w:sz w:val="16"/>
            <w:szCs w:val="16"/>
          </w:rPr>
          <w:t>Table of Contents</w:t>
        </w:r>
      </w:hyperlink>
    </w:p>
    <w:p w14:paraId="6753557D" w14:textId="77777777" w:rsidR="001B77DD" w:rsidRDefault="001B77DD">
      <w:pPr>
        <w:jc w:val="right"/>
      </w:pPr>
    </w:p>
    <w:p w14:paraId="6753557E" w14:textId="77777777" w:rsidR="001B77DD" w:rsidRDefault="00BF0A28">
      <w:pPr>
        <w:spacing w:before="180" w:after="180"/>
      </w:pPr>
      <w:r>
        <w:rPr>
          <w:rFonts w:ascii="Arial" w:eastAsia="宋体" w:hAnsi="Arial" w:cs="Arial"/>
          <w:color w:val="0068B5"/>
          <w:sz w:val="28"/>
          <w:szCs w:val="28"/>
        </w:rPr>
        <w:t>Properties</w:t>
      </w:r>
    </w:p>
    <w:p w14:paraId="6753557F" w14:textId="77777777" w:rsidR="001B77DD" w:rsidRDefault="00BF0A28">
      <w:pPr>
        <w:spacing w:after="120"/>
      </w:pPr>
      <w:r>
        <w:rPr>
          <w:rFonts w:ascii="Arial" w:eastAsia="宋体" w:hAnsi="Arial" w:cs="Arial"/>
          <w:color w:val="262626"/>
          <w:sz w:val="18"/>
          <w:szCs w:val="18"/>
        </w:rPr>
        <w:t>As of December 25, 2021, our major facilities consisted of:</w:t>
      </w:r>
    </w:p>
    <w:tbl>
      <w:tblPr>
        <w:tblW w:w="5000" w:type="pct"/>
        <w:tblCellMar>
          <w:top w:w="15" w:type="dxa"/>
          <w:left w:w="15" w:type="dxa"/>
          <w:bottom w:w="15" w:type="dxa"/>
          <w:right w:w="15" w:type="dxa"/>
        </w:tblCellMar>
        <w:tblLook w:val="04A0" w:firstRow="1" w:lastRow="0" w:firstColumn="1" w:lastColumn="0" w:noHBand="0" w:noVBand="1"/>
      </w:tblPr>
      <w:tblGrid>
        <w:gridCol w:w="58"/>
        <w:gridCol w:w="5077"/>
        <w:gridCol w:w="36"/>
        <w:gridCol w:w="36"/>
        <w:gridCol w:w="36"/>
        <w:gridCol w:w="36"/>
        <w:gridCol w:w="51"/>
        <w:gridCol w:w="860"/>
        <w:gridCol w:w="36"/>
        <w:gridCol w:w="36"/>
        <w:gridCol w:w="36"/>
        <w:gridCol w:w="36"/>
        <w:gridCol w:w="75"/>
        <w:gridCol w:w="836"/>
        <w:gridCol w:w="36"/>
        <w:gridCol w:w="36"/>
        <w:gridCol w:w="36"/>
        <w:gridCol w:w="36"/>
        <w:gridCol w:w="40"/>
        <w:gridCol w:w="871"/>
        <w:gridCol w:w="36"/>
      </w:tblGrid>
      <w:tr w:rsidR="001B77DD" w14:paraId="67535595" w14:textId="77777777">
        <w:tc>
          <w:tcPr>
            <w:tcW w:w="50" w:type="pct"/>
            <w:shd w:val="clear" w:color="auto" w:fill="auto"/>
            <w:vAlign w:val="bottom"/>
          </w:tcPr>
          <w:p w14:paraId="67535580" w14:textId="77777777" w:rsidR="001B77DD" w:rsidRDefault="001B77DD">
            <w:pPr>
              <w:rPr>
                <w:rFonts w:ascii="宋体"/>
              </w:rPr>
            </w:pPr>
          </w:p>
        </w:tc>
        <w:tc>
          <w:tcPr>
            <w:tcW w:w="3059" w:type="pct"/>
            <w:shd w:val="clear" w:color="auto" w:fill="auto"/>
            <w:vAlign w:val="bottom"/>
          </w:tcPr>
          <w:p w14:paraId="67535581" w14:textId="77777777" w:rsidR="001B77DD" w:rsidRDefault="001B77DD">
            <w:pPr>
              <w:rPr>
                <w:rFonts w:ascii="宋体"/>
              </w:rPr>
            </w:pPr>
          </w:p>
        </w:tc>
        <w:tc>
          <w:tcPr>
            <w:tcW w:w="5" w:type="pct"/>
            <w:shd w:val="clear" w:color="auto" w:fill="auto"/>
            <w:vAlign w:val="bottom"/>
          </w:tcPr>
          <w:p w14:paraId="67535582" w14:textId="77777777" w:rsidR="001B77DD" w:rsidRDefault="001B77DD">
            <w:pPr>
              <w:rPr>
                <w:rFonts w:ascii="宋体"/>
              </w:rPr>
            </w:pPr>
          </w:p>
        </w:tc>
        <w:tc>
          <w:tcPr>
            <w:tcW w:w="5" w:type="pct"/>
            <w:shd w:val="clear" w:color="auto" w:fill="auto"/>
            <w:vAlign w:val="bottom"/>
          </w:tcPr>
          <w:p w14:paraId="67535583" w14:textId="77777777" w:rsidR="001B77DD" w:rsidRDefault="001B77DD">
            <w:pPr>
              <w:rPr>
                <w:rFonts w:ascii="宋体"/>
              </w:rPr>
            </w:pPr>
          </w:p>
        </w:tc>
        <w:tc>
          <w:tcPr>
            <w:tcW w:w="24" w:type="pct"/>
            <w:shd w:val="clear" w:color="auto" w:fill="auto"/>
            <w:vAlign w:val="bottom"/>
          </w:tcPr>
          <w:p w14:paraId="67535584" w14:textId="77777777" w:rsidR="001B77DD" w:rsidRDefault="001B77DD">
            <w:pPr>
              <w:rPr>
                <w:rFonts w:ascii="宋体"/>
              </w:rPr>
            </w:pPr>
          </w:p>
        </w:tc>
        <w:tc>
          <w:tcPr>
            <w:tcW w:w="5" w:type="pct"/>
            <w:shd w:val="clear" w:color="auto" w:fill="auto"/>
            <w:vAlign w:val="bottom"/>
          </w:tcPr>
          <w:p w14:paraId="67535585" w14:textId="77777777" w:rsidR="001B77DD" w:rsidRDefault="001B77DD">
            <w:pPr>
              <w:rPr>
                <w:rFonts w:ascii="宋体"/>
              </w:rPr>
            </w:pPr>
          </w:p>
        </w:tc>
        <w:tc>
          <w:tcPr>
            <w:tcW w:w="50" w:type="pct"/>
            <w:shd w:val="clear" w:color="auto" w:fill="auto"/>
            <w:vAlign w:val="bottom"/>
          </w:tcPr>
          <w:p w14:paraId="67535586" w14:textId="77777777" w:rsidR="001B77DD" w:rsidRDefault="001B77DD">
            <w:pPr>
              <w:rPr>
                <w:rFonts w:ascii="宋体"/>
              </w:rPr>
            </w:pPr>
          </w:p>
        </w:tc>
        <w:tc>
          <w:tcPr>
            <w:tcW w:w="539" w:type="pct"/>
            <w:shd w:val="clear" w:color="auto" w:fill="auto"/>
            <w:vAlign w:val="bottom"/>
          </w:tcPr>
          <w:p w14:paraId="67535587" w14:textId="77777777" w:rsidR="001B77DD" w:rsidRDefault="001B77DD">
            <w:pPr>
              <w:rPr>
                <w:rFonts w:ascii="宋体"/>
              </w:rPr>
            </w:pPr>
          </w:p>
        </w:tc>
        <w:tc>
          <w:tcPr>
            <w:tcW w:w="5" w:type="pct"/>
            <w:shd w:val="clear" w:color="auto" w:fill="auto"/>
            <w:vAlign w:val="bottom"/>
          </w:tcPr>
          <w:p w14:paraId="67535588" w14:textId="77777777" w:rsidR="001B77DD" w:rsidRDefault="001B77DD">
            <w:pPr>
              <w:rPr>
                <w:rFonts w:ascii="宋体"/>
              </w:rPr>
            </w:pPr>
          </w:p>
        </w:tc>
        <w:tc>
          <w:tcPr>
            <w:tcW w:w="5" w:type="pct"/>
            <w:shd w:val="clear" w:color="auto" w:fill="auto"/>
            <w:vAlign w:val="bottom"/>
          </w:tcPr>
          <w:p w14:paraId="67535589" w14:textId="77777777" w:rsidR="001B77DD" w:rsidRDefault="001B77DD">
            <w:pPr>
              <w:rPr>
                <w:rFonts w:ascii="宋体"/>
              </w:rPr>
            </w:pPr>
          </w:p>
        </w:tc>
        <w:tc>
          <w:tcPr>
            <w:tcW w:w="24" w:type="pct"/>
            <w:shd w:val="clear" w:color="auto" w:fill="auto"/>
            <w:vAlign w:val="bottom"/>
          </w:tcPr>
          <w:p w14:paraId="6753558A" w14:textId="77777777" w:rsidR="001B77DD" w:rsidRDefault="001B77DD">
            <w:pPr>
              <w:rPr>
                <w:rFonts w:ascii="宋体"/>
              </w:rPr>
            </w:pPr>
          </w:p>
        </w:tc>
        <w:tc>
          <w:tcPr>
            <w:tcW w:w="5" w:type="pct"/>
            <w:shd w:val="clear" w:color="auto" w:fill="auto"/>
            <w:vAlign w:val="bottom"/>
          </w:tcPr>
          <w:p w14:paraId="6753558B" w14:textId="77777777" w:rsidR="001B77DD" w:rsidRDefault="001B77DD">
            <w:pPr>
              <w:rPr>
                <w:rFonts w:ascii="宋体"/>
              </w:rPr>
            </w:pPr>
          </w:p>
        </w:tc>
        <w:tc>
          <w:tcPr>
            <w:tcW w:w="50" w:type="pct"/>
            <w:shd w:val="clear" w:color="auto" w:fill="auto"/>
            <w:vAlign w:val="bottom"/>
          </w:tcPr>
          <w:p w14:paraId="6753558C" w14:textId="77777777" w:rsidR="001B77DD" w:rsidRDefault="001B77DD">
            <w:pPr>
              <w:rPr>
                <w:rFonts w:ascii="宋体"/>
              </w:rPr>
            </w:pPr>
          </w:p>
        </w:tc>
        <w:tc>
          <w:tcPr>
            <w:tcW w:w="539" w:type="pct"/>
            <w:shd w:val="clear" w:color="auto" w:fill="auto"/>
            <w:vAlign w:val="bottom"/>
          </w:tcPr>
          <w:p w14:paraId="6753558D" w14:textId="77777777" w:rsidR="001B77DD" w:rsidRDefault="001B77DD">
            <w:pPr>
              <w:rPr>
                <w:rFonts w:ascii="宋体"/>
              </w:rPr>
            </w:pPr>
          </w:p>
        </w:tc>
        <w:tc>
          <w:tcPr>
            <w:tcW w:w="5" w:type="pct"/>
            <w:shd w:val="clear" w:color="auto" w:fill="auto"/>
            <w:vAlign w:val="bottom"/>
          </w:tcPr>
          <w:p w14:paraId="6753558E" w14:textId="77777777" w:rsidR="001B77DD" w:rsidRDefault="001B77DD">
            <w:pPr>
              <w:rPr>
                <w:rFonts w:ascii="宋体"/>
              </w:rPr>
            </w:pPr>
          </w:p>
        </w:tc>
        <w:tc>
          <w:tcPr>
            <w:tcW w:w="5" w:type="pct"/>
            <w:shd w:val="clear" w:color="auto" w:fill="auto"/>
            <w:vAlign w:val="bottom"/>
          </w:tcPr>
          <w:p w14:paraId="6753558F" w14:textId="77777777" w:rsidR="001B77DD" w:rsidRDefault="001B77DD">
            <w:pPr>
              <w:rPr>
                <w:rFonts w:ascii="宋体"/>
              </w:rPr>
            </w:pPr>
          </w:p>
        </w:tc>
        <w:tc>
          <w:tcPr>
            <w:tcW w:w="24" w:type="pct"/>
            <w:shd w:val="clear" w:color="auto" w:fill="auto"/>
            <w:vAlign w:val="bottom"/>
          </w:tcPr>
          <w:p w14:paraId="67535590" w14:textId="77777777" w:rsidR="001B77DD" w:rsidRDefault="001B77DD">
            <w:pPr>
              <w:rPr>
                <w:rFonts w:ascii="宋体"/>
              </w:rPr>
            </w:pPr>
          </w:p>
        </w:tc>
        <w:tc>
          <w:tcPr>
            <w:tcW w:w="5" w:type="pct"/>
            <w:shd w:val="clear" w:color="auto" w:fill="auto"/>
            <w:vAlign w:val="bottom"/>
          </w:tcPr>
          <w:p w14:paraId="67535591" w14:textId="77777777" w:rsidR="001B77DD" w:rsidRDefault="001B77DD">
            <w:pPr>
              <w:rPr>
                <w:rFonts w:ascii="宋体"/>
              </w:rPr>
            </w:pPr>
          </w:p>
        </w:tc>
        <w:tc>
          <w:tcPr>
            <w:tcW w:w="50" w:type="pct"/>
            <w:shd w:val="clear" w:color="auto" w:fill="auto"/>
            <w:vAlign w:val="bottom"/>
          </w:tcPr>
          <w:p w14:paraId="67535592" w14:textId="77777777" w:rsidR="001B77DD" w:rsidRDefault="001B77DD">
            <w:pPr>
              <w:rPr>
                <w:rFonts w:ascii="宋体"/>
              </w:rPr>
            </w:pPr>
          </w:p>
        </w:tc>
        <w:tc>
          <w:tcPr>
            <w:tcW w:w="539" w:type="pct"/>
            <w:shd w:val="clear" w:color="auto" w:fill="auto"/>
            <w:vAlign w:val="bottom"/>
          </w:tcPr>
          <w:p w14:paraId="67535593" w14:textId="77777777" w:rsidR="001B77DD" w:rsidRDefault="001B77DD">
            <w:pPr>
              <w:rPr>
                <w:rFonts w:ascii="宋体"/>
              </w:rPr>
            </w:pPr>
          </w:p>
        </w:tc>
        <w:tc>
          <w:tcPr>
            <w:tcW w:w="5" w:type="pct"/>
            <w:shd w:val="clear" w:color="auto" w:fill="auto"/>
            <w:vAlign w:val="bottom"/>
          </w:tcPr>
          <w:p w14:paraId="67535594" w14:textId="77777777" w:rsidR="001B77DD" w:rsidRDefault="001B77DD">
            <w:pPr>
              <w:rPr>
                <w:rFonts w:ascii="宋体"/>
              </w:rPr>
            </w:pPr>
          </w:p>
        </w:tc>
      </w:tr>
      <w:tr w:rsidR="001B77DD" w14:paraId="6753559D" w14:textId="77777777">
        <w:tc>
          <w:tcPr>
            <w:tcW w:w="0" w:type="auto"/>
            <w:gridSpan w:val="3"/>
            <w:shd w:val="clear" w:color="auto" w:fill="auto"/>
            <w:tcMar>
              <w:top w:w="40" w:type="dxa"/>
              <w:left w:w="20" w:type="dxa"/>
              <w:bottom w:w="40" w:type="dxa"/>
              <w:right w:w="20" w:type="dxa"/>
            </w:tcMar>
            <w:vAlign w:val="bottom"/>
          </w:tcPr>
          <w:p w14:paraId="67535596" w14:textId="77777777" w:rsidR="001B77DD" w:rsidRDefault="00BF0A28">
            <w:pPr>
              <w:textAlignment w:val="bottom"/>
            </w:pPr>
            <w:r>
              <w:rPr>
                <w:rFonts w:ascii="Arial" w:eastAsia="宋体" w:hAnsi="Arial" w:cs="Arial"/>
                <w:b/>
                <w:bCs/>
                <w:color w:val="262626"/>
                <w:sz w:val="18"/>
                <w:szCs w:val="18"/>
              </w:rPr>
              <w:t>(Square Feet in Millions)</w:t>
            </w:r>
          </w:p>
        </w:tc>
        <w:tc>
          <w:tcPr>
            <w:tcW w:w="0" w:type="auto"/>
            <w:gridSpan w:val="3"/>
            <w:shd w:val="clear" w:color="auto" w:fill="auto"/>
            <w:tcMar>
              <w:top w:w="0" w:type="dxa"/>
              <w:left w:w="20" w:type="dxa"/>
              <w:bottom w:w="0" w:type="dxa"/>
              <w:right w:w="20" w:type="dxa"/>
            </w:tcMar>
            <w:vAlign w:val="bottom"/>
          </w:tcPr>
          <w:p w14:paraId="6753559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598" w14:textId="77777777" w:rsidR="001B77DD" w:rsidRDefault="00BF0A28">
            <w:pPr>
              <w:jc w:val="center"/>
              <w:textAlignment w:val="bottom"/>
            </w:pPr>
            <w:r>
              <w:rPr>
                <w:rFonts w:ascii="Arial" w:eastAsia="宋体" w:hAnsi="Arial" w:cs="Arial"/>
                <w:b/>
                <w:bCs/>
                <w:color w:val="262626"/>
                <w:sz w:val="18"/>
                <w:szCs w:val="18"/>
              </w:rPr>
              <w:t>United</w:t>
            </w:r>
            <w:r>
              <w:rPr>
                <w:rFonts w:ascii="Arial" w:eastAsia="宋体" w:hAnsi="Arial" w:cs="Arial"/>
                <w:b/>
                <w:bCs/>
                <w:color w:val="262626"/>
                <w:sz w:val="18"/>
                <w:szCs w:val="18"/>
              </w:rPr>
              <w:br/>
              <w:t>States</w:t>
            </w:r>
          </w:p>
        </w:tc>
        <w:tc>
          <w:tcPr>
            <w:tcW w:w="0" w:type="auto"/>
            <w:gridSpan w:val="3"/>
            <w:shd w:val="clear" w:color="auto" w:fill="auto"/>
            <w:tcMar>
              <w:top w:w="0" w:type="dxa"/>
              <w:left w:w="20" w:type="dxa"/>
              <w:bottom w:w="0" w:type="dxa"/>
              <w:right w:w="20" w:type="dxa"/>
            </w:tcMar>
            <w:vAlign w:val="bottom"/>
          </w:tcPr>
          <w:p w14:paraId="6753559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59A" w14:textId="77777777" w:rsidR="001B77DD" w:rsidRDefault="00BF0A28">
            <w:pPr>
              <w:jc w:val="center"/>
              <w:textAlignment w:val="bottom"/>
            </w:pPr>
            <w:r>
              <w:rPr>
                <w:rFonts w:ascii="Arial" w:eastAsia="宋体" w:hAnsi="Arial" w:cs="Arial"/>
                <w:b/>
                <w:bCs/>
                <w:color w:val="262626"/>
                <w:sz w:val="18"/>
                <w:szCs w:val="18"/>
              </w:rPr>
              <w:t>Other</w:t>
            </w:r>
            <w:r>
              <w:rPr>
                <w:rFonts w:ascii="Arial" w:eastAsia="宋体" w:hAnsi="Arial" w:cs="Arial"/>
                <w:b/>
                <w:bCs/>
                <w:color w:val="262626"/>
                <w:sz w:val="18"/>
                <w:szCs w:val="18"/>
              </w:rPr>
              <w:br/>
              <w:t>Countries</w:t>
            </w:r>
          </w:p>
        </w:tc>
        <w:tc>
          <w:tcPr>
            <w:tcW w:w="0" w:type="auto"/>
            <w:gridSpan w:val="3"/>
            <w:shd w:val="clear" w:color="auto" w:fill="auto"/>
            <w:tcMar>
              <w:top w:w="0" w:type="dxa"/>
              <w:left w:w="20" w:type="dxa"/>
              <w:bottom w:w="0" w:type="dxa"/>
              <w:right w:w="20" w:type="dxa"/>
            </w:tcMar>
            <w:vAlign w:val="bottom"/>
          </w:tcPr>
          <w:p w14:paraId="6753559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59C" w14:textId="77777777" w:rsidR="001B77DD" w:rsidRDefault="00BF0A28">
            <w:pPr>
              <w:jc w:val="center"/>
              <w:textAlignment w:val="bottom"/>
            </w:pPr>
            <w:r>
              <w:rPr>
                <w:rFonts w:ascii="Arial" w:eastAsia="宋体" w:hAnsi="Arial" w:cs="Arial"/>
                <w:b/>
                <w:bCs/>
                <w:color w:val="262626"/>
                <w:sz w:val="18"/>
                <w:szCs w:val="18"/>
              </w:rPr>
              <w:t>Total</w:t>
            </w:r>
          </w:p>
        </w:tc>
      </w:tr>
      <w:tr w:rsidR="001B77DD" w14:paraId="675355A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59E" w14:textId="77777777" w:rsidR="001B77DD" w:rsidRDefault="00BF0A28">
            <w:pPr>
              <w:textAlignment w:val="bottom"/>
            </w:pPr>
            <w:r>
              <w:rPr>
                <w:rFonts w:ascii="Arial" w:eastAsia="宋体" w:hAnsi="Arial" w:cs="Arial"/>
                <w:color w:val="262626"/>
                <w:sz w:val="18"/>
                <w:szCs w:val="18"/>
              </w:rPr>
              <w:t>Owned facilities</w:t>
            </w:r>
          </w:p>
        </w:tc>
        <w:tc>
          <w:tcPr>
            <w:tcW w:w="0" w:type="auto"/>
            <w:gridSpan w:val="3"/>
            <w:shd w:val="clear" w:color="auto" w:fill="auto"/>
            <w:tcMar>
              <w:top w:w="0" w:type="dxa"/>
              <w:left w:w="20" w:type="dxa"/>
              <w:bottom w:w="0" w:type="dxa"/>
              <w:right w:w="20" w:type="dxa"/>
            </w:tcMar>
            <w:vAlign w:val="bottom"/>
          </w:tcPr>
          <w:p w14:paraId="6753559F"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55A0" w14:textId="77777777" w:rsidR="001B77DD" w:rsidRDefault="00BF0A28">
            <w:pPr>
              <w:jc w:val="right"/>
              <w:textAlignment w:val="bottom"/>
            </w:pPr>
            <w:r>
              <w:rPr>
                <w:rFonts w:ascii="Arial" w:eastAsia="宋体" w:hAnsi="Arial" w:cs="Arial"/>
                <w:color w:val="0068B5"/>
                <w:sz w:val="18"/>
                <w:szCs w:val="18"/>
              </w:rPr>
              <w:t>31 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5A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5A2"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55A3" w14:textId="77777777" w:rsidR="001B77DD" w:rsidRDefault="00BF0A28">
            <w:pPr>
              <w:jc w:val="right"/>
              <w:textAlignment w:val="bottom"/>
            </w:pPr>
            <w:r>
              <w:rPr>
                <w:rFonts w:ascii="Arial" w:eastAsia="宋体" w:hAnsi="Arial" w:cs="Arial"/>
                <w:color w:val="0068B5"/>
                <w:sz w:val="18"/>
                <w:szCs w:val="18"/>
              </w:rPr>
              <w:t>24 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5A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5A5"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55A6" w14:textId="77777777" w:rsidR="001B77DD" w:rsidRDefault="00BF0A28">
            <w:pPr>
              <w:jc w:val="right"/>
              <w:textAlignment w:val="bottom"/>
            </w:pPr>
            <w:r>
              <w:rPr>
                <w:rFonts w:ascii="Arial" w:eastAsia="宋体" w:hAnsi="Arial" w:cs="Arial"/>
                <w:color w:val="0068B5"/>
                <w:sz w:val="18"/>
                <w:szCs w:val="18"/>
              </w:rPr>
              <w:t>55 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5A7" w14:textId="77777777" w:rsidR="001B77DD" w:rsidRDefault="001B77DD">
            <w:pPr>
              <w:jc w:val="right"/>
              <w:rPr>
                <w:rFonts w:ascii="宋体"/>
              </w:rPr>
            </w:pPr>
          </w:p>
        </w:tc>
      </w:tr>
      <w:tr w:rsidR="001B77DD" w14:paraId="675355B3" w14:textId="77777777">
        <w:tc>
          <w:tcPr>
            <w:tcW w:w="0" w:type="auto"/>
            <w:gridSpan w:val="3"/>
            <w:shd w:val="clear" w:color="auto" w:fill="auto"/>
            <w:tcMar>
              <w:top w:w="40" w:type="dxa"/>
              <w:left w:w="20" w:type="dxa"/>
              <w:bottom w:w="40" w:type="dxa"/>
              <w:right w:w="20" w:type="dxa"/>
            </w:tcMar>
            <w:vAlign w:val="bottom"/>
          </w:tcPr>
          <w:p w14:paraId="675355A9" w14:textId="77777777" w:rsidR="001B77DD" w:rsidRDefault="00BF0A28">
            <w:pPr>
              <w:textAlignment w:val="bottom"/>
            </w:pPr>
            <w:r>
              <w:rPr>
                <w:rFonts w:ascii="Arial" w:eastAsia="宋体" w:hAnsi="Arial" w:cs="Arial"/>
                <w:color w:val="262626"/>
                <w:sz w:val="18"/>
                <w:szCs w:val="18"/>
              </w:rPr>
              <w:t>Leased facilities</w:t>
            </w:r>
          </w:p>
        </w:tc>
        <w:tc>
          <w:tcPr>
            <w:tcW w:w="0" w:type="auto"/>
            <w:gridSpan w:val="3"/>
            <w:shd w:val="clear" w:color="auto" w:fill="auto"/>
            <w:tcMar>
              <w:top w:w="0" w:type="dxa"/>
              <w:left w:w="20" w:type="dxa"/>
              <w:bottom w:w="0" w:type="dxa"/>
              <w:right w:w="20" w:type="dxa"/>
            </w:tcMar>
            <w:vAlign w:val="bottom"/>
          </w:tcPr>
          <w:p w14:paraId="675355A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5AB" w14:textId="77777777" w:rsidR="001B77DD" w:rsidRDefault="00BF0A28">
            <w:pPr>
              <w:jc w:val="right"/>
              <w:textAlignment w:val="bottom"/>
            </w:pPr>
            <w:r>
              <w:rPr>
                <w:rFonts w:ascii="Arial" w:eastAsia="宋体" w:hAnsi="Arial" w:cs="Arial"/>
                <w:color w:val="0068B5"/>
                <w:sz w:val="18"/>
                <w:szCs w:val="18"/>
              </w:rPr>
              <w:t>1 </w:t>
            </w:r>
          </w:p>
        </w:tc>
        <w:tc>
          <w:tcPr>
            <w:tcW w:w="0" w:type="auto"/>
            <w:shd w:val="clear" w:color="auto" w:fill="auto"/>
            <w:tcMar>
              <w:top w:w="40" w:type="dxa"/>
              <w:left w:w="0" w:type="dxa"/>
              <w:bottom w:w="40" w:type="dxa"/>
              <w:right w:w="20" w:type="dxa"/>
            </w:tcMar>
            <w:vAlign w:val="bottom"/>
          </w:tcPr>
          <w:p w14:paraId="675355A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5A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5AE" w14:textId="77777777" w:rsidR="001B77DD" w:rsidRDefault="00BF0A28">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675355A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5B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5B1" w14:textId="77777777" w:rsidR="001B77DD" w:rsidRDefault="00BF0A28">
            <w:pPr>
              <w:jc w:val="right"/>
              <w:textAlignment w:val="bottom"/>
            </w:pPr>
            <w:r>
              <w:rPr>
                <w:rFonts w:ascii="Arial" w:eastAsia="宋体" w:hAnsi="Arial" w:cs="Arial"/>
                <w:color w:val="0068B5"/>
                <w:sz w:val="18"/>
                <w:szCs w:val="18"/>
              </w:rPr>
              <w:t>6 </w:t>
            </w:r>
          </w:p>
        </w:tc>
        <w:tc>
          <w:tcPr>
            <w:tcW w:w="0" w:type="auto"/>
            <w:shd w:val="clear" w:color="auto" w:fill="auto"/>
            <w:tcMar>
              <w:top w:w="40" w:type="dxa"/>
              <w:left w:w="0" w:type="dxa"/>
              <w:bottom w:w="40" w:type="dxa"/>
              <w:right w:w="20" w:type="dxa"/>
            </w:tcMar>
            <w:vAlign w:val="bottom"/>
          </w:tcPr>
          <w:p w14:paraId="675355B2" w14:textId="77777777" w:rsidR="001B77DD" w:rsidRDefault="001B77DD">
            <w:pPr>
              <w:jc w:val="right"/>
              <w:rPr>
                <w:rFonts w:ascii="宋体"/>
              </w:rPr>
            </w:pPr>
          </w:p>
        </w:tc>
      </w:tr>
      <w:tr w:rsidR="001B77DD" w14:paraId="675355BE" w14:textId="77777777">
        <w:tc>
          <w:tcPr>
            <w:tcW w:w="0" w:type="auto"/>
            <w:gridSpan w:val="3"/>
            <w:shd w:val="clear" w:color="auto" w:fill="auto"/>
            <w:tcMar>
              <w:top w:w="40" w:type="dxa"/>
              <w:left w:w="20" w:type="dxa"/>
              <w:bottom w:w="40" w:type="dxa"/>
              <w:right w:w="20" w:type="dxa"/>
            </w:tcMar>
            <w:vAlign w:val="bottom"/>
          </w:tcPr>
          <w:p w14:paraId="675355B4" w14:textId="77777777" w:rsidR="001B77DD" w:rsidRDefault="00BF0A28">
            <w:pPr>
              <w:textAlignment w:val="bottom"/>
            </w:pPr>
            <w:r>
              <w:rPr>
                <w:rFonts w:ascii="Arial" w:eastAsia="宋体" w:hAnsi="Arial" w:cs="Arial"/>
                <w:b/>
                <w:bCs/>
                <w:color w:val="262626"/>
                <w:sz w:val="18"/>
                <w:szCs w:val="18"/>
              </w:rPr>
              <w:t>Total facilities</w:t>
            </w:r>
          </w:p>
        </w:tc>
        <w:tc>
          <w:tcPr>
            <w:tcW w:w="0" w:type="auto"/>
            <w:gridSpan w:val="3"/>
            <w:shd w:val="clear" w:color="auto" w:fill="auto"/>
            <w:tcMar>
              <w:top w:w="0" w:type="dxa"/>
              <w:left w:w="20" w:type="dxa"/>
              <w:bottom w:w="0" w:type="dxa"/>
              <w:right w:w="20" w:type="dxa"/>
            </w:tcMar>
            <w:vAlign w:val="bottom"/>
          </w:tcPr>
          <w:p w14:paraId="675355B5" w14:textId="77777777" w:rsidR="001B77DD" w:rsidRDefault="001B77DD">
            <w:pPr>
              <w:rPr>
                <w:rFonts w:ascii="宋体"/>
              </w:rPr>
            </w:pPr>
          </w:p>
        </w:tc>
        <w:tc>
          <w:tcPr>
            <w:tcW w:w="0" w:type="auto"/>
            <w:gridSpan w:val="2"/>
            <w:tcBorders>
              <w:top w:val="single" w:sz="4" w:space="0" w:color="333333"/>
              <w:bottom w:val="double" w:sz="6" w:space="0" w:color="333333"/>
            </w:tcBorders>
            <w:shd w:val="clear" w:color="auto" w:fill="auto"/>
            <w:tcMar>
              <w:top w:w="40" w:type="dxa"/>
              <w:left w:w="20" w:type="dxa"/>
              <w:bottom w:w="40" w:type="dxa"/>
              <w:right w:w="0" w:type="dxa"/>
            </w:tcMar>
            <w:vAlign w:val="bottom"/>
          </w:tcPr>
          <w:p w14:paraId="675355B6" w14:textId="77777777" w:rsidR="001B77DD" w:rsidRDefault="00BF0A28">
            <w:pPr>
              <w:jc w:val="right"/>
              <w:textAlignment w:val="bottom"/>
            </w:pPr>
            <w:r>
              <w:rPr>
                <w:rFonts w:ascii="Arial" w:eastAsia="宋体" w:hAnsi="Arial" w:cs="Arial"/>
                <w:b/>
                <w:bCs/>
                <w:color w:val="0068B5"/>
                <w:sz w:val="18"/>
                <w:szCs w:val="18"/>
              </w:rPr>
              <w:t>32</w:t>
            </w:r>
            <w:r>
              <w:rPr>
                <w:rFonts w:ascii="Arial" w:eastAsia="宋体" w:hAnsi="Arial" w:cs="Arial"/>
                <w:color w:val="0068B5"/>
                <w:sz w:val="18"/>
                <w:szCs w:val="18"/>
              </w:rPr>
              <w:t> </w:t>
            </w:r>
          </w:p>
        </w:tc>
        <w:tc>
          <w:tcPr>
            <w:tcW w:w="0" w:type="auto"/>
            <w:tcBorders>
              <w:top w:val="single" w:sz="4" w:space="0" w:color="333333"/>
              <w:bottom w:val="double" w:sz="6" w:space="0" w:color="333333"/>
            </w:tcBorders>
            <w:shd w:val="clear" w:color="auto" w:fill="auto"/>
            <w:tcMar>
              <w:top w:w="40" w:type="dxa"/>
              <w:left w:w="0" w:type="dxa"/>
              <w:bottom w:w="40" w:type="dxa"/>
              <w:right w:w="20" w:type="dxa"/>
            </w:tcMar>
            <w:vAlign w:val="bottom"/>
          </w:tcPr>
          <w:p w14:paraId="675355B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5B8" w14:textId="77777777" w:rsidR="001B77DD" w:rsidRDefault="001B77DD">
            <w:pPr>
              <w:rPr>
                <w:rFonts w:ascii="宋体"/>
              </w:rPr>
            </w:pPr>
          </w:p>
        </w:tc>
        <w:tc>
          <w:tcPr>
            <w:tcW w:w="0" w:type="auto"/>
            <w:gridSpan w:val="2"/>
            <w:tcBorders>
              <w:top w:val="single" w:sz="4" w:space="0" w:color="333333"/>
              <w:bottom w:val="double" w:sz="6" w:space="0" w:color="333333"/>
            </w:tcBorders>
            <w:shd w:val="clear" w:color="auto" w:fill="auto"/>
            <w:tcMar>
              <w:top w:w="40" w:type="dxa"/>
              <w:left w:w="20" w:type="dxa"/>
              <w:bottom w:w="40" w:type="dxa"/>
              <w:right w:w="0" w:type="dxa"/>
            </w:tcMar>
            <w:vAlign w:val="bottom"/>
          </w:tcPr>
          <w:p w14:paraId="675355B9" w14:textId="77777777" w:rsidR="001B77DD" w:rsidRDefault="00BF0A28">
            <w:pPr>
              <w:jc w:val="right"/>
              <w:textAlignment w:val="bottom"/>
            </w:pPr>
            <w:r>
              <w:rPr>
                <w:rFonts w:ascii="Arial" w:eastAsia="宋体" w:hAnsi="Arial" w:cs="Arial"/>
                <w:b/>
                <w:bCs/>
                <w:color w:val="0068B5"/>
                <w:sz w:val="18"/>
                <w:szCs w:val="18"/>
              </w:rPr>
              <w:t>29</w:t>
            </w:r>
            <w:r>
              <w:rPr>
                <w:rFonts w:ascii="Arial" w:eastAsia="宋体" w:hAnsi="Arial" w:cs="Arial"/>
                <w:color w:val="0068B5"/>
                <w:sz w:val="18"/>
                <w:szCs w:val="18"/>
              </w:rPr>
              <w:t> </w:t>
            </w:r>
          </w:p>
        </w:tc>
        <w:tc>
          <w:tcPr>
            <w:tcW w:w="0" w:type="auto"/>
            <w:tcBorders>
              <w:top w:val="single" w:sz="4" w:space="0" w:color="333333"/>
              <w:bottom w:val="double" w:sz="6" w:space="0" w:color="333333"/>
            </w:tcBorders>
            <w:shd w:val="clear" w:color="auto" w:fill="auto"/>
            <w:tcMar>
              <w:top w:w="40" w:type="dxa"/>
              <w:left w:w="0" w:type="dxa"/>
              <w:bottom w:w="40" w:type="dxa"/>
              <w:right w:w="20" w:type="dxa"/>
            </w:tcMar>
            <w:vAlign w:val="bottom"/>
          </w:tcPr>
          <w:p w14:paraId="675355B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5BB" w14:textId="77777777" w:rsidR="001B77DD" w:rsidRDefault="001B77DD">
            <w:pPr>
              <w:rPr>
                <w:rFonts w:ascii="宋体"/>
              </w:rPr>
            </w:pPr>
          </w:p>
        </w:tc>
        <w:tc>
          <w:tcPr>
            <w:tcW w:w="0" w:type="auto"/>
            <w:gridSpan w:val="2"/>
            <w:tcBorders>
              <w:top w:val="single" w:sz="4" w:space="0" w:color="333333"/>
              <w:bottom w:val="double" w:sz="6" w:space="0" w:color="333333"/>
            </w:tcBorders>
            <w:shd w:val="clear" w:color="auto" w:fill="auto"/>
            <w:tcMar>
              <w:top w:w="40" w:type="dxa"/>
              <w:left w:w="20" w:type="dxa"/>
              <w:bottom w:w="40" w:type="dxa"/>
              <w:right w:w="0" w:type="dxa"/>
            </w:tcMar>
            <w:vAlign w:val="bottom"/>
          </w:tcPr>
          <w:p w14:paraId="675355BC" w14:textId="77777777" w:rsidR="001B77DD" w:rsidRDefault="00BF0A28">
            <w:pPr>
              <w:jc w:val="right"/>
              <w:textAlignment w:val="bottom"/>
            </w:pPr>
            <w:r>
              <w:rPr>
                <w:rFonts w:ascii="Arial" w:eastAsia="宋体" w:hAnsi="Arial" w:cs="Arial"/>
                <w:b/>
                <w:bCs/>
                <w:color w:val="0068B5"/>
                <w:sz w:val="18"/>
                <w:szCs w:val="18"/>
              </w:rPr>
              <w:t>61</w:t>
            </w:r>
            <w:r>
              <w:rPr>
                <w:rFonts w:ascii="Arial" w:eastAsia="宋体" w:hAnsi="Arial" w:cs="Arial"/>
                <w:color w:val="0068B5"/>
                <w:sz w:val="18"/>
                <w:szCs w:val="18"/>
              </w:rPr>
              <w:t> </w:t>
            </w:r>
          </w:p>
        </w:tc>
        <w:tc>
          <w:tcPr>
            <w:tcW w:w="0" w:type="auto"/>
            <w:tcBorders>
              <w:top w:val="single" w:sz="4" w:space="0" w:color="333333"/>
              <w:bottom w:val="double" w:sz="6" w:space="0" w:color="333333"/>
            </w:tcBorders>
            <w:shd w:val="clear" w:color="auto" w:fill="auto"/>
            <w:tcMar>
              <w:top w:w="40" w:type="dxa"/>
              <w:left w:w="0" w:type="dxa"/>
              <w:bottom w:w="40" w:type="dxa"/>
              <w:right w:w="20" w:type="dxa"/>
            </w:tcMar>
            <w:vAlign w:val="bottom"/>
          </w:tcPr>
          <w:p w14:paraId="675355BD" w14:textId="77777777" w:rsidR="001B77DD" w:rsidRDefault="001B77DD">
            <w:pPr>
              <w:jc w:val="right"/>
              <w:rPr>
                <w:rFonts w:ascii="宋体"/>
              </w:rPr>
            </w:pPr>
          </w:p>
        </w:tc>
      </w:tr>
    </w:tbl>
    <w:p w14:paraId="675355BF" w14:textId="77777777" w:rsidR="001B77DD" w:rsidRDefault="00BF0A28">
      <w:pPr>
        <w:spacing w:after="180"/>
      </w:pPr>
      <w:r>
        <w:rPr>
          <w:rFonts w:ascii="Arial" w:eastAsia="宋体" w:hAnsi="Arial" w:cs="Arial"/>
          <w:color w:val="262626"/>
          <w:sz w:val="18"/>
          <w:szCs w:val="18"/>
        </w:rPr>
        <w:t>Our principal executive offices are located in the US. For more information on our wafer fabrication and our assembly and test facilities, see "Manufacturing Capital" within Fundamentals of Our Business.</w:t>
      </w:r>
    </w:p>
    <w:p w14:paraId="675355C0" w14:textId="77777777" w:rsidR="001B77DD" w:rsidRDefault="00BF0A28">
      <w:pPr>
        <w:spacing w:after="180"/>
      </w:pPr>
      <w:r>
        <w:rPr>
          <w:rFonts w:ascii="Arial" w:eastAsia="宋体" w:hAnsi="Arial" w:cs="Arial"/>
          <w:color w:val="262626"/>
          <w:sz w:val="18"/>
          <w:szCs w:val="18"/>
        </w:rPr>
        <w:t>The facilities described above a</w:t>
      </w:r>
      <w:r>
        <w:rPr>
          <w:rFonts w:ascii="Arial" w:eastAsia="宋体" w:hAnsi="Arial" w:cs="Arial"/>
          <w:color w:val="262626"/>
          <w:sz w:val="18"/>
          <w:szCs w:val="18"/>
        </w:rPr>
        <w:t>re suitable for our present purposes, and the productive capacity in our facilities is being utilized or being prepared for utilization as we continue to make investments to expand our manufacturing capacity.</w:t>
      </w:r>
    </w:p>
    <w:p w14:paraId="675355C1" w14:textId="77777777" w:rsidR="001B77DD" w:rsidRDefault="00BF0A28">
      <w:pPr>
        <w:spacing w:after="180"/>
      </w:pPr>
      <w:r>
        <w:rPr>
          <w:rFonts w:ascii="Arial" w:eastAsia="宋体" w:hAnsi="Arial" w:cs="Arial"/>
          <w:color w:val="262626"/>
          <w:sz w:val="18"/>
          <w:szCs w:val="18"/>
        </w:rPr>
        <w:t>We do not identify or allocate assets by operat</w:t>
      </w:r>
      <w:r>
        <w:rPr>
          <w:rFonts w:ascii="Arial" w:eastAsia="宋体" w:hAnsi="Arial" w:cs="Arial"/>
          <w:color w:val="262626"/>
          <w:sz w:val="18"/>
          <w:szCs w:val="18"/>
        </w:rPr>
        <w:t>ing segment, as they are interchangeable in nature and used by multiple operating segments. For information on net property, plant and equipment by country, see "Note 6: Other Financial Statement Details" within the Financial Statements and Supplemental De</w:t>
      </w:r>
      <w:r>
        <w:rPr>
          <w:rFonts w:ascii="Arial" w:eastAsia="宋体" w:hAnsi="Arial" w:cs="Arial"/>
          <w:color w:val="262626"/>
          <w:sz w:val="18"/>
          <w:szCs w:val="18"/>
        </w:rPr>
        <w:t>tails.</w:t>
      </w:r>
    </w:p>
    <w:p w14:paraId="675355C2" w14:textId="77777777" w:rsidR="001B77DD" w:rsidRDefault="00BF0A28">
      <w:pPr>
        <w:spacing w:before="180" w:after="180"/>
      </w:pPr>
      <w:r>
        <w:rPr>
          <w:rFonts w:ascii="Arial" w:eastAsia="宋体" w:hAnsi="Arial" w:cs="Arial"/>
          <w:color w:val="0068B5"/>
          <w:sz w:val="28"/>
          <w:szCs w:val="28"/>
        </w:rPr>
        <w:t>Market for Our Common Stock</w:t>
      </w:r>
    </w:p>
    <w:p w14:paraId="675355C3" w14:textId="77777777" w:rsidR="001B77DD" w:rsidRDefault="00BF0A28">
      <w:pPr>
        <w:spacing w:after="180"/>
      </w:pPr>
      <w:r>
        <w:rPr>
          <w:rFonts w:ascii="Arial" w:eastAsia="宋体" w:hAnsi="Arial" w:cs="Arial"/>
          <w:color w:val="262626"/>
          <w:sz w:val="18"/>
          <w:szCs w:val="18"/>
        </w:rPr>
        <w:t xml:space="preserve">The principal US market on which Intel's common stock (symbol INTC) is traded is the Nasdaq Global Select Market. </w:t>
      </w:r>
    </w:p>
    <w:p w14:paraId="675355C4" w14:textId="77777777" w:rsidR="001B77DD" w:rsidRDefault="00BF0A28">
      <w:pPr>
        <w:spacing w:after="180"/>
      </w:pPr>
      <w:r>
        <w:rPr>
          <w:rFonts w:ascii="Arial" w:eastAsia="宋体" w:hAnsi="Arial" w:cs="Arial"/>
          <w:color w:val="262626"/>
          <w:sz w:val="18"/>
          <w:szCs w:val="18"/>
        </w:rPr>
        <w:t xml:space="preserve">As of January 21, 2022, there were approximately 102,962 registered holders of record of Intel's </w:t>
      </w:r>
      <w:r>
        <w:rPr>
          <w:rFonts w:ascii="Arial" w:eastAsia="宋体" w:hAnsi="Arial" w:cs="Arial"/>
          <w:color w:val="262626"/>
          <w:sz w:val="18"/>
          <w:szCs w:val="18"/>
        </w:rPr>
        <w:t>common stock. A substantially greater number of holders of Intel common stock are "street name" or beneficial holders, whose shares of record are held by banks, brokers, and other financial institutions.</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5CE" w14:textId="77777777">
        <w:tc>
          <w:tcPr>
            <w:tcW w:w="50" w:type="pct"/>
            <w:shd w:val="clear" w:color="auto" w:fill="auto"/>
            <w:vAlign w:val="bottom"/>
          </w:tcPr>
          <w:p w14:paraId="675355C5" w14:textId="77777777" w:rsidR="001B77DD" w:rsidRDefault="001B77DD">
            <w:pPr>
              <w:rPr>
                <w:rFonts w:ascii="宋体"/>
              </w:rPr>
            </w:pPr>
          </w:p>
        </w:tc>
        <w:tc>
          <w:tcPr>
            <w:tcW w:w="283" w:type="pct"/>
            <w:shd w:val="clear" w:color="auto" w:fill="auto"/>
            <w:vAlign w:val="bottom"/>
          </w:tcPr>
          <w:p w14:paraId="675355C6" w14:textId="77777777" w:rsidR="001B77DD" w:rsidRDefault="001B77DD">
            <w:pPr>
              <w:rPr>
                <w:rFonts w:ascii="宋体"/>
              </w:rPr>
            </w:pPr>
          </w:p>
        </w:tc>
        <w:tc>
          <w:tcPr>
            <w:tcW w:w="5" w:type="pct"/>
            <w:shd w:val="clear" w:color="auto" w:fill="auto"/>
            <w:vAlign w:val="bottom"/>
          </w:tcPr>
          <w:p w14:paraId="675355C7" w14:textId="77777777" w:rsidR="001B77DD" w:rsidRDefault="001B77DD">
            <w:pPr>
              <w:rPr>
                <w:rFonts w:ascii="宋体"/>
              </w:rPr>
            </w:pPr>
          </w:p>
        </w:tc>
        <w:tc>
          <w:tcPr>
            <w:tcW w:w="50" w:type="pct"/>
            <w:shd w:val="clear" w:color="auto" w:fill="auto"/>
            <w:vAlign w:val="bottom"/>
          </w:tcPr>
          <w:p w14:paraId="675355C8" w14:textId="77777777" w:rsidR="001B77DD" w:rsidRDefault="001B77DD">
            <w:pPr>
              <w:rPr>
                <w:rFonts w:ascii="宋体"/>
              </w:rPr>
            </w:pPr>
          </w:p>
        </w:tc>
        <w:tc>
          <w:tcPr>
            <w:tcW w:w="2656" w:type="pct"/>
            <w:shd w:val="clear" w:color="auto" w:fill="auto"/>
            <w:vAlign w:val="bottom"/>
          </w:tcPr>
          <w:p w14:paraId="675355C9" w14:textId="77777777" w:rsidR="001B77DD" w:rsidRDefault="001B77DD">
            <w:pPr>
              <w:rPr>
                <w:rFonts w:ascii="宋体"/>
              </w:rPr>
            </w:pPr>
          </w:p>
        </w:tc>
        <w:tc>
          <w:tcPr>
            <w:tcW w:w="5" w:type="pct"/>
            <w:shd w:val="clear" w:color="auto" w:fill="auto"/>
            <w:vAlign w:val="bottom"/>
          </w:tcPr>
          <w:p w14:paraId="675355CA" w14:textId="77777777" w:rsidR="001B77DD" w:rsidRDefault="001B77DD">
            <w:pPr>
              <w:rPr>
                <w:rFonts w:ascii="宋体"/>
              </w:rPr>
            </w:pPr>
          </w:p>
        </w:tc>
        <w:tc>
          <w:tcPr>
            <w:tcW w:w="50" w:type="pct"/>
            <w:shd w:val="clear" w:color="auto" w:fill="auto"/>
            <w:vAlign w:val="bottom"/>
          </w:tcPr>
          <w:p w14:paraId="675355CB" w14:textId="77777777" w:rsidR="001B77DD" w:rsidRDefault="001B77DD">
            <w:pPr>
              <w:rPr>
                <w:rFonts w:ascii="宋体"/>
              </w:rPr>
            </w:pPr>
          </w:p>
        </w:tc>
        <w:tc>
          <w:tcPr>
            <w:tcW w:w="1894" w:type="pct"/>
            <w:shd w:val="clear" w:color="auto" w:fill="auto"/>
            <w:vAlign w:val="bottom"/>
          </w:tcPr>
          <w:p w14:paraId="675355CC" w14:textId="77777777" w:rsidR="001B77DD" w:rsidRDefault="001B77DD">
            <w:pPr>
              <w:rPr>
                <w:rFonts w:ascii="宋体"/>
              </w:rPr>
            </w:pPr>
          </w:p>
        </w:tc>
        <w:tc>
          <w:tcPr>
            <w:tcW w:w="5" w:type="pct"/>
            <w:shd w:val="clear" w:color="auto" w:fill="auto"/>
            <w:vAlign w:val="bottom"/>
          </w:tcPr>
          <w:p w14:paraId="675355CD" w14:textId="77777777" w:rsidR="001B77DD" w:rsidRDefault="001B77DD">
            <w:pPr>
              <w:rPr>
                <w:rFonts w:ascii="宋体"/>
              </w:rPr>
            </w:pPr>
          </w:p>
        </w:tc>
      </w:tr>
      <w:tr w:rsidR="001B77DD" w14:paraId="675355D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5CF"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EFE" wp14:editId="67538EFF">
                  <wp:extent cx="304800" cy="304800"/>
                  <wp:effectExtent l="0" t="0" r="0" b="0"/>
                  <wp:docPr id="191" name="图片 25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55"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D0"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5D1" w14:textId="77777777" w:rsidR="001B77DD" w:rsidRDefault="00BF0A28">
            <w:pPr>
              <w:jc w:val="right"/>
              <w:textAlignment w:val="center"/>
            </w:pPr>
            <w:r>
              <w:rPr>
                <w:rFonts w:ascii="Arial" w:eastAsia="宋体" w:hAnsi="Arial" w:cs="Arial"/>
                <w:color w:val="262626"/>
                <w:sz w:val="16"/>
                <w:szCs w:val="16"/>
              </w:rPr>
              <w:t>64</w:t>
            </w:r>
          </w:p>
        </w:tc>
      </w:tr>
    </w:tbl>
    <w:p w14:paraId="675355D3" w14:textId="77777777" w:rsidR="001B77DD" w:rsidRDefault="00BF0A28">
      <w:r>
        <w:pict w14:anchorId="67538F00">
          <v:rect id="_x0000_i1090" style="width:415.3pt;height:1.5pt" o:hralign="center" o:hrstd="t" o:hr="t" fillcolor="#a0a0a0" stroked="f"/>
        </w:pict>
      </w:r>
    </w:p>
    <w:p w14:paraId="675355D4" w14:textId="77777777" w:rsidR="001B77DD" w:rsidRDefault="00BF0A28">
      <w:pPr>
        <w:jc w:val="right"/>
      </w:pPr>
      <w:hyperlink r:id="rId122" w:anchor="i6c9ced68f6b24d58a3dcf326e8c3c699_16" w:history="1">
        <w:r>
          <w:rPr>
            <w:rStyle w:val="a5"/>
            <w:rFonts w:ascii="Arial" w:eastAsia="宋体" w:hAnsi="Arial" w:cs="Arial"/>
            <w:b/>
            <w:bCs/>
            <w:sz w:val="16"/>
            <w:szCs w:val="16"/>
          </w:rPr>
          <w:t>Table of Contents</w:t>
        </w:r>
      </w:hyperlink>
    </w:p>
    <w:p w14:paraId="675355D5" w14:textId="77777777" w:rsidR="001B77DD" w:rsidRDefault="001B77DD">
      <w:pPr>
        <w:jc w:val="right"/>
      </w:pPr>
    </w:p>
    <w:p w14:paraId="675355D6" w14:textId="77777777" w:rsidR="001B77DD" w:rsidRDefault="00BF0A28">
      <w:pPr>
        <w:spacing w:before="300" w:after="180"/>
      </w:pPr>
      <w:r>
        <w:rPr>
          <w:rFonts w:ascii="Arial" w:eastAsia="宋体" w:hAnsi="Arial" w:cs="Arial"/>
          <w:color w:val="0068B5"/>
          <w:sz w:val="28"/>
          <w:szCs w:val="28"/>
        </w:rPr>
        <w:t>Stock Performance Graph</w:t>
      </w:r>
    </w:p>
    <w:p w14:paraId="675355D7" w14:textId="77777777" w:rsidR="001B77DD" w:rsidRDefault="00BF0A28">
      <w:pPr>
        <w:spacing w:after="180"/>
      </w:pPr>
      <w:r>
        <w:rPr>
          <w:rFonts w:ascii="Arial" w:eastAsia="宋体" w:hAnsi="Arial" w:cs="Arial"/>
          <w:color w:val="262626"/>
          <w:sz w:val="18"/>
          <w:szCs w:val="18"/>
        </w:rPr>
        <w:t xml:space="preserve">The graph and table that follow compare the cumulative TSR </w:t>
      </w:r>
      <w:r>
        <w:rPr>
          <w:rFonts w:ascii="Arial" w:eastAsia="宋体" w:hAnsi="Arial" w:cs="Arial"/>
          <w:color w:val="262626"/>
          <w:sz w:val="18"/>
          <w:szCs w:val="18"/>
        </w:rPr>
        <w:t>of Intel's common stock with the cumulative total return of the S&amp;P 100 Index*, the S&amp;P 500 Index*, the S&amp;P 500 IT Index*, and the SOX Index*</w:t>
      </w:r>
      <w:r>
        <w:rPr>
          <w:rFonts w:ascii="Arial" w:eastAsia="宋体" w:hAnsi="Arial" w:cs="Arial"/>
          <w:color w:val="262626"/>
          <w:sz w:val="11"/>
          <w:szCs w:val="11"/>
        </w:rPr>
        <w:t>1</w:t>
      </w:r>
      <w:r>
        <w:rPr>
          <w:rFonts w:ascii="Arial" w:eastAsia="宋体" w:hAnsi="Arial" w:cs="Arial"/>
          <w:color w:val="262626"/>
          <w:sz w:val="18"/>
          <w:szCs w:val="18"/>
        </w:rPr>
        <w:t xml:space="preserve"> for the five years ended December 25, 2021. The cumulative returns shown on the graph are based on Intel's fiscal year. </w:t>
      </w:r>
    </w:p>
    <w:p w14:paraId="675355D8" w14:textId="77777777" w:rsidR="001B77DD" w:rsidRDefault="00BF0A28">
      <w:pPr>
        <w:jc w:val="center"/>
      </w:pPr>
      <w:r>
        <w:rPr>
          <w:rFonts w:ascii="Arial" w:eastAsia="宋体" w:hAnsi="Arial" w:cs="Arial"/>
          <w:color w:val="0068B5"/>
          <w:sz w:val="20"/>
          <w:szCs w:val="20"/>
        </w:rPr>
        <w:t>Comparison of Five-Year Cumulative Return for</w:t>
      </w:r>
    </w:p>
    <w:p w14:paraId="675355D9" w14:textId="77777777" w:rsidR="001B77DD" w:rsidRDefault="00BF0A28">
      <w:pPr>
        <w:jc w:val="center"/>
      </w:pPr>
      <w:r>
        <w:rPr>
          <w:rFonts w:ascii="Arial" w:eastAsia="宋体" w:hAnsi="Arial" w:cs="Arial"/>
          <w:color w:val="0068B5"/>
          <w:sz w:val="20"/>
          <w:szCs w:val="20"/>
        </w:rPr>
        <w:t>Intel, S&amp;P 100 Index, S&amp;P 500 Index, S&amp;P 500 IT Index, and SOX Index</w:t>
      </w:r>
    </w:p>
    <w:p w14:paraId="675355DA" w14:textId="77777777" w:rsidR="001B77DD" w:rsidRDefault="00BF0A28">
      <w:pPr>
        <w:spacing w:after="180"/>
        <w:jc w:val="center"/>
      </w:pPr>
      <w:r>
        <w:rPr>
          <w:rFonts w:ascii="宋体" w:eastAsia="宋体" w:hAnsi="宋体" w:cs="宋体"/>
        </w:rPr>
        <w:fldChar w:fldCharType="begin"/>
      </w:r>
      <w:r>
        <w:rPr>
          <w:rFonts w:ascii="宋体" w:eastAsia="宋体" w:hAnsi="宋体" w:cs="宋体"/>
        </w:rPr>
        <w:instrText>INCLUDEPICTURE \d "</w:instrText>
      </w:r>
      <w:r>
        <w:rPr>
          <w:rFonts w:ascii="宋体" w:eastAsia="宋体" w:hAnsi="宋体" w:cs="宋体"/>
        </w:rPr>
        <w:instrText xml:space="preserve">/Users/xuxinrun/Document/04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Viewer4_files/intc-20211225_g97.jpg"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01" wp14:editId="67538F02">
            <wp:extent cx="304800" cy="304800"/>
            <wp:effectExtent l="0" t="0" r="0" b="0"/>
            <wp:docPr id="190" name="图片 257"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57" descr="IMG_41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86" w:type="pct"/>
        <w:tblCellMar>
          <w:top w:w="15" w:type="dxa"/>
          <w:left w:w="15" w:type="dxa"/>
          <w:bottom w:w="15" w:type="dxa"/>
          <w:right w:w="15" w:type="dxa"/>
        </w:tblCellMar>
        <w:tblLook w:val="04A0" w:firstRow="1" w:lastRow="0" w:firstColumn="1" w:lastColumn="0" w:noHBand="0" w:noVBand="1"/>
      </w:tblPr>
      <w:tblGrid>
        <w:gridCol w:w="38"/>
        <w:gridCol w:w="2351"/>
        <w:gridCol w:w="37"/>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6"/>
        <w:gridCol w:w="36"/>
        <w:gridCol w:w="36"/>
        <w:gridCol w:w="36"/>
        <w:gridCol w:w="36"/>
        <w:gridCol w:w="121"/>
        <w:gridCol w:w="717"/>
        <w:gridCol w:w="36"/>
      </w:tblGrid>
      <w:tr w:rsidR="001B77DD" w14:paraId="67535602" w14:textId="77777777">
        <w:tc>
          <w:tcPr>
            <w:tcW w:w="50" w:type="pct"/>
            <w:shd w:val="clear" w:color="auto" w:fill="auto"/>
            <w:vAlign w:val="bottom"/>
          </w:tcPr>
          <w:p w14:paraId="675355DB" w14:textId="77777777" w:rsidR="001B77DD" w:rsidRDefault="001B77DD">
            <w:pPr>
              <w:rPr>
                <w:rFonts w:ascii="宋体"/>
              </w:rPr>
            </w:pPr>
          </w:p>
        </w:tc>
        <w:tc>
          <w:tcPr>
            <w:tcW w:w="1451" w:type="pct"/>
            <w:shd w:val="clear" w:color="auto" w:fill="auto"/>
            <w:vAlign w:val="bottom"/>
          </w:tcPr>
          <w:p w14:paraId="675355DC" w14:textId="77777777" w:rsidR="001B77DD" w:rsidRDefault="001B77DD">
            <w:pPr>
              <w:rPr>
                <w:rFonts w:ascii="宋体"/>
              </w:rPr>
            </w:pPr>
          </w:p>
        </w:tc>
        <w:tc>
          <w:tcPr>
            <w:tcW w:w="5" w:type="pct"/>
            <w:shd w:val="clear" w:color="auto" w:fill="auto"/>
            <w:vAlign w:val="bottom"/>
          </w:tcPr>
          <w:p w14:paraId="675355DD" w14:textId="77777777" w:rsidR="001B77DD" w:rsidRDefault="001B77DD">
            <w:pPr>
              <w:rPr>
                <w:rFonts w:ascii="宋体"/>
              </w:rPr>
            </w:pPr>
          </w:p>
        </w:tc>
        <w:tc>
          <w:tcPr>
            <w:tcW w:w="5" w:type="pct"/>
            <w:shd w:val="clear" w:color="auto" w:fill="auto"/>
            <w:vAlign w:val="bottom"/>
          </w:tcPr>
          <w:p w14:paraId="675355DE" w14:textId="77777777" w:rsidR="001B77DD" w:rsidRDefault="001B77DD">
            <w:pPr>
              <w:rPr>
                <w:rFonts w:ascii="宋体"/>
              </w:rPr>
            </w:pPr>
          </w:p>
        </w:tc>
        <w:tc>
          <w:tcPr>
            <w:tcW w:w="24" w:type="pct"/>
            <w:shd w:val="clear" w:color="auto" w:fill="auto"/>
            <w:vAlign w:val="bottom"/>
          </w:tcPr>
          <w:p w14:paraId="675355DF" w14:textId="77777777" w:rsidR="001B77DD" w:rsidRDefault="001B77DD">
            <w:pPr>
              <w:rPr>
                <w:rFonts w:ascii="宋体"/>
              </w:rPr>
            </w:pPr>
          </w:p>
        </w:tc>
        <w:tc>
          <w:tcPr>
            <w:tcW w:w="5" w:type="pct"/>
            <w:shd w:val="clear" w:color="auto" w:fill="auto"/>
            <w:vAlign w:val="bottom"/>
          </w:tcPr>
          <w:p w14:paraId="675355E0" w14:textId="77777777" w:rsidR="001B77DD" w:rsidRDefault="001B77DD">
            <w:pPr>
              <w:rPr>
                <w:rFonts w:ascii="宋体"/>
              </w:rPr>
            </w:pPr>
          </w:p>
        </w:tc>
        <w:tc>
          <w:tcPr>
            <w:tcW w:w="50" w:type="pct"/>
            <w:shd w:val="clear" w:color="auto" w:fill="auto"/>
            <w:vAlign w:val="bottom"/>
          </w:tcPr>
          <w:p w14:paraId="675355E1" w14:textId="77777777" w:rsidR="001B77DD" w:rsidRDefault="001B77DD">
            <w:pPr>
              <w:rPr>
                <w:rFonts w:ascii="宋体"/>
              </w:rPr>
            </w:pPr>
          </w:p>
        </w:tc>
        <w:tc>
          <w:tcPr>
            <w:tcW w:w="492" w:type="pct"/>
            <w:shd w:val="clear" w:color="auto" w:fill="auto"/>
            <w:vAlign w:val="bottom"/>
          </w:tcPr>
          <w:p w14:paraId="675355E2" w14:textId="77777777" w:rsidR="001B77DD" w:rsidRDefault="001B77DD">
            <w:pPr>
              <w:rPr>
                <w:rFonts w:ascii="宋体"/>
              </w:rPr>
            </w:pPr>
          </w:p>
        </w:tc>
        <w:tc>
          <w:tcPr>
            <w:tcW w:w="5" w:type="pct"/>
            <w:shd w:val="clear" w:color="auto" w:fill="auto"/>
            <w:vAlign w:val="bottom"/>
          </w:tcPr>
          <w:p w14:paraId="675355E3" w14:textId="77777777" w:rsidR="001B77DD" w:rsidRDefault="001B77DD">
            <w:pPr>
              <w:rPr>
                <w:rFonts w:ascii="宋体"/>
              </w:rPr>
            </w:pPr>
          </w:p>
        </w:tc>
        <w:tc>
          <w:tcPr>
            <w:tcW w:w="5" w:type="pct"/>
            <w:shd w:val="clear" w:color="auto" w:fill="auto"/>
            <w:vAlign w:val="bottom"/>
          </w:tcPr>
          <w:p w14:paraId="675355E4" w14:textId="77777777" w:rsidR="001B77DD" w:rsidRDefault="001B77DD">
            <w:pPr>
              <w:rPr>
                <w:rFonts w:ascii="宋体"/>
              </w:rPr>
            </w:pPr>
          </w:p>
        </w:tc>
        <w:tc>
          <w:tcPr>
            <w:tcW w:w="24" w:type="pct"/>
            <w:shd w:val="clear" w:color="auto" w:fill="auto"/>
            <w:vAlign w:val="bottom"/>
          </w:tcPr>
          <w:p w14:paraId="675355E5" w14:textId="77777777" w:rsidR="001B77DD" w:rsidRDefault="001B77DD">
            <w:pPr>
              <w:rPr>
                <w:rFonts w:ascii="宋体"/>
              </w:rPr>
            </w:pPr>
          </w:p>
        </w:tc>
        <w:tc>
          <w:tcPr>
            <w:tcW w:w="5" w:type="pct"/>
            <w:shd w:val="clear" w:color="auto" w:fill="auto"/>
            <w:vAlign w:val="bottom"/>
          </w:tcPr>
          <w:p w14:paraId="675355E6" w14:textId="77777777" w:rsidR="001B77DD" w:rsidRDefault="001B77DD">
            <w:pPr>
              <w:rPr>
                <w:rFonts w:ascii="宋体"/>
              </w:rPr>
            </w:pPr>
          </w:p>
        </w:tc>
        <w:tc>
          <w:tcPr>
            <w:tcW w:w="50" w:type="pct"/>
            <w:shd w:val="clear" w:color="auto" w:fill="auto"/>
            <w:vAlign w:val="bottom"/>
          </w:tcPr>
          <w:p w14:paraId="675355E7" w14:textId="77777777" w:rsidR="001B77DD" w:rsidRDefault="001B77DD">
            <w:pPr>
              <w:rPr>
                <w:rFonts w:ascii="宋体"/>
              </w:rPr>
            </w:pPr>
          </w:p>
        </w:tc>
        <w:tc>
          <w:tcPr>
            <w:tcW w:w="492" w:type="pct"/>
            <w:shd w:val="clear" w:color="auto" w:fill="auto"/>
            <w:vAlign w:val="bottom"/>
          </w:tcPr>
          <w:p w14:paraId="675355E8" w14:textId="77777777" w:rsidR="001B77DD" w:rsidRDefault="001B77DD">
            <w:pPr>
              <w:rPr>
                <w:rFonts w:ascii="宋体"/>
              </w:rPr>
            </w:pPr>
          </w:p>
        </w:tc>
        <w:tc>
          <w:tcPr>
            <w:tcW w:w="5" w:type="pct"/>
            <w:shd w:val="clear" w:color="auto" w:fill="auto"/>
            <w:vAlign w:val="bottom"/>
          </w:tcPr>
          <w:p w14:paraId="675355E9" w14:textId="77777777" w:rsidR="001B77DD" w:rsidRDefault="001B77DD">
            <w:pPr>
              <w:rPr>
                <w:rFonts w:ascii="宋体"/>
              </w:rPr>
            </w:pPr>
          </w:p>
        </w:tc>
        <w:tc>
          <w:tcPr>
            <w:tcW w:w="5" w:type="pct"/>
            <w:shd w:val="clear" w:color="auto" w:fill="auto"/>
            <w:vAlign w:val="bottom"/>
          </w:tcPr>
          <w:p w14:paraId="675355EA" w14:textId="77777777" w:rsidR="001B77DD" w:rsidRDefault="001B77DD">
            <w:pPr>
              <w:rPr>
                <w:rFonts w:ascii="宋体"/>
              </w:rPr>
            </w:pPr>
          </w:p>
        </w:tc>
        <w:tc>
          <w:tcPr>
            <w:tcW w:w="24" w:type="pct"/>
            <w:shd w:val="clear" w:color="auto" w:fill="auto"/>
            <w:vAlign w:val="bottom"/>
          </w:tcPr>
          <w:p w14:paraId="675355EB" w14:textId="77777777" w:rsidR="001B77DD" w:rsidRDefault="001B77DD">
            <w:pPr>
              <w:rPr>
                <w:rFonts w:ascii="宋体"/>
              </w:rPr>
            </w:pPr>
          </w:p>
        </w:tc>
        <w:tc>
          <w:tcPr>
            <w:tcW w:w="5" w:type="pct"/>
            <w:shd w:val="clear" w:color="auto" w:fill="auto"/>
            <w:vAlign w:val="bottom"/>
          </w:tcPr>
          <w:p w14:paraId="675355EC" w14:textId="77777777" w:rsidR="001B77DD" w:rsidRDefault="001B77DD">
            <w:pPr>
              <w:rPr>
                <w:rFonts w:ascii="宋体"/>
              </w:rPr>
            </w:pPr>
          </w:p>
        </w:tc>
        <w:tc>
          <w:tcPr>
            <w:tcW w:w="50" w:type="pct"/>
            <w:shd w:val="clear" w:color="auto" w:fill="auto"/>
            <w:vAlign w:val="bottom"/>
          </w:tcPr>
          <w:p w14:paraId="675355ED" w14:textId="77777777" w:rsidR="001B77DD" w:rsidRDefault="001B77DD">
            <w:pPr>
              <w:rPr>
                <w:rFonts w:ascii="宋体"/>
              </w:rPr>
            </w:pPr>
          </w:p>
        </w:tc>
        <w:tc>
          <w:tcPr>
            <w:tcW w:w="492" w:type="pct"/>
            <w:shd w:val="clear" w:color="auto" w:fill="auto"/>
            <w:vAlign w:val="bottom"/>
          </w:tcPr>
          <w:p w14:paraId="675355EE" w14:textId="77777777" w:rsidR="001B77DD" w:rsidRDefault="001B77DD">
            <w:pPr>
              <w:rPr>
                <w:rFonts w:ascii="宋体"/>
              </w:rPr>
            </w:pPr>
          </w:p>
        </w:tc>
        <w:tc>
          <w:tcPr>
            <w:tcW w:w="5" w:type="pct"/>
            <w:shd w:val="clear" w:color="auto" w:fill="auto"/>
            <w:vAlign w:val="bottom"/>
          </w:tcPr>
          <w:p w14:paraId="675355EF" w14:textId="77777777" w:rsidR="001B77DD" w:rsidRDefault="001B77DD">
            <w:pPr>
              <w:rPr>
                <w:rFonts w:ascii="宋体"/>
              </w:rPr>
            </w:pPr>
          </w:p>
        </w:tc>
        <w:tc>
          <w:tcPr>
            <w:tcW w:w="5" w:type="pct"/>
            <w:shd w:val="clear" w:color="auto" w:fill="auto"/>
            <w:vAlign w:val="bottom"/>
          </w:tcPr>
          <w:p w14:paraId="675355F0" w14:textId="77777777" w:rsidR="001B77DD" w:rsidRDefault="001B77DD">
            <w:pPr>
              <w:rPr>
                <w:rFonts w:ascii="宋体"/>
              </w:rPr>
            </w:pPr>
          </w:p>
        </w:tc>
        <w:tc>
          <w:tcPr>
            <w:tcW w:w="24" w:type="pct"/>
            <w:shd w:val="clear" w:color="auto" w:fill="auto"/>
            <w:vAlign w:val="bottom"/>
          </w:tcPr>
          <w:p w14:paraId="675355F1" w14:textId="77777777" w:rsidR="001B77DD" w:rsidRDefault="001B77DD">
            <w:pPr>
              <w:rPr>
                <w:rFonts w:ascii="宋体"/>
              </w:rPr>
            </w:pPr>
          </w:p>
        </w:tc>
        <w:tc>
          <w:tcPr>
            <w:tcW w:w="5" w:type="pct"/>
            <w:shd w:val="clear" w:color="auto" w:fill="auto"/>
            <w:vAlign w:val="bottom"/>
          </w:tcPr>
          <w:p w14:paraId="675355F2" w14:textId="77777777" w:rsidR="001B77DD" w:rsidRDefault="001B77DD">
            <w:pPr>
              <w:rPr>
                <w:rFonts w:ascii="宋体"/>
              </w:rPr>
            </w:pPr>
          </w:p>
        </w:tc>
        <w:tc>
          <w:tcPr>
            <w:tcW w:w="50" w:type="pct"/>
            <w:shd w:val="clear" w:color="auto" w:fill="auto"/>
            <w:vAlign w:val="bottom"/>
          </w:tcPr>
          <w:p w14:paraId="675355F3" w14:textId="77777777" w:rsidR="001B77DD" w:rsidRDefault="001B77DD">
            <w:pPr>
              <w:rPr>
                <w:rFonts w:ascii="宋体"/>
              </w:rPr>
            </w:pPr>
          </w:p>
        </w:tc>
        <w:tc>
          <w:tcPr>
            <w:tcW w:w="492" w:type="pct"/>
            <w:shd w:val="clear" w:color="auto" w:fill="auto"/>
            <w:vAlign w:val="bottom"/>
          </w:tcPr>
          <w:p w14:paraId="675355F4" w14:textId="77777777" w:rsidR="001B77DD" w:rsidRDefault="001B77DD">
            <w:pPr>
              <w:rPr>
                <w:rFonts w:ascii="宋体"/>
              </w:rPr>
            </w:pPr>
          </w:p>
        </w:tc>
        <w:tc>
          <w:tcPr>
            <w:tcW w:w="5" w:type="pct"/>
            <w:shd w:val="clear" w:color="auto" w:fill="auto"/>
            <w:vAlign w:val="bottom"/>
          </w:tcPr>
          <w:p w14:paraId="675355F5" w14:textId="77777777" w:rsidR="001B77DD" w:rsidRDefault="001B77DD">
            <w:pPr>
              <w:rPr>
                <w:rFonts w:ascii="宋体"/>
              </w:rPr>
            </w:pPr>
          </w:p>
        </w:tc>
        <w:tc>
          <w:tcPr>
            <w:tcW w:w="5" w:type="pct"/>
            <w:shd w:val="clear" w:color="auto" w:fill="auto"/>
            <w:vAlign w:val="bottom"/>
          </w:tcPr>
          <w:p w14:paraId="675355F6" w14:textId="77777777" w:rsidR="001B77DD" w:rsidRDefault="001B77DD">
            <w:pPr>
              <w:rPr>
                <w:rFonts w:ascii="宋体"/>
              </w:rPr>
            </w:pPr>
          </w:p>
        </w:tc>
        <w:tc>
          <w:tcPr>
            <w:tcW w:w="24" w:type="pct"/>
            <w:shd w:val="clear" w:color="auto" w:fill="auto"/>
            <w:vAlign w:val="bottom"/>
          </w:tcPr>
          <w:p w14:paraId="675355F7" w14:textId="77777777" w:rsidR="001B77DD" w:rsidRDefault="001B77DD">
            <w:pPr>
              <w:rPr>
                <w:rFonts w:ascii="宋体"/>
              </w:rPr>
            </w:pPr>
          </w:p>
        </w:tc>
        <w:tc>
          <w:tcPr>
            <w:tcW w:w="5" w:type="pct"/>
            <w:shd w:val="clear" w:color="auto" w:fill="auto"/>
            <w:vAlign w:val="bottom"/>
          </w:tcPr>
          <w:p w14:paraId="675355F8" w14:textId="77777777" w:rsidR="001B77DD" w:rsidRDefault="001B77DD">
            <w:pPr>
              <w:rPr>
                <w:rFonts w:ascii="宋体"/>
              </w:rPr>
            </w:pPr>
          </w:p>
        </w:tc>
        <w:tc>
          <w:tcPr>
            <w:tcW w:w="50" w:type="pct"/>
            <w:shd w:val="clear" w:color="auto" w:fill="auto"/>
            <w:vAlign w:val="bottom"/>
          </w:tcPr>
          <w:p w14:paraId="675355F9" w14:textId="77777777" w:rsidR="001B77DD" w:rsidRDefault="001B77DD">
            <w:pPr>
              <w:rPr>
                <w:rFonts w:ascii="宋体"/>
              </w:rPr>
            </w:pPr>
          </w:p>
        </w:tc>
        <w:tc>
          <w:tcPr>
            <w:tcW w:w="492" w:type="pct"/>
            <w:shd w:val="clear" w:color="auto" w:fill="auto"/>
            <w:vAlign w:val="bottom"/>
          </w:tcPr>
          <w:p w14:paraId="675355FA" w14:textId="77777777" w:rsidR="001B77DD" w:rsidRDefault="001B77DD">
            <w:pPr>
              <w:rPr>
                <w:rFonts w:ascii="宋体"/>
              </w:rPr>
            </w:pPr>
          </w:p>
        </w:tc>
        <w:tc>
          <w:tcPr>
            <w:tcW w:w="5" w:type="pct"/>
            <w:shd w:val="clear" w:color="auto" w:fill="auto"/>
            <w:vAlign w:val="bottom"/>
          </w:tcPr>
          <w:p w14:paraId="675355FB" w14:textId="77777777" w:rsidR="001B77DD" w:rsidRDefault="001B77DD">
            <w:pPr>
              <w:rPr>
                <w:rFonts w:ascii="宋体"/>
              </w:rPr>
            </w:pPr>
          </w:p>
        </w:tc>
        <w:tc>
          <w:tcPr>
            <w:tcW w:w="5" w:type="pct"/>
            <w:shd w:val="clear" w:color="auto" w:fill="auto"/>
            <w:vAlign w:val="bottom"/>
          </w:tcPr>
          <w:p w14:paraId="675355FC" w14:textId="77777777" w:rsidR="001B77DD" w:rsidRDefault="001B77DD">
            <w:pPr>
              <w:rPr>
                <w:rFonts w:ascii="宋体"/>
              </w:rPr>
            </w:pPr>
          </w:p>
        </w:tc>
        <w:tc>
          <w:tcPr>
            <w:tcW w:w="24" w:type="pct"/>
            <w:shd w:val="clear" w:color="auto" w:fill="auto"/>
            <w:vAlign w:val="bottom"/>
          </w:tcPr>
          <w:p w14:paraId="675355FD" w14:textId="77777777" w:rsidR="001B77DD" w:rsidRDefault="001B77DD">
            <w:pPr>
              <w:rPr>
                <w:rFonts w:ascii="宋体"/>
              </w:rPr>
            </w:pPr>
          </w:p>
        </w:tc>
        <w:tc>
          <w:tcPr>
            <w:tcW w:w="5" w:type="pct"/>
            <w:shd w:val="clear" w:color="auto" w:fill="auto"/>
            <w:vAlign w:val="bottom"/>
          </w:tcPr>
          <w:p w14:paraId="675355FE" w14:textId="77777777" w:rsidR="001B77DD" w:rsidRDefault="001B77DD">
            <w:pPr>
              <w:rPr>
                <w:rFonts w:ascii="宋体"/>
              </w:rPr>
            </w:pPr>
          </w:p>
        </w:tc>
        <w:tc>
          <w:tcPr>
            <w:tcW w:w="50" w:type="pct"/>
            <w:shd w:val="clear" w:color="auto" w:fill="auto"/>
            <w:vAlign w:val="bottom"/>
          </w:tcPr>
          <w:p w14:paraId="675355FF" w14:textId="77777777" w:rsidR="001B77DD" w:rsidRDefault="001B77DD">
            <w:pPr>
              <w:rPr>
                <w:rFonts w:ascii="宋体"/>
              </w:rPr>
            </w:pPr>
          </w:p>
        </w:tc>
        <w:tc>
          <w:tcPr>
            <w:tcW w:w="493" w:type="pct"/>
            <w:shd w:val="clear" w:color="auto" w:fill="auto"/>
            <w:vAlign w:val="bottom"/>
          </w:tcPr>
          <w:p w14:paraId="67535600" w14:textId="77777777" w:rsidR="001B77DD" w:rsidRDefault="001B77DD">
            <w:pPr>
              <w:rPr>
                <w:rFonts w:ascii="宋体"/>
              </w:rPr>
            </w:pPr>
          </w:p>
        </w:tc>
        <w:tc>
          <w:tcPr>
            <w:tcW w:w="5" w:type="pct"/>
            <w:shd w:val="clear" w:color="auto" w:fill="auto"/>
            <w:vAlign w:val="bottom"/>
          </w:tcPr>
          <w:p w14:paraId="67535601" w14:textId="77777777" w:rsidR="001B77DD" w:rsidRDefault="001B77DD">
            <w:pPr>
              <w:rPr>
                <w:rFonts w:ascii="宋体"/>
              </w:rPr>
            </w:pPr>
          </w:p>
        </w:tc>
      </w:tr>
      <w:tr w:rsidR="001B77DD" w14:paraId="67535610" w14:textId="77777777">
        <w:tc>
          <w:tcPr>
            <w:tcW w:w="0" w:type="auto"/>
            <w:gridSpan w:val="3"/>
            <w:shd w:val="clear" w:color="auto" w:fill="auto"/>
            <w:tcMar>
              <w:top w:w="40" w:type="dxa"/>
              <w:left w:w="20" w:type="dxa"/>
              <w:bottom w:w="40" w:type="dxa"/>
              <w:right w:w="20" w:type="dxa"/>
            </w:tcMar>
            <w:vAlign w:val="bottom"/>
          </w:tcPr>
          <w:p w14:paraId="67535603" w14:textId="77777777" w:rsidR="001B77DD" w:rsidRDefault="00BF0A28">
            <w:pPr>
              <w:textAlignment w:val="bottom"/>
            </w:pPr>
            <w:r>
              <w:rPr>
                <w:rFonts w:ascii="Arial" w:eastAsia="宋体" w:hAnsi="Arial" w:cs="Arial"/>
                <w:b/>
                <w:bCs/>
                <w:color w:val="262626"/>
                <w:sz w:val="18"/>
                <w:szCs w:val="18"/>
              </w:rPr>
              <w:t>Years Ended</w:t>
            </w:r>
          </w:p>
        </w:tc>
        <w:tc>
          <w:tcPr>
            <w:tcW w:w="0" w:type="auto"/>
            <w:gridSpan w:val="3"/>
            <w:shd w:val="clear" w:color="auto" w:fill="auto"/>
            <w:tcMar>
              <w:top w:w="0" w:type="dxa"/>
              <w:left w:w="20" w:type="dxa"/>
              <w:bottom w:w="0" w:type="dxa"/>
              <w:right w:w="20" w:type="dxa"/>
            </w:tcMar>
            <w:vAlign w:val="bottom"/>
          </w:tcPr>
          <w:p w14:paraId="6753560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05" w14:textId="77777777" w:rsidR="001B77DD" w:rsidRDefault="00BF0A28">
            <w:pPr>
              <w:jc w:val="center"/>
              <w:textAlignment w:val="bottom"/>
            </w:pPr>
            <w:r>
              <w:rPr>
                <w:rFonts w:ascii="Arial" w:eastAsia="宋体" w:hAnsi="Arial" w:cs="Arial"/>
                <w:b/>
                <w:bCs/>
                <w:color w:val="262626"/>
                <w:sz w:val="18"/>
                <w:szCs w:val="18"/>
              </w:rPr>
              <w:t>Dec 31, 2016</w:t>
            </w:r>
          </w:p>
        </w:tc>
        <w:tc>
          <w:tcPr>
            <w:tcW w:w="0" w:type="auto"/>
            <w:gridSpan w:val="3"/>
            <w:shd w:val="clear" w:color="auto" w:fill="auto"/>
            <w:tcMar>
              <w:top w:w="0" w:type="dxa"/>
              <w:left w:w="20" w:type="dxa"/>
              <w:bottom w:w="0" w:type="dxa"/>
              <w:right w:w="20" w:type="dxa"/>
            </w:tcMar>
            <w:vAlign w:val="bottom"/>
          </w:tcPr>
          <w:p w14:paraId="6753560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07" w14:textId="77777777" w:rsidR="001B77DD" w:rsidRDefault="00BF0A28">
            <w:pPr>
              <w:jc w:val="center"/>
              <w:textAlignment w:val="bottom"/>
            </w:pPr>
            <w:r>
              <w:rPr>
                <w:rFonts w:ascii="Arial" w:eastAsia="宋体" w:hAnsi="Arial" w:cs="Arial"/>
                <w:b/>
                <w:bCs/>
                <w:color w:val="262626"/>
                <w:sz w:val="18"/>
                <w:szCs w:val="18"/>
              </w:rPr>
              <w:t>Dec 30, 2017</w:t>
            </w:r>
          </w:p>
        </w:tc>
        <w:tc>
          <w:tcPr>
            <w:tcW w:w="0" w:type="auto"/>
            <w:gridSpan w:val="3"/>
            <w:shd w:val="clear" w:color="auto" w:fill="auto"/>
            <w:tcMar>
              <w:top w:w="0" w:type="dxa"/>
              <w:left w:w="20" w:type="dxa"/>
              <w:bottom w:w="0" w:type="dxa"/>
              <w:right w:w="20" w:type="dxa"/>
            </w:tcMar>
            <w:vAlign w:val="bottom"/>
          </w:tcPr>
          <w:p w14:paraId="6753560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09" w14:textId="77777777" w:rsidR="001B77DD" w:rsidRDefault="00BF0A28">
            <w:pPr>
              <w:jc w:val="center"/>
              <w:textAlignment w:val="bottom"/>
            </w:pPr>
            <w:r>
              <w:rPr>
                <w:rFonts w:ascii="Arial" w:eastAsia="宋体" w:hAnsi="Arial" w:cs="Arial"/>
                <w:b/>
                <w:bCs/>
                <w:color w:val="262626"/>
                <w:sz w:val="18"/>
                <w:szCs w:val="18"/>
              </w:rPr>
              <w:t>Dec 29, 2018</w:t>
            </w:r>
          </w:p>
        </w:tc>
        <w:tc>
          <w:tcPr>
            <w:tcW w:w="0" w:type="auto"/>
            <w:gridSpan w:val="3"/>
            <w:shd w:val="clear" w:color="auto" w:fill="auto"/>
            <w:tcMar>
              <w:top w:w="0" w:type="dxa"/>
              <w:left w:w="20" w:type="dxa"/>
              <w:bottom w:w="0" w:type="dxa"/>
              <w:right w:w="20" w:type="dxa"/>
            </w:tcMar>
            <w:vAlign w:val="bottom"/>
          </w:tcPr>
          <w:p w14:paraId="6753560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0B" w14:textId="77777777" w:rsidR="001B77DD" w:rsidRDefault="00BF0A28">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vAlign w:val="bottom"/>
          </w:tcPr>
          <w:p w14:paraId="6753560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0D"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560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0F" w14:textId="77777777" w:rsidR="001B77DD" w:rsidRDefault="00BF0A28">
            <w:pPr>
              <w:jc w:val="center"/>
              <w:textAlignment w:val="bottom"/>
            </w:pPr>
            <w:r>
              <w:rPr>
                <w:rFonts w:ascii="Arial" w:eastAsia="宋体" w:hAnsi="Arial" w:cs="Arial"/>
                <w:b/>
                <w:bCs/>
                <w:color w:val="262626"/>
                <w:sz w:val="18"/>
                <w:szCs w:val="18"/>
              </w:rPr>
              <w:t>D</w:t>
            </w:r>
            <w:r>
              <w:rPr>
                <w:rFonts w:ascii="Arial" w:eastAsia="宋体" w:hAnsi="Arial" w:cs="Arial"/>
                <w:b/>
                <w:bCs/>
                <w:color w:val="262626"/>
                <w:sz w:val="18"/>
                <w:szCs w:val="18"/>
              </w:rPr>
              <w:t>ec 25, 2021</w:t>
            </w:r>
          </w:p>
        </w:tc>
      </w:tr>
      <w:tr w:rsidR="001B77DD" w14:paraId="6753562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611" w14:textId="77777777" w:rsidR="001B77DD" w:rsidRDefault="00BF0A28">
            <w:pPr>
              <w:textAlignment w:val="bottom"/>
            </w:pPr>
            <w:r>
              <w:rPr>
                <w:rFonts w:ascii="Arial" w:eastAsia="宋体" w:hAnsi="Arial" w:cs="Arial"/>
                <w:color w:val="262626"/>
                <w:sz w:val="18"/>
                <w:szCs w:val="18"/>
              </w:rPr>
              <w:t>Intel Corporation</w:t>
            </w:r>
          </w:p>
        </w:tc>
        <w:tc>
          <w:tcPr>
            <w:tcW w:w="0" w:type="auto"/>
            <w:gridSpan w:val="3"/>
            <w:shd w:val="clear" w:color="auto" w:fill="auto"/>
            <w:tcMar>
              <w:top w:w="0" w:type="dxa"/>
              <w:left w:w="20" w:type="dxa"/>
              <w:bottom w:w="0" w:type="dxa"/>
              <w:right w:w="20" w:type="dxa"/>
            </w:tcMar>
            <w:vAlign w:val="bottom"/>
          </w:tcPr>
          <w:p w14:paraId="6753561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613"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614" w14:textId="77777777" w:rsidR="001B77DD" w:rsidRDefault="00BF0A28">
            <w:pPr>
              <w:jc w:val="right"/>
              <w:textAlignment w:val="bottom"/>
            </w:pPr>
            <w:r>
              <w:rPr>
                <w:rFonts w:ascii="Arial" w:eastAsia="宋体" w:hAnsi="Arial" w:cs="Arial"/>
                <w:color w:val="262626"/>
                <w:sz w:val="18"/>
                <w:szCs w:val="18"/>
              </w:rPr>
              <w:t>100 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1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1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617"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618" w14:textId="77777777" w:rsidR="001B77DD" w:rsidRDefault="00BF0A28">
            <w:pPr>
              <w:jc w:val="right"/>
              <w:textAlignment w:val="bottom"/>
            </w:pPr>
            <w:r>
              <w:rPr>
                <w:rFonts w:ascii="Arial" w:eastAsia="宋体" w:hAnsi="Arial" w:cs="Arial"/>
                <w:color w:val="262626"/>
                <w:sz w:val="18"/>
                <w:szCs w:val="18"/>
              </w:rPr>
              <w:t>131 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1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1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61B"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61C" w14:textId="77777777" w:rsidR="001B77DD" w:rsidRDefault="00BF0A28">
            <w:pPr>
              <w:jc w:val="right"/>
              <w:textAlignment w:val="bottom"/>
            </w:pPr>
            <w:r>
              <w:rPr>
                <w:rFonts w:ascii="Arial" w:eastAsia="宋体" w:hAnsi="Arial" w:cs="Arial"/>
                <w:color w:val="262626"/>
                <w:sz w:val="18"/>
                <w:szCs w:val="18"/>
              </w:rPr>
              <w:t>136 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1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1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61F"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620" w14:textId="77777777" w:rsidR="001B77DD" w:rsidRDefault="00BF0A28">
            <w:pPr>
              <w:jc w:val="right"/>
              <w:textAlignment w:val="bottom"/>
            </w:pPr>
            <w:r>
              <w:rPr>
                <w:rFonts w:ascii="Arial" w:eastAsia="宋体" w:hAnsi="Arial" w:cs="Arial"/>
                <w:color w:val="262626"/>
                <w:sz w:val="18"/>
                <w:szCs w:val="18"/>
              </w:rPr>
              <w:t>179 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2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2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623"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624" w14:textId="77777777" w:rsidR="001B77DD" w:rsidRDefault="00BF0A28">
            <w:pPr>
              <w:jc w:val="right"/>
              <w:textAlignment w:val="bottom"/>
            </w:pPr>
            <w:r>
              <w:rPr>
                <w:rFonts w:ascii="Arial" w:eastAsia="宋体" w:hAnsi="Arial" w:cs="Arial"/>
                <w:color w:val="262626"/>
                <w:sz w:val="18"/>
                <w:szCs w:val="18"/>
              </w:rPr>
              <w:t>144 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2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2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627"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628" w14:textId="77777777" w:rsidR="001B77DD" w:rsidRDefault="00BF0A28">
            <w:pPr>
              <w:jc w:val="right"/>
              <w:textAlignment w:val="bottom"/>
            </w:pPr>
            <w:r>
              <w:rPr>
                <w:rFonts w:ascii="Arial" w:eastAsia="宋体" w:hAnsi="Arial" w:cs="Arial"/>
                <w:color w:val="0068B5"/>
                <w:sz w:val="18"/>
                <w:szCs w:val="18"/>
              </w:rPr>
              <w:t>161 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29" w14:textId="77777777" w:rsidR="001B77DD" w:rsidRDefault="001B77DD">
            <w:pPr>
              <w:jc w:val="right"/>
              <w:rPr>
                <w:rFonts w:ascii="宋体"/>
              </w:rPr>
            </w:pPr>
          </w:p>
        </w:tc>
      </w:tr>
      <w:tr w:rsidR="001B77DD" w14:paraId="67535638" w14:textId="77777777">
        <w:trPr>
          <w:hidden/>
        </w:trPr>
        <w:tc>
          <w:tcPr>
            <w:tcW w:w="0" w:type="auto"/>
            <w:gridSpan w:val="3"/>
            <w:shd w:val="clear" w:color="auto" w:fill="auto"/>
            <w:vAlign w:val="bottom"/>
          </w:tcPr>
          <w:p w14:paraId="6753562B" w14:textId="77777777" w:rsidR="001B77DD" w:rsidRDefault="001B77DD">
            <w:pPr>
              <w:rPr>
                <w:rFonts w:ascii="宋体"/>
                <w:vanish/>
              </w:rPr>
            </w:pPr>
          </w:p>
        </w:tc>
        <w:tc>
          <w:tcPr>
            <w:tcW w:w="0" w:type="auto"/>
            <w:gridSpan w:val="3"/>
            <w:shd w:val="clear" w:color="auto" w:fill="auto"/>
            <w:vAlign w:val="bottom"/>
          </w:tcPr>
          <w:p w14:paraId="6753562C" w14:textId="77777777" w:rsidR="001B77DD" w:rsidRDefault="001B77DD">
            <w:pPr>
              <w:rPr>
                <w:rFonts w:ascii="宋体"/>
                <w:vanish/>
              </w:rPr>
            </w:pPr>
          </w:p>
        </w:tc>
        <w:tc>
          <w:tcPr>
            <w:tcW w:w="0" w:type="auto"/>
            <w:gridSpan w:val="3"/>
            <w:shd w:val="clear" w:color="auto" w:fill="auto"/>
            <w:vAlign w:val="bottom"/>
          </w:tcPr>
          <w:p w14:paraId="6753562D" w14:textId="77777777" w:rsidR="001B77DD" w:rsidRDefault="001B77DD">
            <w:pPr>
              <w:rPr>
                <w:rFonts w:ascii="宋体"/>
                <w:vanish/>
              </w:rPr>
            </w:pPr>
          </w:p>
        </w:tc>
        <w:tc>
          <w:tcPr>
            <w:tcW w:w="0" w:type="auto"/>
            <w:gridSpan w:val="3"/>
            <w:shd w:val="clear" w:color="auto" w:fill="auto"/>
            <w:vAlign w:val="bottom"/>
          </w:tcPr>
          <w:p w14:paraId="6753562E" w14:textId="77777777" w:rsidR="001B77DD" w:rsidRDefault="001B77DD">
            <w:pPr>
              <w:rPr>
                <w:rFonts w:ascii="宋体"/>
                <w:vanish/>
              </w:rPr>
            </w:pPr>
          </w:p>
        </w:tc>
        <w:tc>
          <w:tcPr>
            <w:tcW w:w="0" w:type="auto"/>
            <w:gridSpan w:val="3"/>
            <w:shd w:val="clear" w:color="auto" w:fill="auto"/>
            <w:vAlign w:val="bottom"/>
          </w:tcPr>
          <w:p w14:paraId="6753562F" w14:textId="77777777" w:rsidR="001B77DD" w:rsidRDefault="001B77DD">
            <w:pPr>
              <w:rPr>
                <w:rFonts w:ascii="宋体"/>
                <w:vanish/>
              </w:rPr>
            </w:pPr>
          </w:p>
        </w:tc>
        <w:tc>
          <w:tcPr>
            <w:tcW w:w="0" w:type="auto"/>
            <w:gridSpan w:val="3"/>
            <w:shd w:val="clear" w:color="auto" w:fill="auto"/>
            <w:vAlign w:val="bottom"/>
          </w:tcPr>
          <w:p w14:paraId="67535630" w14:textId="77777777" w:rsidR="001B77DD" w:rsidRDefault="001B77DD">
            <w:pPr>
              <w:rPr>
                <w:rFonts w:ascii="宋体"/>
                <w:vanish/>
              </w:rPr>
            </w:pPr>
          </w:p>
        </w:tc>
        <w:tc>
          <w:tcPr>
            <w:tcW w:w="0" w:type="auto"/>
            <w:gridSpan w:val="3"/>
            <w:shd w:val="clear" w:color="auto" w:fill="auto"/>
            <w:vAlign w:val="bottom"/>
          </w:tcPr>
          <w:p w14:paraId="67535631" w14:textId="77777777" w:rsidR="001B77DD" w:rsidRDefault="001B77DD">
            <w:pPr>
              <w:rPr>
                <w:rFonts w:ascii="宋体"/>
                <w:vanish/>
              </w:rPr>
            </w:pPr>
          </w:p>
        </w:tc>
        <w:tc>
          <w:tcPr>
            <w:tcW w:w="0" w:type="auto"/>
            <w:gridSpan w:val="3"/>
            <w:shd w:val="clear" w:color="auto" w:fill="auto"/>
            <w:vAlign w:val="bottom"/>
          </w:tcPr>
          <w:p w14:paraId="67535632" w14:textId="77777777" w:rsidR="001B77DD" w:rsidRDefault="001B77DD">
            <w:pPr>
              <w:rPr>
                <w:rFonts w:ascii="宋体"/>
                <w:vanish/>
              </w:rPr>
            </w:pPr>
          </w:p>
        </w:tc>
        <w:tc>
          <w:tcPr>
            <w:tcW w:w="0" w:type="auto"/>
            <w:gridSpan w:val="3"/>
            <w:shd w:val="clear" w:color="auto" w:fill="auto"/>
            <w:vAlign w:val="bottom"/>
          </w:tcPr>
          <w:p w14:paraId="67535633" w14:textId="77777777" w:rsidR="001B77DD" w:rsidRDefault="001B77DD">
            <w:pPr>
              <w:rPr>
                <w:rFonts w:ascii="宋体"/>
                <w:vanish/>
              </w:rPr>
            </w:pPr>
          </w:p>
        </w:tc>
        <w:tc>
          <w:tcPr>
            <w:tcW w:w="0" w:type="auto"/>
            <w:gridSpan w:val="3"/>
            <w:shd w:val="clear" w:color="auto" w:fill="auto"/>
            <w:vAlign w:val="bottom"/>
          </w:tcPr>
          <w:p w14:paraId="67535634" w14:textId="77777777" w:rsidR="001B77DD" w:rsidRDefault="001B77DD">
            <w:pPr>
              <w:rPr>
                <w:rFonts w:ascii="宋体"/>
                <w:vanish/>
              </w:rPr>
            </w:pPr>
          </w:p>
        </w:tc>
        <w:tc>
          <w:tcPr>
            <w:tcW w:w="0" w:type="auto"/>
            <w:gridSpan w:val="3"/>
            <w:shd w:val="clear" w:color="auto" w:fill="auto"/>
            <w:vAlign w:val="bottom"/>
          </w:tcPr>
          <w:p w14:paraId="67535635" w14:textId="77777777" w:rsidR="001B77DD" w:rsidRDefault="001B77DD">
            <w:pPr>
              <w:rPr>
                <w:rFonts w:ascii="宋体"/>
                <w:vanish/>
              </w:rPr>
            </w:pPr>
          </w:p>
        </w:tc>
        <w:tc>
          <w:tcPr>
            <w:tcW w:w="0" w:type="auto"/>
            <w:gridSpan w:val="3"/>
            <w:shd w:val="clear" w:color="auto" w:fill="auto"/>
            <w:vAlign w:val="bottom"/>
          </w:tcPr>
          <w:p w14:paraId="67535636" w14:textId="77777777" w:rsidR="001B77DD" w:rsidRDefault="001B77DD">
            <w:pPr>
              <w:rPr>
                <w:rFonts w:ascii="宋体"/>
                <w:vanish/>
              </w:rPr>
            </w:pPr>
          </w:p>
        </w:tc>
        <w:tc>
          <w:tcPr>
            <w:tcW w:w="0" w:type="auto"/>
            <w:gridSpan w:val="3"/>
            <w:shd w:val="clear" w:color="auto" w:fill="auto"/>
            <w:vAlign w:val="bottom"/>
          </w:tcPr>
          <w:p w14:paraId="67535637" w14:textId="77777777" w:rsidR="001B77DD" w:rsidRDefault="001B77DD">
            <w:pPr>
              <w:rPr>
                <w:rFonts w:ascii="宋体"/>
                <w:vanish/>
              </w:rPr>
            </w:pPr>
          </w:p>
        </w:tc>
      </w:tr>
      <w:tr w:rsidR="001B77DD" w14:paraId="67535652" w14:textId="77777777">
        <w:tc>
          <w:tcPr>
            <w:tcW w:w="0" w:type="auto"/>
            <w:gridSpan w:val="3"/>
            <w:shd w:val="clear" w:color="auto" w:fill="auto"/>
            <w:tcMar>
              <w:top w:w="40" w:type="dxa"/>
              <w:left w:w="20" w:type="dxa"/>
              <w:bottom w:w="40" w:type="dxa"/>
              <w:right w:w="20" w:type="dxa"/>
            </w:tcMar>
            <w:vAlign w:val="bottom"/>
          </w:tcPr>
          <w:p w14:paraId="67535639" w14:textId="77777777" w:rsidR="001B77DD" w:rsidRDefault="00BF0A28">
            <w:pPr>
              <w:textAlignment w:val="bottom"/>
            </w:pPr>
            <w:r>
              <w:rPr>
                <w:rFonts w:ascii="Arial" w:eastAsia="宋体" w:hAnsi="Arial" w:cs="Arial"/>
                <w:color w:val="262626"/>
                <w:sz w:val="18"/>
                <w:szCs w:val="18"/>
              </w:rPr>
              <w:t>S&amp;P 100 Index</w:t>
            </w:r>
          </w:p>
        </w:tc>
        <w:tc>
          <w:tcPr>
            <w:tcW w:w="0" w:type="auto"/>
            <w:gridSpan w:val="3"/>
            <w:shd w:val="clear" w:color="auto" w:fill="auto"/>
            <w:tcMar>
              <w:top w:w="0" w:type="dxa"/>
              <w:left w:w="20" w:type="dxa"/>
              <w:bottom w:w="0" w:type="dxa"/>
              <w:right w:w="20" w:type="dxa"/>
            </w:tcMar>
            <w:vAlign w:val="bottom"/>
          </w:tcPr>
          <w:p w14:paraId="6753563A"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3B"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3C" w14:textId="77777777" w:rsidR="001B77DD" w:rsidRDefault="00BF0A28">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6753563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3E"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3F"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40" w14:textId="77777777" w:rsidR="001B77DD" w:rsidRDefault="00BF0A28">
            <w:pPr>
              <w:jc w:val="right"/>
              <w:textAlignment w:val="bottom"/>
            </w:pPr>
            <w:r>
              <w:rPr>
                <w:rFonts w:ascii="Arial" w:eastAsia="宋体" w:hAnsi="Arial" w:cs="Arial"/>
                <w:color w:val="262626"/>
                <w:sz w:val="18"/>
                <w:szCs w:val="18"/>
              </w:rPr>
              <w:t>122 </w:t>
            </w:r>
          </w:p>
        </w:tc>
        <w:tc>
          <w:tcPr>
            <w:tcW w:w="0" w:type="auto"/>
            <w:shd w:val="clear" w:color="auto" w:fill="auto"/>
            <w:tcMar>
              <w:top w:w="40" w:type="dxa"/>
              <w:left w:w="0" w:type="dxa"/>
              <w:bottom w:w="40" w:type="dxa"/>
              <w:right w:w="20" w:type="dxa"/>
            </w:tcMar>
            <w:vAlign w:val="bottom"/>
          </w:tcPr>
          <w:p w14:paraId="6753564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42"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43"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44" w14:textId="77777777" w:rsidR="001B77DD" w:rsidRDefault="00BF0A28">
            <w:pPr>
              <w:jc w:val="right"/>
              <w:textAlignment w:val="bottom"/>
            </w:pPr>
            <w:r>
              <w:rPr>
                <w:rFonts w:ascii="Arial" w:eastAsia="宋体" w:hAnsi="Arial" w:cs="Arial"/>
                <w:color w:val="262626"/>
                <w:sz w:val="18"/>
                <w:szCs w:val="18"/>
              </w:rPr>
              <w:t>116 </w:t>
            </w:r>
          </w:p>
        </w:tc>
        <w:tc>
          <w:tcPr>
            <w:tcW w:w="0" w:type="auto"/>
            <w:shd w:val="clear" w:color="auto" w:fill="auto"/>
            <w:tcMar>
              <w:top w:w="40" w:type="dxa"/>
              <w:left w:w="0" w:type="dxa"/>
              <w:bottom w:w="40" w:type="dxa"/>
              <w:right w:w="20" w:type="dxa"/>
            </w:tcMar>
            <w:vAlign w:val="bottom"/>
          </w:tcPr>
          <w:p w14:paraId="6753564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46"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47"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48" w14:textId="77777777" w:rsidR="001B77DD" w:rsidRDefault="00BF0A28">
            <w:pPr>
              <w:jc w:val="right"/>
              <w:textAlignment w:val="bottom"/>
            </w:pPr>
            <w:r>
              <w:rPr>
                <w:rFonts w:ascii="Arial" w:eastAsia="宋体" w:hAnsi="Arial" w:cs="Arial"/>
                <w:color w:val="262626"/>
                <w:sz w:val="18"/>
                <w:szCs w:val="18"/>
              </w:rPr>
              <w:t>156 </w:t>
            </w:r>
          </w:p>
        </w:tc>
        <w:tc>
          <w:tcPr>
            <w:tcW w:w="0" w:type="auto"/>
            <w:shd w:val="clear" w:color="auto" w:fill="auto"/>
            <w:tcMar>
              <w:top w:w="40" w:type="dxa"/>
              <w:left w:w="0" w:type="dxa"/>
              <w:bottom w:w="40" w:type="dxa"/>
              <w:right w:w="20" w:type="dxa"/>
            </w:tcMar>
            <w:vAlign w:val="bottom"/>
          </w:tcPr>
          <w:p w14:paraId="6753564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4A"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4B"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4C" w14:textId="77777777" w:rsidR="001B77DD" w:rsidRDefault="00BF0A28">
            <w:pPr>
              <w:jc w:val="right"/>
              <w:textAlignment w:val="bottom"/>
            </w:pPr>
            <w:r>
              <w:rPr>
                <w:rFonts w:ascii="Arial" w:eastAsia="宋体" w:hAnsi="Arial" w:cs="Arial"/>
                <w:color w:val="262626"/>
                <w:sz w:val="18"/>
                <w:szCs w:val="18"/>
              </w:rPr>
              <w:t>186 </w:t>
            </w:r>
          </w:p>
        </w:tc>
        <w:tc>
          <w:tcPr>
            <w:tcW w:w="0" w:type="auto"/>
            <w:shd w:val="clear" w:color="auto" w:fill="auto"/>
            <w:tcMar>
              <w:top w:w="40" w:type="dxa"/>
              <w:left w:w="0" w:type="dxa"/>
              <w:bottom w:w="40" w:type="dxa"/>
              <w:right w:w="20" w:type="dxa"/>
            </w:tcMar>
            <w:vAlign w:val="bottom"/>
          </w:tcPr>
          <w:p w14:paraId="6753564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4E"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4F"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5650" w14:textId="77777777" w:rsidR="001B77DD" w:rsidRDefault="00BF0A28">
            <w:pPr>
              <w:jc w:val="right"/>
              <w:textAlignment w:val="bottom"/>
            </w:pPr>
            <w:r>
              <w:rPr>
                <w:rFonts w:ascii="Arial" w:eastAsia="宋体" w:hAnsi="Arial" w:cs="Arial"/>
                <w:color w:val="0068B5"/>
                <w:sz w:val="18"/>
                <w:szCs w:val="18"/>
              </w:rPr>
              <w:t>242 </w:t>
            </w:r>
          </w:p>
        </w:tc>
        <w:tc>
          <w:tcPr>
            <w:tcW w:w="0" w:type="auto"/>
            <w:shd w:val="clear" w:color="auto" w:fill="auto"/>
            <w:tcMar>
              <w:top w:w="40" w:type="dxa"/>
              <w:left w:w="0" w:type="dxa"/>
              <w:bottom w:w="40" w:type="dxa"/>
              <w:right w:w="20" w:type="dxa"/>
            </w:tcMar>
            <w:vAlign w:val="bottom"/>
          </w:tcPr>
          <w:p w14:paraId="67535651" w14:textId="77777777" w:rsidR="001B77DD" w:rsidRDefault="001B77DD">
            <w:pPr>
              <w:jc w:val="right"/>
              <w:rPr>
                <w:rFonts w:ascii="宋体"/>
              </w:rPr>
            </w:pPr>
          </w:p>
        </w:tc>
      </w:tr>
      <w:tr w:rsidR="001B77DD" w14:paraId="6753566C" w14:textId="77777777">
        <w:tc>
          <w:tcPr>
            <w:tcW w:w="0" w:type="auto"/>
            <w:gridSpan w:val="3"/>
            <w:shd w:val="clear" w:color="auto" w:fill="auto"/>
            <w:tcMar>
              <w:top w:w="40" w:type="dxa"/>
              <w:left w:w="20" w:type="dxa"/>
              <w:bottom w:w="40" w:type="dxa"/>
              <w:right w:w="20" w:type="dxa"/>
            </w:tcMar>
            <w:vAlign w:val="bottom"/>
          </w:tcPr>
          <w:p w14:paraId="67535653" w14:textId="77777777" w:rsidR="001B77DD" w:rsidRDefault="00BF0A28">
            <w:pPr>
              <w:textAlignment w:val="bottom"/>
            </w:pPr>
            <w:r>
              <w:rPr>
                <w:rFonts w:ascii="Arial" w:eastAsia="宋体" w:hAnsi="Arial" w:cs="Arial"/>
                <w:color w:val="262626"/>
                <w:sz w:val="18"/>
                <w:szCs w:val="18"/>
              </w:rPr>
              <w:t>S&amp;P 500 Index</w:t>
            </w:r>
          </w:p>
        </w:tc>
        <w:tc>
          <w:tcPr>
            <w:tcW w:w="0" w:type="auto"/>
            <w:gridSpan w:val="3"/>
            <w:shd w:val="clear" w:color="auto" w:fill="auto"/>
            <w:tcMar>
              <w:top w:w="0" w:type="dxa"/>
              <w:left w:w="20" w:type="dxa"/>
              <w:bottom w:w="0" w:type="dxa"/>
              <w:right w:w="20" w:type="dxa"/>
            </w:tcMar>
            <w:vAlign w:val="bottom"/>
          </w:tcPr>
          <w:p w14:paraId="67535654"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55"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56" w14:textId="77777777" w:rsidR="001B77DD" w:rsidRDefault="00BF0A28">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6753565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5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59"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5A" w14:textId="77777777" w:rsidR="001B77DD" w:rsidRDefault="00BF0A28">
            <w:pPr>
              <w:jc w:val="right"/>
              <w:textAlignment w:val="bottom"/>
            </w:pPr>
            <w:r>
              <w:rPr>
                <w:rFonts w:ascii="Arial" w:eastAsia="宋体" w:hAnsi="Arial" w:cs="Arial"/>
                <w:color w:val="262626"/>
                <w:sz w:val="18"/>
                <w:szCs w:val="18"/>
              </w:rPr>
              <w:t>122 </w:t>
            </w:r>
          </w:p>
        </w:tc>
        <w:tc>
          <w:tcPr>
            <w:tcW w:w="0" w:type="auto"/>
            <w:shd w:val="clear" w:color="auto" w:fill="auto"/>
            <w:tcMar>
              <w:top w:w="40" w:type="dxa"/>
              <w:left w:w="0" w:type="dxa"/>
              <w:bottom w:w="40" w:type="dxa"/>
              <w:right w:w="20" w:type="dxa"/>
            </w:tcMar>
            <w:vAlign w:val="bottom"/>
          </w:tcPr>
          <w:p w14:paraId="6753565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5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5D"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5E" w14:textId="77777777" w:rsidR="001B77DD" w:rsidRDefault="00BF0A28">
            <w:pPr>
              <w:jc w:val="right"/>
              <w:textAlignment w:val="bottom"/>
            </w:pPr>
            <w:r>
              <w:rPr>
                <w:rFonts w:ascii="Arial" w:eastAsia="宋体" w:hAnsi="Arial" w:cs="Arial"/>
                <w:color w:val="262626"/>
                <w:sz w:val="18"/>
                <w:szCs w:val="18"/>
              </w:rPr>
              <w:t>115 </w:t>
            </w:r>
          </w:p>
        </w:tc>
        <w:tc>
          <w:tcPr>
            <w:tcW w:w="0" w:type="auto"/>
            <w:shd w:val="clear" w:color="auto" w:fill="auto"/>
            <w:tcMar>
              <w:top w:w="40" w:type="dxa"/>
              <w:left w:w="0" w:type="dxa"/>
              <w:bottom w:w="40" w:type="dxa"/>
              <w:right w:w="20" w:type="dxa"/>
            </w:tcMar>
            <w:vAlign w:val="bottom"/>
          </w:tcPr>
          <w:p w14:paraId="6753565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6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61"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62" w14:textId="77777777" w:rsidR="001B77DD" w:rsidRDefault="00BF0A28">
            <w:pPr>
              <w:jc w:val="right"/>
              <w:textAlignment w:val="bottom"/>
            </w:pPr>
            <w:r>
              <w:rPr>
                <w:rFonts w:ascii="Arial" w:eastAsia="宋体" w:hAnsi="Arial" w:cs="Arial"/>
                <w:color w:val="262626"/>
                <w:sz w:val="18"/>
                <w:szCs w:val="18"/>
              </w:rPr>
              <w:t>154 </w:t>
            </w:r>
          </w:p>
        </w:tc>
        <w:tc>
          <w:tcPr>
            <w:tcW w:w="0" w:type="auto"/>
            <w:shd w:val="clear" w:color="auto" w:fill="auto"/>
            <w:tcMar>
              <w:top w:w="40" w:type="dxa"/>
              <w:left w:w="0" w:type="dxa"/>
              <w:bottom w:w="40" w:type="dxa"/>
              <w:right w:w="20" w:type="dxa"/>
            </w:tcMar>
            <w:vAlign w:val="bottom"/>
          </w:tcPr>
          <w:p w14:paraId="675356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64"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65"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66" w14:textId="77777777" w:rsidR="001B77DD" w:rsidRDefault="00BF0A28">
            <w:pPr>
              <w:jc w:val="right"/>
              <w:textAlignment w:val="bottom"/>
            </w:pPr>
            <w:r>
              <w:rPr>
                <w:rFonts w:ascii="Arial" w:eastAsia="宋体" w:hAnsi="Arial" w:cs="Arial"/>
                <w:color w:val="262626"/>
                <w:sz w:val="18"/>
                <w:szCs w:val="18"/>
              </w:rPr>
              <w:t>179 </w:t>
            </w:r>
          </w:p>
        </w:tc>
        <w:tc>
          <w:tcPr>
            <w:tcW w:w="0" w:type="auto"/>
            <w:shd w:val="clear" w:color="auto" w:fill="auto"/>
            <w:tcMar>
              <w:top w:w="40" w:type="dxa"/>
              <w:left w:w="0" w:type="dxa"/>
              <w:bottom w:w="40" w:type="dxa"/>
              <w:right w:w="20" w:type="dxa"/>
            </w:tcMar>
            <w:vAlign w:val="bottom"/>
          </w:tcPr>
          <w:p w14:paraId="6753566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6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69"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566A" w14:textId="77777777" w:rsidR="001B77DD" w:rsidRDefault="00BF0A28">
            <w:pPr>
              <w:jc w:val="right"/>
              <w:textAlignment w:val="bottom"/>
            </w:pPr>
            <w:r>
              <w:rPr>
                <w:rFonts w:ascii="Arial" w:eastAsia="宋体" w:hAnsi="Arial" w:cs="Arial"/>
                <w:color w:val="0068B5"/>
                <w:sz w:val="18"/>
                <w:szCs w:val="18"/>
              </w:rPr>
              <w:t>231 </w:t>
            </w:r>
          </w:p>
        </w:tc>
        <w:tc>
          <w:tcPr>
            <w:tcW w:w="0" w:type="auto"/>
            <w:shd w:val="clear" w:color="auto" w:fill="auto"/>
            <w:tcMar>
              <w:top w:w="40" w:type="dxa"/>
              <w:left w:w="0" w:type="dxa"/>
              <w:bottom w:w="40" w:type="dxa"/>
              <w:right w:w="20" w:type="dxa"/>
            </w:tcMar>
            <w:vAlign w:val="bottom"/>
          </w:tcPr>
          <w:p w14:paraId="6753566B" w14:textId="77777777" w:rsidR="001B77DD" w:rsidRDefault="001B77DD">
            <w:pPr>
              <w:jc w:val="right"/>
              <w:rPr>
                <w:rFonts w:ascii="宋体"/>
              </w:rPr>
            </w:pPr>
          </w:p>
        </w:tc>
      </w:tr>
      <w:tr w:rsidR="001B77DD" w14:paraId="67535686" w14:textId="77777777">
        <w:tc>
          <w:tcPr>
            <w:tcW w:w="0" w:type="auto"/>
            <w:gridSpan w:val="3"/>
            <w:shd w:val="clear" w:color="auto" w:fill="auto"/>
            <w:tcMar>
              <w:top w:w="40" w:type="dxa"/>
              <w:left w:w="20" w:type="dxa"/>
              <w:bottom w:w="40" w:type="dxa"/>
              <w:right w:w="20" w:type="dxa"/>
            </w:tcMar>
            <w:vAlign w:val="bottom"/>
          </w:tcPr>
          <w:p w14:paraId="6753566D" w14:textId="77777777" w:rsidR="001B77DD" w:rsidRDefault="00BF0A28">
            <w:pPr>
              <w:textAlignment w:val="bottom"/>
            </w:pPr>
            <w:r>
              <w:rPr>
                <w:rFonts w:ascii="Arial" w:eastAsia="宋体" w:hAnsi="Arial" w:cs="Arial"/>
                <w:color w:val="262626"/>
                <w:sz w:val="18"/>
                <w:szCs w:val="18"/>
              </w:rPr>
              <w:t>S&amp;P 500 IT Index</w:t>
            </w:r>
          </w:p>
        </w:tc>
        <w:tc>
          <w:tcPr>
            <w:tcW w:w="0" w:type="auto"/>
            <w:gridSpan w:val="3"/>
            <w:shd w:val="clear" w:color="auto" w:fill="auto"/>
            <w:tcMar>
              <w:top w:w="0" w:type="dxa"/>
              <w:left w:w="20" w:type="dxa"/>
              <w:bottom w:w="0" w:type="dxa"/>
              <w:right w:w="20" w:type="dxa"/>
            </w:tcMar>
            <w:vAlign w:val="bottom"/>
          </w:tcPr>
          <w:p w14:paraId="6753566E"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6F"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70" w14:textId="77777777" w:rsidR="001B77DD" w:rsidRDefault="00BF0A28">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6753567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72"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73"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74" w14:textId="77777777" w:rsidR="001B77DD" w:rsidRDefault="00BF0A28">
            <w:pPr>
              <w:jc w:val="right"/>
              <w:textAlignment w:val="bottom"/>
            </w:pPr>
            <w:r>
              <w:rPr>
                <w:rFonts w:ascii="Arial" w:eastAsia="宋体" w:hAnsi="Arial" w:cs="Arial"/>
                <w:color w:val="262626"/>
                <w:sz w:val="18"/>
                <w:szCs w:val="18"/>
              </w:rPr>
              <w:t>139 </w:t>
            </w:r>
          </w:p>
        </w:tc>
        <w:tc>
          <w:tcPr>
            <w:tcW w:w="0" w:type="auto"/>
            <w:shd w:val="clear" w:color="auto" w:fill="auto"/>
            <w:tcMar>
              <w:top w:w="40" w:type="dxa"/>
              <w:left w:w="0" w:type="dxa"/>
              <w:bottom w:w="40" w:type="dxa"/>
              <w:right w:w="20" w:type="dxa"/>
            </w:tcMar>
            <w:vAlign w:val="bottom"/>
          </w:tcPr>
          <w:p w14:paraId="6753567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76"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77"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78" w14:textId="77777777" w:rsidR="001B77DD" w:rsidRDefault="00BF0A28">
            <w:pPr>
              <w:jc w:val="right"/>
              <w:textAlignment w:val="bottom"/>
            </w:pPr>
            <w:r>
              <w:rPr>
                <w:rFonts w:ascii="Arial" w:eastAsia="宋体" w:hAnsi="Arial" w:cs="Arial"/>
                <w:color w:val="262626"/>
                <w:sz w:val="18"/>
                <w:szCs w:val="18"/>
              </w:rPr>
              <w:t>137 </w:t>
            </w:r>
          </w:p>
        </w:tc>
        <w:tc>
          <w:tcPr>
            <w:tcW w:w="0" w:type="auto"/>
            <w:shd w:val="clear" w:color="auto" w:fill="auto"/>
            <w:tcMar>
              <w:top w:w="40" w:type="dxa"/>
              <w:left w:w="0" w:type="dxa"/>
              <w:bottom w:w="40" w:type="dxa"/>
              <w:right w:w="20" w:type="dxa"/>
            </w:tcMar>
            <w:vAlign w:val="bottom"/>
          </w:tcPr>
          <w:p w14:paraId="6753567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7A"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7B"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7C" w14:textId="77777777" w:rsidR="001B77DD" w:rsidRDefault="00BF0A28">
            <w:pPr>
              <w:jc w:val="right"/>
              <w:textAlignment w:val="bottom"/>
            </w:pPr>
            <w:r>
              <w:rPr>
                <w:rFonts w:ascii="Arial" w:eastAsia="宋体" w:hAnsi="Arial" w:cs="Arial"/>
                <w:color w:val="262626"/>
                <w:sz w:val="18"/>
                <w:szCs w:val="18"/>
              </w:rPr>
              <w:t>209 </w:t>
            </w:r>
          </w:p>
        </w:tc>
        <w:tc>
          <w:tcPr>
            <w:tcW w:w="0" w:type="auto"/>
            <w:shd w:val="clear" w:color="auto" w:fill="auto"/>
            <w:tcMar>
              <w:top w:w="40" w:type="dxa"/>
              <w:left w:w="0" w:type="dxa"/>
              <w:bottom w:w="40" w:type="dxa"/>
              <w:right w:w="20" w:type="dxa"/>
            </w:tcMar>
            <w:vAlign w:val="bottom"/>
          </w:tcPr>
          <w:p w14:paraId="6753567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7E"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7F"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80" w14:textId="77777777" w:rsidR="001B77DD" w:rsidRDefault="00BF0A28">
            <w:pPr>
              <w:jc w:val="right"/>
              <w:textAlignment w:val="bottom"/>
            </w:pPr>
            <w:r>
              <w:rPr>
                <w:rFonts w:ascii="Arial" w:eastAsia="宋体" w:hAnsi="Arial" w:cs="Arial"/>
                <w:color w:val="262626"/>
                <w:sz w:val="18"/>
                <w:szCs w:val="18"/>
              </w:rPr>
              <w:t>297 </w:t>
            </w:r>
          </w:p>
        </w:tc>
        <w:tc>
          <w:tcPr>
            <w:tcW w:w="0" w:type="auto"/>
            <w:shd w:val="clear" w:color="auto" w:fill="auto"/>
            <w:tcMar>
              <w:top w:w="40" w:type="dxa"/>
              <w:left w:w="0" w:type="dxa"/>
              <w:bottom w:w="40" w:type="dxa"/>
              <w:right w:w="20" w:type="dxa"/>
            </w:tcMar>
            <w:vAlign w:val="bottom"/>
          </w:tcPr>
          <w:p w14:paraId="6753568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82"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83"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5684" w14:textId="77777777" w:rsidR="001B77DD" w:rsidRDefault="00BF0A28">
            <w:pPr>
              <w:jc w:val="right"/>
              <w:textAlignment w:val="bottom"/>
            </w:pPr>
            <w:r>
              <w:rPr>
                <w:rFonts w:ascii="Arial" w:eastAsia="宋体" w:hAnsi="Arial" w:cs="Arial"/>
                <w:color w:val="0068B5"/>
                <w:sz w:val="18"/>
                <w:szCs w:val="18"/>
              </w:rPr>
              <w:t>401 </w:t>
            </w:r>
          </w:p>
        </w:tc>
        <w:tc>
          <w:tcPr>
            <w:tcW w:w="0" w:type="auto"/>
            <w:shd w:val="clear" w:color="auto" w:fill="auto"/>
            <w:tcMar>
              <w:top w:w="40" w:type="dxa"/>
              <w:left w:w="0" w:type="dxa"/>
              <w:bottom w:w="40" w:type="dxa"/>
              <w:right w:w="20" w:type="dxa"/>
            </w:tcMar>
            <w:vAlign w:val="bottom"/>
          </w:tcPr>
          <w:p w14:paraId="67535685" w14:textId="77777777" w:rsidR="001B77DD" w:rsidRDefault="001B77DD">
            <w:pPr>
              <w:jc w:val="right"/>
              <w:rPr>
                <w:rFonts w:ascii="宋体"/>
              </w:rPr>
            </w:pPr>
          </w:p>
        </w:tc>
      </w:tr>
      <w:tr w:rsidR="001B77DD" w14:paraId="675356A0" w14:textId="77777777">
        <w:tc>
          <w:tcPr>
            <w:tcW w:w="0" w:type="auto"/>
            <w:gridSpan w:val="3"/>
            <w:shd w:val="clear" w:color="auto" w:fill="auto"/>
            <w:tcMar>
              <w:top w:w="40" w:type="dxa"/>
              <w:left w:w="20" w:type="dxa"/>
              <w:bottom w:w="40" w:type="dxa"/>
              <w:right w:w="20" w:type="dxa"/>
            </w:tcMar>
            <w:vAlign w:val="bottom"/>
          </w:tcPr>
          <w:p w14:paraId="67535687" w14:textId="77777777" w:rsidR="001B77DD" w:rsidRDefault="00BF0A28">
            <w:pPr>
              <w:textAlignment w:val="bottom"/>
            </w:pPr>
            <w:r>
              <w:rPr>
                <w:rFonts w:ascii="Arial" w:eastAsia="宋体" w:hAnsi="Arial" w:cs="Arial"/>
                <w:color w:val="262626"/>
                <w:sz w:val="18"/>
                <w:szCs w:val="18"/>
              </w:rPr>
              <w:t>SOX Index</w:t>
            </w:r>
          </w:p>
        </w:tc>
        <w:tc>
          <w:tcPr>
            <w:tcW w:w="0" w:type="auto"/>
            <w:gridSpan w:val="3"/>
            <w:shd w:val="clear" w:color="auto" w:fill="auto"/>
            <w:tcMar>
              <w:top w:w="0" w:type="dxa"/>
              <w:left w:w="20" w:type="dxa"/>
              <w:bottom w:w="0" w:type="dxa"/>
              <w:right w:w="20" w:type="dxa"/>
            </w:tcMar>
            <w:vAlign w:val="bottom"/>
          </w:tcPr>
          <w:p w14:paraId="6753568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89"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8A" w14:textId="77777777" w:rsidR="001B77DD" w:rsidRDefault="00BF0A28">
            <w:pPr>
              <w:jc w:val="right"/>
              <w:textAlignment w:val="bottom"/>
            </w:pPr>
            <w:r>
              <w:rPr>
                <w:rFonts w:ascii="Arial" w:eastAsia="宋体" w:hAnsi="Arial" w:cs="Arial"/>
                <w:color w:val="262626"/>
                <w:sz w:val="18"/>
                <w:szCs w:val="18"/>
              </w:rPr>
              <w:t>100 </w:t>
            </w:r>
          </w:p>
        </w:tc>
        <w:tc>
          <w:tcPr>
            <w:tcW w:w="0" w:type="auto"/>
            <w:shd w:val="clear" w:color="auto" w:fill="auto"/>
            <w:tcMar>
              <w:top w:w="40" w:type="dxa"/>
              <w:left w:w="0" w:type="dxa"/>
              <w:bottom w:w="40" w:type="dxa"/>
              <w:right w:w="20" w:type="dxa"/>
            </w:tcMar>
            <w:vAlign w:val="bottom"/>
          </w:tcPr>
          <w:p w14:paraId="6753568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8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8D"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8E" w14:textId="77777777" w:rsidR="001B77DD" w:rsidRDefault="00BF0A28">
            <w:pPr>
              <w:jc w:val="right"/>
              <w:textAlignment w:val="bottom"/>
            </w:pPr>
            <w:r>
              <w:rPr>
                <w:rFonts w:ascii="Arial" w:eastAsia="宋体" w:hAnsi="Arial" w:cs="Arial"/>
                <w:color w:val="262626"/>
                <w:sz w:val="18"/>
                <w:szCs w:val="18"/>
              </w:rPr>
              <w:t>141 </w:t>
            </w:r>
          </w:p>
        </w:tc>
        <w:tc>
          <w:tcPr>
            <w:tcW w:w="0" w:type="auto"/>
            <w:shd w:val="clear" w:color="auto" w:fill="auto"/>
            <w:tcMar>
              <w:top w:w="40" w:type="dxa"/>
              <w:left w:w="0" w:type="dxa"/>
              <w:bottom w:w="40" w:type="dxa"/>
              <w:right w:w="20" w:type="dxa"/>
            </w:tcMar>
            <w:vAlign w:val="bottom"/>
          </w:tcPr>
          <w:p w14:paraId="6753568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9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91"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92" w14:textId="77777777" w:rsidR="001B77DD" w:rsidRDefault="00BF0A28">
            <w:pPr>
              <w:jc w:val="right"/>
              <w:textAlignment w:val="bottom"/>
            </w:pPr>
            <w:r>
              <w:rPr>
                <w:rFonts w:ascii="Arial" w:eastAsia="宋体" w:hAnsi="Arial" w:cs="Arial"/>
                <w:color w:val="262626"/>
                <w:sz w:val="18"/>
                <w:szCs w:val="18"/>
              </w:rPr>
              <w:t>131 </w:t>
            </w:r>
          </w:p>
        </w:tc>
        <w:tc>
          <w:tcPr>
            <w:tcW w:w="0" w:type="auto"/>
            <w:shd w:val="clear" w:color="auto" w:fill="auto"/>
            <w:tcMar>
              <w:top w:w="40" w:type="dxa"/>
              <w:left w:w="0" w:type="dxa"/>
              <w:bottom w:w="40" w:type="dxa"/>
              <w:right w:w="20" w:type="dxa"/>
            </w:tcMar>
            <w:vAlign w:val="bottom"/>
          </w:tcPr>
          <w:p w14:paraId="6753569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94"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95"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96" w14:textId="77777777" w:rsidR="001B77DD" w:rsidRDefault="00BF0A28">
            <w:pPr>
              <w:jc w:val="right"/>
              <w:textAlignment w:val="bottom"/>
            </w:pPr>
            <w:r>
              <w:rPr>
                <w:rFonts w:ascii="Arial" w:eastAsia="宋体" w:hAnsi="Arial" w:cs="Arial"/>
                <w:color w:val="262626"/>
                <w:sz w:val="18"/>
                <w:szCs w:val="18"/>
              </w:rPr>
              <w:t>217 </w:t>
            </w:r>
          </w:p>
        </w:tc>
        <w:tc>
          <w:tcPr>
            <w:tcW w:w="0" w:type="auto"/>
            <w:shd w:val="clear" w:color="auto" w:fill="auto"/>
            <w:tcMar>
              <w:top w:w="40" w:type="dxa"/>
              <w:left w:w="0" w:type="dxa"/>
              <w:bottom w:w="40" w:type="dxa"/>
              <w:right w:w="20" w:type="dxa"/>
            </w:tcMar>
            <w:vAlign w:val="bottom"/>
          </w:tcPr>
          <w:p w14:paraId="6753569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9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99"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69A" w14:textId="77777777" w:rsidR="001B77DD" w:rsidRDefault="00BF0A28">
            <w:pPr>
              <w:jc w:val="right"/>
              <w:textAlignment w:val="bottom"/>
            </w:pPr>
            <w:r>
              <w:rPr>
                <w:rFonts w:ascii="Arial" w:eastAsia="宋体" w:hAnsi="Arial" w:cs="Arial"/>
                <w:color w:val="262626"/>
                <w:sz w:val="18"/>
                <w:szCs w:val="18"/>
              </w:rPr>
              <w:t>326 </w:t>
            </w:r>
          </w:p>
        </w:tc>
        <w:tc>
          <w:tcPr>
            <w:tcW w:w="0" w:type="auto"/>
            <w:shd w:val="clear" w:color="auto" w:fill="auto"/>
            <w:tcMar>
              <w:top w:w="40" w:type="dxa"/>
              <w:left w:w="0" w:type="dxa"/>
              <w:bottom w:w="40" w:type="dxa"/>
              <w:right w:w="20" w:type="dxa"/>
            </w:tcMar>
            <w:vAlign w:val="bottom"/>
          </w:tcPr>
          <w:p w14:paraId="6753569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9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69D"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569E" w14:textId="77777777" w:rsidR="001B77DD" w:rsidRDefault="00BF0A28">
            <w:pPr>
              <w:jc w:val="right"/>
              <w:textAlignment w:val="bottom"/>
            </w:pPr>
            <w:r>
              <w:rPr>
                <w:rFonts w:ascii="Arial" w:eastAsia="宋体" w:hAnsi="Arial" w:cs="Arial"/>
                <w:color w:val="0068B5"/>
                <w:sz w:val="18"/>
                <w:szCs w:val="18"/>
              </w:rPr>
              <w:t>472 </w:t>
            </w:r>
          </w:p>
        </w:tc>
        <w:tc>
          <w:tcPr>
            <w:tcW w:w="0" w:type="auto"/>
            <w:shd w:val="clear" w:color="auto" w:fill="auto"/>
            <w:tcMar>
              <w:top w:w="40" w:type="dxa"/>
              <w:left w:w="0" w:type="dxa"/>
              <w:bottom w:w="40" w:type="dxa"/>
              <w:right w:w="20" w:type="dxa"/>
            </w:tcMar>
            <w:vAlign w:val="bottom"/>
          </w:tcPr>
          <w:p w14:paraId="6753569F" w14:textId="77777777" w:rsidR="001B77DD" w:rsidRDefault="001B77DD">
            <w:pPr>
              <w:jc w:val="right"/>
              <w:rPr>
                <w:rFonts w:ascii="宋体"/>
              </w:rPr>
            </w:pPr>
          </w:p>
        </w:tc>
      </w:tr>
    </w:tbl>
    <w:p w14:paraId="675356A1" w14:textId="77777777" w:rsidR="001B77DD" w:rsidRDefault="00BF0A28">
      <w:pPr>
        <w:spacing w:after="180"/>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The graph and table assume that $100 was invested on the last day of trading for the fiscal year ended December 31, 2016 in Intel's common stock, the S&amp;P 100 Index, S&amp;P 500 Index, S&amp;P 500 IT Index, and PHLX Semiconductor Sector Index (SOX), and </w:t>
      </w:r>
      <w:r>
        <w:rPr>
          <w:rFonts w:ascii="Arial" w:eastAsia="宋体" w:hAnsi="Arial" w:cs="Arial"/>
          <w:i/>
          <w:iCs/>
          <w:color w:val="262626"/>
          <w:sz w:val="16"/>
          <w:szCs w:val="16"/>
        </w:rPr>
        <w:t>that all dividends were reinvested.</w:t>
      </w:r>
    </w:p>
    <w:p w14:paraId="675356A2" w14:textId="77777777" w:rsidR="001B77DD" w:rsidRDefault="00BF0A28">
      <w:pPr>
        <w:spacing w:before="180" w:after="180"/>
      </w:pPr>
      <w:r>
        <w:rPr>
          <w:rFonts w:ascii="Arial" w:eastAsia="宋体" w:hAnsi="Arial" w:cs="Arial"/>
          <w:color w:val="0068B5"/>
          <w:sz w:val="28"/>
          <w:szCs w:val="28"/>
        </w:rPr>
        <w:t>Issuer Purchases of Equity Securities</w:t>
      </w:r>
    </w:p>
    <w:p w14:paraId="675356A3" w14:textId="77777777" w:rsidR="001B77DD" w:rsidRDefault="00BF0A28">
      <w:r>
        <w:rPr>
          <w:rFonts w:ascii="Arial" w:eastAsia="宋体" w:hAnsi="Arial" w:cs="Arial"/>
          <w:color w:val="262626"/>
          <w:sz w:val="18"/>
          <w:szCs w:val="18"/>
        </w:rPr>
        <w:t>We have an ongoing authorization, originally approved by our Board of Directors in 2005 and subsequently amended, to repurchase shares of our common stock in open market or negotiate</w:t>
      </w:r>
      <w:r>
        <w:rPr>
          <w:rFonts w:ascii="Arial" w:eastAsia="宋体" w:hAnsi="Arial" w:cs="Arial"/>
          <w:color w:val="262626"/>
          <w:sz w:val="18"/>
          <w:szCs w:val="18"/>
        </w:rPr>
        <w:t>d transactions. As of December 25, 2021, we were authorized to repurchase up to $110.0 billion, of which $7.2 billion remained available. Common stock repurchase activity under our publicly announced stock repurchase program during 2021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492"/>
        <w:gridCol w:w="36"/>
        <w:gridCol w:w="36"/>
        <w:gridCol w:w="36"/>
        <w:gridCol w:w="36"/>
        <w:gridCol w:w="53"/>
        <w:gridCol w:w="1299"/>
        <w:gridCol w:w="36"/>
        <w:gridCol w:w="36"/>
        <w:gridCol w:w="36"/>
        <w:gridCol w:w="36"/>
        <w:gridCol w:w="122"/>
        <w:gridCol w:w="1371"/>
        <w:gridCol w:w="36"/>
        <w:gridCol w:w="36"/>
        <w:gridCol w:w="36"/>
        <w:gridCol w:w="36"/>
        <w:gridCol w:w="122"/>
        <w:gridCol w:w="1371"/>
        <w:gridCol w:w="36"/>
      </w:tblGrid>
      <w:tr w:rsidR="001B77DD" w14:paraId="675356B9" w14:textId="77777777">
        <w:tc>
          <w:tcPr>
            <w:tcW w:w="50" w:type="pct"/>
            <w:shd w:val="clear" w:color="auto" w:fill="auto"/>
            <w:vAlign w:val="bottom"/>
          </w:tcPr>
          <w:p w14:paraId="675356A4" w14:textId="77777777" w:rsidR="001B77DD" w:rsidRDefault="001B77DD">
            <w:pPr>
              <w:rPr>
                <w:rFonts w:ascii="宋体"/>
              </w:rPr>
            </w:pPr>
          </w:p>
        </w:tc>
        <w:tc>
          <w:tcPr>
            <w:tcW w:w="2130" w:type="pct"/>
            <w:shd w:val="clear" w:color="auto" w:fill="auto"/>
            <w:vAlign w:val="bottom"/>
          </w:tcPr>
          <w:p w14:paraId="675356A5" w14:textId="77777777" w:rsidR="001B77DD" w:rsidRDefault="001B77DD">
            <w:pPr>
              <w:rPr>
                <w:rFonts w:ascii="宋体"/>
              </w:rPr>
            </w:pPr>
          </w:p>
        </w:tc>
        <w:tc>
          <w:tcPr>
            <w:tcW w:w="5" w:type="pct"/>
            <w:shd w:val="clear" w:color="auto" w:fill="auto"/>
            <w:vAlign w:val="bottom"/>
          </w:tcPr>
          <w:p w14:paraId="675356A6" w14:textId="77777777" w:rsidR="001B77DD" w:rsidRDefault="001B77DD">
            <w:pPr>
              <w:rPr>
                <w:rFonts w:ascii="宋体"/>
              </w:rPr>
            </w:pPr>
          </w:p>
        </w:tc>
        <w:tc>
          <w:tcPr>
            <w:tcW w:w="5" w:type="pct"/>
            <w:shd w:val="clear" w:color="auto" w:fill="auto"/>
            <w:vAlign w:val="bottom"/>
          </w:tcPr>
          <w:p w14:paraId="675356A7" w14:textId="77777777" w:rsidR="001B77DD" w:rsidRDefault="001B77DD">
            <w:pPr>
              <w:rPr>
                <w:rFonts w:ascii="宋体"/>
              </w:rPr>
            </w:pPr>
          </w:p>
        </w:tc>
        <w:tc>
          <w:tcPr>
            <w:tcW w:w="24" w:type="pct"/>
            <w:shd w:val="clear" w:color="auto" w:fill="auto"/>
            <w:vAlign w:val="bottom"/>
          </w:tcPr>
          <w:p w14:paraId="675356A8" w14:textId="77777777" w:rsidR="001B77DD" w:rsidRDefault="001B77DD">
            <w:pPr>
              <w:rPr>
                <w:rFonts w:ascii="宋体"/>
              </w:rPr>
            </w:pPr>
          </w:p>
        </w:tc>
        <w:tc>
          <w:tcPr>
            <w:tcW w:w="5" w:type="pct"/>
            <w:shd w:val="clear" w:color="auto" w:fill="auto"/>
            <w:vAlign w:val="bottom"/>
          </w:tcPr>
          <w:p w14:paraId="675356A9" w14:textId="77777777" w:rsidR="001B77DD" w:rsidRDefault="001B77DD">
            <w:pPr>
              <w:rPr>
                <w:rFonts w:ascii="宋体"/>
              </w:rPr>
            </w:pPr>
          </w:p>
        </w:tc>
        <w:tc>
          <w:tcPr>
            <w:tcW w:w="50" w:type="pct"/>
            <w:shd w:val="clear" w:color="auto" w:fill="auto"/>
            <w:vAlign w:val="bottom"/>
          </w:tcPr>
          <w:p w14:paraId="675356AA" w14:textId="77777777" w:rsidR="001B77DD" w:rsidRDefault="001B77DD">
            <w:pPr>
              <w:rPr>
                <w:rFonts w:ascii="宋体"/>
              </w:rPr>
            </w:pPr>
          </w:p>
        </w:tc>
        <w:tc>
          <w:tcPr>
            <w:tcW w:w="853" w:type="pct"/>
            <w:shd w:val="clear" w:color="auto" w:fill="auto"/>
            <w:vAlign w:val="bottom"/>
          </w:tcPr>
          <w:p w14:paraId="675356AB" w14:textId="77777777" w:rsidR="001B77DD" w:rsidRDefault="001B77DD">
            <w:pPr>
              <w:rPr>
                <w:rFonts w:ascii="宋体"/>
              </w:rPr>
            </w:pPr>
          </w:p>
        </w:tc>
        <w:tc>
          <w:tcPr>
            <w:tcW w:w="5" w:type="pct"/>
            <w:shd w:val="clear" w:color="auto" w:fill="auto"/>
            <w:vAlign w:val="bottom"/>
          </w:tcPr>
          <w:p w14:paraId="675356AC" w14:textId="77777777" w:rsidR="001B77DD" w:rsidRDefault="001B77DD">
            <w:pPr>
              <w:rPr>
                <w:rFonts w:ascii="宋体"/>
              </w:rPr>
            </w:pPr>
          </w:p>
        </w:tc>
        <w:tc>
          <w:tcPr>
            <w:tcW w:w="5" w:type="pct"/>
            <w:shd w:val="clear" w:color="auto" w:fill="auto"/>
            <w:vAlign w:val="bottom"/>
          </w:tcPr>
          <w:p w14:paraId="675356AD" w14:textId="77777777" w:rsidR="001B77DD" w:rsidRDefault="001B77DD">
            <w:pPr>
              <w:rPr>
                <w:rFonts w:ascii="宋体"/>
              </w:rPr>
            </w:pPr>
          </w:p>
        </w:tc>
        <w:tc>
          <w:tcPr>
            <w:tcW w:w="17" w:type="pct"/>
            <w:shd w:val="clear" w:color="auto" w:fill="auto"/>
            <w:vAlign w:val="bottom"/>
          </w:tcPr>
          <w:p w14:paraId="675356AE" w14:textId="77777777" w:rsidR="001B77DD" w:rsidRDefault="001B77DD">
            <w:pPr>
              <w:rPr>
                <w:rFonts w:ascii="宋体"/>
              </w:rPr>
            </w:pPr>
          </w:p>
        </w:tc>
        <w:tc>
          <w:tcPr>
            <w:tcW w:w="5" w:type="pct"/>
            <w:shd w:val="clear" w:color="auto" w:fill="auto"/>
            <w:vAlign w:val="bottom"/>
          </w:tcPr>
          <w:p w14:paraId="675356AF" w14:textId="77777777" w:rsidR="001B77DD" w:rsidRDefault="001B77DD">
            <w:pPr>
              <w:rPr>
                <w:rFonts w:ascii="宋体"/>
              </w:rPr>
            </w:pPr>
          </w:p>
        </w:tc>
        <w:tc>
          <w:tcPr>
            <w:tcW w:w="50" w:type="pct"/>
            <w:shd w:val="clear" w:color="auto" w:fill="auto"/>
            <w:vAlign w:val="bottom"/>
          </w:tcPr>
          <w:p w14:paraId="675356B0" w14:textId="77777777" w:rsidR="001B77DD" w:rsidRDefault="001B77DD">
            <w:pPr>
              <w:rPr>
                <w:rFonts w:ascii="宋体"/>
              </w:rPr>
            </w:pPr>
          </w:p>
        </w:tc>
        <w:tc>
          <w:tcPr>
            <w:tcW w:w="853" w:type="pct"/>
            <w:shd w:val="clear" w:color="auto" w:fill="auto"/>
            <w:vAlign w:val="bottom"/>
          </w:tcPr>
          <w:p w14:paraId="675356B1" w14:textId="77777777" w:rsidR="001B77DD" w:rsidRDefault="001B77DD">
            <w:pPr>
              <w:rPr>
                <w:rFonts w:ascii="宋体"/>
              </w:rPr>
            </w:pPr>
          </w:p>
        </w:tc>
        <w:tc>
          <w:tcPr>
            <w:tcW w:w="5" w:type="pct"/>
            <w:shd w:val="clear" w:color="auto" w:fill="auto"/>
            <w:vAlign w:val="bottom"/>
          </w:tcPr>
          <w:p w14:paraId="675356B2" w14:textId="77777777" w:rsidR="001B77DD" w:rsidRDefault="001B77DD">
            <w:pPr>
              <w:rPr>
                <w:rFonts w:ascii="宋体"/>
              </w:rPr>
            </w:pPr>
          </w:p>
        </w:tc>
        <w:tc>
          <w:tcPr>
            <w:tcW w:w="5" w:type="pct"/>
            <w:shd w:val="clear" w:color="auto" w:fill="auto"/>
            <w:vAlign w:val="bottom"/>
          </w:tcPr>
          <w:p w14:paraId="675356B3" w14:textId="77777777" w:rsidR="001B77DD" w:rsidRDefault="001B77DD">
            <w:pPr>
              <w:rPr>
                <w:rFonts w:ascii="宋体"/>
              </w:rPr>
            </w:pPr>
          </w:p>
        </w:tc>
        <w:tc>
          <w:tcPr>
            <w:tcW w:w="17" w:type="pct"/>
            <w:shd w:val="clear" w:color="auto" w:fill="auto"/>
            <w:vAlign w:val="bottom"/>
          </w:tcPr>
          <w:p w14:paraId="675356B4" w14:textId="77777777" w:rsidR="001B77DD" w:rsidRDefault="001B77DD">
            <w:pPr>
              <w:rPr>
                <w:rFonts w:ascii="宋体"/>
              </w:rPr>
            </w:pPr>
          </w:p>
        </w:tc>
        <w:tc>
          <w:tcPr>
            <w:tcW w:w="5" w:type="pct"/>
            <w:shd w:val="clear" w:color="auto" w:fill="auto"/>
            <w:vAlign w:val="bottom"/>
          </w:tcPr>
          <w:p w14:paraId="675356B5" w14:textId="77777777" w:rsidR="001B77DD" w:rsidRDefault="001B77DD">
            <w:pPr>
              <w:rPr>
                <w:rFonts w:ascii="宋体"/>
              </w:rPr>
            </w:pPr>
          </w:p>
        </w:tc>
        <w:tc>
          <w:tcPr>
            <w:tcW w:w="50" w:type="pct"/>
            <w:shd w:val="clear" w:color="auto" w:fill="auto"/>
            <w:vAlign w:val="bottom"/>
          </w:tcPr>
          <w:p w14:paraId="675356B6" w14:textId="77777777" w:rsidR="001B77DD" w:rsidRDefault="001B77DD">
            <w:pPr>
              <w:rPr>
                <w:rFonts w:ascii="宋体"/>
              </w:rPr>
            </w:pPr>
          </w:p>
        </w:tc>
        <w:tc>
          <w:tcPr>
            <w:tcW w:w="853" w:type="pct"/>
            <w:shd w:val="clear" w:color="auto" w:fill="auto"/>
            <w:vAlign w:val="bottom"/>
          </w:tcPr>
          <w:p w14:paraId="675356B7" w14:textId="77777777" w:rsidR="001B77DD" w:rsidRDefault="001B77DD">
            <w:pPr>
              <w:rPr>
                <w:rFonts w:ascii="宋体"/>
              </w:rPr>
            </w:pPr>
          </w:p>
        </w:tc>
        <w:tc>
          <w:tcPr>
            <w:tcW w:w="5" w:type="pct"/>
            <w:shd w:val="clear" w:color="auto" w:fill="auto"/>
            <w:vAlign w:val="bottom"/>
          </w:tcPr>
          <w:p w14:paraId="675356B8" w14:textId="77777777" w:rsidR="001B77DD" w:rsidRDefault="001B77DD">
            <w:pPr>
              <w:rPr>
                <w:rFonts w:ascii="宋体"/>
              </w:rPr>
            </w:pPr>
          </w:p>
        </w:tc>
      </w:tr>
      <w:tr w:rsidR="001B77DD" w14:paraId="675356C1" w14:textId="77777777">
        <w:tc>
          <w:tcPr>
            <w:tcW w:w="0" w:type="auto"/>
            <w:gridSpan w:val="3"/>
            <w:shd w:val="clear" w:color="auto" w:fill="auto"/>
            <w:tcMar>
              <w:top w:w="40" w:type="dxa"/>
              <w:left w:w="20" w:type="dxa"/>
              <w:bottom w:w="40" w:type="dxa"/>
              <w:right w:w="20" w:type="dxa"/>
            </w:tcMar>
            <w:vAlign w:val="bottom"/>
          </w:tcPr>
          <w:p w14:paraId="675356BA" w14:textId="77777777" w:rsidR="001B77DD" w:rsidRDefault="00BF0A28">
            <w:pPr>
              <w:textAlignment w:val="bottom"/>
            </w:pPr>
            <w:r>
              <w:rPr>
                <w:rFonts w:ascii="Arial" w:eastAsia="宋体" w:hAnsi="Arial" w:cs="Arial"/>
                <w:b/>
                <w:bCs/>
                <w:color w:val="262626"/>
                <w:sz w:val="18"/>
                <w:szCs w:val="18"/>
              </w:rPr>
              <w:t>Period</w:t>
            </w:r>
          </w:p>
        </w:tc>
        <w:tc>
          <w:tcPr>
            <w:tcW w:w="0" w:type="auto"/>
            <w:gridSpan w:val="3"/>
            <w:shd w:val="clear" w:color="auto" w:fill="auto"/>
            <w:tcMar>
              <w:top w:w="0" w:type="dxa"/>
              <w:left w:w="20" w:type="dxa"/>
              <w:bottom w:w="0" w:type="dxa"/>
              <w:right w:w="20" w:type="dxa"/>
            </w:tcMar>
            <w:vAlign w:val="bottom"/>
          </w:tcPr>
          <w:p w14:paraId="675356B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BC" w14:textId="77777777" w:rsidR="001B77DD" w:rsidRDefault="00BF0A28">
            <w:pPr>
              <w:jc w:val="center"/>
              <w:textAlignment w:val="bottom"/>
            </w:pPr>
            <w:r>
              <w:rPr>
                <w:rFonts w:ascii="Arial" w:eastAsia="宋体" w:hAnsi="Arial" w:cs="Arial"/>
                <w:b/>
                <w:bCs/>
                <w:color w:val="262626"/>
                <w:sz w:val="18"/>
                <w:szCs w:val="18"/>
              </w:rPr>
              <w:t>Total Number of</w:t>
            </w:r>
            <w:r>
              <w:rPr>
                <w:rFonts w:ascii="Arial" w:eastAsia="宋体" w:hAnsi="Arial" w:cs="Arial"/>
                <w:b/>
                <w:bCs/>
                <w:color w:val="262626"/>
                <w:sz w:val="18"/>
                <w:szCs w:val="18"/>
              </w:rPr>
              <w:br/>
              <w:t>Shares Purchased</w:t>
            </w:r>
            <w:r>
              <w:rPr>
                <w:rFonts w:ascii="Arial" w:eastAsia="宋体" w:hAnsi="Arial" w:cs="Arial"/>
                <w:b/>
                <w:bCs/>
                <w:color w:val="262626"/>
                <w:sz w:val="18"/>
                <w:szCs w:val="18"/>
              </w:rPr>
              <w:br/>
              <w:t>(In Millions)</w:t>
            </w:r>
          </w:p>
        </w:tc>
        <w:tc>
          <w:tcPr>
            <w:tcW w:w="0" w:type="auto"/>
            <w:gridSpan w:val="3"/>
            <w:shd w:val="clear" w:color="auto" w:fill="auto"/>
            <w:tcMar>
              <w:top w:w="0" w:type="dxa"/>
              <w:left w:w="20" w:type="dxa"/>
              <w:bottom w:w="0" w:type="dxa"/>
              <w:right w:w="20" w:type="dxa"/>
            </w:tcMar>
            <w:vAlign w:val="bottom"/>
          </w:tcPr>
          <w:p w14:paraId="675356B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BE" w14:textId="77777777" w:rsidR="001B77DD" w:rsidRDefault="00BF0A28">
            <w:pPr>
              <w:jc w:val="center"/>
              <w:textAlignment w:val="bottom"/>
            </w:pPr>
            <w:r>
              <w:rPr>
                <w:rFonts w:ascii="Arial" w:eastAsia="宋体" w:hAnsi="Arial" w:cs="Arial"/>
                <w:b/>
                <w:bCs/>
                <w:color w:val="262626"/>
                <w:sz w:val="18"/>
                <w:szCs w:val="18"/>
              </w:rPr>
              <w:t>Average Price</w:t>
            </w:r>
            <w:r>
              <w:rPr>
                <w:rFonts w:ascii="Arial" w:eastAsia="宋体" w:hAnsi="Arial" w:cs="Arial"/>
                <w:b/>
                <w:bCs/>
                <w:color w:val="262626"/>
                <w:sz w:val="18"/>
                <w:szCs w:val="18"/>
              </w:rPr>
              <w:br/>
              <w:t>Paid Per Share</w:t>
            </w:r>
          </w:p>
        </w:tc>
        <w:tc>
          <w:tcPr>
            <w:tcW w:w="0" w:type="auto"/>
            <w:gridSpan w:val="3"/>
            <w:shd w:val="clear" w:color="auto" w:fill="auto"/>
            <w:tcMar>
              <w:top w:w="0" w:type="dxa"/>
              <w:left w:w="20" w:type="dxa"/>
              <w:bottom w:w="0" w:type="dxa"/>
              <w:right w:w="20" w:type="dxa"/>
            </w:tcMar>
            <w:vAlign w:val="bottom"/>
          </w:tcPr>
          <w:p w14:paraId="675356B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C0" w14:textId="77777777" w:rsidR="001B77DD" w:rsidRDefault="00BF0A28">
            <w:pPr>
              <w:jc w:val="center"/>
              <w:textAlignment w:val="bottom"/>
            </w:pPr>
            <w:r>
              <w:rPr>
                <w:rFonts w:ascii="Arial" w:eastAsia="宋体" w:hAnsi="Arial" w:cs="Arial"/>
                <w:b/>
                <w:bCs/>
                <w:color w:val="262626"/>
                <w:sz w:val="18"/>
                <w:szCs w:val="18"/>
              </w:rPr>
              <w:t>Dollar Value of Shares That May Yet Be Purchased Under the Program (In Millions)</w:t>
            </w:r>
          </w:p>
        </w:tc>
      </w:tr>
      <w:tr w:rsidR="001B77DD" w14:paraId="675356C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6C2" w14:textId="77777777" w:rsidR="001B77DD" w:rsidRDefault="00BF0A28">
            <w:pPr>
              <w:textAlignment w:val="bottom"/>
            </w:pPr>
            <w:r>
              <w:rPr>
                <w:rFonts w:ascii="Arial" w:eastAsia="宋体" w:hAnsi="Arial" w:cs="Arial"/>
                <w:color w:val="262626"/>
                <w:sz w:val="18"/>
                <w:szCs w:val="18"/>
              </w:rPr>
              <w:t>December 27, 2020 - March 27, 2021</w:t>
            </w:r>
          </w:p>
        </w:tc>
        <w:tc>
          <w:tcPr>
            <w:tcW w:w="0" w:type="auto"/>
            <w:gridSpan w:val="3"/>
            <w:shd w:val="clear" w:color="auto" w:fill="auto"/>
            <w:tcMar>
              <w:top w:w="0" w:type="dxa"/>
              <w:left w:w="20" w:type="dxa"/>
              <w:bottom w:w="0" w:type="dxa"/>
              <w:right w:w="20" w:type="dxa"/>
            </w:tcMar>
            <w:vAlign w:val="bottom"/>
          </w:tcPr>
          <w:p w14:paraId="675356C3"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56C4" w14:textId="77777777" w:rsidR="001B77DD" w:rsidRDefault="00BF0A28">
            <w:pPr>
              <w:jc w:val="right"/>
              <w:textAlignment w:val="bottom"/>
            </w:pPr>
            <w:r>
              <w:rPr>
                <w:rFonts w:ascii="Arial" w:eastAsia="宋体" w:hAnsi="Arial" w:cs="Arial"/>
                <w:color w:val="0068B5"/>
                <w:sz w:val="18"/>
                <w:szCs w:val="18"/>
              </w:rPr>
              <w:t>39.5 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C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C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6C7"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6C8" w14:textId="77777777" w:rsidR="001B77DD" w:rsidRDefault="00BF0A28">
            <w:pPr>
              <w:jc w:val="right"/>
              <w:textAlignment w:val="bottom"/>
            </w:pPr>
            <w:r>
              <w:rPr>
                <w:rFonts w:ascii="Arial" w:eastAsia="宋体" w:hAnsi="Arial" w:cs="Arial"/>
                <w:color w:val="0068B5"/>
                <w:sz w:val="18"/>
                <w:szCs w:val="18"/>
              </w:rPr>
              <w:t>61.12 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C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C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6C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6CC" w14:textId="77777777" w:rsidR="001B77DD" w:rsidRDefault="00BF0A28">
            <w:pPr>
              <w:jc w:val="right"/>
              <w:textAlignment w:val="bottom"/>
            </w:pPr>
            <w:r>
              <w:rPr>
                <w:rFonts w:ascii="Arial" w:eastAsia="宋体" w:hAnsi="Arial" w:cs="Arial"/>
                <w:b/>
                <w:bCs/>
                <w:color w:val="0068B5"/>
                <w:sz w:val="18"/>
                <w:szCs w:val="18"/>
              </w:rPr>
              <w:t>7,243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6CD" w14:textId="77777777" w:rsidR="001B77DD" w:rsidRDefault="001B77DD">
            <w:pPr>
              <w:jc w:val="right"/>
              <w:rPr>
                <w:rFonts w:ascii="宋体"/>
              </w:rPr>
            </w:pPr>
          </w:p>
        </w:tc>
      </w:tr>
      <w:tr w:rsidR="001B77DD" w14:paraId="675356D7" w14:textId="77777777">
        <w:tc>
          <w:tcPr>
            <w:tcW w:w="0" w:type="auto"/>
            <w:gridSpan w:val="3"/>
            <w:shd w:val="clear" w:color="auto" w:fill="auto"/>
            <w:tcMar>
              <w:top w:w="40" w:type="dxa"/>
              <w:left w:w="20" w:type="dxa"/>
              <w:bottom w:w="40" w:type="dxa"/>
              <w:right w:w="20" w:type="dxa"/>
            </w:tcMar>
          </w:tcPr>
          <w:p w14:paraId="675356CF" w14:textId="77777777" w:rsidR="001B77DD" w:rsidRDefault="00BF0A2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56D0" w14:textId="77777777" w:rsidR="001B77DD" w:rsidRDefault="001B77DD">
            <w:pPr>
              <w:rPr>
                <w:rFonts w:ascii="宋体"/>
              </w:rPr>
            </w:pPr>
          </w:p>
        </w:tc>
        <w:tc>
          <w:tcPr>
            <w:tcW w:w="0" w:type="auto"/>
            <w:gridSpan w:val="2"/>
            <w:tcBorders>
              <w:top w:val="single" w:sz="4" w:space="0" w:color="262626"/>
              <w:bottom w:val="double" w:sz="6" w:space="0" w:color="333333"/>
            </w:tcBorders>
            <w:shd w:val="clear" w:color="auto" w:fill="auto"/>
            <w:tcMar>
              <w:top w:w="40" w:type="dxa"/>
              <w:left w:w="20" w:type="dxa"/>
              <w:bottom w:w="40" w:type="dxa"/>
              <w:right w:w="0" w:type="dxa"/>
            </w:tcMar>
            <w:vAlign w:val="bottom"/>
          </w:tcPr>
          <w:p w14:paraId="675356D1" w14:textId="77777777" w:rsidR="001B77DD" w:rsidRDefault="00BF0A28">
            <w:pPr>
              <w:jc w:val="right"/>
              <w:textAlignment w:val="bottom"/>
            </w:pPr>
            <w:r>
              <w:rPr>
                <w:rFonts w:ascii="Arial" w:eastAsia="宋体" w:hAnsi="Arial" w:cs="Arial"/>
                <w:b/>
                <w:bCs/>
                <w:color w:val="0068B5"/>
                <w:sz w:val="18"/>
                <w:szCs w:val="18"/>
              </w:rPr>
              <w:t>39.5</w:t>
            </w:r>
            <w:r>
              <w:rPr>
                <w:rFonts w:ascii="Arial" w:eastAsia="宋体" w:hAnsi="Arial" w:cs="Arial"/>
                <w:color w:val="0068B5"/>
                <w:sz w:val="18"/>
                <w:szCs w:val="18"/>
              </w:rPr>
              <w:t> </w:t>
            </w:r>
          </w:p>
        </w:tc>
        <w:tc>
          <w:tcPr>
            <w:tcW w:w="0" w:type="auto"/>
            <w:tcBorders>
              <w:top w:val="single" w:sz="4" w:space="0" w:color="262626"/>
              <w:bottom w:val="double" w:sz="6" w:space="0" w:color="333333"/>
            </w:tcBorders>
            <w:shd w:val="clear" w:color="auto" w:fill="auto"/>
            <w:tcMar>
              <w:top w:w="40" w:type="dxa"/>
              <w:left w:w="0" w:type="dxa"/>
              <w:bottom w:w="40" w:type="dxa"/>
              <w:right w:w="20" w:type="dxa"/>
            </w:tcMar>
            <w:vAlign w:val="bottom"/>
          </w:tcPr>
          <w:p w14:paraId="675356D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6D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6D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6D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6D6" w14:textId="77777777" w:rsidR="001B77DD" w:rsidRDefault="001B77DD">
            <w:pPr>
              <w:rPr>
                <w:rFonts w:ascii="宋体"/>
              </w:rPr>
            </w:pPr>
          </w:p>
        </w:tc>
      </w:tr>
    </w:tbl>
    <w:p w14:paraId="675356D8" w14:textId="77777777" w:rsidR="001B77DD" w:rsidRDefault="00BF0A28">
      <w:pPr>
        <w:spacing w:after="180"/>
      </w:pPr>
      <w:r>
        <w:rPr>
          <w:rFonts w:ascii="Arial" w:eastAsia="宋体" w:hAnsi="Arial" w:cs="Arial"/>
          <w:color w:val="262626"/>
          <w:sz w:val="18"/>
          <w:szCs w:val="18"/>
        </w:rPr>
        <w:t>We issue RSUs as part of our equity incentive plans. In our Consolidated Financial Statements, we treat shares of common stock withheld for tax purposes on behalf of our employees in connection with the vesting of RSUs as common stock repurchases because t</w:t>
      </w:r>
      <w:r>
        <w:rPr>
          <w:rFonts w:ascii="Arial" w:eastAsia="宋体" w:hAnsi="Arial" w:cs="Arial"/>
          <w:color w:val="262626"/>
          <w:sz w:val="18"/>
          <w:szCs w:val="18"/>
        </w:rPr>
        <w:t xml:space="preserve">hey reduce the number of shares that would have been issued upon vesting. These withheld shares of common stock are not considered common stock repurchases under our authorized common stock repurchase program and are excluded from the preceding table. </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6E2" w14:textId="77777777">
        <w:tc>
          <w:tcPr>
            <w:tcW w:w="50" w:type="pct"/>
            <w:shd w:val="clear" w:color="auto" w:fill="auto"/>
            <w:vAlign w:val="bottom"/>
          </w:tcPr>
          <w:p w14:paraId="675356D9" w14:textId="77777777" w:rsidR="001B77DD" w:rsidRDefault="001B77DD">
            <w:pPr>
              <w:rPr>
                <w:rFonts w:ascii="宋体"/>
              </w:rPr>
            </w:pPr>
          </w:p>
        </w:tc>
        <w:tc>
          <w:tcPr>
            <w:tcW w:w="283" w:type="pct"/>
            <w:shd w:val="clear" w:color="auto" w:fill="auto"/>
            <w:vAlign w:val="bottom"/>
          </w:tcPr>
          <w:p w14:paraId="675356DA" w14:textId="77777777" w:rsidR="001B77DD" w:rsidRDefault="001B77DD">
            <w:pPr>
              <w:rPr>
                <w:rFonts w:ascii="宋体"/>
              </w:rPr>
            </w:pPr>
          </w:p>
        </w:tc>
        <w:tc>
          <w:tcPr>
            <w:tcW w:w="5" w:type="pct"/>
            <w:shd w:val="clear" w:color="auto" w:fill="auto"/>
            <w:vAlign w:val="bottom"/>
          </w:tcPr>
          <w:p w14:paraId="675356DB" w14:textId="77777777" w:rsidR="001B77DD" w:rsidRDefault="001B77DD">
            <w:pPr>
              <w:rPr>
                <w:rFonts w:ascii="宋体"/>
              </w:rPr>
            </w:pPr>
          </w:p>
        </w:tc>
        <w:tc>
          <w:tcPr>
            <w:tcW w:w="50" w:type="pct"/>
            <w:shd w:val="clear" w:color="auto" w:fill="auto"/>
            <w:vAlign w:val="bottom"/>
          </w:tcPr>
          <w:p w14:paraId="675356DC" w14:textId="77777777" w:rsidR="001B77DD" w:rsidRDefault="001B77DD">
            <w:pPr>
              <w:rPr>
                <w:rFonts w:ascii="宋体"/>
              </w:rPr>
            </w:pPr>
          </w:p>
        </w:tc>
        <w:tc>
          <w:tcPr>
            <w:tcW w:w="2656" w:type="pct"/>
            <w:shd w:val="clear" w:color="auto" w:fill="auto"/>
            <w:vAlign w:val="bottom"/>
          </w:tcPr>
          <w:p w14:paraId="675356DD" w14:textId="77777777" w:rsidR="001B77DD" w:rsidRDefault="001B77DD">
            <w:pPr>
              <w:rPr>
                <w:rFonts w:ascii="宋体"/>
              </w:rPr>
            </w:pPr>
          </w:p>
        </w:tc>
        <w:tc>
          <w:tcPr>
            <w:tcW w:w="5" w:type="pct"/>
            <w:shd w:val="clear" w:color="auto" w:fill="auto"/>
            <w:vAlign w:val="bottom"/>
          </w:tcPr>
          <w:p w14:paraId="675356DE" w14:textId="77777777" w:rsidR="001B77DD" w:rsidRDefault="001B77DD">
            <w:pPr>
              <w:rPr>
                <w:rFonts w:ascii="宋体"/>
              </w:rPr>
            </w:pPr>
          </w:p>
        </w:tc>
        <w:tc>
          <w:tcPr>
            <w:tcW w:w="50" w:type="pct"/>
            <w:shd w:val="clear" w:color="auto" w:fill="auto"/>
            <w:vAlign w:val="bottom"/>
          </w:tcPr>
          <w:p w14:paraId="675356DF" w14:textId="77777777" w:rsidR="001B77DD" w:rsidRDefault="001B77DD">
            <w:pPr>
              <w:rPr>
                <w:rFonts w:ascii="宋体"/>
              </w:rPr>
            </w:pPr>
          </w:p>
        </w:tc>
        <w:tc>
          <w:tcPr>
            <w:tcW w:w="1894" w:type="pct"/>
            <w:shd w:val="clear" w:color="auto" w:fill="auto"/>
            <w:vAlign w:val="bottom"/>
          </w:tcPr>
          <w:p w14:paraId="675356E0" w14:textId="77777777" w:rsidR="001B77DD" w:rsidRDefault="001B77DD">
            <w:pPr>
              <w:rPr>
                <w:rFonts w:ascii="宋体"/>
              </w:rPr>
            </w:pPr>
          </w:p>
        </w:tc>
        <w:tc>
          <w:tcPr>
            <w:tcW w:w="5" w:type="pct"/>
            <w:shd w:val="clear" w:color="auto" w:fill="auto"/>
            <w:vAlign w:val="bottom"/>
          </w:tcPr>
          <w:p w14:paraId="675356E1" w14:textId="77777777" w:rsidR="001B77DD" w:rsidRDefault="001B77DD">
            <w:pPr>
              <w:rPr>
                <w:rFonts w:ascii="宋体"/>
              </w:rPr>
            </w:pPr>
          </w:p>
        </w:tc>
      </w:tr>
      <w:tr w:rsidR="001B77DD" w14:paraId="675356E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6E3"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03" wp14:editId="67538F04">
                  <wp:extent cx="304800" cy="304800"/>
                  <wp:effectExtent l="0" t="0" r="0" b="0"/>
                  <wp:docPr id="174" name="图片 25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5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6E4"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6E5" w14:textId="77777777" w:rsidR="001B77DD" w:rsidRDefault="00BF0A28">
            <w:pPr>
              <w:jc w:val="right"/>
              <w:textAlignment w:val="center"/>
            </w:pPr>
            <w:r>
              <w:rPr>
                <w:rFonts w:ascii="Arial" w:eastAsia="宋体" w:hAnsi="Arial" w:cs="Arial"/>
                <w:color w:val="262626"/>
                <w:sz w:val="16"/>
                <w:szCs w:val="16"/>
              </w:rPr>
              <w:t>65</w:t>
            </w:r>
          </w:p>
        </w:tc>
      </w:tr>
    </w:tbl>
    <w:p w14:paraId="675356E7" w14:textId="77777777" w:rsidR="001B77DD" w:rsidRDefault="00BF0A28">
      <w:r>
        <w:pict w14:anchorId="67538F05">
          <v:rect id="_x0000_i1091" style="width:415.3pt;height:1.5pt" o:hralign="center" o:hrstd="t" o:hr="t" fillcolor="#a0a0a0" stroked="f"/>
        </w:pict>
      </w:r>
    </w:p>
    <w:p w14:paraId="675356E8" w14:textId="77777777" w:rsidR="001B77DD" w:rsidRDefault="00BF0A28">
      <w:pPr>
        <w:jc w:val="right"/>
      </w:pPr>
      <w:hyperlink r:id="rId123" w:anchor="i6c9ced68f6b24d58a3dcf326e8c3c699_16" w:history="1">
        <w:r>
          <w:rPr>
            <w:rStyle w:val="a5"/>
            <w:rFonts w:ascii="Arial" w:eastAsia="宋体" w:hAnsi="Arial" w:cs="Arial"/>
            <w:b/>
            <w:bCs/>
            <w:sz w:val="16"/>
            <w:szCs w:val="16"/>
          </w:rPr>
          <w:t>Table of Contents</w:t>
        </w:r>
      </w:hyperlink>
    </w:p>
    <w:p w14:paraId="675356E9" w14:textId="77777777" w:rsidR="001B77DD" w:rsidRDefault="001B77DD">
      <w:pPr>
        <w:jc w:val="right"/>
      </w:pPr>
    </w:p>
    <w:p w14:paraId="675356EA" w14:textId="77777777" w:rsidR="001B77DD" w:rsidRDefault="00BF0A28">
      <w:pPr>
        <w:spacing w:before="180" w:after="180"/>
      </w:pPr>
      <w:r>
        <w:rPr>
          <w:rFonts w:ascii="Arial" w:eastAsia="宋体" w:hAnsi="Arial" w:cs="Arial"/>
          <w:color w:val="0068B5"/>
          <w:sz w:val="28"/>
          <w:szCs w:val="28"/>
        </w:rPr>
        <w:t>Information About Our Executive Officers</w:t>
      </w:r>
    </w:p>
    <w:tbl>
      <w:tblPr>
        <w:tblW w:w="5000" w:type="pct"/>
        <w:tblCellMar>
          <w:top w:w="15" w:type="dxa"/>
          <w:left w:w="15" w:type="dxa"/>
          <w:bottom w:w="15" w:type="dxa"/>
          <w:right w:w="15" w:type="dxa"/>
        </w:tblCellMar>
        <w:tblLook w:val="04A0" w:firstRow="1" w:lastRow="0" w:firstColumn="1" w:lastColumn="0" w:noHBand="0" w:noVBand="1"/>
      </w:tblPr>
      <w:tblGrid>
        <w:gridCol w:w="49"/>
        <w:gridCol w:w="1537"/>
        <w:gridCol w:w="37"/>
        <w:gridCol w:w="36"/>
        <w:gridCol w:w="36"/>
        <w:gridCol w:w="36"/>
        <w:gridCol w:w="85"/>
        <w:gridCol w:w="288"/>
        <w:gridCol w:w="36"/>
        <w:gridCol w:w="36"/>
        <w:gridCol w:w="36"/>
        <w:gridCol w:w="36"/>
        <w:gridCol w:w="38"/>
        <w:gridCol w:w="6014"/>
        <w:gridCol w:w="36"/>
      </w:tblGrid>
      <w:tr w:rsidR="001B77DD" w14:paraId="675356FA" w14:textId="77777777">
        <w:tc>
          <w:tcPr>
            <w:tcW w:w="50" w:type="pct"/>
            <w:shd w:val="clear" w:color="auto" w:fill="auto"/>
            <w:vAlign w:val="bottom"/>
          </w:tcPr>
          <w:p w14:paraId="675356EB" w14:textId="77777777" w:rsidR="001B77DD" w:rsidRDefault="001B77DD">
            <w:pPr>
              <w:rPr>
                <w:rFonts w:ascii="宋体"/>
              </w:rPr>
            </w:pPr>
          </w:p>
        </w:tc>
        <w:tc>
          <w:tcPr>
            <w:tcW w:w="942" w:type="pct"/>
            <w:shd w:val="clear" w:color="auto" w:fill="auto"/>
            <w:vAlign w:val="bottom"/>
          </w:tcPr>
          <w:p w14:paraId="675356EC" w14:textId="77777777" w:rsidR="001B77DD" w:rsidRDefault="001B77DD">
            <w:pPr>
              <w:rPr>
                <w:rFonts w:ascii="宋体"/>
              </w:rPr>
            </w:pPr>
          </w:p>
        </w:tc>
        <w:tc>
          <w:tcPr>
            <w:tcW w:w="5" w:type="pct"/>
            <w:shd w:val="clear" w:color="auto" w:fill="auto"/>
            <w:vAlign w:val="bottom"/>
          </w:tcPr>
          <w:p w14:paraId="675356ED" w14:textId="77777777" w:rsidR="001B77DD" w:rsidRDefault="001B77DD">
            <w:pPr>
              <w:rPr>
                <w:rFonts w:ascii="宋体"/>
              </w:rPr>
            </w:pPr>
          </w:p>
        </w:tc>
        <w:tc>
          <w:tcPr>
            <w:tcW w:w="5" w:type="pct"/>
            <w:shd w:val="clear" w:color="auto" w:fill="auto"/>
            <w:vAlign w:val="bottom"/>
          </w:tcPr>
          <w:p w14:paraId="675356EE" w14:textId="77777777" w:rsidR="001B77DD" w:rsidRDefault="001B77DD">
            <w:pPr>
              <w:rPr>
                <w:rFonts w:ascii="宋体"/>
              </w:rPr>
            </w:pPr>
          </w:p>
        </w:tc>
        <w:tc>
          <w:tcPr>
            <w:tcW w:w="24" w:type="pct"/>
            <w:shd w:val="clear" w:color="auto" w:fill="auto"/>
            <w:vAlign w:val="bottom"/>
          </w:tcPr>
          <w:p w14:paraId="675356EF" w14:textId="77777777" w:rsidR="001B77DD" w:rsidRDefault="001B77DD">
            <w:pPr>
              <w:rPr>
                <w:rFonts w:ascii="宋体"/>
              </w:rPr>
            </w:pPr>
          </w:p>
        </w:tc>
        <w:tc>
          <w:tcPr>
            <w:tcW w:w="5" w:type="pct"/>
            <w:shd w:val="clear" w:color="auto" w:fill="auto"/>
            <w:vAlign w:val="bottom"/>
          </w:tcPr>
          <w:p w14:paraId="675356F0" w14:textId="77777777" w:rsidR="001B77DD" w:rsidRDefault="001B77DD">
            <w:pPr>
              <w:rPr>
                <w:rFonts w:ascii="宋体"/>
              </w:rPr>
            </w:pPr>
          </w:p>
        </w:tc>
        <w:tc>
          <w:tcPr>
            <w:tcW w:w="50" w:type="pct"/>
            <w:shd w:val="clear" w:color="auto" w:fill="auto"/>
            <w:vAlign w:val="bottom"/>
          </w:tcPr>
          <w:p w14:paraId="675356F1" w14:textId="77777777" w:rsidR="001B77DD" w:rsidRDefault="001B77DD">
            <w:pPr>
              <w:rPr>
                <w:rFonts w:ascii="宋体"/>
              </w:rPr>
            </w:pPr>
          </w:p>
        </w:tc>
        <w:tc>
          <w:tcPr>
            <w:tcW w:w="170" w:type="pct"/>
            <w:shd w:val="clear" w:color="auto" w:fill="auto"/>
            <w:vAlign w:val="bottom"/>
          </w:tcPr>
          <w:p w14:paraId="675356F2" w14:textId="77777777" w:rsidR="001B77DD" w:rsidRDefault="001B77DD">
            <w:pPr>
              <w:rPr>
                <w:rFonts w:ascii="宋体"/>
              </w:rPr>
            </w:pPr>
          </w:p>
        </w:tc>
        <w:tc>
          <w:tcPr>
            <w:tcW w:w="5" w:type="pct"/>
            <w:shd w:val="clear" w:color="auto" w:fill="auto"/>
            <w:vAlign w:val="bottom"/>
          </w:tcPr>
          <w:p w14:paraId="675356F3" w14:textId="77777777" w:rsidR="001B77DD" w:rsidRDefault="001B77DD">
            <w:pPr>
              <w:rPr>
                <w:rFonts w:ascii="宋体"/>
              </w:rPr>
            </w:pPr>
          </w:p>
        </w:tc>
        <w:tc>
          <w:tcPr>
            <w:tcW w:w="5" w:type="pct"/>
            <w:shd w:val="clear" w:color="auto" w:fill="auto"/>
            <w:vAlign w:val="bottom"/>
          </w:tcPr>
          <w:p w14:paraId="675356F4" w14:textId="77777777" w:rsidR="001B77DD" w:rsidRDefault="001B77DD">
            <w:pPr>
              <w:rPr>
                <w:rFonts w:ascii="宋体"/>
              </w:rPr>
            </w:pPr>
          </w:p>
        </w:tc>
        <w:tc>
          <w:tcPr>
            <w:tcW w:w="24" w:type="pct"/>
            <w:shd w:val="clear" w:color="auto" w:fill="auto"/>
            <w:vAlign w:val="bottom"/>
          </w:tcPr>
          <w:p w14:paraId="675356F5" w14:textId="77777777" w:rsidR="001B77DD" w:rsidRDefault="001B77DD">
            <w:pPr>
              <w:rPr>
                <w:rFonts w:ascii="宋体"/>
              </w:rPr>
            </w:pPr>
          </w:p>
        </w:tc>
        <w:tc>
          <w:tcPr>
            <w:tcW w:w="5" w:type="pct"/>
            <w:shd w:val="clear" w:color="auto" w:fill="auto"/>
            <w:vAlign w:val="bottom"/>
          </w:tcPr>
          <w:p w14:paraId="675356F6" w14:textId="77777777" w:rsidR="001B77DD" w:rsidRDefault="001B77DD">
            <w:pPr>
              <w:rPr>
                <w:rFonts w:ascii="宋体"/>
              </w:rPr>
            </w:pPr>
          </w:p>
        </w:tc>
        <w:tc>
          <w:tcPr>
            <w:tcW w:w="50" w:type="pct"/>
            <w:shd w:val="clear" w:color="auto" w:fill="auto"/>
            <w:vAlign w:val="bottom"/>
          </w:tcPr>
          <w:p w14:paraId="675356F7" w14:textId="77777777" w:rsidR="001B77DD" w:rsidRDefault="001B77DD">
            <w:pPr>
              <w:rPr>
                <w:rFonts w:ascii="宋体"/>
              </w:rPr>
            </w:pPr>
          </w:p>
        </w:tc>
        <w:tc>
          <w:tcPr>
            <w:tcW w:w="3654" w:type="pct"/>
            <w:shd w:val="clear" w:color="auto" w:fill="auto"/>
            <w:vAlign w:val="bottom"/>
          </w:tcPr>
          <w:p w14:paraId="675356F8" w14:textId="77777777" w:rsidR="001B77DD" w:rsidRDefault="001B77DD">
            <w:pPr>
              <w:rPr>
                <w:rFonts w:ascii="宋体"/>
              </w:rPr>
            </w:pPr>
          </w:p>
        </w:tc>
        <w:tc>
          <w:tcPr>
            <w:tcW w:w="5" w:type="pct"/>
            <w:shd w:val="clear" w:color="auto" w:fill="auto"/>
            <w:vAlign w:val="bottom"/>
          </w:tcPr>
          <w:p w14:paraId="675356F9" w14:textId="77777777" w:rsidR="001B77DD" w:rsidRDefault="001B77DD">
            <w:pPr>
              <w:rPr>
                <w:rFonts w:ascii="宋体"/>
              </w:rPr>
            </w:pPr>
          </w:p>
        </w:tc>
      </w:tr>
      <w:tr w:rsidR="001B77DD" w14:paraId="67535701" w14:textId="77777777">
        <w:tc>
          <w:tcPr>
            <w:tcW w:w="0" w:type="auto"/>
            <w:gridSpan w:val="3"/>
            <w:shd w:val="clear" w:color="auto" w:fill="auto"/>
            <w:tcMar>
              <w:top w:w="40" w:type="dxa"/>
              <w:left w:w="20" w:type="dxa"/>
              <w:bottom w:w="40" w:type="dxa"/>
              <w:right w:w="20" w:type="dxa"/>
            </w:tcMar>
            <w:vAlign w:val="bottom"/>
          </w:tcPr>
          <w:p w14:paraId="675356FB" w14:textId="77777777" w:rsidR="001B77DD" w:rsidRDefault="00BF0A28">
            <w:pPr>
              <w:textAlignment w:val="bottom"/>
            </w:pPr>
            <w:r>
              <w:rPr>
                <w:rFonts w:ascii="Arial" w:eastAsia="宋体" w:hAnsi="Arial" w:cs="Arial"/>
                <w:b/>
                <w:bCs/>
                <w:color w:val="262626"/>
                <w:sz w:val="18"/>
                <w:szCs w:val="18"/>
              </w:rPr>
              <w:t xml:space="preserve">Name </w:t>
            </w:r>
          </w:p>
          <w:p w14:paraId="675356FC" w14:textId="77777777" w:rsidR="001B77DD" w:rsidRDefault="00BF0A28">
            <w:pPr>
              <w:textAlignment w:val="bottom"/>
            </w:pPr>
            <w:r>
              <w:rPr>
                <w:rFonts w:ascii="Arial" w:eastAsia="宋体" w:hAnsi="Arial" w:cs="Arial"/>
                <w:b/>
                <w:bCs/>
                <w:i/>
                <w:iCs/>
                <w:color w:val="262626"/>
                <w:sz w:val="18"/>
                <w:szCs w:val="18"/>
              </w:rPr>
              <w:t>Current Title</w:t>
            </w:r>
          </w:p>
        </w:tc>
        <w:tc>
          <w:tcPr>
            <w:tcW w:w="0" w:type="auto"/>
            <w:gridSpan w:val="3"/>
            <w:shd w:val="clear" w:color="auto" w:fill="auto"/>
            <w:tcMar>
              <w:top w:w="0" w:type="dxa"/>
              <w:left w:w="20" w:type="dxa"/>
              <w:bottom w:w="0" w:type="dxa"/>
              <w:right w:w="20" w:type="dxa"/>
            </w:tcMar>
            <w:vAlign w:val="bottom"/>
          </w:tcPr>
          <w:p w14:paraId="675356F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6FE" w14:textId="77777777" w:rsidR="001B77DD" w:rsidRDefault="00BF0A28">
            <w:pPr>
              <w:textAlignment w:val="bottom"/>
            </w:pPr>
            <w:r>
              <w:rPr>
                <w:rFonts w:ascii="Arial" w:eastAsia="宋体" w:hAnsi="Arial" w:cs="Arial"/>
                <w:b/>
                <w:bCs/>
                <w:color w:val="262626"/>
                <w:sz w:val="18"/>
                <w:szCs w:val="18"/>
              </w:rPr>
              <w:t>Age</w:t>
            </w:r>
          </w:p>
        </w:tc>
        <w:tc>
          <w:tcPr>
            <w:tcW w:w="0" w:type="auto"/>
            <w:gridSpan w:val="3"/>
            <w:shd w:val="clear" w:color="auto" w:fill="auto"/>
            <w:tcMar>
              <w:top w:w="0" w:type="dxa"/>
              <w:left w:w="20" w:type="dxa"/>
              <w:bottom w:w="0" w:type="dxa"/>
              <w:right w:w="20" w:type="dxa"/>
            </w:tcMar>
            <w:vAlign w:val="bottom"/>
          </w:tcPr>
          <w:p w14:paraId="675356F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700" w14:textId="77777777" w:rsidR="001B77DD" w:rsidRDefault="00BF0A28">
            <w:pPr>
              <w:textAlignment w:val="bottom"/>
            </w:pPr>
            <w:r>
              <w:rPr>
                <w:rFonts w:ascii="Arial" w:eastAsia="宋体" w:hAnsi="Arial" w:cs="Arial"/>
                <w:b/>
                <w:bCs/>
                <w:color w:val="262626"/>
                <w:sz w:val="18"/>
                <w:szCs w:val="18"/>
              </w:rPr>
              <w:t>Experience</w:t>
            </w:r>
          </w:p>
        </w:tc>
      </w:tr>
      <w:tr w:rsidR="001B77DD" w14:paraId="67535707" w14:textId="77777777">
        <w:trPr>
          <w:hidden/>
        </w:trPr>
        <w:tc>
          <w:tcPr>
            <w:tcW w:w="0" w:type="auto"/>
            <w:gridSpan w:val="3"/>
            <w:shd w:val="clear" w:color="auto" w:fill="auto"/>
            <w:vAlign w:val="bottom"/>
          </w:tcPr>
          <w:p w14:paraId="67535702" w14:textId="77777777" w:rsidR="001B77DD" w:rsidRDefault="001B77DD">
            <w:pPr>
              <w:rPr>
                <w:rFonts w:ascii="宋体"/>
                <w:vanish/>
              </w:rPr>
            </w:pPr>
          </w:p>
        </w:tc>
        <w:tc>
          <w:tcPr>
            <w:tcW w:w="0" w:type="auto"/>
            <w:gridSpan w:val="3"/>
            <w:shd w:val="clear" w:color="auto" w:fill="auto"/>
            <w:vAlign w:val="bottom"/>
          </w:tcPr>
          <w:p w14:paraId="67535703" w14:textId="77777777" w:rsidR="001B77DD" w:rsidRDefault="001B77DD">
            <w:pPr>
              <w:rPr>
                <w:rFonts w:ascii="宋体"/>
                <w:vanish/>
              </w:rPr>
            </w:pPr>
          </w:p>
        </w:tc>
        <w:tc>
          <w:tcPr>
            <w:tcW w:w="0" w:type="auto"/>
            <w:gridSpan w:val="3"/>
            <w:shd w:val="clear" w:color="auto" w:fill="auto"/>
            <w:vAlign w:val="bottom"/>
          </w:tcPr>
          <w:p w14:paraId="67535704" w14:textId="77777777" w:rsidR="001B77DD" w:rsidRDefault="001B77DD">
            <w:pPr>
              <w:rPr>
                <w:rFonts w:ascii="宋体"/>
                <w:vanish/>
              </w:rPr>
            </w:pPr>
          </w:p>
        </w:tc>
        <w:tc>
          <w:tcPr>
            <w:tcW w:w="0" w:type="auto"/>
            <w:gridSpan w:val="3"/>
            <w:shd w:val="clear" w:color="auto" w:fill="auto"/>
            <w:vAlign w:val="bottom"/>
          </w:tcPr>
          <w:p w14:paraId="67535705" w14:textId="77777777" w:rsidR="001B77DD" w:rsidRDefault="001B77DD">
            <w:pPr>
              <w:rPr>
                <w:rFonts w:ascii="宋体"/>
                <w:vanish/>
              </w:rPr>
            </w:pPr>
          </w:p>
        </w:tc>
        <w:tc>
          <w:tcPr>
            <w:tcW w:w="0" w:type="auto"/>
            <w:gridSpan w:val="3"/>
            <w:shd w:val="clear" w:color="auto" w:fill="auto"/>
            <w:vAlign w:val="bottom"/>
          </w:tcPr>
          <w:p w14:paraId="67535706" w14:textId="77777777" w:rsidR="001B77DD" w:rsidRDefault="001B77DD">
            <w:pPr>
              <w:rPr>
                <w:rFonts w:ascii="宋体"/>
                <w:vanish/>
              </w:rPr>
            </w:pPr>
          </w:p>
        </w:tc>
      </w:tr>
      <w:tr w:rsidR="001B77DD" w14:paraId="6753570D" w14:textId="77777777">
        <w:trPr>
          <w:hidden/>
        </w:trPr>
        <w:tc>
          <w:tcPr>
            <w:tcW w:w="0" w:type="auto"/>
            <w:gridSpan w:val="3"/>
            <w:shd w:val="clear" w:color="auto" w:fill="auto"/>
            <w:vAlign w:val="bottom"/>
          </w:tcPr>
          <w:p w14:paraId="67535708" w14:textId="77777777" w:rsidR="001B77DD" w:rsidRDefault="001B77DD">
            <w:pPr>
              <w:rPr>
                <w:rFonts w:ascii="宋体"/>
                <w:vanish/>
              </w:rPr>
            </w:pPr>
          </w:p>
        </w:tc>
        <w:tc>
          <w:tcPr>
            <w:tcW w:w="0" w:type="auto"/>
            <w:gridSpan w:val="3"/>
            <w:shd w:val="clear" w:color="auto" w:fill="auto"/>
            <w:vAlign w:val="bottom"/>
          </w:tcPr>
          <w:p w14:paraId="67535709" w14:textId="77777777" w:rsidR="001B77DD" w:rsidRDefault="001B77DD">
            <w:pPr>
              <w:rPr>
                <w:rFonts w:ascii="宋体"/>
                <w:vanish/>
              </w:rPr>
            </w:pPr>
          </w:p>
        </w:tc>
        <w:tc>
          <w:tcPr>
            <w:tcW w:w="0" w:type="auto"/>
            <w:gridSpan w:val="3"/>
            <w:shd w:val="clear" w:color="auto" w:fill="auto"/>
            <w:vAlign w:val="bottom"/>
          </w:tcPr>
          <w:p w14:paraId="6753570A" w14:textId="77777777" w:rsidR="001B77DD" w:rsidRDefault="001B77DD">
            <w:pPr>
              <w:rPr>
                <w:rFonts w:ascii="宋体"/>
                <w:vanish/>
              </w:rPr>
            </w:pPr>
          </w:p>
        </w:tc>
        <w:tc>
          <w:tcPr>
            <w:tcW w:w="0" w:type="auto"/>
            <w:gridSpan w:val="3"/>
            <w:shd w:val="clear" w:color="auto" w:fill="auto"/>
            <w:vAlign w:val="bottom"/>
          </w:tcPr>
          <w:p w14:paraId="6753570B" w14:textId="77777777" w:rsidR="001B77DD" w:rsidRDefault="001B77DD">
            <w:pPr>
              <w:rPr>
                <w:rFonts w:ascii="宋体"/>
                <w:vanish/>
              </w:rPr>
            </w:pPr>
          </w:p>
        </w:tc>
        <w:tc>
          <w:tcPr>
            <w:tcW w:w="0" w:type="auto"/>
            <w:gridSpan w:val="3"/>
            <w:shd w:val="clear" w:color="auto" w:fill="auto"/>
            <w:vAlign w:val="bottom"/>
          </w:tcPr>
          <w:p w14:paraId="6753570C" w14:textId="77777777" w:rsidR="001B77DD" w:rsidRDefault="001B77DD">
            <w:pPr>
              <w:rPr>
                <w:rFonts w:ascii="宋体"/>
                <w:vanish/>
              </w:rPr>
            </w:pPr>
          </w:p>
        </w:tc>
      </w:tr>
      <w:tr w:rsidR="001B77DD" w14:paraId="67535715" w14:textId="77777777">
        <w:trPr>
          <w:hidden/>
        </w:trPr>
        <w:tc>
          <w:tcPr>
            <w:tcW w:w="0" w:type="auto"/>
            <w:gridSpan w:val="3"/>
            <w:shd w:val="clear" w:color="auto" w:fill="auto"/>
            <w:vAlign w:val="bottom"/>
          </w:tcPr>
          <w:p w14:paraId="6753570E" w14:textId="77777777" w:rsidR="001B77DD" w:rsidRDefault="001B77DD">
            <w:pPr>
              <w:rPr>
                <w:rFonts w:ascii="宋体"/>
                <w:vanish/>
              </w:rPr>
            </w:pPr>
          </w:p>
        </w:tc>
        <w:tc>
          <w:tcPr>
            <w:tcW w:w="0" w:type="auto"/>
            <w:gridSpan w:val="3"/>
            <w:shd w:val="clear" w:color="auto" w:fill="auto"/>
            <w:vAlign w:val="bottom"/>
          </w:tcPr>
          <w:p w14:paraId="6753570F" w14:textId="77777777" w:rsidR="001B77DD" w:rsidRDefault="001B77DD">
            <w:pPr>
              <w:rPr>
                <w:rFonts w:ascii="宋体"/>
                <w:vanish/>
              </w:rPr>
            </w:pPr>
          </w:p>
        </w:tc>
        <w:tc>
          <w:tcPr>
            <w:tcW w:w="0" w:type="auto"/>
            <w:gridSpan w:val="3"/>
            <w:shd w:val="clear" w:color="auto" w:fill="auto"/>
            <w:vAlign w:val="bottom"/>
          </w:tcPr>
          <w:p w14:paraId="67535710" w14:textId="77777777" w:rsidR="001B77DD" w:rsidRDefault="001B77DD">
            <w:pPr>
              <w:rPr>
                <w:rFonts w:ascii="宋体"/>
                <w:vanish/>
              </w:rPr>
            </w:pPr>
          </w:p>
        </w:tc>
        <w:tc>
          <w:tcPr>
            <w:tcW w:w="0" w:type="auto"/>
            <w:gridSpan w:val="3"/>
            <w:shd w:val="clear" w:color="auto" w:fill="auto"/>
            <w:vAlign w:val="bottom"/>
          </w:tcPr>
          <w:p w14:paraId="67535711" w14:textId="77777777" w:rsidR="001B77DD" w:rsidRDefault="001B77DD">
            <w:pPr>
              <w:rPr>
                <w:rFonts w:ascii="宋体"/>
                <w:vanish/>
              </w:rPr>
            </w:pPr>
          </w:p>
        </w:tc>
        <w:tc>
          <w:tcPr>
            <w:tcW w:w="0" w:type="auto"/>
            <w:shd w:val="clear" w:color="auto" w:fill="auto"/>
            <w:vAlign w:val="bottom"/>
          </w:tcPr>
          <w:p w14:paraId="67535712" w14:textId="77777777" w:rsidR="001B77DD" w:rsidRDefault="001B77DD">
            <w:pPr>
              <w:rPr>
                <w:rFonts w:ascii="宋体"/>
              </w:rPr>
            </w:pPr>
          </w:p>
        </w:tc>
        <w:tc>
          <w:tcPr>
            <w:tcW w:w="0" w:type="auto"/>
            <w:shd w:val="clear" w:color="auto" w:fill="auto"/>
            <w:vAlign w:val="bottom"/>
          </w:tcPr>
          <w:p w14:paraId="67535713" w14:textId="77777777" w:rsidR="001B77DD" w:rsidRDefault="001B77DD">
            <w:pPr>
              <w:rPr>
                <w:rFonts w:ascii="宋体"/>
              </w:rPr>
            </w:pPr>
          </w:p>
        </w:tc>
        <w:tc>
          <w:tcPr>
            <w:tcW w:w="0" w:type="auto"/>
            <w:shd w:val="clear" w:color="auto" w:fill="auto"/>
            <w:vAlign w:val="bottom"/>
          </w:tcPr>
          <w:p w14:paraId="67535714" w14:textId="77777777" w:rsidR="001B77DD" w:rsidRDefault="001B77DD">
            <w:pPr>
              <w:rPr>
                <w:rFonts w:ascii="宋体"/>
              </w:rPr>
            </w:pPr>
          </w:p>
        </w:tc>
      </w:tr>
      <w:tr w:rsidR="001B77DD" w14:paraId="6753571D" w14:textId="77777777">
        <w:trPr>
          <w:hidden/>
        </w:trPr>
        <w:tc>
          <w:tcPr>
            <w:tcW w:w="0" w:type="auto"/>
            <w:gridSpan w:val="3"/>
            <w:shd w:val="clear" w:color="auto" w:fill="auto"/>
            <w:vAlign w:val="bottom"/>
          </w:tcPr>
          <w:p w14:paraId="67535716" w14:textId="77777777" w:rsidR="001B77DD" w:rsidRDefault="001B77DD">
            <w:pPr>
              <w:rPr>
                <w:rFonts w:ascii="宋体"/>
                <w:vanish/>
              </w:rPr>
            </w:pPr>
          </w:p>
        </w:tc>
        <w:tc>
          <w:tcPr>
            <w:tcW w:w="0" w:type="auto"/>
            <w:gridSpan w:val="3"/>
            <w:shd w:val="clear" w:color="auto" w:fill="auto"/>
            <w:vAlign w:val="bottom"/>
          </w:tcPr>
          <w:p w14:paraId="67535717" w14:textId="77777777" w:rsidR="001B77DD" w:rsidRDefault="001B77DD">
            <w:pPr>
              <w:rPr>
                <w:rFonts w:ascii="宋体"/>
                <w:vanish/>
              </w:rPr>
            </w:pPr>
          </w:p>
        </w:tc>
        <w:tc>
          <w:tcPr>
            <w:tcW w:w="0" w:type="auto"/>
            <w:gridSpan w:val="3"/>
            <w:shd w:val="clear" w:color="auto" w:fill="auto"/>
            <w:vAlign w:val="bottom"/>
          </w:tcPr>
          <w:p w14:paraId="67535718" w14:textId="77777777" w:rsidR="001B77DD" w:rsidRDefault="001B77DD">
            <w:pPr>
              <w:rPr>
                <w:rFonts w:ascii="宋体"/>
                <w:vanish/>
              </w:rPr>
            </w:pPr>
          </w:p>
        </w:tc>
        <w:tc>
          <w:tcPr>
            <w:tcW w:w="0" w:type="auto"/>
            <w:gridSpan w:val="3"/>
            <w:shd w:val="clear" w:color="auto" w:fill="auto"/>
            <w:vAlign w:val="bottom"/>
          </w:tcPr>
          <w:p w14:paraId="67535719" w14:textId="77777777" w:rsidR="001B77DD" w:rsidRDefault="001B77DD">
            <w:pPr>
              <w:rPr>
                <w:rFonts w:ascii="宋体"/>
                <w:vanish/>
              </w:rPr>
            </w:pPr>
          </w:p>
        </w:tc>
        <w:tc>
          <w:tcPr>
            <w:tcW w:w="0" w:type="auto"/>
            <w:shd w:val="clear" w:color="auto" w:fill="auto"/>
            <w:vAlign w:val="bottom"/>
          </w:tcPr>
          <w:p w14:paraId="6753571A" w14:textId="77777777" w:rsidR="001B77DD" w:rsidRDefault="001B77DD">
            <w:pPr>
              <w:rPr>
                <w:rFonts w:ascii="宋体"/>
              </w:rPr>
            </w:pPr>
          </w:p>
        </w:tc>
        <w:tc>
          <w:tcPr>
            <w:tcW w:w="0" w:type="auto"/>
            <w:shd w:val="clear" w:color="auto" w:fill="auto"/>
            <w:vAlign w:val="bottom"/>
          </w:tcPr>
          <w:p w14:paraId="6753571B" w14:textId="77777777" w:rsidR="001B77DD" w:rsidRDefault="001B77DD">
            <w:pPr>
              <w:rPr>
                <w:rFonts w:ascii="宋体"/>
              </w:rPr>
            </w:pPr>
          </w:p>
        </w:tc>
        <w:tc>
          <w:tcPr>
            <w:tcW w:w="0" w:type="auto"/>
            <w:shd w:val="clear" w:color="auto" w:fill="auto"/>
            <w:vAlign w:val="bottom"/>
          </w:tcPr>
          <w:p w14:paraId="6753571C" w14:textId="77777777" w:rsidR="001B77DD" w:rsidRDefault="001B77DD">
            <w:pPr>
              <w:rPr>
                <w:rFonts w:ascii="宋体"/>
              </w:rPr>
            </w:pPr>
          </w:p>
        </w:tc>
      </w:tr>
      <w:tr w:rsidR="001B77DD" w14:paraId="67535725" w14:textId="77777777">
        <w:trPr>
          <w:hidden/>
        </w:trPr>
        <w:tc>
          <w:tcPr>
            <w:tcW w:w="0" w:type="auto"/>
            <w:gridSpan w:val="3"/>
            <w:shd w:val="clear" w:color="auto" w:fill="auto"/>
            <w:vAlign w:val="bottom"/>
          </w:tcPr>
          <w:p w14:paraId="6753571E" w14:textId="77777777" w:rsidR="001B77DD" w:rsidRDefault="001B77DD">
            <w:pPr>
              <w:rPr>
                <w:rFonts w:ascii="宋体"/>
                <w:vanish/>
              </w:rPr>
            </w:pPr>
          </w:p>
        </w:tc>
        <w:tc>
          <w:tcPr>
            <w:tcW w:w="0" w:type="auto"/>
            <w:gridSpan w:val="3"/>
            <w:shd w:val="clear" w:color="auto" w:fill="auto"/>
            <w:vAlign w:val="bottom"/>
          </w:tcPr>
          <w:p w14:paraId="6753571F" w14:textId="77777777" w:rsidR="001B77DD" w:rsidRDefault="001B77DD">
            <w:pPr>
              <w:rPr>
                <w:rFonts w:ascii="宋体"/>
                <w:vanish/>
              </w:rPr>
            </w:pPr>
          </w:p>
        </w:tc>
        <w:tc>
          <w:tcPr>
            <w:tcW w:w="0" w:type="auto"/>
            <w:gridSpan w:val="3"/>
            <w:shd w:val="clear" w:color="auto" w:fill="auto"/>
            <w:vAlign w:val="bottom"/>
          </w:tcPr>
          <w:p w14:paraId="67535720" w14:textId="77777777" w:rsidR="001B77DD" w:rsidRDefault="001B77DD">
            <w:pPr>
              <w:rPr>
                <w:rFonts w:ascii="宋体"/>
                <w:vanish/>
              </w:rPr>
            </w:pPr>
          </w:p>
        </w:tc>
        <w:tc>
          <w:tcPr>
            <w:tcW w:w="0" w:type="auto"/>
            <w:gridSpan w:val="3"/>
            <w:shd w:val="clear" w:color="auto" w:fill="auto"/>
            <w:vAlign w:val="bottom"/>
          </w:tcPr>
          <w:p w14:paraId="67535721" w14:textId="77777777" w:rsidR="001B77DD" w:rsidRDefault="001B77DD">
            <w:pPr>
              <w:rPr>
                <w:rFonts w:ascii="宋体"/>
                <w:vanish/>
              </w:rPr>
            </w:pPr>
          </w:p>
        </w:tc>
        <w:tc>
          <w:tcPr>
            <w:tcW w:w="0" w:type="auto"/>
            <w:shd w:val="clear" w:color="auto" w:fill="auto"/>
            <w:vAlign w:val="bottom"/>
          </w:tcPr>
          <w:p w14:paraId="67535722" w14:textId="77777777" w:rsidR="001B77DD" w:rsidRDefault="001B77DD">
            <w:pPr>
              <w:rPr>
                <w:rFonts w:ascii="宋体"/>
              </w:rPr>
            </w:pPr>
          </w:p>
        </w:tc>
        <w:tc>
          <w:tcPr>
            <w:tcW w:w="0" w:type="auto"/>
            <w:shd w:val="clear" w:color="auto" w:fill="auto"/>
            <w:vAlign w:val="bottom"/>
          </w:tcPr>
          <w:p w14:paraId="67535723" w14:textId="77777777" w:rsidR="001B77DD" w:rsidRDefault="001B77DD">
            <w:pPr>
              <w:rPr>
                <w:rFonts w:ascii="宋体"/>
              </w:rPr>
            </w:pPr>
          </w:p>
        </w:tc>
        <w:tc>
          <w:tcPr>
            <w:tcW w:w="0" w:type="auto"/>
            <w:shd w:val="clear" w:color="auto" w:fill="auto"/>
            <w:vAlign w:val="bottom"/>
          </w:tcPr>
          <w:p w14:paraId="67535724" w14:textId="77777777" w:rsidR="001B77DD" w:rsidRDefault="001B77DD">
            <w:pPr>
              <w:rPr>
                <w:rFonts w:ascii="宋体"/>
              </w:rPr>
            </w:pPr>
          </w:p>
        </w:tc>
      </w:tr>
      <w:tr w:rsidR="001B77DD" w14:paraId="6753572B" w14:textId="77777777">
        <w:trPr>
          <w:trHeight w:val="60"/>
        </w:trPr>
        <w:tc>
          <w:tcPr>
            <w:tcW w:w="0" w:type="auto"/>
            <w:gridSpan w:val="3"/>
            <w:shd w:val="clear" w:color="auto" w:fill="auto"/>
            <w:tcMar>
              <w:top w:w="0" w:type="dxa"/>
              <w:left w:w="20" w:type="dxa"/>
              <w:bottom w:w="0" w:type="dxa"/>
              <w:right w:w="20" w:type="dxa"/>
            </w:tcMar>
            <w:vAlign w:val="bottom"/>
          </w:tcPr>
          <w:p w14:paraId="6753572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2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2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2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2A" w14:textId="77777777" w:rsidR="001B77DD" w:rsidRDefault="001B77DD">
            <w:pPr>
              <w:rPr>
                <w:rFonts w:ascii="宋体"/>
              </w:rPr>
            </w:pPr>
          </w:p>
        </w:tc>
      </w:tr>
      <w:tr w:rsidR="001B77DD" w14:paraId="67535731"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2C" w14:textId="77777777" w:rsidR="001B77DD" w:rsidRDefault="00BF0A28">
            <w:pPr>
              <w:textAlignment w:val="bottom"/>
            </w:pPr>
            <w:r>
              <w:rPr>
                <w:rFonts w:ascii="Arial" w:eastAsia="宋体" w:hAnsi="Arial" w:cs="Arial"/>
                <w:color w:val="262626"/>
                <w:sz w:val="18"/>
                <w:szCs w:val="18"/>
              </w:rPr>
              <w:t>Patrick P. Gelsinger</w:t>
            </w:r>
          </w:p>
        </w:tc>
        <w:tc>
          <w:tcPr>
            <w:tcW w:w="0" w:type="auto"/>
            <w:gridSpan w:val="3"/>
            <w:shd w:val="clear" w:color="auto" w:fill="auto"/>
            <w:tcMar>
              <w:top w:w="0" w:type="dxa"/>
              <w:left w:w="20" w:type="dxa"/>
              <w:bottom w:w="0" w:type="dxa"/>
              <w:right w:w="20" w:type="dxa"/>
            </w:tcMar>
            <w:vAlign w:val="bottom"/>
          </w:tcPr>
          <w:p w14:paraId="6753572D"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2E" w14:textId="77777777" w:rsidR="001B77DD" w:rsidRDefault="00BF0A28">
            <w:pPr>
              <w:textAlignment w:val="bottom"/>
            </w:pPr>
            <w:r>
              <w:rPr>
                <w:rFonts w:ascii="Arial" w:eastAsia="宋体" w:hAnsi="Arial" w:cs="Arial"/>
                <w:color w:val="262626"/>
                <w:sz w:val="18"/>
                <w:szCs w:val="18"/>
              </w:rPr>
              <w:t>60</w:t>
            </w:r>
          </w:p>
        </w:tc>
        <w:tc>
          <w:tcPr>
            <w:tcW w:w="0" w:type="auto"/>
            <w:gridSpan w:val="3"/>
            <w:shd w:val="clear" w:color="auto" w:fill="auto"/>
            <w:tcMar>
              <w:top w:w="0" w:type="dxa"/>
              <w:left w:w="20" w:type="dxa"/>
              <w:bottom w:w="0" w:type="dxa"/>
              <w:right w:w="20" w:type="dxa"/>
            </w:tcMar>
            <w:vAlign w:val="bottom"/>
          </w:tcPr>
          <w:p w14:paraId="6753572F" w14:textId="77777777" w:rsidR="001B77DD" w:rsidRDefault="001B77DD">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67535730" w14:textId="77777777" w:rsidR="001B77DD" w:rsidRDefault="00BF0A28">
            <w:pPr>
              <w:textAlignment w:val="top"/>
            </w:pPr>
            <w:r>
              <w:rPr>
                <w:rFonts w:ascii="Arial" w:eastAsia="宋体" w:hAnsi="Arial" w:cs="Arial"/>
                <w:color w:val="262626"/>
                <w:sz w:val="18"/>
                <w:szCs w:val="18"/>
              </w:rPr>
              <w:t>Mr. Gelsinger has been our Chief Executive Officer and a member of our Board of Directors since February 2021. He joined Intel from VMware, Inc., a provider of cloud computing and virtualization software and services, where he served as Chief Executive Off</w:t>
            </w:r>
            <w:r>
              <w:rPr>
                <w:rFonts w:ascii="Arial" w:eastAsia="宋体" w:hAnsi="Arial" w:cs="Arial"/>
                <w:color w:val="262626"/>
                <w:sz w:val="18"/>
                <w:szCs w:val="18"/>
              </w:rPr>
              <w:t xml:space="preserve">icer from September 2012 to February 2021. Prior to joining VMware, Mr. Gelsinger served as President and Chief Operating Officer, EMC Information Infrastructure Products at EMC Corp., a data storage, information security and cloud computing company, from </w:t>
            </w:r>
            <w:r>
              <w:rPr>
                <w:rFonts w:ascii="Arial" w:eastAsia="宋体" w:hAnsi="Arial" w:cs="Arial"/>
                <w:color w:val="262626"/>
                <w:sz w:val="18"/>
                <w:szCs w:val="18"/>
              </w:rPr>
              <w:t xml:space="preserve">September 2009 to August 2012. Mr. Gelsinger’s career began at Intel, where he spent 30 years before joining EMC Corp. During his initial tenure at Intel, Mr. Gelsinger served in a number of roles, including Senior Vice President and Co-General Manager of </w:t>
            </w:r>
            <w:r>
              <w:rPr>
                <w:rFonts w:ascii="Arial" w:eastAsia="宋体" w:hAnsi="Arial" w:cs="Arial"/>
                <w:color w:val="262626"/>
                <w:sz w:val="18"/>
                <w:szCs w:val="18"/>
              </w:rPr>
              <w:t xml:space="preserve">the Digital Enterprise Group from 2005 to September 2009, Senior Vice President, Chief Technology Officer from 2002 to 2005, and leader of Desktop Products Group prior to that. </w:t>
            </w:r>
          </w:p>
        </w:tc>
      </w:tr>
      <w:tr w:rsidR="001B77DD" w14:paraId="67535737" w14:textId="77777777">
        <w:trPr>
          <w:trHeight w:val="300"/>
        </w:trPr>
        <w:tc>
          <w:tcPr>
            <w:tcW w:w="0" w:type="auto"/>
            <w:gridSpan w:val="3"/>
            <w:shd w:val="clear" w:color="auto" w:fill="auto"/>
            <w:tcMar>
              <w:top w:w="40" w:type="dxa"/>
              <w:left w:w="20" w:type="dxa"/>
              <w:bottom w:w="40" w:type="dxa"/>
              <w:right w:w="20" w:type="dxa"/>
            </w:tcMar>
          </w:tcPr>
          <w:p w14:paraId="67535732" w14:textId="77777777" w:rsidR="001B77DD" w:rsidRDefault="00BF0A28">
            <w:pPr>
              <w:textAlignment w:val="top"/>
            </w:pPr>
            <w:r>
              <w:rPr>
                <w:rFonts w:ascii="Arial" w:eastAsia="宋体" w:hAnsi="Arial" w:cs="Arial"/>
                <w:i/>
                <w:iCs/>
                <w:color w:val="262626"/>
                <w:sz w:val="18"/>
                <w:szCs w:val="18"/>
              </w:rPr>
              <w:t>Chief Executive Officer</w:t>
            </w:r>
          </w:p>
        </w:tc>
        <w:tc>
          <w:tcPr>
            <w:tcW w:w="0" w:type="auto"/>
            <w:gridSpan w:val="3"/>
            <w:shd w:val="clear" w:color="auto" w:fill="auto"/>
            <w:tcMar>
              <w:top w:w="0" w:type="dxa"/>
              <w:left w:w="20" w:type="dxa"/>
              <w:bottom w:w="0" w:type="dxa"/>
              <w:right w:w="20" w:type="dxa"/>
            </w:tcMar>
            <w:vAlign w:val="bottom"/>
          </w:tcPr>
          <w:p w14:paraId="6753573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3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35"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36" w14:textId="77777777" w:rsidR="001B77DD" w:rsidRDefault="001B77DD">
            <w:pPr>
              <w:rPr>
                <w:rFonts w:ascii="宋体"/>
              </w:rPr>
            </w:pPr>
          </w:p>
        </w:tc>
      </w:tr>
      <w:tr w:rsidR="001B77DD" w14:paraId="6753573D" w14:textId="77777777">
        <w:trPr>
          <w:trHeight w:val="300"/>
        </w:trPr>
        <w:tc>
          <w:tcPr>
            <w:tcW w:w="0" w:type="auto"/>
            <w:gridSpan w:val="3"/>
            <w:shd w:val="clear" w:color="auto" w:fill="auto"/>
            <w:tcMar>
              <w:top w:w="0" w:type="dxa"/>
              <w:left w:w="20" w:type="dxa"/>
              <w:bottom w:w="0" w:type="dxa"/>
              <w:right w:w="20" w:type="dxa"/>
            </w:tcMar>
            <w:vAlign w:val="bottom"/>
          </w:tcPr>
          <w:p w14:paraId="6753573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3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3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3B"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3C" w14:textId="77777777" w:rsidR="001B77DD" w:rsidRDefault="001B77DD">
            <w:pPr>
              <w:rPr>
                <w:rFonts w:ascii="宋体"/>
              </w:rPr>
            </w:pPr>
          </w:p>
        </w:tc>
      </w:tr>
      <w:tr w:rsidR="001B77DD" w14:paraId="67535743" w14:textId="77777777">
        <w:trPr>
          <w:trHeight w:val="1260"/>
        </w:trPr>
        <w:tc>
          <w:tcPr>
            <w:tcW w:w="0" w:type="auto"/>
            <w:gridSpan w:val="3"/>
            <w:shd w:val="clear" w:color="auto" w:fill="auto"/>
            <w:tcMar>
              <w:top w:w="0" w:type="dxa"/>
              <w:left w:w="20" w:type="dxa"/>
              <w:bottom w:w="0" w:type="dxa"/>
              <w:right w:w="20" w:type="dxa"/>
            </w:tcMar>
            <w:vAlign w:val="bottom"/>
          </w:tcPr>
          <w:p w14:paraId="6753573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3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4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41"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42" w14:textId="77777777" w:rsidR="001B77DD" w:rsidRDefault="001B77DD">
            <w:pPr>
              <w:rPr>
                <w:rFonts w:ascii="宋体"/>
              </w:rPr>
            </w:pPr>
          </w:p>
        </w:tc>
      </w:tr>
      <w:tr w:rsidR="001B77DD" w14:paraId="67535749" w14:textId="77777777">
        <w:trPr>
          <w:trHeight w:val="60"/>
        </w:trPr>
        <w:tc>
          <w:tcPr>
            <w:tcW w:w="0" w:type="auto"/>
            <w:gridSpan w:val="3"/>
            <w:shd w:val="clear" w:color="auto" w:fill="auto"/>
            <w:tcMar>
              <w:top w:w="0" w:type="dxa"/>
              <w:left w:w="20" w:type="dxa"/>
              <w:bottom w:w="0" w:type="dxa"/>
              <w:right w:w="20" w:type="dxa"/>
            </w:tcMar>
            <w:vAlign w:val="bottom"/>
          </w:tcPr>
          <w:p w14:paraId="6753574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4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4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4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48" w14:textId="77777777" w:rsidR="001B77DD" w:rsidRDefault="001B77DD">
            <w:pPr>
              <w:rPr>
                <w:rFonts w:ascii="宋体"/>
              </w:rPr>
            </w:pPr>
          </w:p>
        </w:tc>
      </w:tr>
      <w:tr w:rsidR="001B77DD" w14:paraId="6753574F"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4A" w14:textId="77777777" w:rsidR="001B77DD" w:rsidRDefault="00BF0A28">
            <w:pPr>
              <w:textAlignment w:val="bottom"/>
            </w:pPr>
            <w:r>
              <w:rPr>
                <w:rFonts w:ascii="Arial" w:eastAsia="宋体" w:hAnsi="Arial" w:cs="Arial"/>
                <w:color w:val="262626"/>
                <w:sz w:val="18"/>
                <w:szCs w:val="18"/>
              </w:rPr>
              <w:t>Sandra L. Rivera</w:t>
            </w:r>
          </w:p>
        </w:tc>
        <w:tc>
          <w:tcPr>
            <w:tcW w:w="0" w:type="auto"/>
            <w:gridSpan w:val="3"/>
            <w:shd w:val="clear" w:color="auto" w:fill="auto"/>
            <w:tcMar>
              <w:top w:w="0" w:type="dxa"/>
              <w:left w:w="20" w:type="dxa"/>
              <w:bottom w:w="0" w:type="dxa"/>
              <w:right w:w="20" w:type="dxa"/>
            </w:tcMar>
            <w:vAlign w:val="bottom"/>
          </w:tcPr>
          <w:p w14:paraId="6753574B"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4C" w14:textId="77777777" w:rsidR="001B77DD" w:rsidRDefault="00BF0A28">
            <w:pPr>
              <w:textAlignment w:val="bottom"/>
            </w:pPr>
            <w:r>
              <w:rPr>
                <w:rFonts w:ascii="Arial" w:eastAsia="宋体" w:hAnsi="Arial" w:cs="Arial"/>
                <w:color w:val="262626"/>
                <w:sz w:val="18"/>
                <w:szCs w:val="18"/>
              </w:rPr>
              <w:t>57</w:t>
            </w:r>
          </w:p>
        </w:tc>
        <w:tc>
          <w:tcPr>
            <w:tcW w:w="0" w:type="auto"/>
            <w:gridSpan w:val="3"/>
            <w:shd w:val="clear" w:color="auto" w:fill="auto"/>
            <w:tcMar>
              <w:top w:w="0" w:type="dxa"/>
              <w:left w:w="20" w:type="dxa"/>
              <w:bottom w:w="0" w:type="dxa"/>
              <w:right w:w="20" w:type="dxa"/>
            </w:tcMar>
            <w:vAlign w:val="bottom"/>
          </w:tcPr>
          <w:p w14:paraId="6753574D" w14:textId="77777777" w:rsidR="001B77DD" w:rsidRDefault="001B77DD">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6753574E" w14:textId="77777777" w:rsidR="001B77DD" w:rsidRDefault="00BF0A28">
            <w:pPr>
              <w:textAlignment w:val="top"/>
            </w:pPr>
            <w:r>
              <w:rPr>
                <w:rFonts w:ascii="Arial" w:eastAsia="宋体" w:hAnsi="Arial" w:cs="Arial"/>
                <w:color w:val="262626"/>
                <w:sz w:val="18"/>
                <w:szCs w:val="18"/>
              </w:rPr>
              <w:t xml:space="preserve">Ms. </w:t>
            </w:r>
            <w:r>
              <w:rPr>
                <w:rFonts w:ascii="Arial" w:eastAsia="宋体" w:hAnsi="Arial" w:cs="Arial"/>
                <w:color w:val="262626"/>
                <w:sz w:val="18"/>
                <w:szCs w:val="18"/>
              </w:rPr>
              <w:t xml:space="preserve">Rivera has served as our Executive Vice President and General Manager of the Data Center and AI Group since July 2021. In this role, she leads strategy and product development for our data center products, including Intel Xeon and FPGA products, and leads </w:t>
            </w:r>
            <w:r>
              <w:rPr>
                <w:rFonts w:ascii="Arial" w:eastAsia="宋体" w:hAnsi="Arial" w:cs="Arial"/>
                <w:color w:val="262626"/>
                <w:sz w:val="18"/>
                <w:szCs w:val="18"/>
              </w:rPr>
              <w:t>our overall AI strategy and product roadmap. Before her current role, Ms. Rivera served as our Chief People Officer from June 2019 to July 2021. Prior to that, she oversaw strategy and product development for network infrastructure solutions as the General</w:t>
            </w:r>
            <w:r>
              <w:rPr>
                <w:rFonts w:ascii="Arial" w:eastAsia="宋体" w:hAnsi="Arial" w:cs="Arial"/>
                <w:color w:val="262626"/>
                <w:sz w:val="18"/>
                <w:szCs w:val="18"/>
              </w:rPr>
              <w:t xml:space="preserve"> Manager of our Network Platforms Group from January 2015 to June 2019, most recently as Senior Vice President and General Manager. Ms. Rivera joined Intel in 2000 and has served in a variety of marketing and business development positions. Before joining </w:t>
            </w:r>
            <w:r>
              <w:rPr>
                <w:rFonts w:ascii="Arial" w:eastAsia="宋体" w:hAnsi="Arial" w:cs="Arial"/>
                <w:color w:val="262626"/>
                <w:sz w:val="18"/>
                <w:szCs w:val="18"/>
              </w:rPr>
              <w:t>Intel, she held management positions with Dialogic Corporation and Catalyst Telecom, Inc. and was co-founder and president of The CTI Authority, Inc. She is a member of the board of directors of Equinix, Inc.</w:t>
            </w:r>
          </w:p>
        </w:tc>
      </w:tr>
      <w:tr w:rsidR="001B77DD" w14:paraId="67535755" w14:textId="77777777">
        <w:trPr>
          <w:trHeight w:val="1020"/>
        </w:trPr>
        <w:tc>
          <w:tcPr>
            <w:tcW w:w="0" w:type="auto"/>
            <w:gridSpan w:val="3"/>
            <w:shd w:val="clear" w:color="auto" w:fill="auto"/>
            <w:tcMar>
              <w:top w:w="40" w:type="dxa"/>
              <w:left w:w="20" w:type="dxa"/>
              <w:bottom w:w="40" w:type="dxa"/>
              <w:right w:w="20" w:type="dxa"/>
            </w:tcMar>
          </w:tcPr>
          <w:p w14:paraId="67535750" w14:textId="77777777" w:rsidR="001B77DD" w:rsidRDefault="00BF0A28">
            <w:pPr>
              <w:textAlignment w:val="top"/>
            </w:pPr>
            <w:r>
              <w:rPr>
                <w:rFonts w:ascii="Arial" w:eastAsia="宋体" w:hAnsi="Arial" w:cs="Arial"/>
                <w:i/>
                <w:iCs/>
                <w:color w:val="262626"/>
                <w:sz w:val="18"/>
                <w:szCs w:val="18"/>
              </w:rPr>
              <w:t xml:space="preserve">Executive Vice President and General </w:t>
            </w:r>
            <w:r>
              <w:rPr>
                <w:rFonts w:ascii="Arial" w:eastAsia="宋体" w:hAnsi="Arial" w:cs="Arial"/>
                <w:i/>
                <w:iCs/>
                <w:color w:val="262626"/>
                <w:sz w:val="18"/>
                <w:szCs w:val="18"/>
              </w:rPr>
              <w:t>Manager, Data Center and AI Group</w:t>
            </w:r>
          </w:p>
        </w:tc>
        <w:tc>
          <w:tcPr>
            <w:tcW w:w="0" w:type="auto"/>
            <w:gridSpan w:val="3"/>
            <w:shd w:val="clear" w:color="auto" w:fill="auto"/>
            <w:tcMar>
              <w:top w:w="0" w:type="dxa"/>
              <w:left w:w="20" w:type="dxa"/>
              <w:bottom w:w="0" w:type="dxa"/>
              <w:right w:w="20" w:type="dxa"/>
            </w:tcMar>
            <w:vAlign w:val="bottom"/>
          </w:tcPr>
          <w:p w14:paraId="6753575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5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53"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54" w14:textId="77777777" w:rsidR="001B77DD" w:rsidRDefault="001B77DD">
            <w:pPr>
              <w:rPr>
                <w:rFonts w:ascii="宋体"/>
              </w:rPr>
            </w:pPr>
          </w:p>
        </w:tc>
      </w:tr>
      <w:tr w:rsidR="001B77DD" w14:paraId="6753575B" w14:textId="77777777">
        <w:trPr>
          <w:trHeight w:val="460"/>
        </w:trPr>
        <w:tc>
          <w:tcPr>
            <w:tcW w:w="0" w:type="auto"/>
            <w:gridSpan w:val="3"/>
            <w:shd w:val="clear" w:color="auto" w:fill="auto"/>
            <w:tcMar>
              <w:top w:w="0" w:type="dxa"/>
              <w:left w:w="20" w:type="dxa"/>
              <w:bottom w:w="0" w:type="dxa"/>
              <w:right w:w="20" w:type="dxa"/>
            </w:tcMar>
            <w:vAlign w:val="bottom"/>
          </w:tcPr>
          <w:p w14:paraId="6753575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5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5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59"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5A" w14:textId="77777777" w:rsidR="001B77DD" w:rsidRDefault="001B77DD">
            <w:pPr>
              <w:rPr>
                <w:rFonts w:ascii="宋体"/>
              </w:rPr>
            </w:pPr>
          </w:p>
        </w:tc>
      </w:tr>
      <w:tr w:rsidR="001B77DD" w14:paraId="67535761" w14:textId="77777777">
        <w:trPr>
          <w:trHeight w:val="660"/>
        </w:trPr>
        <w:tc>
          <w:tcPr>
            <w:tcW w:w="0" w:type="auto"/>
            <w:gridSpan w:val="3"/>
            <w:shd w:val="clear" w:color="auto" w:fill="auto"/>
            <w:tcMar>
              <w:top w:w="0" w:type="dxa"/>
              <w:left w:w="20" w:type="dxa"/>
              <w:bottom w:w="0" w:type="dxa"/>
              <w:right w:w="20" w:type="dxa"/>
            </w:tcMar>
            <w:vAlign w:val="bottom"/>
          </w:tcPr>
          <w:p w14:paraId="6753575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5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5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5F"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60" w14:textId="77777777" w:rsidR="001B77DD" w:rsidRDefault="001B77DD">
            <w:pPr>
              <w:rPr>
                <w:rFonts w:ascii="宋体"/>
              </w:rPr>
            </w:pPr>
          </w:p>
        </w:tc>
      </w:tr>
      <w:tr w:rsidR="001B77DD" w14:paraId="67535767" w14:textId="77777777">
        <w:trPr>
          <w:trHeight w:val="60"/>
        </w:trPr>
        <w:tc>
          <w:tcPr>
            <w:tcW w:w="0" w:type="auto"/>
            <w:gridSpan w:val="3"/>
            <w:shd w:val="clear" w:color="auto" w:fill="auto"/>
            <w:tcMar>
              <w:top w:w="0" w:type="dxa"/>
              <w:left w:w="20" w:type="dxa"/>
              <w:bottom w:w="0" w:type="dxa"/>
              <w:right w:w="20" w:type="dxa"/>
            </w:tcMar>
            <w:vAlign w:val="bottom"/>
          </w:tcPr>
          <w:p w14:paraId="6753576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6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6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6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66" w14:textId="77777777" w:rsidR="001B77DD" w:rsidRDefault="001B77DD">
            <w:pPr>
              <w:rPr>
                <w:rFonts w:ascii="宋体"/>
              </w:rPr>
            </w:pPr>
          </w:p>
        </w:tc>
      </w:tr>
      <w:tr w:rsidR="001B77DD" w14:paraId="6753576D"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68" w14:textId="77777777" w:rsidR="001B77DD" w:rsidRDefault="00BF0A28">
            <w:pPr>
              <w:textAlignment w:val="bottom"/>
            </w:pPr>
            <w:r>
              <w:rPr>
                <w:rFonts w:ascii="Arial" w:eastAsia="宋体" w:hAnsi="Arial" w:cs="Arial"/>
                <w:color w:val="262626"/>
                <w:sz w:val="18"/>
                <w:szCs w:val="18"/>
              </w:rPr>
              <w:t>Steven R. Rodgers</w:t>
            </w:r>
          </w:p>
        </w:tc>
        <w:tc>
          <w:tcPr>
            <w:tcW w:w="0" w:type="auto"/>
            <w:gridSpan w:val="3"/>
            <w:shd w:val="clear" w:color="auto" w:fill="auto"/>
            <w:tcMar>
              <w:top w:w="0" w:type="dxa"/>
              <w:left w:w="20" w:type="dxa"/>
              <w:bottom w:w="0" w:type="dxa"/>
              <w:right w:w="20" w:type="dxa"/>
            </w:tcMar>
            <w:vAlign w:val="bottom"/>
          </w:tcPr>
          <w:p w14:paraId="67535769"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6A" w14:textId="77777777" w:rsidR="001B77DD" w:rsidRDefault="00BF0A28">
            <w:pPr>
              <w:textAlignment w:val="bottom"/>
            </w:pPr>
            <w:r>
              <w:rPr>
                <w:rFonts w:ascii="Arial" w:eastAsia="宋体" w:hAnsi="Arial" w:cs="Arial"/>
                <w:color w:val="262626"/>
                <w:sz w:val="18"/>
                <w:szCs w:val="18"/>
              </w:rPr>
              <w:t>56</w:t>
            </w:r>
          </w:p>
        </w:tc>
        <w:tc>
          <w:tcPr>
            <w:tcW w:w="0" w:type="auto"/>
            <w:gridSpan w:val="3"/>
            <w:shd w:val="clear" w:color="auto" w:fill="auto"/>
            <w:tcMar>
              <w:top w:w="0" w:type="dxa"/>
              <w:left w:w="20" w:type="dxa"/>
              <w:bottom w:w="0" w:type="dxa"/>
              <w:right w:w="20" w:type="dxa"/>
            </w:tcMar>
            <w:vAlign w:val="bottom"/>
          </w:tcPr>
          <w:p w14:paraId="6753576B" w14:textId="77777777" w:rsidR="001B77DD" w:rsidRDefault="001B77DD">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6753576C" w14:textId="77777777" w:rsidR="001B77DD" w:rsidRDefault="00BF0A28">
            <w:pPr>
              <w:textAlignment w:val="top"/>
            </w:pPr>
            <w:r>
              <w:rPr>
                <w:rFonts w:ascii="Arial" w:eastAsia="宋体" w:hAnsi="Arial" w:cs="Arial"/>
                <w:color w:val="262626"/>
                <w:sz w:val="18"/>
                <w:szCs w:val="18"/>
              </w:rPr>
              <w:t xml:space="preserve">Mr. Rodgers has been our Executive Vice President and General Counsel since January 2017 and oversees our legal, government, and trade groups. He previously led our legal </w:t>
            </w:r>
            <w:r>
              <w:rPr>
                <w:rFonts w:ascii="Arial" w:eastAsia="宋体" w:hAnsi="Arial" w:cs="Arial"/>
                <w:color w:val="262626"/>
                <w:sz w:val="18"/>
                <w:szCs w:val="18"/>
              </w:rPr>
              <w:t xml:space="preserve">and government groups as Senior Vice President and General Counsel from January 2015 to January 2017 and as Corporate Vice President and General Counsel from June 2014 to January 2015. Mr. Rodgers joined Intel in 2000 and has held a number of roles in our </w:t>
            </w:r>
            <w:r>
              <w:rPr>
                <w:rFonts w:ascii="Arial" w:eastAsia="宋体" w:hAnsi="Arial" w:cs="Arial"/>
                <w:color w:val="262626"/>
                <w:sz w:val="18"/>
                <w:szCs w:val="18"/>
              </w:rPr>
              <w:t>legal department, including Corporate Vice President and Deputy General Counsel from January 2014 until his appointment as Intel's fifth General Counsel in June 2014. Prior to joining Intel, he was a litigation partner at the firm of Brown &amp; Bain, P.A.</w:t>
            </w:r>
          </w:p>
        </w:tc>
      </w:tr>
      <w:tr w:rsidR="001B77DD" w14:paraId="67535773" w14:textId="77777777">
        <w:trPr>
          <w:trHeight w:val="480"/>
        </w:trPr>
        <w:tc>
          <w:tcPr>
            <w:tcW w:w="0" w:type="auto"/>
            <w:gridSpan w:val="3"/>
            <w:shd w:val="clear" w:color="auto" w:fill="auto"/>
            <w:tcMar>
              <w:top w:w="40" w:type="dxa"/>
              <w:left w:w="20" w:type="dxa"/>
              <w:bottom w:w="40" w:type="dxa"/>
              <w:right w:w="20" w:type="dxa"/>
            </w:tcMar>
          </w:tcPr>
          <w:p w14:paraId="6753576E" w14:textId="77777777" w:rsidR="001B77DD" w:rsidRDefault="00BF0A28">
            <w:pPr>
              <w:textAlignment w:val="top"/>
            </w:pPr>
            <w:r>
              <w:rPr>
                <w:rFonts w:ascii="Arial" w:eastAsia="宋体" w:hAnsi="Arial" w:cs="Arial"/>
                <w:i/>
                <w:iCs/>
                <w:color w:val="262626"/>
                <w:sz w:val="18"/>
                <w:szCs w:val="18"/>
              </w:rPr>
              <w:t>Executive Vice President and General Counsel</w:t>
            </w:r>
          </w:p>
        </w:tc>
        <w:tc>
          <w:tcPr>
            <w:tcW w:w="0" w:type="auto"/>
            <w:gridSpan w:val="3"/>
            <w:shd w:val="clear" w:color="auto" w:fill="auto"/>
            <w:tcMar>
              <w:top w:w="0" w:type="dxa"/>
              <w:left w:w="20" w:type="dxa"/>
              <w:bottom w:w="0" w:type="dxa"/>
              <w:right w:w="20" w:type="dxa"/>
            </w:tcMar>
            <w:vAlign w:val="bottom"/>
          </w:tcPr>
          <w:p w14:paraId="6753576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7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71"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72" w14:textId="77777777" w:rsidR="001B77DD" w:rsidRDefault="001B77DD">
            <w:pPr>
              <w:rPr>
                <w:rFonts w:ascii="宋体"/>
              </w:rPr>
            </w:pPr>
          </w:p>
        </w:tc>
      </w:tr>
      <w:tr w:rsidR="001B77DD" w14:paraId="67535779" w14:textId="77777777">
        <w:trPr>
          <w:trHeight w:val="760"/>
        </w:trPr>
        <w:tc>
          <w:tcPr>
            <w:tcW w:w="0" w:type="auto"/>
            <w:gridSpan w:val="3"/>
            <w:shd w:val="clear" w:color="auto" w:fill="auto"/>
            <w:tcMar>
              <w:top w:w="0" w:type="dxa"/>
              <w:left w:w="20" w:type="dxa"/>
              <w:bottom w:w="0" w:type="dxa"/>
              <w:right w:w="20" w:type="dxa"/>
            </w:tcMar>
            <w:vAlign w:val="bottom"/>
          </w:tcPr>
          <w:p w14:paraId="6753577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7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7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77"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78" w14:textId="77777777" w:rsidR="001B77DD" w:rsidRDefault="001B77DD">
            <w:pPr>
              <w:rPr>
                <w:rFonts w:ascii="宋体"/>
              </w:rPr>
            </w:pPr>
          </w:p>
        </w:tc>
      </w:tr>
      <w:tr w:rsidR="001B77DD" w14:paraId="6753577F" w14:textId="77777777">
        <w:trPr>
          <w:trHeight w:val="220"/>
        </w:trPr>
        <w:tc>
          <w:tcPr>
            <w:tcW w:w="0" w:type="auto"/>
            <w:gridSpan w:val="3"/>
            <w:shd w:val="clear" w:color="auto" w:fill="auto"/>
            <w:tcMar>
              <w:top w:w="0" w:type="dxa"/>
              <w:left w:w="20" w:type="dxa"/>
              <w:bottom w:w="0" w:type="dxa"/>
              <w:right w:w="20" w:type="dxa"/>
            </w:tcMar>
            <w:vAlign w:val="bottom"/>
          </w:tcPr>
          <w:p w14:paraId="6753577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7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7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7D"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7E" w14:textId="77777777" w:rsidR="001B77DD" w:rsidRDefault="001B77DD">
            <w:pPr>
              <w:rPr>
                <w:rFonts w:ascii="宋体"/>
              </w:rPr>
            </w:pPr>
          </w:p>
        </w:tc>
      </w:tr>
      <w:tr w:rsidR="001B77DD" w14:paraId="67535785" w14:textId="77777777">
        <w:trPr>
          <w:trHeight w:val="60"/>
        </w:trPr>
        <w:tc>
          <w:tcPr>
            <w:tcW w:w="0" w:type="auto"/>
            <w:gridSpan w:val="3"/>
            <w:shd w:val="clear" w:color="auto" w:fill="auto"/>
            <w:tcMar>
              <w:top w:w="0" w:type="dxa"/>
              <w:left w:w="20" w:type="dxa"/>
              <w:bottom w:w="0" w:type="dxa"/>
              <w:right w:w="20" w:type="dxa"/>
            </w:tcMar>
            <w:vAlign w:val="bottom"/>
          </w:tcPr>
          <w:p w14:paraId="6753578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8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8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8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84" w14:textId="77777777" w:rsidR="001B77DD" w:rsidRDefault="001B77DD">
            <w:pPr>
              <w:rPr>
                <w:rFonts w:ascii="宋体"/>
              </w:rPr>
            </w:pPr>
          </w:p>
        </w:tc>
      </w:tr>
      <w:tr w:rsidR="001B77DD" w14:paraId="6753578B" w14:textId="77777777">
        <w:trPr>
          <w:trHeight w:val="300"/>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86" w14:textId="77777777" w:rsidR="001B77DD" w:rsidRDefault="00BF0A28">
            <w:pPr>
              <w:textAlignment w:val="bottom"/>
            </w:pPr>
            <w:r>
              <w:rPr>
                <w:rFonts w:ascii="Arial" w:eastAsia="宋体" w:hAnsi="Arial" w:cs="Arial"/>
                <w:color w:val="262626"/>
                <w:sz w:val="18"/>
                <w:szCs w:val="18"/>
              </w:rPr>
              <w:t>David Zinsner</w:t>
            </w:r>
          </w:p>
        </w:tc>
        <w:tc>
          <w:tcPr>
            <w:tcW w:w="0" w:type="auto"/>
            <w:gridSpan w:val="3"/>
            <w:shd w:val="clear" w:color="auto" w:fill="auto"/>
            <w:tcMar>
              <w:top w:w="0" w:type="dxa"/>
              <w:left w:w="20" w:type="dxa"/>
              <w:bottom w:w="0" w:type="dxa"/>
              <w:right w:w="20" w:type="dxa"/>
            </w:tcMar>
            <w:vAlign w:val="bottom"/>
          </w:tcPr>
          <w:p w14:paraId="67535787"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88" w14:textId="77777777" w:rsidR="001B77DD" w:rsidRDefault="00BF0A28">
            <w:pPr>
              <w:textAlignment w:val="bottom"/>
            </w:pPr>
            <w:r>
              <w:rPr>
                <w:rFonts w:ascii="Arial" w:eastAsia="宋体" w:hAnsi="Arial" w:cs="Arial"/>
                <w:color w:val="262626"/>
                <w:sz w:val="18"/>
                <w:szCs w:val="18"/>
              </w:rPr>
              <w:t>53</w:t>
            </w:r>
          </w:p>
        </w:tc>
        <w:tc>
          <w:tcPr>
            <w:tcW w:w="0" w:type="auto"/>
            <w:gridSpan w:val="3"/>
            <w:shd w:val="clear" w:color="auto" w:fill="auto"/>
            <w:tcMar>
              <w:top w:w="0" w:type="dxa"/>
              <w:left w:w="20" w:type="dxa"/>
              <w:bottom w:w="0" w:type="dxa"/>
              <w:right w:w="20" w:type="dxa"/>
            </w:tcMar>
            <w:vAlign w:val="bottom"/>
          </w:tcPr>
          <w:p w14:paraId="67535789" w14:textId="77777777" w:rsidR="001B77DD" w:rsidRDefault="001B77DD">
            <w:pPr>
              <w:rPr>
                <w:rFonts w:ascii="宋体"/>
              </w:rPr>
            </w:pPr>
          </w:p>
        </w:tc>
        <w:tc>
          <w:tcPr>
            <w:tcW w:w="0" w:type="auto"/>
            <w:gridSpan w:val="3"/>
            <w:vMerge w:val="restart"/>
            <w:tcBorders>
              <w:top w:val="single" w:sz="8" w:space="0" w:color="0068B5"/>
            </w:tcBorders>
            <w:shd w:val="clear" w:color="auto" w:fill="auto"/>
            <w:tcMar>
              <w:top w:w="40" w:type="dxa"/>
              <w:left w:w="20" w:type="dxa"/>
              <w:bottom w:w="40" w:type="dxa"/>
              <w:right w:w="20" w:type="dxa"/>
            </w:tcMar>
          </w:tcPr>
          <w:p w14:paraId="6753578A" w14:textId="77777777" w:rsidR="001B77DD" w:rsidRDefault="00BF0A28">
            <w:pPr>
              <w:textAlignment w:val="top"/>
            </w:pPr>
            <w:r>
              <w:rPr>
                <w:rFonts w:ascii="Arial" w:eastAsia="宋体" w:hAnsi="Arial" w:cs="Arial"/>
                <w:color w:val="262626"/>
                <w:sz w:val="18"/>
                <w:szCs w:val="18"/>
              </w:rPr>
              <w:t xml:space="preserve">Mr. Zinsner joined Intel in January 2022 as our Executive Vice President and Chief Financial Officer, overseeing our global finance organization. He joined Intel </w:t>
            </w:r>
            <w:r>
              <w:rPr>
                <w:rFonts w:ascii="Arial" w:eastAsia="宋体" w:hAnsi="Arial" w:cs="Arial"/>
                <w:color w:val="262626"/>
                <w:sz w:val="18"/>
                <w:szCs w:val="18"/>
              </w:rPr>
              <w:t>from Micron Technology, Inc., a manufacturer of memory and storage products, where he most recently served as Executive Vice President and Chief Financial Officer. From February 2018 to October 2021, he served as Senior Vice President and Chief Financial O</w:t>
            </w:r>
            <w:r>
              <w:rPr>
                <w:rFonts w:ascii="Arial" w:eastAsia="宋体" w:hAnsi="Arial" w:cs="Arial"/>
                <w:color w:val="262626"/>
                <w:sz w:val="18"/>
                <w:szCs w:val="18"/>
              </w:rPr>
              <w:t xml:space="preserve">fficer of Micron. Previously, from April 2017 to February 2018, he served as the President and Chief Operating Officer of Affirmed Networks, Inc. From January 2009 to April 2017, he served as Senior Vice President of Finance and Chief Financial Officer of </w:t>
            </w:r>
            <w:r>
              <w:rPr>
                <w:rFonts w:ascii="Arial" w:eastAsia="宋体" w:hAnsi="Arial" w:cs="Arial"/>
                <w:color w:val="262626"/>
                <w:sz w:val="18"/>
                <w:szCs w:val="18"/>
              </w:rPr>
              <w:t>Analog Devices, Inc. From July 2005 to January 2009, Mr. Zinsner served as Senior Vice President and Chief Financial Officer of Intersil Corporation.</w:t>
            </w:r>
          </w:p>
        </w:tc>
      </w:tr>
      <w:tr w:rsidR="001B77DD" w14:paraId="67535791" w14:textId="77777777">
        <w:trPr>
          <w:trHeight w:val="660"/>
        </w:trPr>
        <w:tc>
          <w:tcPr>
            <w:tcW w:w="0" w:type="auto"/>
            <w:gridSpan w:val="3"/>
            <w:shd w:val="clear" w:color="auto" w:fill="auto"/>
            <w:tcMar>
              <w:top w:w="40" w:type="dxa"/>
              <w:left w:w="20" w:type="dxa"/>
              <w:bottom w:w="40" w:type="dxa"/>
              <w:right w:w="20" w:type="dxa"/>
            </w:tcMar>
          </w:tcPr>
          <w:p w14:paraId="6753578C" w14:textId="77777777" w:rsidR="001B77DD" w:rsidRDefault="00BF0A28">
            <w:pPr>
              <w:textAlignment w:val="top"/>
            </w:pPr>
            <w:r>
              <w:rPr>
                <w:rFonts w:ascii="Arial" w:eastAsia="宋体" w:hAnsi="Arial" w:cs="Arial"/>
                <w:i/>
                <w:iCs/>
                <w:color w:val="262626"/>
                <w:sz w:val="18"/>
                <w:szCs w:val="18"/>
              </w:rPr>
              <w:t>Executive Vice President and Chief Financial Officer</w:t>
            </w:r>
          </w:p>
        </w:tc>
        <w:tc>
          <w:tcPr>
            <w:tcW w:w="0" w:type="auto"/>
            <w:gridSpan w:val="3"/>
            <w:shd w:val="clear" w:color="auto" w:fill="auto"/>
            <w:tcMar>
              <w:top w:w="0" w:type="dxa"/>
              <w:left w:w="20" w:type="dxa"/>
              <w:bottom w:w="0" w:type="dxa"/>
              <w:right w:w="20" w:type="dxa"/>
            </w:tcMar>
            <w:vAlign w:val="bottom"/>
          </w:tcPr>
          <w:p w14:paraId="6753578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8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8F"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90" w14:textId="77777777" w:rsidR="001B77DD" w:rsidRDefault="001B77DD">
            <w:pPr>
              <w:rPr>
                <w:rFonts w:ascii="宋体"/>
              </w:rPr>
            </w:pPr>
          </w:p>
        </w:tc>
      </w:tr>
      <w:tr w:rsidR="001B77DD" w14:paraId="67535797" w14:textId="77777777">
        <w:trPr>
          <w:trHeight w:val="720"/>
        </w:trPr>
        <w:tc>
          <w:tcPr>
            <w:tcW w:w="0" w:type="auto"/>
            <w:gridSpan w:val="3"/>
            <w:shd w:val="clear" w:color="auto" w:fill="auto"/>
            <w:tcMar>
              <w:top w:w="0" w:type="dxa"/>
              <w:left w:w="20" w:type="dxa"/>
              <w:bottom w:w="0" w:type="dxa"/>
              <w:right w:w="20" w:type="dxa"/>
            </w:tcMar>
            <w:vAlign w:val="bottom"/>
          </w:tcPr>
          <w:p w14:paraId="6753579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9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9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95"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96" w14:textId="77777777" w:rsidR="001B77DD" w:rsidRDefault="001B77DD">
            <w:pPr>
              <w:rPr>
                <w:rFonts w:ascii="宋体"/>
              </w:rPr>
            </w:pPr>
          </w:p>
        </w:tc>
      </w:tr>
      <w:tr w:rsidR="001B77DD" w14:paraId="6753579D" w14:textId="77777777">
        <w:trPr>
          <w:trHeight w:val="420"/>
        </w:trPr>
        <w:tc>
          <w:tcPr>
            <w:tcW w:w="0" w:type="auto"/>
            <w:gridSpan w:val="3"/>
            <w:shd w:val="clear" w:color="auto" w:fill="auto"/>
            <w:tcMar>
              <w:top w:w="0" w:type="dxa"/>
              <w:left w:w="20" w:type="dxa"/>
              <w:bottom w:w="0" w:type="dxa"/>
              <w:right w:w="20" w:type="dxa"/>
            </w:tcMar>
            <w:vAlign w:val="bottom"/>
          </w:tcPr>
          <w:p w14:paraId="6753579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9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9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79B" w14:textId="77777777" w:rsidR="001B77DD" w:rsidRDefault="001B77DD">
            <w:pPr>
              <w:rPr>
                <w:rFonts w:ascii="宋体"/>
              </w:rPr>
            </w:pPr>
          </w:p>
        </w:tc>
        <w:tc>
          <w:tcPr>
            <w:tcW w:w="0" w:type="auto"/>
            <w:gridSpan w:val="3"/>
            <w:vMerge/>
            <w:tcBorders>
              <w:top w:val="single" w:sz="8" w:space="0" w:color="0068B5"/>
            </w:tcBorders>
            <w:shd w:val="clear" w:color="auto" w:fill="auto"/>
            <w:tcMar>
              <w:top w:w="40" w:type="dxa"/>
              <w:left w:w="20" w:type="dxa"/>
              <w:bottom w:w="40" w:type="dxa"/>
              <w:right w:w="20" w:type="dxa"/>
            </w:tcMar>
          </w:tcPr>
          <w:p w14:paraId="6753579C" w14:textId="77777777" w:rsidR="001B77DD" w:rsidRDefault="001B77DD">
            <w:pPr>
              <w:rPr>
                <w:rFonts w:ascii="宋体"/>
              </w:rPr>
            </w:pPr>
          </w:p>
        </w:tc>
      </w:tr>
    </w:tbl>
    <w:p w14:paraId="6753579E" w14:textId="77777777" w:rsidR="001B77DD" w:rsidRDefault="00BF0A28">
      <w:pPr>
        <w:spacing w:before="180" w:after="180"/>
      </w:pPr>
      <w:r>
        <w:rPr>
          <w:rFonts w:ascii="Arial" w:eastAsia="宋体" w:hAnsi="Arial" w:cs="Arial"/>
          <w:color w:val="0068B5"/>
          <w:sz w:val="28"/>
          <w:szCs w:val="28"/>
        </w:rPr>
        <w:t xml:space="preserve">Availability of Company </w:t>
      </w:r>
      <w:r>
        <w:rPr>
          <w:rFonts w:ascii="Arial" w:eastAsia="宋体" w:hAnsi="Arial" w:cs="Arial"/>
          <w:color w:val="0068B5"/>
          <w:sz w:val="28"/>
          <w:szCs w:val="28"/>
        </w:rPr>
        <w:t>Information</w:t>
      </w:r>
    </w:p>
    <w:p w14:paraId="6753579F" w14:textId="77777777" w:rsidR="001B77DD" w:rsidRDefault="00BF0A28">
      <w:pPr>
        <w:spacing w:after="180"/>
      </w:pPr>
      <w:r>
        <w:rPr>
          <w:rFonts w:ascii="Arial" w:eastAsia="宋体" w:hAnsi="Arial" w:cs="Arial"/>
          <w:color w:val="262626"/>
          <w:sz w:val="18"/>
          <w:szCs w:val="18"/>
        </w:rPr>
        <w:t xml:space="preserve">Our Internet address is </w:t>
      </w:r>
      <w:r>
        <w:rPr>
          <w:rFonts w:ascii="Arial" w:eastAsia="宋体" w:hAnsi="Arial" w:cs="Arial"/>
          <w:i/>
          <w:iCs/>
          <w:color w:val="0068B5"/>
          <w:sz w:val="18"/>
          <w:szCs w:val="18"/>
          <w:u w:val="single"/>
        </w:rPr>
        <w:t>www.intel.com</w:t>
      </w:r>
      <w:r>
        <w:rPr>
          <w:rFonts w:ascii="Arial" w:eastAsia="宋体" w:hAnsi="Arial" w:cs="Arial"/>
          <w:color w:val="262626"/>
          <w:sz w:val="18"/>
          <w:szCs w:val="18"/>
        </w:rPr>
        <w:t>. We publish voluntary reports on our website that outline our performance with respect to corporate responsibility, including environmental, health, and safety compliance.</w:t>
      </w:r>
    </w:p>
    <w:p w14:paraId="675357A0" w14:textId="77777777" w:rsidR="001B77DD" w:rsidRDefault="00BF0A28">
      <w:pPr>
        <w:spacing w:after="180"/>
      </w:pPr>
      <w:r>
        <w:rPr>
          <w:rFonts w:ascii="Arial" w:eastAsia="宋体" w:hAnsi="Arial" w:cs="Arial"/>
          <w:color w:val="262626"/>
          <w:sz w:val="18"/>
          <w:szCs w:val="18"/>
        </w:rPr>
        <w:t xml:space="preserve">We use our Investor Relations website, </w:t>
      </w:r>
      <w:r>
        <w:rPr>
          <w:rFonts w:ascii="Arial" w:eastAsia="宋体" w:hAnsi="Arial" w:cs="Arial"/>
          <w:i/>
          <w:iCs/>
          <w:color w:val="0068B5"/>
          <w:sz w:val="18"/>
          <w:szCs w:val="18"/>
          <w:u w:val="single"/>
        </w:rPr>
        <w:t>www.intc.com</w:t>
      </w:r>
      <w:r>
        <w:rPr>
          <w:rFonts w:ascii="Arial" w:eastAsia="宋体" w:hAnsi="Arial" w:cs="Arial"/>
          <w:i/>
          <w:iCs/>
          <w:color w:val="262626"/>
          <w:sz w:val="18"/>
          <w:szCs w:val="18"/>
        </w:rPr>
        <w:t>,</w:t>
      </w:r>
      <w:r>
        <w:rPr>
          <w:rFonts w:ascii="Arial" w:eastAsia="宋体" w:hAnsi="Arial" w:cs="Arial"/>
          <w:color w:val="262626"/>
          <w:sz w:val="18"/>
          <w:szCs w:val="18"/>
        </w:rPr>
        <w:t xml:space="preserve"> as a routine channel for distribution of important information, including news releases, information about upcoming webcasts, analyst presentations, financial information, corporate governance practices,</w:t>
      </w:r>
      <w:r>
        <w:rPr>
          <w:rFonts w:ascii="Arial" w:eastAsia="宋体" w:hAnsi="Arial" w:cs="Arial"/>
          <w:color w:val="262626"/>
          <w:sz w:val="18"/>
          <w:szCs w:val="18"/>
        </w:rPr>
        <w:t xml:space="preserve"> and corporate responsibility information. We post our filings at </w:t>
      </w:r>
      <w:r>
        <w:rPr>
          <w:rFonts w:ascii="Arial" w:eastAsia="宋体" w:hAnsi="Arial" w:cs="Arial"/>
          <w:i/>
          <w:iCs/>
          <w:color w:val="0068B5"/>
          <w:sz w:val="18"/>
          <w:szCs w:val="18"/>
          <w:u w:val="single"/>
        </w:rPr>
        <w:t>www.intc.com</w:t>
      </w:r>
      <w:r>
        <w:rPr>
          <w:rFonts w:ascii="Arial" w:eastAsia="宋体" w:hAnsi="Arial" w:cs="Arial"/>
          <w:color w:val="262626"/>
          <w:sz w:val="18"/>
          <w:szCs w:val="18"/>
        </w:rPr>
        <w:t xml:space="preserve"> the same day they are electronically filed with, or furnished to, the SEC, including our annual and quarterly reports on Forms 10-K and 10-Q and current reports on Form 8-K; our</w:t>
      </w:r>
      <w:r>
        <w:rPr>
          <w:rFonts w:ascii="Arial" w:eastAsia="宋体" w:hAnsi="Arial" w:cs="Arial"/>
          <w:color w:val="262626"/>
          <w:sz w:val="18"/>
          <w:szCs w:val="18"/>
        </w:rPr>
        <w:t xml:space="preserve"> proxy statements; and any amendments to those reports or statements. We post our quarterly and annual earnings results at </w:t>
      </w:r>
      <w:r>
        <w:rPr>
          <w:rFonts w:ascii="Arial" w:eastAsia="宋体" w:hAnsi="Arial" w:cs="Arial"/>
          <w:i/>
          <w:iCs/>
          <w:color w:val="0068B5"/>
          <w:sz w:val="18"/>
          <w:szCs w:val="18"/>
          <w:u w:val="single"/>
        </w:rPr>
        <w:t>www.intc.com</w:t>
      </w:r>
      <w:r>
        <w:rPr>
          <w:rFonts w:ascii="Arial" w:eastAsia="宋体" w:hAnsi="Arial" w:cs="Arial"/>
          <w:color w:val="262626"/>
          <w:sz w:val="18"/>
          <w:szCs w:val="18"/>
        </w:rPr>
        <w:t>, and do not distribute our financial results via a news wire service. All such postings and filings are available on our</w:t>
      </w:r>
      <w:r>
        <w:rPr>
          <w:rFonts w:ascii="Arial" w:eastAsia="宋体" w:hAnsi="Arial" w:cs="Arial"/>
          <w:color w:val="262626"/>
          <w:sz w:val="18"/>
          <w:szCs w:val="18"/>
        </w:rPr>
        <w:t xml:space="preserve"> Investor Relations website free of charge. In addition, our Investor Relations website allows interested persons to sign up to automatically receive e-mail alerts when we post financial information and issue press releases, and to receive information abou</w:t>
      </w:r>
      <w:r>
        <w:rPr>
          <w:rFonts w:ascii="Arial" w:eastAsia="宋体" w:hAnsi="Arial" w:cs="Arial"/>
          <w:color w:val="262626"/>
          <w:sz w:val="18"/>
          <w:szCs w:val="18"/>
        </w:rPr>
        <w:t xml:space="preserve">t upcoming events. </w:t>
      </w:r>
    </w:p>
    <w:p w14:paraId="675357A1" w14:textId="77777777" w:rsidR="001B77DD" w:rsidRDefault="00BF0A28">
      <w:pPr>
        <w:spacing w:after="180"/>
      </w:pPr>
      <w:r>
        <w:rPr>
          <w:rFonts w:ascii="Arial" w:eastAsia="宋体" w:hAnsi="Arial" w:cs="Arial"/>
          <w:color w:val="262626"/>
          <w:sz w:val="18"/>
          <w:szCs w:val="18"/>
        </w:rPr>
        <w:t>The content on any website referred to in this Form 10-K is not incorporated by reference in this Form 10-K unless expressly noted.</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7AB" w14:textId="77777777">
        <w:tc>
          <w:tcPr>
            <w:tcW w:w="50" w:type="pct"/>
            <w:shd w:val="clear" w:color="auto" w:fill="auto"/>
            <w:vAlign w:val="bottom"/>
          </w:tcPr>
          <w:p w14:paraId="675357A2" w14:textId="77777777" w:rsidR="001B77DD" w:rsidRDefault="001B77DD">
            <w:pPr>
              <w:rPr>
                <w:rFonts w:ascii="宋体"/>
              </w:rPr>
            </w:pPr>
          </w:p>
        </w:tc>
        <w:tc>
          <w:tcPr>
            <w:tcW w:w="283" w:type="pct"/>
            <w:shd w:val="clear" w:color="auto" w:fill="auto"/>
            <w:vAlign w:val="bottom"/>
          </w:tcPr>
          <w:p w14:paraId="675357A3" w14:textId="77777777" w:rsidR="001B77DD" w:rsidRDefault="001B77DD">
            <w:pPr>
              <w:rPr>
                <w:rFonts w:ascii="宋体"/>
              </w:rPr>
            </w:pPr>
          </w:p>
        </w:tc>
        <w:tc>
          <w:tcPr>
            <w:tcW w:w="5" w:type="pct"/>
            <w:shd w:val="clear" w:color="auto" w:fill="auto"/>
            <w:vAlign w:val="bottom"/>
          </w:tcPr>
          <w:p w14:paraId="675357A4" w14:textId="77777777" w:rsidR="001B77DD" w:rsidRDefault="001B77DD">
            <w:pPr>
              <w:rPr>
                <w:rFonts w:ascii="宋体"/>
              </w:rPr>
            </w:pPr>
          </w:p>
        </w:tc>
        <w:tc>
          <w:tcPr>
            <w:tcW w:w="50" w:type="pct"/>
            <w:shd w:val="clear" w:color="auto" w:fill="auto"/>
            <w:vAlign w:val="bottom"/>
          </w:tcPr>
          <w:p w14:paraId="675357A5" w14:textId="77777777" w:rsidR="001B77DD" w:rsidRDefault="001B77DD">
            <w:pPr>
              <w:rPr>
                <w:rFonts w:ascii="宋体"/>
              </w:rPr>
            </w:pPr>
          </w:p>
        </w:tc>
        <w:tc>
          <w:tcPr>
            <w:tcW w:w="2656" w:type="pct"/>
            <w:shd w:val="clear" w:color="auto" w:fill="auto"/>
            <w:vAlign w:val="bottom"/>
          </w:tcPr>
          <w:p w14:paraId="675357A6" w14:textId="77777777" w:rsidR="001B77DD" w:rsidRDefault="001B77DD">
            <w:pPr>
              <w:rPr>
                <w:rFonts w:ascii="宋体"/>
              </w:rPr>
            </w:pPr>
          </w:p>
        </w:tc>
        <w:tc>
          <w:tcPr>
            <w:tcW w:w="5" w:type="pct"/>
            <w:shd w:val="clear" w:color="auto" w:fill="auto"/>
            <w:vAlign w:val="bottom"/>
          </w:tcPr>
          <w:p w14:paraId="675357A7" w14:textId="77777777" w:rsidR="001B77DD" w:rsidRDefault="001B77DD">
            <w:pPr>
              <w:rPr>
                <w:rFonts w:ascii="宋体"/>
              </w:rPr>
            </w:pPr>
          </w:p>
        </w:tc>
        <w:tc>
          <w:tcPr>
            <w:tcW w:w="50" w:type="pct"/>
            <w:shd w:val="clear" w:color="auto" w:fill="auto"/>
            <w:vAlign w:val="bottom"/>
          </w:tcPr>
          <w:p w14:paraId="675357A8" w14:textId="77777777" w:rsidR="001B77DD" w:rsidRDefault="001B77DD">
            <w:pPr>
              <w:rPr>
                <w:rFonts w:ascii="宋体"/>
              </w:rPr>
            </w:pPr>
          </w:p>
        </w:tc>
        <w:tc>
          <w:tcPr>
            <w:tcW w:w="1894" w:type="pct"/>
            <w:shd w:val="clear" w:color="auto" w:fill="auto"/>
            <w:vAlign w:val="bottom"/>
          </w:tcPr>
          <w:p w14:paraId="675357A9" w14:textId="77777777" w:rsidR="001B77DD" w:rsidRDefault="001B77DD">
            <w:pPr>
              <w:rPr>
                <w:rFonts w:ascii="宋体"/>
              </w:rPr>
            </w:pPr>
          </w:p>
        </w:tc>
        <w:tc>
          <w:tcPr>
            <w:tcW w:w="5" w:type="pct"/>
            <w:shd w:val="clear" w:color="auto" w:fill="auto"/>
            <w:vAlign w:val="bottom"/>
          </w:tcPr>
          <w:p w14:paraId="675357AA" w14:textId="77777777" w:rsidR="001B77DD" w:rsidRDefault="001B77DD">
            <w:pPr>
              <w:rPr>
                <w:rFonts w:ascii="宋体"/>
              </w:rPr>
            </w:pPr>
          </w:p>
        </w:tc>
      </w:tr>
      <w:tr w:rsidR="001B77DD" w14:paraId="675357A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7AC"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06" wp14:editId="67538F07">
                  <wp:extent cx="304800" cy="304800"/>
                  <wp:effectExtent l="0" t="0" r="0" b="0"/>
                  <wp:docPr id="186" name="图片 26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6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7AD"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7AE" w14:textId="77777777" w:rsidR="001B77DD" w:rsidRDefault="00BF0A28">
            <w:pPr>
              <w:jc w:val="right"/>
              <w:textAlignment w:val="center"/>
            </w:pPr>
            <w:r>
              <w:rPr>
                <w:rFonts w:ascii="Arial" w:eastAsia="宋体" w:hAnsi="Arial" w:cs="Arial"/>
                <w:color w:val="262626"/>
                <w:sz w:val="16"/>
                <w:szCs w:val="16"/>
              </w:rPr>
              <w:t>66</w:t>
            </w:r>
          </w:p>
        </w:tc>
      </w:tr>
    </w:tbl>
    <w:p w14:paraId="675357B0" w14:textId="77777777" w:rsidR="001B77DD" w:rsidRDefault="00BF0A28">
      <w:r>
        <w:pict w14:anchorId="67538F08">
          <v:rect id="_x0000_i1092" style="width:415.3pt;height:1.5pt" o:hralign="center" o:hrstd="t" o:hr="t" fillcolor="#a0a0a0" stroked="f"/>
        </w:pict>
      </w:r>
    </w:p>
    <w:p w14:paraId="675357B1" w14:textId="77777777" w:rsidR="001B77DD" w:rsidRDefault="00BF0A28">
      <w:pPr>
        <w:jc w:val="right"/>
      </w:pPr>
      <w:hyperlink r:id="rId124" w:anchor="i6c9ced68f6b24d58a3dcf326e8c3c699_16" w:history="1">
        <w:r>
          <w:rPr>
            <w:rStyle w:val="a5"/>
            <w:rFonts w:ascii="Arial" w:eastAsia="宋体" w:hAnsi="Arial" w:cs="Arial"/>
            <w:b/>
            <w:bCs/>
            <w:sz w:val="16"/>
            <w:szCs w:val="16"/>
          </w:rPr>
          <w:t>Table of Contents</w:t>
        </w:r>
      </w:hyperlink>
    </w:p>
    <w:p w14:paraId="675357B2" w14:textId="77777777" w:rsidR="001B77DD" w:rsidRDefault="001B77DD">
      <w:pPr>
        <w:jc w:val="right"/>
      </w:pPr>
    </w:p>
    <w:p w14:paraId="675357B3" w14:textId="77777777" w:rsidR="001B77DD" w:rsidRDefault="00BF0A28">
      <w:pPr>
        <w:spacing w:before="180" w:after="180"/>
      </w:pPr>
      <w:r>
        <w:rPr>
          <w:rFonts w:ascii="Arial" w:eastAsia="宋体" w:hAnsi="Arial" w:cs="Arial"/>
          <w:color w:val="0068B5"/>
          <w:sz w:val="28"/>
          <w:szCs w:val="28"/>
        </w:rPr>
        <w:t>Disclosure Pursuant to Section 13(r) of the Securities Exchange Act of 1934</w:t>
      </w:r>
    </w:p>
    <w:p w14:paraId="675357B4" w14:textId="77777777" w:rsidR="001B77DD" w:rsidRDefault="00BF0A28">
      <w:pPr>
        <w:spacing w:after="180"/>
      </w:pPr>
      <w:r>
        <w:rPr>
          <w:rFonts w:ascii="Arial" w:eastAsia="宋体" w:hAnsi="Arial" w:cs="Arial"/>
          <w:color w:val="262626"/>
          <w:sz w:val="18"/>
          <w:szCs w:val="18"/>
        </w:rPr>
        <w:t xml:space="preserve">Section 13(r) of the Exchange Act requires an issuer to disclose certain information in its periodic reports if it or any of its affiliates knowingly engaged in certain activities, transactions, or dealings with individuals or entities subject to specific </w:t>
      </w:r>
      <w:r>
        <w:rPr>
          <w:rFonts w:ascii="Arial" w:eastAsia="宋体" w:hAnsi="Arial" w:cs="Arial"/>
          <w:color w:val="262626"/>
          <w:sz w:val="18"/>
          <w:szCs w:val="18"/>
        </w:rPr>
        <w:t>US economic sanctions during the reporting period, even when the activities, transactions, or dealings are conducted in compliance with applicable law. On March 2, 2021, the US Secretary of State designated the Federal Security Service of the Russian Feder</w:t>
      </w:r>
      <w:r>
        <w:rPr>
          <w:rFonts w:ascii="Arial" w:eastAsia="宋体" w:hAnsi="Arial" w:cs="Arial"/>
          <w:color w:val="262626"/>
          <w:sz w:val="18"/>
          <w:szCs w:val="18"/>
        </w:rPr>
        <w:t>ation (FSB) as a party subject to one such sanction. From time to time, our local subsidiary is required to engage with the FSB as a licensing authority and file documents in order to conduct business within the Russian Federation. All such dealings are ex</w:t>
      </w:r>
      <w:r>
        <w:rPr>
          <w:rFonts w:ascii="Arial" w:eastAsia="宋体" w:hAnsi="Arial" w:cs="Arial"/>
          <w:color w:val="262626"/>
          <w:sz w:val="18"/>
          <w:szCs w:val="18"/>
        </w:rPr>
        <w:t>plicitly authorized by General License 1B issued by the US Department of the Treasury’s Office of Foreign Assets Control (OFAC), and there are no gross revenues or net profits directly associated with any such dealings by us with the FSB. We plan to contin</w:t>
      </w:r>
      <w:r>
        <w:rPr>
          <w:rFonts w:ascii="Arial" w:eastAsia="宋体" w:hAnsi="Arial" w:cs="Arial"/>
          <w:color w:val="262626"/>
          <w:sz w:val="18"/>
          <w:szCs w:val="18"/>
        </w:rPr>
        <w:t>ue these activities as required to conduct business in the Russian Federation to the extent permitted by applicable law.</w:t>
      </w:r>
    </w:p>
    <w:p w14:paraId="675357B5" w14:textId="77777777" w:rsidR="001B77DD" w:rsidRDefault="00BF0A28">
      <w:pPr>
        <w:spacing w:after="180"/>
      </w:pPr>
      <w:r>
        <w:rPr>
          <w:rFonts w:ascii="Arial" w:eastAsia="宋体" w:hAnsi="Arial" w:cs="Arial"/>
          <w:color w:val="262626"/>
          <w:sz w:val="18"/>
          <w:szCs w:val="18"/>
        </w:rPr>
        <w:t>On April 15, 2021, the US Department of the Treasury designated Pozitiv Teknolodzhiz, AO (Positive Technologies), a Russian IT security</w:t>
      </w:r>
      <w:r>
        <w:rPr>
          <w:rFonts w:ascii="Arial" w:eastAsia="宋体" w:hAnsi="Arial" w:cs="Arial"/>
          <w:color w:val="262626"/>
          <w:sz w:val="18"/>
          <w:szCs w:val="18"/>
        </w:rPr>
        <w:t xml:space="preserve"> firm, as a party subject to one of the sanctions specified in Section 13(r). Prior to the designation, we communicated with Positive Technologies regarding its IT security research and coordinated disclosure of security vulnerabilities identified by the f</w:t>
      </w:r>
      <w:r>
        <w:rPr>
          <w:rFonts w:ascii="Arial" w:eastAsia="宋体" w:hAnsi="Arial" w:cs="Arial"/>
          <w:color w:val="262626"/>
          <w:sz w:val="18"/>
          <w:szCs w:val="18"/>
        </w:rPr>
        <w:t>irm. Based on a license issued by OFAC, we resumed such communications. There are no gross revenues or net profits directly associated with any such activities. We plan to continue these communications in accordance with the terms and conditions of the OFA</w:t>
      </w:r>
      <w:r>
        <w:rPr>
          <w:rFonts w:ascii="Arial" w:eastAsia="宋体" w:hAnsi="Arial" w:cs="Arial"/>
          <w:color w:val="262626"/>
          <w:sz w:val="18"/>
          <w:szCs w:val="18"/>
        </w:rPr>
        <w:t>C license.</w:t>
      </w:r>
    </w:p>
    <w:tbl>
      <w:tblPr>
        <w:tblW w:w="4836" w:type="pct"/>
        <w:tblCellMar>
          <w:top w:w="15" w:type="dxa"/>
          <w:left w:w="15" w:type="dxa"/>
          <w:bottom w:w="15" w:type="dxa"/>
          <w:right w:w="15" w:type="dxa"/>
        </w:tblCellMar>
        <w:tblLook w:val="04A0" w:firstRow="1" w:lastRow="0" w:firstColumn="1" w:lastColumn="0" w:noHBand="0" w:noVBand="1"/>
      </w:tblPr>
      <w:tblGrid>
        <w:gridCol w:w="77"/>
        <w:gridCol w:w="436"/>
        <w:gridCol w:w="36"/>
        <w:gridCol w:w="62"/>
        <w:gridCol w:w="4271"/>
        <w:gridCol w:w="36"/>
        <w:gridCol w:w="67"/>
        <w:gridCol w:w="3042"/>
        <w:gridCol w:w="36"/>
      </w:tblGrid>
      <w:tr w:rsidR="001B77DD" w14:paraId="675357BF" w14:textId="77777777">
        <w:tc>
          <w:tcPr>
            <w:tcW w:w="50" w:type="pct"/>
            <w:shd w:val="clear" w:color="auto" w:fill="auto"/>
            <w:vAlign w:val="bottom"/>
          </w:tcPr>
          <w:p w14:paraId="675357B6" w14:textId="77777777" w:rsidR="001B77DD" w:rsidRDefault="001B77DD">
            <w:pPr>
              <w:rPr>
                <w:rFonts w:ascii="宋体"/>
              </w:rPr>
            </w:pPr>
          </w:p>
        </w:tc>
        <w:tc>
          <w:tcPr>
            <w:tcW w:w="283" w:type="pct"/>
            <w:shd w:val="clear" w:color="auto" w:fill="auto"/>
            <w:vAlign w:val="bottom"/>
          </w:tcPr>
          <w:p w14:paraId="675357B7" w14:textId="77777777" w:rsidR="001B77DD" w:rsidRDefault="001B77DD">
            <w:pPr>
              <w:rPr>
                <w:rFonts w:ascii="宋体"/>
              </w:rPr>
            </w:pPr>
          </w:p>
        </w:tc>
        <w:tc>
          <w:tcPr>
            <w:tcW w:w="5" w:type="pct"/>
            <w:shd w:val="clear" w:color="auto" w:fill="auto"/>
            <w:vAlign w:val="bottom"/>
          </w:tcPr>
          <w:p w14:paraId="675357B8" w14:textId="77777777" w:rsidR="001B77DD" w:rsidRDefault="001B77DD">
            <w:pPr>
              <w:rPr>
                <w:rFonts w:ascii="宋体"/>
              </w:rPr>
            </w:pPr>
          </w:p>
        </w:tc>
        <w:tc>
          <w:tcPr>
            <w:tcW w:w="50" w:type="pct"/>
            <w:shd w:val="clear" w:color="auto" w:fill="auto"/>
            <w:vAlign w:val="bottom"/>
          </w:tcPr>
          <w:p w14:paraId="675357B9" w14:textId="77777777" w:rsidR="001B77DD" w:rsidRDefault="001B77DD">
            <w:pPr>
              <w:rPr>
                <w:rFonts w:ascii="宋体"/>
              </w:rPr>
            </w:pPr>
          </w:p>
        </w:tc>
        <w:tc>
          <w:tcPr>
            <w:tcW w:w="2656" w:type="pct"/>
            <w:shd w:val="clear" w:color="auto" w:fill="auto"/>
            <w:vAlign w:val="bottom"/>
          </w:tcPr>
          <w:p w14:paraId="675357BA" w14:textId="77777777" w:rsidR="001B77DD" w:rsidRDefault="001B77DD">
            <w:pPr>
              <w:rPr>
                <w:rFonts w:ascii="宋体"/>
              </w:rPr>
            </w:pPr>
          </w:p>
        </w:tc>
        <w:tc>
          <w:tcPr>
            <w:tcW w:w="5" w:type="pct"/>
            <w:shd w:val="clear" w:color="auto" w:fill="auto"/>
            <w:vAlign w:val="bottom"/>
          </w:tcPr>
          <w:p w14:paraId="675357BB" w14:textId="77777777" w:rsidR="001B77DD" w:rsidRDefault="001B77DD">
            <w:pPr>
              <w:rPr>
                <w:rFonts w:ascii="宋体"/>
              </w:rPr>
            </w:pPr>
          </w:p>
        </w:tc>
        <w:tc>
          <w:tcPr>
            <w:tcW w:w="50" w:type="pct"/>
            <w:shd w:val="clear" w:color="auto" w:fill="auto"/>
            <w:vAlign w:val="bottom"/>
          </w:tcPr>
          <w:p w14:paraId="675357BC" w14:textId="77777777" w:rsidR="001B77DD" w:rsidRDefault="001B77DD">
            <w:pPr>
              <w:rPr>
                <w:rFonts w:ascii="宋体"/>
              </w:rPr>
            </w:pPr>
          </w:p>
        </w:tc>
        <w:tc>
          <w:tcPr>
            <w:tcW w:w="1894" w:type="pct"/>
            <w:shd w:val="clear" w:color="auto" w:fill="auto"/>
            <w:vAlign w:val="bottom"/>
          </w:tcPr>
          <w:p w14:paraId="675357BD" w14:textId="77777777" w:rsidR="001B77DD" w:rsidRDefault="001B77DD">
            <w:pPr>
              <w:rPr>
                <w:rFonts w:ascii="宋体"/>
              </w:rPr>
            </w:pPr>
          </w:p>
        </w:tc>
        <w:tc>
          <w:tcPr>
            <w:tcW w:w="5" w:type="pct"/>
            <w:shd w:val="clear" w:color="auto" w:fill="auto"/>
            <w:vAlign w:val="bottom"/>
          </w:tcPr>
          <w:p w14:paraId="675357BE" w14:textId="77777777" w:rsidR="001B77DD" w:rsidRDefault="001B77DD">
            <w:pPr>
              <w:rPr>
                <w:rFonts w:ascii="宋体"/>
              </w:rPr>
            </w:pPr>
          </w:p>
        </w:tc>
      </w:tr>
      <w:tr w:rsidR="001B77DD" w14:paraId="675357C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7C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09" wp14:editId="67538F0A">
                  <wp:extent cx="304800" cy="304800"/>
                  <wp:effectExtent l="0" t="0" r="0" b="0"/>
                  <wp:docPr id="187" name="图片 26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6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7C1" w14:textId="77777777" w:rsidR="001B77DD" w:rsidRDefault="00BF0A2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7C2" w14:textId="77777777" w:rsidR="001B77DD" w:rsidRDefault="00BF0A28">
            <w:pPr>
              <w:jc w:val="right"/>
              <w:textAlignment w:val="center"/>
            </w:pPr>
            <w:r>
              <w:rPr>
                <w:rFonts w:ascii="Arial" w:eastAsia="宋体" w:hAnsi="Arial" w:cs="Arial"/>
                <w:color w:val="262626"/>
                <w:sz w:val="16"/>
                <w:szCs w:val="16"/>
              </w:rPr>
              <w:t>67</w:t>
            </w:r>
          </w:p>
        </w:tc>
      </w:tr>
    </w:tbl>
    <w:p w14:paraId="675357C4" w14:textId="77777777" w:rsidR="001B77DD" w:rsidRDefault="00BF0A28">
      <w:r>
        <w:pict w14:anchorId="67538F0B">
          <v:rect id="_x0000_i1093" style="width:415.3pt;height:1.5pt" o:hralign="center" o:hrstd="t" o:hr="t" fillcolor="#a0a0a0" stroked="f"/>
        </w:pict>
      </w:r>
    </w:p>
    <w:p w14:paraId="675357C5" w14:textId="77777777" w:rsidR="001B77DD" w:rsidRDefault="00BF0A28">
      <w:pPr>
        <w:jc w:val="right"/>
      </w:pPr>
      <w:hyperlink r:id="rId125" w:anchor="i6c9ced68f6b24d58a3dcf326e8c3c699_16" w:history="1">
        <w:r>
          <w:rPr>
            <w:rStyle w:val="a5"/>
            <w:rFonts w:ascii="Arial" w:eastAsia="宋体" w:hAnsi="Arial" w:cs="Arial"/>
            <w:b/>
            <w:bCs/>
            <w:sz w:val="16"/>
            <w:szCs w:val="16"/>
          </w:rPr>
          <w:t>Table of Contents</w:t>
        </w:r>
      </w:hyperlink>
    </w:p>
    <w:p w14:paraId="675357C6" w14:textId="77777777" w:rsidR="001B77DD" w:rsidRDefault="001B77DD">
      <w:pPr>
        <w:jc w:val="right"/>
      </w:pPr>
    </w:p>
    <w:p w14:paraId="675357C7" w14:textId="77777777" w:rsidR="001B77DD" w:rsidRDefault="00BF0A28">
      <w:pPr>
        <w:spacing w:after="180"/>
      </w:pPr>
      <w:r>
        <w:rPr>
          <w:rFonts w:ascii="Arial" w:eastAsia="宋体" w:hAnsi="Arial" w:cs="Arial"/>
          <w:color w:val="0068B5"/>
          <w:sz w:val="28"/>
          <w:szCs w:val="28"/>
        </w:rPr>
        <w:t>Financial Statements and Supplemental Details</w:t>
      </w:r>
    </w:p>
    <w:p w14:paraId="675357C8" w14:textId="77777777" w:rsidR="001B77DD" w:rsidRDefault="00BF0A28">
      <w:pPr>
        <w:spacing w:after="180"/>
      </w:pPr>
      <w:r>
        <w:rPr>
          <w:rFonts w:ascii="Arial" w:eastAsia="宋体" w:hAnsi="Arial" w:cs="Arial"/>
          <w:color w:val="262626"/>
          <w:sz w:val="18"/>
          <w:szCs w:val="18"/>
        </w:rPr>
        <w:t xml:space="preserve">We have defined certain terms and </w:t>
      </w:r>
      <w:r>
        <w:rPr>
          <w:rFonts w:ascii="Arial" w:eastAsia="宋体" w:hAnsi="Arial" w:cs="Arial"/>
          <w:color w:val="262626"/>
          <w:sz w:val="18"/>
          <w:szCs w:val="18"/>
        </w:rPr>
        <w:t>abbreviations used throughout our Form 10-K in "Key Terms" within this section.</w:t>
      </w:r>
    </w:p>
    <w:tbl>
      <w:tblPr>
        <w:tblW w:w="5000" w:type="pct"/>
        <w:tblCellMar>
          <w:top w:w="15" w:type="dxa"/>
          <w:left w:w="15" w:type="dxa"/>
          <w:bottom w:w="15" w:type="dxa"/>
          <w:right w:w="15" w:type="dxa"/>
        </w:tblCellMar>
        <w:tblLook w:val="04A0" w:firstRow="1" w:lastRow="0" w:firstColumn="1" w:lastColumn="0" w:noHBand="0" w:noVBand="1"/>
      </w:tblPr>
      <w:tblGrid>
        <w:gridCol w:w="61"/>
        <w:gridCol w:w="3566"/>
        <w:gridCol w:w="38"/>
        <w:gridCol w:w="61"/>
        <w:gridCol w:w="2199"/>
        <w:gridCol w:w="37"/>
        <w:gridCol w:w="61"/>
        <w:gridCol w:w="1788"/>
        <w:gridCol w:w="36"/>
        <w:gridCol w:w="87"/>
        <w:gridCol w:w="366"/>
        <w:gridCol w:w="36"/>
      </w:tblGrid>
      <w:tr w:rsidR="001B77DD" w14:paraId="675357D5" w14:textId="77777777">
        <w:tc>
          <w:tcPr>
            <w:tcW w:w="50" w:type="pct"/>
            <w:shd w:val="clear" w:color="auto" w:fill="auto"/>
            <w:vAlign w:val="bottom"/>
          </w:tcPr>
          <w:p w14:paraId="675357C9" w14:textId="77777777" w:rsidR="001B77DD" w:rsidRDefault="001B77DD">
            <w:pPr>
              <w:rPr>
                <w:rFonts w:ascii="宋体"/>
              </w:rPr>
            </w:pPr>
          </w:p>
        </w:tc>
        <w:tc>
          <w:tcPr>
            <w:tcW w:w="2151" w:type="pct"/>
            <w:shd w:val="clear" w:color="auto" w:fill="auto"/>
            <w:vAlign w:val="bottom"/>
          </w:tcPr>
          <w:p w14:paraId="675357CA" w14:textId="77777777" w:rsidR="001B77DD" w:rsidRDefault="001B77DD">
            <w:pPr>
              <w:rPr>
                <w:rFonts w:ascii="宋体"/>
              </w:rPr>
            </w:pPr>
          </w:p>
        </w:tc>
        <w:tc>
          <w:tcPr>
            <w:tcW w:w="5" w:type="pct"/>
            <w:shd w:val="clear" w:color="auto" w:fill="auto"/>
            <w:vAlign w:val="bottom"/>
          </w:tcPr>
          <w:p w14:paraId="675357CB" w14:textId="77777777" w:rsidR="001B77DD" w:rsidRDefault="001B77DD">
            <w:pPr>
              <w:rPr>
                <w:rFonts w:ascii="宋体"/>
              </w:rPr>
            </w:pPr>
          </w:p>
        </w:tc>
        <w:tc>
          <w:tcPr>
            <w:tcW w:w="50" w:type="pct"/>
            <w:shd w:val="clear" w:color="auto" w:fill="auto"/>
            <w:vAlign w:val="bottom"/>
          </w:tcPr>
          <w:p w14:paraId="675357CC" w14:textId="77777777" w:rsidR="001B77DD" w:rsidRDefault="001B77DD">
            <w:pPr>
              <w:rPr>
                <w:rFonts w:ascii="宋体"/>
              </w:rPr>
            </w:pPr>
          </w:p>
        </w:tc>
        <w:tc>
          <w:tcPr>
            <w:tcW w:w="1331" w:type="pct"/>
            <w:shd w:val="clear" w:color="auto" w:fill="auto"/>
            <w:vAlign w:val="bottom"/>
          </w:tcPr>
          <w:p w14:paraId="675357CD" w14:textId="77777777" w:rsidR="001B77DD" w:rsidRDefault="001B77DD">
            <w:pPr>
              <w:rPr>
                <w:rFonts w:ascii="宋体"/>
              </w:rPr>
            </w:pPr>
          </w:p>
        </w:tc>
        <w:tc>
          <w:tcPr>
            <w:tcW w:w="5" w:type="pct"/>
            <w:shd w:val="clear" w:color="auto" w:fill="auto"/>
            <w:vAlign w:val="bottom"/>
          </w:tcPr>
          <w:p w14:paraId="675357CE" w14:textId="77777777" w:rsidR="001B77DD" w:rsidRDefault="001B77DD">
            <w:pPr>
              <w:rPr>
                <w:rFonts w:ascii="宋体"/>
              </w:rPr>
            </w:pPr>
          </w:p>
        </w:tc>
        <w:tc>
          <w:tcPr>
            <w:tcW w:w="50" w:type="pct"/>
            <w:shd w:val="clear" w:color="auto" w:fill="auto"/>
            <w:vAlign w:val="bottom"/>
          </w:tcPr>
          <w:p w14:paraId="675357CF" w14:textId="77777777" w:rsidR="001B77DD" w:rsidRDefault="001B77DD">
            <w:pPr>
              <w:rPr>
                <w:rFonts w:ascii="宋体"/>
              </w:rPr>
            </w:pPr>
          </w:p>
        </w:tc>
        <w:tc>
          <w:tcPr>
            <w:tcW w:w="1085" w:type="pct"/>
            <w:shd w:val="clear" w:color="auto" w:fill="auto"/>
            <w:vAlign w:val="bottom"/>
          </w:tcPr>
          <w:p w14:paraId="675357D0" w14:textId="77777777" w:rsidR="001B77DD" w:rsidRDefault="001B77DD">
            <w:pPr>
              <w:rPr>
                <w:rFonts w:ascii="宋体"/>
              </w:rPr>
            </w:pPr>
          </w:p>
        </w:tc>
        <w:tc>
          <w:tcPr>
            <w:tcW w:w="5" w:type="pct"/>
            <w:shd w:val="clear" w:color="auto" w:fill="auto"/>
            <w:vAlign w:val="bottom"/>
          </w:tcPr>
          <w:p w14:paraId="675357D1" w14:textId="77777777" w:rsidR="001B77DD" w:rsidRDefault="001B77DD">
            <w:pPr>
              <w:rPr>
                <w:rFonts w:ascii="宋体"/>
              </w:rPr>
            </w:pPr>
          </w:p>
        </w:tc>
        <w:tc>
          <w:tcPr>
            <w:tcW w:w="50" w:type="pct"/>
            <w:shd w:val="clear" w:color="auto" w:fill="auto"/>
            <w:vAlign w:val="bottom"/>
          </w:tcPr>
          <w:p w14:paraId="675357D2" w14:textId="77777777" w:rsidR="001B77DD" w:rsidRDefault="001B77DD">
            <w:pPr>
              <w:rPr>
                <w:rFonts w:ascii="宋体"/>
              </w:rPr>
            </w:pPr>
          </w:p>
        </w:tc>
        <w:tc>
          <w:tcPr>
            <w:tcW w:w="211" w:type="pct"/>
            <w:shd w:val="clear" w:color="auto" w:fill="auto"/>
            <w:vAlign w:val="bottom"/>
          </w:tcPr>
          <w:p w14:paraId="675357D3" w14:textId="77777777" w:rsidR="001B77DD" w:rsidRDefault="001B77DD">
            <w:pPr>
              <w:rPr>
                <w:rFonts w:ascii="宋体"/>
              </w:rPr>
            </w:pPr>
          </w:p>
        </w:tc>
        <w:tc>
          <w:tcPr>
            <w:tcW w:w="5" w:type="pct"/>
            <w:shd w:val="clear" w:color="auto" w:fill="auto"/>
            <w:vAlign w:val="bottom"/>
          </w:tcPr>
          <w:p w14:paraId="675357D4" w14:textId="77777777" w:rsidR="001B77DD" w:rsidRDefault="001B77DD">
            <w:pPr>
              <w:rPr>
                <w:rFonts w:ascii="宋体"/>
              </w:rPr>
            </w:pPr>
          </w:p>
        </w:tc>
      </w:tr>
      <w:tr w:rsidR="001B77DD" w14:paraId="675357D8" w14:textId="77777777">
        <w:tc>
          <w:tcPr>
            <w:tcW w:w="0" w:type="auto"/>
            <w:gridSpan w:val="9"/>
            <w:shd w:val="clear" w:color="auto" w:fill="auto"/>
            <w:tcMar>
              <w:top w:w="40" w:type="dxa"/>
              <w:left w:w="20" w:type="dxa"/>
              <w:bottom w:w="40" w:type="dxa"/>
              <w:right w:w="20" w:type="dxa"/>
            </w:tcMar>
            <w:vAlign w:val="bottom"/>
          </w:tcPr>
          <w:p w14:paraId="675357D6" w14:textId="77777777" w:rsidR="001B77DD" w:rsidRDefault="00BF0A28">
            <w:pPr>
              <w:textAlignment w:val="bottom"/>
            </w:pPr>
            <w:r>
              <w:rPr>
                <w:rFonts w:ascii="Arial" w:eastAsia="宋体" w:hAnsi="Arial" w:cs="Arial"/>
                <w:color w:val="0068B5"/>
                <w:sz w:val="18"/>
                <w:szCs w:val="18"/>
              </w:rPr>
              <w:t>Index to Consolidated Financial Statements</w:t>
            </w:r>
          </w:p>
        </w:tc>
        <w:tc>
          <w:tcPr>
            <w:tcW w:w="0" w:type="auto"/>
            <w:gridSpan w:val="3"/>
            <w:shd w:val="clear" w:color="auto" w:fill="auto"/>
            <w:tcMar>
              <w:top w:w="40" w:type="dxa"/>
              <w:left w:w="20" w:type="dxa"/>
              <w:bottom w:w="40" w:type="dxa"/>
              <w:right w:w="20" w:type="dxa"/>
            </w:tcMar>
            <w:vAlign w:val="bottom"/>
          </w:tcPr>
          <w:p w14:paraId="675357D7" w14:textId="77777777" w:rsidR="001B77DD" w:rsidRDefault="00BF0A28">
            <w:pPr>
              <w:jc w:val="center"/>
              <w:textAlignment w:val="bottom"/>
            </w:pPr>
            <w:r>
              <w:rPr>
                <w:rFonts w:ascii="Arial" w:eastAsia="宋体" w:hAnsi="Arial" w:cs="Arial"/>
                <w:color w:val="0068B5"/>
                <w:sz w:val="18"/>
                <w:szCs w:val="18"/>
              </w:rPr>
              <w:t>Page</w:t>
            </w:r>
          </w:p>
        </w:tc>
      </w:tr>
      <w:tr w:rsidR="001B77DD" w14:paraId="675357D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D9" w14:textId="77777777" w:rsidR="001B77DD" w:rsidRDefault="00BF0A28">
            <w:pPr>
              <w:textAlignment w:val="bottom"/>
            </w:pPr>
            <w:r>
              <w:rPr>
                <w:rFonts w:ascii="Arial" w:eastAsia="宋体" w:hAnsi="Arial" w:cs="Arial"/>
                <w:color w:val="262626"/>
                <w:sz w:val="18"/>
                <w:szCs w:val="18"/>
              </w:rPr>
              <w:t>Reports of Independent Registered Public Accounting Firm</w:t>
            </w: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DA" w14:textId="77777777" w:rsidR="001B77DD" w:rsidRDefault="00BF0A28">
            <w:pPr>
              <w:textAlignment w:val="bottom"/>
            </w:pPr>
            <w:r>
              <w:rPr>
                <w:rFonts w:ascii="Arial" w:eastAsia="宋体" w:hAnsi="Arial" w:cs="Arial"/>
                <w:color w:val="262626"/>
                <w:sz w:val="18"/>
                <w:szCs w:val="18"/>
              </w:rPr>
              <w:t>(PCAOB ID: 42)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57DB"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7DC" w14:textId="77777777" w:rsidR="001B77DD" w:rsidRDefault="00BF0A28">
            <w:pPr>
              <w:jc w:val="center"/>
              <w:textAlignment w:val="bottom"/>
            </w:pPr>
            <w:hyperlink r:id="rId126" w:anchor="i6c9ced68f6b24d58a3dcf326e8c3c699_238" w:history="1">
              <w:r>
                <w:rPr>
                  <w:rStyle w:val="a5"/>
                  <w:rFonts w:ascii="Arial" w:eastAsia="宋体" w:hAnsi="Arial" w:cs="Arial"/>
                  <w:color w:val="262626"/>
                  <w:sz w:val="18"/>
                  <w:szCs w:val="18"/>
                  <w:u w:val="none"/>
                </w:rPr>
                <w:t>69</w:t>
              </w:r>
            </w:hyperlink>
          </w:p>
        </w:tc>
      </w:tr>
      <w:tr w:rsidR="001B77DD" w14:paraId="675357E2" w14:textId="77777777">
        <w:trPr>
          <w:hidden/>
        </w:trPr>
        <w:tc>
          <w:tcPr>
            <w:tcW w:w="0" w:type="auto"/>
            <w:gridSpan w:val="3"/>
            <w:shd w:val="clear" w:color="auto" w:fill="auto"/>
            <w:vAlign w:val="bottom"/>
          </w:tcPr>
          <w:p w14:paraId="675357DE" w14:textId="77777777" w:rsidR="001B77DD" w:rsidRDefault="001B77DD">
            <w:pPr>
              <w:rPr>
                <w:rFonts w:ascii="宋体"/>
                <w:vanish/>
              </w:rPr>
            </w:pPr>
          </w:p>
        </w:tc>
        <w:tc>
          <w:tcPr>
            <w:tcW w:w="0" w:type="auto"/>
            <w:gridSpan w:val="3"/>
            <w:shd w:val="clear" w:color="auto" w:fill="auto"/>
            <w:vAlign w:val="bottom"/>
          </w:tcPr>
          <w:p w14:paraId="675357DF" w14:textId="77777777" w:rsidR="001B77DD" w:rsidRDefault="001B77DD">
            <w:pPr>
              <w:rPr>
                <w:rFonts w:ascii="宋体"/>
                <w:vanish/>
              </w:rPr>
            </w:pPr>
          </w:p>
        </w:tc>
        <w:tc>
          <w:tcPr>
            <w:tcW w:w="0" w:type="auto"/>
            <w:gridSpan w:val="3"/>
            <w:shd w:val="clear" w:color="auto" w:fill="auto"/>
            <w:vAlign w:val="bottom"/>
          </w:tcPr>
          <w:p w14:paraId="675357E0" w14:textId="77777777" w:rsidR="001B77DD" w:rsidRDefault="001B77DD">
            <w:pPr>
              <w:rPr>
                <w:rFonts w:ascii="宋体"/>
                <w:vanish/>
              </w:rPr>
            </w:pPr>
          </w:p>
        </w:tc>
        <w:tc>
          <w:tcPr>
            <w:tcW w:w="0" w:type="auto"/>
            <w:gridSpan w:val="3"/>
            <w:shd w:val="clear" w:color="auto" w:fill="auto"/>
            <w:vAlign w:val="bottom"/>
          </w:tcPr>
          <w:p w14:paraId="675357E1" w14:textId="77777777" w:rsidR="001B77DD" w:rsidRDefault="001B77DD">
            <w:pPr>
              <w:rPr>
                <w:rFonts w:ascii="宋体"/>
                <w:vanish/>
              </w:rPr>
            </w:pPr>
          </w:p>
        </w:tc>
      </w:tr>
      <w:tr w:rsidR="001B77DD" w14:paraId="675357E7" w14:textId="77777777">
        <w:trPr>
          <w:hidden/>
        </w:trPr>
        <w:tc>
          <w:tcPr>
            <w:tcW w:w="0" w:type="auto"/>
            <w:gridSpan w:val="3"/>
            <w:shd w:val="clear" w:color="auto" w:fill="auto"/>
            <w:vAlign w:val="bottom"/>
          </w:tcPr>
          <w:p w14:paraId="675357E3" w14:textId="77777777" w:rsidR="001B77DD" w:rsidRDefault="001B77DD">
            <w:pPr>
              <w:rPr>
                <w:rFonts w:ascii="宋体"/>
                <w:vanish/>
              </w:rPr>
            </w:pPr>
          </w:p>
        </w:tc>
        <w:tc>
          <w:tcPr>
            <w:tcW w:w="0" w:type="auto"/>
            <w:gridSpan w:val="3"/>
            <w:shd w:val="clear" w:color="auto" w:fill="auto"/>
            <w:vAlign w:val="bottom"/>
          </w:tcPr>
          <w:p w14:paraId="675357E4" w14:textId="77777777" w:rsidR="001B77DD" w:rsidRDefault="001B77DD">
            <w:pPr>
              <w:rPr>
                <w:rFonts w:ascii="宋体"/>
                <w:vanish/>
              </w:rPr>
            </w:pPr>
          </w:p>
        </w:tc>
        <w:tc>
          <w:tcPr>
            <w:tcW w:w="0" w:type="auto"/>
            <w:gridSpan w:val="3"/>
            <w:shd w:val="clear" w:color="auto" w:fill="auto"/>
            <w:vAlign w:val="bottom"/>
          </w:tcPr>
          <w:p w14:paraId="675357E5" w14:textId="77777777" w:rsidR="001B77DD" w:rsidRDefault="001B77DD">
            <w:pPr>
              <w:rPr>
                <w:rFonts w:ascii="宋体"/>
                <w:vanish/>
              </w:rPr>
            </w:pPr>
          </w:p>
        </w:tc>
        <w:tc>
          <w:tcPr>
            <w:tcW w:w="0" w:type="auto"/>
            <w:gridSpan w:val="3"/>
            <w:shd w:val="clear" w:color="auto" w:fill="auto"/>
            <w:vAlign w:val="bottom"/>
          </w:tcPr>
          <w:p w14:paraId="675357E6" w14:textId="77777777" w:rsidR="001B77DD" w:rsidRDefault="001B77DD">
            <w:pPr>
              <w:rPr>
                <w:rFonts w:ascii="宋体"/>
                <w:vanish/>
              </w:rPr>
            </w:pPr>
          </w:p>
        </w:tc>
      </w:tr>
      <w:tr w:rsidR="001B77DD" w14:paraId="675357EA" w14:textId="77777777">
        <w:tc>
          <w:tcPr>
            <w:tcW w:w="0" w:type="auto"/>
            <w:gridSpan w:val="9"/>
            <w:shd w:val="clear" w:color="auto" w:fill="auto"/>
            <w:tcMar>
              <w:top w:w="40" w:type="dxa"/>
              <w:left w:w="20" w:type="dxa"/>
              <w:bottom w:w="40" w:type="dxa"/>
              <w:right w:w="20" w:type="dxa"/>
            </w:tcMar>
            <w:vAlign w:val="bottom"/>
          </w:tcPr>
          <w:p w14:paraId="675357E8" w14:textId="77777777" w:rsidR="001B77DD" w:rsidRDefault="00BF0A28">
            <w:pPr>
              <w:textAlignment w:val="bottom"/>
            </w:pPr>
            <w:r>
              <w:rPr>
                <w:rFonts w:ascii="Arial" w:eastAsia="宋体" w:hAnsi="Arial" w:cs="Arial"/>
                <w:color w:val="262626"/>
                <w:sz w:val="18"/>
                <w:szCs w:val="18"/>
              </w:rPr>
              <w:t>Consolidated Statements of Income</w:t>
            </w:r>
          </w:p>
        </w:tc>
        <w:tc>
          <w:tcPr>
            <w:tcW w:w="0" w:type="auto"/>
            <w:gridSpan w:val="3"/>
            <w:shd w:val="clear" w:color="auto" w:fill="auto"/>
            <w:tcMar>
              <w:top w:w="40" w:type="dxa"/>
              <w:left w:w="20" w:type="dxa"/>
              <w:bottom w:w="40" w:type="dxa"/>
              <w:right w:w="20" w:type="dxa"/>
            </w:tcMar>
            <w:vAlign w:val="bottom"/>
          </w:tcPr>
          <w:p w14:paraId="675357E9" w14:textId="77777777" w:rsidR="001B77DD" w:rsidRDefault="00BF0A28">
            <w:pPr>
              <w:jc w:val="center"/>
              <w:textAlignment w:val="bottom"/>
            </w:pPr>
            <w:hyperlink r:id="rId127" w:anchor="i6c9ced68f6b24d58a3dcf326e8c3c699_241" w:history="1">
              <w:r>
                <w:rPr>
                  <w:rStyle w:val="a5"/>
                  <w:rFonts w:ascii="Arial" w:eastAsia="宋体" w:hAnsi="Arial" w:cs="Arial"/>
                  <w:color w:val="262626"/>
                  <w:sz w:val="18"/>
                  <w:szCs w:val="18"/>
                  <w:u w:val="none"/>
                </w:rPr>
                <w:t>72</w:t>
              </w:r>
            </w:hyperlink>
          </w:p>
        </w:tc>
      </w:tr>
      <w:tr w:rsidR="001B77DD" w14:paraId="675357ED" w14:textId="77777777">
        <w:tc>
          <w:tcPr>
            <w:tcW w:w="0" w:type="auto"/>
            <w:gridSpan w:val="9"/>
            <w:shd w:val="clear" w:color="auto" w:fill="auto"/>
            <w:tcMar>
              <w:top w:w="40" w:type="dxa"/>
              <w:left w:w="20" w:type="dxa"/>
              <w:bottom w:w="40" w:type="dxa"/>
              <w:right w:w="20" w:type="dxa"/>
            </w:tcMar>
            <w:vAlign w:val="bottom"/>
          </w:tcPr>
          <w:p w14:paraId="675357EB" w14:textId="77777777" w:rsidR="001B77DD" w:rsidRDefault="00BF0A28">
            <w:pPr>
              <w:textAlignment w:val="bottom"/>
            </w:pPr>
            <w:r>
              <w:rPr>
                <w:rFonts w:ascii="Arial" w:eastAsia="宋体" w:hAnsi="Arial" w:cs="Arial"/>
                <w:color w:val="262626"/>
                <w:sz w:val="18"/>
                <w:szCs w:val="18"/>
              </w:rPr>
              <w:t>Consolidated Statements of Comprehensive Income</w:t>
            </w:r>
          </w:p>
        </w:tc>
        <w:tc>
          <w:tcPr>
            <w:tcW w:w="0" w:type="auto"/>
            <w:gridSpan w:val="3"/>
            <w:shd w:val="clear" w:color="auto" w:fill="auto"/>
            <w:tcMar>
              <w:top w:w="40" w:type="dxa"/>
              <w:left w:w="20" w:type="dxa"/>
              <w:bottom w:w="40" w:type="dxa"/>
              <w:right w:w="20" w:type="dxa"/>
            </w:tcMar>
            <w:vAlign w:val="bottom"/>
          </w:tcPr>
          <w:p w14:paraId="675357EC" w14:textId="77777777" w:rsidR="001B77DD" w:rsidRDefault="00BF0A28">
            <w:pPr>
              <w:jc w:val="center"/>
              <w:textAlignment w:val="bottom"/>
            </w:pPr>
            <w:hyperlink r:id="rId128" w:anchor="i6c9ced68f6b24d58a3dcf326e8c3c699_244" w:history="1">
              <w:r>
                <w:rPr>
                  <w:rStyle w:val="a5"/>
                  <w:rFonts w:ascii="Arial" w:eastAsia="宋体" w:hAnsi="Arial" w:cs="Arial"/>
                  <w:color w:val="262626"/>
                  <w:sz w:val="18"/>
                  <w:szCs w:val="18"/>
                  <w:u w:val="none"/>
                </w:rPr>
                <w:t>73</w:t>
              </w:r>
            </w:hyperlink>
          </w:p>
        </w:tc>
      </w:tr>
      <w:tr w:rsidR="001B77DD" w14:paraId="675357F0" w14:textId="77777777">
        <w:tc>
          <w:tcPr>
            <w:tcW w:w="0" w:type="auto"/>
            <w:gridSpan w:val="9"/>
            <w:shd w:val="clear" w:color="auto" w:fill="auto"/>
            <w:tcMar>
              <w:top w:w="40" w:type="dxa"/>
              <w:left w:w="20" w:type="dxa"/>
              <w:bottom w:w="40" w:type="dxa"/>
              <w:right w:w="20" w:type="dxa"/>
            </w:tcMar>
            <w:vAlign w:val="bottom"/>
          </w:tcPr>
          <w:p w14:paraId="675357EE" w14:textId="77777777" w:rsidR="001B77DD" w:rsidRDefault="00BF0A28">
            <w:pPr>
              <w:textAlignment w:val="bottom"/>
            </w:pPr>
            <w:r>
              <w:rPr>
                <w:rFonts w:ascii="Arial" w:eastAsia="宋体" w:hAnsi="Arial" w:cs="Arial"/>
                <w:color w:val="262626"/>
                <w:sz w:val="18"/>
                <w:szCs w:val="18"/>
              </w:rPr>
              <w:t>Consolidated Balance Sheets</w:t>
            </w:r>
          </w:p>
        </w:tc>
        <w:tc>
          <w:tcPr>
            <w:tcW w:w="0" w:type="auto"/>
            <w:gridSpan w:val="3"/>
            <w:shd w:val="clear" w:color="auto" w:fill="auto"/>
            <w:tcMar>
              <w:top w:w="40" w:type="dxa"/>
              <w:left w:w="20" w:type="dxa"/>
              <w:bottom w:w="40" w:type="dxa"/>
              <w:right w:w="20" w:type="dxa"/>
            </w:tcMar>
            <w:vAlign w:val="bottom"/>
          </w:tcPr>
          <w:p w14:paraId="675357EF" w14:textId="77777777" w:rsidR="001B77DD" w:rsidRDefault="00BF0A28">
            <w:pPr>
              <w:jc w:val="center"/>
              <w:textAlignment w:val="bottom"/>
            </w:pPr>
            <w:hyperlink r:id="rId129" w:anchor="i6c9ced68f6b24d58a3dcf326e8c3c699_247" w:history="1">
              <w:r>
                <w:rPr>
                  <w:rStyle w:val="a5"/>
                  <w:rFonts w:ascii="Arial" w:eastAsia="宋体" w:hAnsi="Arial" w:cs="Arial"/>
                  <w:color w:val="262626"/>
                  <w:sz w:val="18"/>
                  <w:szCs w:val="18"/>
                  <w:u w:val="none"/>
                </w:rPr>
                <w:t>74</w:t>
              </w:r>
            </w:hyperlink>
          </w:p>
        </w:tc>
      </w:tr>
      <w:tr w:rsidR="001B77DD" w14:paraId="675357F3" w14:textId="77777777">
        <w:tc>
          <w:tcPr>
            <w:tcW w:w="0" w:type="auto"/>
            <w:gridSpan w:val="9"/>
            <w:shd w:val="clear" w:color="auto" w:fill="auto"/>
            <w:tcMar>
              <w:top w:w="40" w:type="dxa"/>
              <w:left w:w="20" w:type="dxa"/>
              <w:bottom w:w="40" w:type="dxa"/>
              <w:right w:w="20" w:type="dxa"/>
            </w:tcMar>
            <w:vAlign w:val="bottom"/>
          </w:tcPr>
          <w:p w14:paraId="675357F1" w14:textId="77777777" w:rsidR="001B77DD" w:rsidRDefault="00BF0A28">
            <w:pPr>
              <w:textAlignment w:val="bottom"/>
            </w:pPr>
            <w:r>
              <w:rPr>
                <w:rFonts w:ascii="Arial" w:eastAsia="宋体" w:hAnsi="Arial" w:cs="Arial"/>
                <w:color w:val="262626"/>
                <w:sz w:val="18"/>
                <w:szCs w:val="18"/>
              </w:rPr>
              <w:t>Consolidated Statements of Cash Flows</w:t>
            </w:r>
          </w:p>
        </w:tc>
        <w:tc>
          <w:tcPr>
            <w:tcW w:w="0" w:type="auto"/>
            <w:gridSpan w:val="3"/>
            <w:shd w:val="clear" w:color="auto" w:fill="auto"/>
            <w:tcMar>
              <w:top w:w="40" w:type="dxa"/>
              <w:left w:w="20" w:type="dxa"/>
              <w:bottom w:w="40" w:type="dxa"/>
              <w:right w:w="20" w:type="dxa"/>
            </w:tcMar>
            <w:vAlign w:val="bottom"/>
          </w:tcPr>
          <w:p w14:paraId="675357F2" w14:textId="77777777" w:rsidR="001B77DD" w:rsidRDefault="00BF0A28">
            <w:pPr>
              <w:jc w:val="center"/>
              <w:textAlignment w:val="bottom"/>
            </w:pPr>
            <w:hyperlink r:id="rId130" w:anchor="i6c9ced68f6b24d58a3dcf326e8c3c699_253" w:history="1">
              <w:r>
                <w:rPr>
                  <w:rStyle w:val="a5"/>
                  <w:rFonts w:ascii="Arial" w:eastAsia="宋体" w:hAnsi="Arial" w:cs="Arial"/>
                  <w:color w:val="262626"/>
                  <w:sz w:val="18"/>
                  <w:szCs w:val="18"/>
                  <w:u w:val="none"/>
                </w:rPr>
                <w:t>75</w:t>
              </w:r>
            </w:hyperlink>
          </w:p>
        </w:tc>
      </w:tr>
      <w:tr w:rsidR="001B77DD" w14:paraId="675357F6" w14:textId="77777777">
        <w:tc>
          <w:tcPr>
            <w:tcW w:w="0" w:type="auto"/>
            <w:gridSpan w:val="9"/>
            <w:shd w:val="clear" w:color="auto" w:fill="auto"/>
            <w:tcMar>
              <w:top w:w="40" w:type="dxa"/>
              <w:left w:w="20" w:type="dxa"/>
              <w:bottom w:w="40" w:type="dxa"/>
              <w:right w:w="20" w:type="dxa"/>
            </w:tcMar>
            <w:vAlign w:val="bottom"/>
          </w:tcPr>
          <w:p w14:paraId="675357F4" w14:textId="77777777" w:rsidR="001B77DD" w:rsidRDefault="00BF0A28">
            <w:pPr>
              <w:textAlignment w:val="bottom"/>
            </w:pPr>
            <w:r>
              <w:rPr>
                <w:rFonts w:ascii="Arial" w:eastAsia="宋体" w:hAnsi="Arial" w:cs="Arial"/>
                <w:color w:val="262626"/>
                <w:sz w:val="18"/>
                <w:szCs w:val="18"/>
              </w:rPr>
              <w:t>Consolidated Statements of Stockholders' Equity</w:t>
            </w:r>
          </w:p>
        </w:tc>
        <w:tc>
          <w:tcPr>
            <w:tcW w:w="0" w:type="auto"/>
            <w:gridSpan w:val="3"/>
            <w:shd w:val="clear" w:color="auto" w:fill="auto"/>
            <w:tcMar>
              <w:top w:w="40" w:type="dxa"/>
              <w:left w:w="20" w:type="dxa"/>
              <w:bottom w:w="40" w:type="dxa"/>
              <w:right w:w="20" w:type="dxa"/>
            </w:tcMar>
            <w:vAlign w:val="bottom"/>
          </w:tcPr>
          <w:p w14:paraId="675357F5" w14:textId="77777777" w:rsidR="001B77DD" w:rsidRDefault="00BF0A28">
            <w:pPr>
              <w:jc w:val="center"/>
              <w:textAlignment w:val="bottom"/>
            </w:pPr>
            <w:hyperlink r:id="rId131" w:anchor="i6c9ced68f6b24d58a3dcf326e8c3c699_256" w:history="1">
              <w:r>
                <w:rPr>
                  <w:rStyle w:val="a5"/>
                  <w:rFonts w:ascii="Arial" w:eastAsia="宋体" w:hAnsi="Arial" w:cs="Arial"/>
                  <w:color w:val="262626"/>
                  <w:sz w:val="18"/>
                  <w:szCs w:val="18"/>
                  <w:u w:val="none"/>
                </w:rPr>
                <w:t>76</w:t>
              </w:r>
            </w:hyperlink>
          </w:p>
        </w:tc>
      </w:tr>
      <w:tr w:rsidR="001B77DD" w14:paraId="675357FB" w14:textId="77777777">
        <w:trPr>
          <w:hidden/>
        </w:trPr>
        <w:tc>
          <w:tcPr>
            <w:tcW w:w="0" w:type="auto"/>
            <w:gridSpan w:val="3"/>
            <w:shd w:val="clear" w:color="auto" w:fill="auto"/>
            <w:vAlign w:val="bottom"/>
          </w:tcPr>
          <w:p w14:paraId="675357F7" w14:textId="77777777" w:rsidR="001B77DD" w:rsidRDefault="001B77DD">
            <w:pPr>
              <w:rPr>
                <w:rFonts w:ascii="宋体"/>
                <w:vanish/>
              </w:rPr>
            </w:pPr>
          </w:p>
        </w:tc>
        <w:tc>
          <w:tcPr>
            <w:tcW w:w="0" w:type="auto"/>
            <w:gridSpan w:val="3"/>
            <w:shd w:val="clear" w:color="auto" w:fill="auto"/>
            <w:vAlign w:val="bottom"/>
          </w:tcPr>
          <w:p w14:paraId="675357F8" w14:textId="77777777" w:rsidR="001B77DD" w:rsidRDefault="001B77DD">
            <w:pPr>
              <w:rPr>
                <w:rFonts w:ascii="宋体"/>
                <w:vanish/>
              </w:rPr>
            </w:pPr>
          </w:p>
        </w:tc>
        <w:tc>
          <w:tcPr>
            <w:tcW w:w="0" w:type="auto"/>
            <w:gridSpan w:val="3"/>
            <w:shd w:val="clear" w:color="auto" w:fill="auto"/>
            <w:vAlign w:val="bottom"/>
          </w:tcPr>
          <w:p w14:paraId="675357F9" w14:textId="77777777" w:rsidR="001B77DD" w:rsidRDefault="001B77DD">
            <w:pPr>
              <w:rPr>
                <w:rFonts w:ascii="宋体"/>
                <w:vanish/>
              </w:rPr>
            </w:pPr>
          </w:p>
        </w:tc>
        <w:tc>
          <w:tcPr>
            <w:tcW w:w="0" w:type="auto"/>
            <w:gridSpan w:val="3"/>
            <w:shd w:val="clear" w:color="auto" w:fill="auto"/>
            <w:vAlign w:val="bottom"/>
          </w:tcPr>
          <w:p w14:paraId="675357FA" w14:textId="77777777" w:rsidR="001B77DD" w:rsidRDefault="001B77DD">
            <w:pPr>
              <w:rPr>
                <w:rFonts w:ascii="宋体"/>
                <w:vanish/>
              </w:rPr>
            </w:pPr>
          </w:p>
        </w:tc>
      </w:tr>
      <w:tr w:rsidR="001B77DD" w14:paraId="675357FE" w14:textId="77777777">
        <w:tc>
          <w:tcPr>
            <w:tcW w:w="0" w:type="auto"/>
            <w:gridSpan w:val="9"/>
            <w:shd w:val="clear" w:color="auto" w:fill="auto"/>
            <w:tcMar>
              <w:top w:w="40" w:type="dxa"/>
              <w:left w:w="20" w:type="dxa"/>
              <w:bottom w:w="40" w:type="dxa"/>
              <w:right w:w="20" w:type="dxa"/>
            </w:tcMar>
            <w:vAlign w:val="bottom"/>
          </w:tcPr>
          <w:p w14:paraId="675357FC" w14:textId="77777777" w:rsidR="001B77DD" w:rsidRDefault="00BF0A28">
            <w:pPr>
              <w:textAlignment w:val="bottom"/>
            </w:pPr>
            <w:r>
              <w:rPr>
                <w:rFonts w:ascii="Arial" w:eastAsia="宋体" w:hAnsi="Arial" w:cs="Arial"/>
                <w:color w:val="262626"/>
                <w:sz w:val="18"/>
                <w:szCs w:val="18"/>
              </w:rPr>
              <w:t>Notes to Consolidated Financial Statements</w:t>
            </w:r>
          </w:p>
        </w:tc>
        <w:tc>
          <w:tcPr>
            <w:tcW w:w="0" w:type="auto"/>
            <w:gridSpan w:val="3"/>
            <w:shd w:val="clear" w:color="auto" w:fill="auto"/>
            <w:tcMar>
              <w:top w:w="40" w:type="dxa"/>
              <w:left w:w="20" w:type="dxa"/>
              <w:bottom w:w="40" w:type="dxa"/>
              <w:right w:w="20" w:type="dxa"/>
            </w:tcMar>
            <w:vAlign w:val="bottom"/>
          </w:tcPr>
          <w:p w14:paraId="675357FD" w14:textId="77777777" w:rsidR="001B77DD" w:rsidRDefault="00BF0A28">
            <w:pPr>
              <w:jc w:val="center"/>
              <w:textAlignment w:val="bottom"/>
            </w:pPr>
            <w:hyperlink r:id="rId132" w:anchor="i6c9ced68f6b24d58a3dcf326e8c3c699_262" w:history="1">
              <w:r>
                <w:rPr>
                  <w:rStyle w:val="a5"/>
                  <w:rFonts w:ascii="Arial" w:eastAsia="宋体" w:hAnsi="Arial" w:cs="Arial"/>
                  <w:color w:val="262626"/>
                  <w:sz w:val="18"/>
                  <w:szCs w:val="18"/>
                  <w:u w:val="none"/>
                </w:rPr>
                <w:t>77</w:t>
              </w:r>
            </w:hyperlink>
          </w:p>
        </w:tc>
      </w:tr>
      <w:tr w:rsidR="001B77DD" w14:paraId="67535803" w14:textId="77777777">
        <w:trPr>
          <w:trHeight w:val="60"/>
        </w:trPr>
        <w:tc>
          <w:tcPr>
            <w:tcW w:w="0" w:type="auto"/>
            <w:gridSpan w:val="3"/>
            <w:shd w:val="clear" w:color="auto" w:fill="auto"/>
            <w:tcMar>
              <w:top w:w="0" w:type="dxa"/>
              <w:left w:w="20" w:type="dxa"/>
              <w:bottom w:w="0" w:type="dxa"/>
              <w:right w:w="20" w:type="dxa"/>
            </w:tcMar>
            <w:vAlign w:val="bottom"/>
          </w:tcPr>
          <w:p w14:paraId="675357F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0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0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02" w14:textId="77777777" w:rsidR="001B77DD" w:rsidRDefault="001B77DD">
            <w:pPr>
              <w:rPr>
                <w:rFonts w:ascii="宋体"/>
              </w:rPr>
            </w:pPr>
          </w:p>
        </w:tc>
      </w:tr>
      <w:tr w:rsidR="001B77DD" w14:paraId="67535806" w14:textId="77777777">
        <w:tc>
          <w:tcPr>
            <w:tcW w:w="0" w:type="auto"/>
            <w:gridSpan w:val="9"/>
            <w:shd w:val="clear" w:color="auto" w:fill="auto"/>
            <w:tcMar>
              <w:top w:w="40" w:type="dxa"/>
              <w:left w:w="155" w:type="dxa"/>
              <w:bottom w:w="40" w:type="dxa"/>
              <w:right w:w="20" w:type="dxa"/>
            </w:tcMar>
            <w:vAlign w:val="bottom"/>
          </w:tcPr>
          <w:p w14:paraId="67535804" w14:textId="77777777" w:rsidR="001B77DD" w:rsidRDefault="00BF0A28">
            <w:pPr>
              <w:textAlignment w:val="bottom"/>
            </w:pPr>
            <w:r>
              <w:rPr>
                <w:rFonts w:ascii="Arial" w:eastAsia="宋体" w:hAnsi="Arial" w:cs="Arial"/>
                <w:color w:val="0068B5"/>
                <w:sz w:val="18"/>
                <w:szCs w:val="18"/>
              </w:rPr>
              <w:t>Basis</w:t>
            </w:r>
          </w:p>
        </w:tc>
        <w:tc>
          <w:tcPr>
            <w:tcW w:w="0" w:type="auto"/>
            <w:gridSpan w:val="3"/>
            <w:shd w:val="clear" w:color="auto" w:fill="auto"/>
            <w:tcMar>
              <w:top w:w="0" w:type="dxa"/>
              <w:left w:w="20" w:type="dxa"/>
              <w:bottom w:w="0" w:type="dxa"/>
              <w:right w:w="20" w:type="dxa"/>
            </w:tcMar>
            <w:vAlign w:val="bottom"/>
          </w:tcPr>
          <w:p w14:paraId="67535805" w14:textId="77777777" w:rsidR="001B77DD" w:rsidRDefault="001B77DD">
            <w:pPr>
              <w:rPr>
                <w:rFonts w:ascii="宋体"/>
              </w:rPr>
            </w:pPr>
          </w:p>
        </w:tc>
      </w:tr>
      <w:tr w:rsidR="001B77DD" w14:paraId="67535809" w14:textId="77777777">
        <w:tc>
          <w:tcPr>
            <w:tcW w:w="0" w:type="auto"/>
            <w:gridSpan w:val="9"/>
            <w:shd w:val="clear" w:color="auto" w:fill="auto"/>
            <w:tcMar>
              <w:top w:w="40" w:type="dxa"/>
              <w:left w:w="245" w:type="dxa"/>
              <w:bottom w:w="40" w:type="dxa"/>
              <w:right w:w="20" w:type="dxa"/>
            </w:tcMar>
            <w:vAlign w:val="bottom"/>
          </w:tcPr>
          <w:p w14:paraId="67535807" w14:textId="77777777" w:rsidR="001B77DD" w:rsidRDefault="00BF0A28">
            <w:pPr>
              <w:textAlignment w:val="bottom"/>
            </w:pPr>
            <w:r>
              <w:rPr>
                <w:rFonts w:ascii="Arial" w:eastAsia="宋体" w:hAnsi="Arial" w:cs="Arial"/>
                <w:color w:val="262626"/>
                <w:sz w:val="18"/>
                <w:szCs w:val="18"/>
              </w:rPr>
              <w:t>Note 1: Basis of Presentation</w:t>
            </w:r>
          </w:p>
        </w:tc>
        <w:tc>
          <w:tcPr>
            <w:tcW w:w="0" w:type="auto"/>
            <w:gridSpan w:val="3"/>
            <w:shd w:val="clear" w:color="auto" w:fill="auto"/>
            <w:tcMar>
              <w:top w:w="40" w:type="dxa"/>
              <w:left w:w="20" w:type="dxa"/>
              <w:bottom w:w="40" w:type="dxa"/>
              <w:right w:w="20" w:type="dxa"/>
            </w:tcMar>
            <w:vAlign w:val="bottom"/>
          </w:tcPr>
          <w:p w14:paraId="67535808" w14:textId="77777777" w:rsidR="001B77DD" w:rsidRDefault="00BF0A28">
            <w:pPr>
              <w:jc w:val="center"/>
              <w:textAlignment w:val="bottom"/>
            </w:pPr>
            <w:hyperlink r:id="rId133" w:anchor="i6c9ced68f6b24d58a3dcf326e8c3c699_265" w:history="1">
              <w:r>
                <w:rPr>
                  <w:rStyle w:val="a5"/>
                  <w:rFonts w:ascii="Arial" w:eastAsia="宋体" w:hAnsi="Arial" w:cs="Arial"/>
                  <w:color w:val="262626"/>
                  <w:sz w:val="18"/>
                  <w:szCs w:val="18"/>
                  <w:u w:val="none"/>
                </w:rPr>
                <w:t>77</w:t>
              </w:r>
            </w:hyperlink>
          </w:p>
        </w:tc>
      </w:tr>
      <w:tr w:rsidR="001B77DD" w14:paraId="6753580C" w14:textId="77777777">
        <w:tc>
          <w:tcPr>
            <w:tcW w:w="0" w:type="auto"/>
            <w:gridSpan w:val="9"/>
            <w:shd w:val="clear" w:color="auto" w:fill="auto"/>
            <w:tcMar>
              <w:top w:w="40" w:type="dxa"/>
              <w:left w:w="245" w:type="dxa"/>
              <w:bottom w:w="40" w:type="dxa"/>
              <w:right w:w="20" w:type="dxa"/>
            </w:tcMar>
            <w:vAlign w:val="bottom"/>
          </w:tcPr>
          <w:p w14:paraId="6753580A" w14:textId="77777777" w:rsidR="001B77DD" w:rsidRDefault="00BF0A28">
            <w:pPr>
              <w:textAlignment w:val="bottom"/>
            </w:pPr>
            <w:r>
              <w:rPr>
                <w:rFonts w:ascii="Arial" w:eastAsia="宋体" w:hAnsi="Arial" w:cs="Arial"/>
                <w:color w:val="262626"/>
                <w:sz w:val="18"/>
                <w:szCs w:val="18"/>
              </w:rPr>
              <w:t>Note 2: Accounting Policies</w:t>
            </w:r>
          </w:p>
        </w:tc>
        <w:tc>
          <w:tcPr>
            <w:tcW w:w="0" w:type="auto"/>
            <w:gridSpan w:val="3"/>
            <w:shd w:val="clear" w:color="auto" w:fill="auto"/>
            <w:tcMar>
              <w:top w:w="40" w:type="dxa"/>
              <w:left w:w="20" w:type="dxa"/>
              <w:bottom w:w="40" w:type="dxa"/>
              <w:right w:w="20" w:type="dxa"/>
            </w:tcMar>
            <w:vAlign w:val="bottom"/>
          </w:tcPr>
          <w:p w14:paraId="6753580B" w14:textId="77777777" w:rsidR="001B77DD" w:rsidRDefault="00BF0A28">
            <w:pPr>
              <w:jc w:val="center"/>
              <w:textAlignment w:val="bottom"/>
            </w:pPr>
            <w:hyperlink r:id="rId134" w:anchor="i6c9ced68f6b24d58a3dcf326e8c3c699_268" w:history="1">
              <w:r>
                <w:rPr>
                  <w:rStyle w:val="a5"/>
                  <w:rFonts w:ascii="Arial" w:eastAsia="宋体" w:hAnsi="Arial" w:cs="Arial"/>
                  <w:color w:val="262626"/>
                  <w:sz w:val="18"/>
                  <w:szCs w:val="18"/>
                  <w:u w:val="none"/>
                </w:rPr>
                <w:t>77</w:t>
              </w:r>
            </w:hyperlink>
          </w:p>
        </w:tc>
      </w:tr>
      <w:tr w:rsidR="001B77DD" w14:paraId="67535811" w14:textId="77777777">
        <w:trPr>
          <w:hidden/>
        </w:trPr>
        <w:tc>
          <w:tcPr>
            <w:tcW w:w="0" w:type="auto"/>
            <w:gridSpan w:val="3"/>
            <w:shd w:val="clear" w:color="auto" w:fill="auto"/>
            <w:vAlign w:val="bottom"/>
          </w:tcPr>
          <w:p w14:paraId="6753580D" w14:textId="77777777" w:rsidR="001B77DD" w:rsidRDefault="001B77DD">
            <w:pPr>
              <w:rPr>
                <w:rFonts w:ascii="宋体"/>
                <w:vanish/>
              </w:rPr>
            </w:pPr>
          </w:p>
        </w:tc>
        <w:tc>
          <w:tcPr>
            <w:tcW w:w="0" w:type="auto"/>
            <w:gridSpan w:val="3"/>
            <w:shd w:val="clear" w:color="auto" w:fill="auto"/>
            <w:vAlign w:val="bottom"/>
          </w:tcPr>
          <w:p w14:paraId="6753580E" w14:textId="77777777" w:rsidR="001B77DD" w:rsidRDefault="001B77DD">
            <w:pPr>
              <w:rPr>
                <w:rFonts w:ascii="宋体"/>
                <w:vanish/>
              </w:rPr>
            </w:pPr>
          </w:p>
        </w:tc>
        <w:tc>
          <w:tcPr>
            <w:tcW w:w="0" w:type="auto"/>
            <w:gridSpan w:val="3"/>
            <w:shd w:val="clear" w:color="auto" w:fill="auto"/>
            <w:vAlign w:val="bottom"/>
          </w:tcPr>
          <w:p w14:paraId="6753580F" w14:textId="77777777" w:rsidR="001B77DD" w:rsidRDefault="001B77DD">
            <w:pPr>
              <w:rPr>
                <w:rFonts w:ascii="宋体"/>
                <w:vanish/>
              </w:rPr>
            </w:pPr>
          </w:p>
        </w:tc>
        <w:tc>
          <w:tcPr>
            <w:tcW w:w="0" w:type="auto"/>
            <w:gridSpan w:val="3"/>
            <w:shd w:val="clear" w:color="auto" w:fill="auto"/>
            <w:vAlign w:val="bottom"/>
          </w:tcPr>
          <w:p w14:paraId="67535810" w14:textId="77777777" w:rsidR="001B77DD" w:rsidRDefault="001B77DD">
            <w:pPr>
              <w:rPr>
                <w:rFonts w:ascii="宋体"/>
                <w:vanish/>
              </w:rPr>
            </w:pPr>
          </w:p>
        </w:tc>
      </w:tr>
      <w:tr w:rsidR="001B77DD" w14:paraId="67535814" w14:textId="77777777">
        <w:tc>
          <w:tcPr>
            <w:tcW w:w="0" w:type="auto"/>
            <w:gridSpan w:val="9"/>
            <w:shd w:val="clear" w:color="auto" w:fill="auto"/>
            <w:tcMar>
              <w:top w:w="40" w:type="dxa"/>
              <w:left w:w="155" w:type="dxa"/>
              <w:bottom w:w="40" w:type="dxa"/>
              <w:right w:w="20" w:type="dxa"/>
            </w:tcMar>
            <w:vAlign w:val="bottom"/>
          </w:tcPr>
          <w:p w14:paraId="67535812" w14:textId="77777777" w:rsidR="001B77DD" w:rsidRDefault="00BF0A28">
            <w:pPr>
              <w:textAlignment w:val="bottom"/>
            </w:pPr>
            <w:r>
              <w:rPr>
                <w:rFonts w:ascii="Arial" w:eastAsia="宋体" w:hAnsi="Arial" w:cs="Arial"/>
                <w:color w:val="0068B5"/>
                <w:sz w:val="18"/>
                <w:szCs w:val="18"/>
              </w:rPr>
              <w:t>Performance and Operations</w:t>
            </w:r>
          </w:p>
        </w:tc>
        <w:tc>
          <w:tcPr>
            <w:tcW w:w="0" w:type="auto"/>
            <w:gridSpan w:val="3"/>
            <w:shd w:val="clear" w:color="auto" w:fill="auto"/>
            <w:tcMar>
              <w:top w:w="0" w:type="dxa"/>
              <w:left w:w="20" w:type="dxa"/>
              <w:bottom w:w="0" w:type="dxa"/>
              <w:right w:w="20" w:type="dxa"/>
            </w:tcMar>
            <w:vAlign w:val="bottom"/>
          </w:tcPr>
          <w:p w14:paraId="67535813" w14:textId="77777777" w:rsidR="001B77DD" w:rsidRDefault="001B77DD">
            <w:pPr>
              <w:rPr>
                <w:rFonts w:ascii="宋体"/>
              </w:rPr>
            </w:pPr>
          </w:p>
        </w:tc>
      </w:tr>
      <w:tr w:rsidR="001B77DD" w14:paraId="67535817" w14:textId="77777777">
        <w:tc>
          <w:tcPr>
            <w:tcW w:w="0" w:type="auto"/>
            <w:gridSpan w:val="9"/>
            <w:shd w:val="clear" w:color="auto" w:fill="auto"/>
            <w:tcMar>
              <w:top w:w="40" w:type="dxa"/>
              <w:left w:w="245" w:type="dxa"/>
              <w:bottom w:w="40" w:type="dxa"/>
              <w:right w:w="20" w:type="dxa"/>
            </w:tcMar>
            <w:vAlign w:val="bottom"/>
          </w:tcPr>
          <w:p w14:paraId="67535815" w14:textId="77777777" w:rsidR="001B77DD" w:rsidRDefault="00BF0A28">
            <w:pPr>
              <w:textAlignment w:val="bottom"/>
            </w:pPr>
            <w:r>
              <w:rPr>
                <w:rFonts w:ascii="Arial" w:eastAsia="宋体" w:hAnsi="Arial" w:cs="Arial"/>
                <w:color w:val="262626"/>
                <w:sz w:val="18"/>
                <w:szCs w:val="18"/>
              </w:rPr>
              <w:t>Note 3: Operating Segments</w:t>
            </w:r>
          </w:p>
        </w:tc>
        <w:tc>
          <w:tcPr>
            <w:tcW w:w="0" w:type="auto"/>
            <w:gridSpan w:val="3"/>
            <w:shd w:val="clear" w:color="auto" w:fill="auto"/>
            <w:tcMar>
              <w:top w:w="40" w:type="dxa"/>
              <w:left w:w="20" w:type="dxa"/>
              <w:bottom w:w="40" w:type="dxa"/>
              <w:right w:w="20" w:type="dxa"/>
            </w:tcMar>
            <w:vAlign w:val="bottom"/>
          </w:tcPr>
          <w:p w14:paraId="67535816" w14:textId="77777777" w:rsidR="001B77DD" w:rsidRDefault="00BF0A28">
            <w:pPr>
              <w:jc w:val="center"/>
              <w:textAlignment w:val="bottom"/>
            </w:pPr>
            <w:hyperlink r:id="rId135" w:anchor="i6c9ced68f6b24d58a3dcf326e8c3c699_343" w:history="1">
              <w:r>
                <w:rPr>
                  <w:rStyle w:val="a5"/>
                  <w:rFonts w:ascii="Arial" w:eastAsia="宋体" w:hAnsi="Arial" w:cs="Arial"/>
                  <w:color w:val="262626"/>
                  <w:sz w:val="18"/>
                  <w:szCs w:val="18"/>
                  <w:u w:val="none"/>
                </w:rPr>
                <w:t>82</w:t>
              </w:r>
            </w:hyperlink>
          </w:p>
        </w:tc>
      </w:tr>
      <w:tr w:rsidR="001B77DD" w14:paraId="6753581A" w14:textId="77777777">
        <w:tc>
          <w:tcPr>
            <w:tcW w:w="0" w:type="auto"/>
            <w:gridSpan w:val="9"/>
            <w:shd w:val="clear" w:color="auto" w:fill="auto"/>
            <w:tcMar>
              <w:top w:w="40" w:type="dxa"/>
              <w:left w:w="245" w:type="dxa"/>
              <w:bottom w:w="40" w:type="dxa"/>
              <w:right w:w="20" w:type="dxa"/>
            </w:tcMar>
            <w:vAlign w:val="bottom"/>
          </w:tcPr>
          <w:p w14:paraId="67535818" w14:textId="77777777" w:rsidR="001B77DD" w:rsidRDefault="00BF0A28">
            <w:pPr>
              <w:textAlignment w:val="bottom"/>
            </w:pPr>
            <w:r>
              <w:rPr>
                <w:rFonts w:ascii="Arial" w:eastAsia="宋体" w:hAnsi="Arial" w:cs="Arial"/>
                <w:color w:val="262626"/>
                <w:sz w:val="18"/>
                <w:szCs w:val="18"/>
              </w:rPr>
              <w:t>Note 4: Earnings Per Share</w:t>
            </w:r>
          </w:p>
        </w:tc>
        <w:tc>
          <w:tcPr>
            <w:tcW w:w="0" w:type="auto"/>
            <w:gridSpan w:val="3"/>
            <w:shd w:val="clear" w:color="auto" w:fill="auto"/>
            <w:tcMar>
              <w:top w:w="40" w:type="dxa"/>
              <w:left w:w="20" w:type="dxa"/>
              <w:bottom w:w="40" w:type="dxa"/>
              <w:right w:w="20" w:type="dxa"/>
            </w:tcMar>
            <w:vAlign w:val="bottom"/>
          </w:tcPr>
          <w:p w14:paraId="67535819" w14:textId="77777777" w:rsidR="001B77DD" w:rsidRDefault="00BF0A28">
            <w:pPr>
              <w:jc w:val="center"/>
              <w:textAlignment w:val="bottom"/>
            </w:pPr>
            <w:hyperlink r:id="rId136" w:anchor="i6c9ced68f6b24d58a3dcf326e8c3c699_355" w:history="1">
              <w:r>
                <w:rPr>
                  <w:rStyle w:val="a5"/>
                  <w:rFonts w:ascii="Arial" w:eastAsia="宋体" w:hAnsi="Arial" w:cs="Arial"/>
                  <w:color w:val="262626"/>
                  <w:sz w:val="18"/>
                  <w:szCs w:val="18"/>
                  <w:u w:val="none"/>
                </w:rPr>
                <w:t>85</w:t>
              </w:r>
            </w:hyperlink>
          </w:p>
        </w:tc>
      </w:tr>
      <w:tr w:rsidR="001B77DD" w14:paraId="6753581D" w14:textId="77777777">
        <w:tc>
          <w:tcPr>
            <w:tcW w:w="0" w:type="auto"/>
            <w:gridSpan w:val="9"/>
            <w:shd w:val="clear" w:color="auto" w:fill="auto"/>
            <w:tcMar>
              <w:top w:w="40" w:type="dxa"/>
              <w:left w:w="245" w:type="dxa"/>
              <w:bottom w:w="40" w:type="dxa"/>
              <w:right w:w="20" w:type="dxa"/>
            </w:tcMar>
            <w:vAlign w:val="bottom"/>
          </w:tcPr>
          <w:p w14:paraId="6753581B" w14:textId="77777777" w:rsidR="001B77DD" w:rsidRDefault="00BF0A28">
            <w:pPr>
              <w:textAlignment w:val="bottom"/>
            </w:pPr>
            <w:r>
              <w:rPr>
                <w:rFonts w:ascii="Arial" w:eastAsia="宋体" w:hAnsi="Arial" w:cs="Arial"/>
                <w:color w:val="262626"/>
                <w:sz w:val="18"/>
                <w:szCs w:val="18"/>
              </w:rPr>
              <w:t xml:space="preserve">Note 5: Contract Liabilities </w:t>
            </w:r>
          </w:p>
        </w:tc>
        <w:tc>
          <w:tcPr>
            <w:tcW w:w="0" w:type="auto"/>
            <w:gridSpan w:val="3"/>
            <w:shd w:val="clear" w:color="auto" w:fill="auto"/>
            <w:tcMar>
              <w:top w:w="40" w:type="dxa"/>
              <w:left w:w="20" w:type="dxa"/>
              <w:bottom w:w="40" w:type="dxa"/>
              <w:right w:w="20" w:type="dxa"/>
            </w:tcMar>
            <w:vAlign w:val="bottom"/>
          </w:tcPr>
          <w:p w14:paraId="6753581C" w14:textId="77777777" w:rsidR="001B77DD" w:rsidRDefault="00BF0A28">
            <w:pPr>
              <w:jc w:val="center"/>
              <w:textAlignment w:val="bottom"/>
            </w:pPr>
            <w:hyperlink r:id="rId137" w:anchor="i6c9ced68f6b24d58a3dcf326e8c3c699_358" w:history="1">
              <w:r>
                <w:rPr>
                  <w:rStyle w:val="a5"/>
                  <w:rFonts w:ascii="Arial" w:eastAsia="宋体" w:hAnsi="Arial" w:cs="Arial"/>
                  <w:color w:val="262626"/>
                  <w:sz w:val="18"/>
                  <w:szCs w:val="18"/>
                  <w:u w:val="none"/>
                </w:rPr>
                <w:t>85</w:t>
              </w:r>
            </w:hyperlink>
          </w:p>
        </w:tc>
      </w:tr>
      <w:tr w:rsidR="001B77DD" w14:paraId="67535820" w14:textId="77777777">
        <w:tc>
          <w:tcPr>
            <w:tcW w:w="0" w:type="auto"/>
            <w:gridSpan w:val="9"/>
            <w:shd w:val="clear" w:color="auto" w:fill="auto"/>
            <w:tcMar>
              <w:top w:w="40" w:type="dxa"/>
              <w:left w:w="245" w:type="dxa"/>
              <w:bottom w:w="40" w:type="dxa"/>
              <w:right w:w="20" w:type="dxa"/>
            </w:tcMar>
            <w:vAlign w:val="bottom"/>
          </w:tcPr>
          <w:p w14:paraId="6753581E" w14:textId="77777777" w:rsidR="001B77DD" w:rsidRDefault="00BF0A28">
            <w:pPr>
              <w:textAlignment w:val="bottom"/>
            </w:pPr>
            <w:r>
              <w:rPr>
                <w:rFonts w:ascii="Arial" w:eastAsia="宋体" w:hAnsi="Arial" w:cs="Arial"/>
                <w:color w:val="262626"/>
                <w:sz w:val="18"/>
                <w:szCs w:val="18"/>
              </w:rPr>
              <w:t>Note 6: Other Financial Statement Details</w:t>
            </w:r>
          </w:p>
        </w:tc>
        <w:tc>
          <w:tcPr>
            <w:tcW w:w="0" w:type="auto"/>
            <w:gridSpan w:val="3"/>
            <w:shd w:val="clear" w:color="auto" w:fill="auto"/>
            <w:tcMar>
              <w:top w:w="40" w:type="dxa"/>
              <w:left w:w="20" w:type="dxa"/>
              <w:bottom w:w="40" w:type="dxa"/>
              <w:right w:w="20" w:type="dxa"/>
            </w:tcMar>
            <w:vAlign w:val="bottom"/>
          </w:tcPr>
          <w:p w14:paraId="6753581F" w14:textId="77777777" w:rsidR="001B77DD" w:rsidRDefault="00BF0A28">
            <w:pPr>
              <w:jc w:val="center"/>
              <w:textAlignment w:val="bottom"/>
            </w:pPr>
            <w:hyperlink r:id="rId138" w:anchor="i6c9ced68f6b24d58a3dcf326e8c3c699_361" w:history="1">
              <w:r>
                <w:rPr>
                  <w:rStyle w:val="a5"/>
                  <w:rFonts w:ascii="Arial" w:eastAsia="宋体" w:hAnsi="Arial" w:cs="Arial"/>
                  <w:color w:val="262626"/>
                  <w:sz w:val="18"/>
                  <w:szCs w:val="18"/>
                  <w:u w:val="none"/>
                </w:rPr>
                <w:t>86</w:t>
              </w:r>
            </w:hyperlink>
          </w:p>
        </w:tc>
      </w:tr>
      <w:tr w:rsidR="001B77DD" w14:paraId="67535823" w14:textId="77777777">
        <w:tc>
          <w:tcPr>
            <w:tcW w:w="0" w:type="auto"/>
            <w:gridSpan w:val="9"/>
            <w:shd w:val="clear" w:color="auto" w:fill="auto"/>
            <w:tcMar>
              <w:top w:w="40" w:type="dxa"/>
              <w:left w:w="245" w:type="dxa"/>
              <w:bottom w:w="40" w:type="dxa"/>
              <w:right w:w="20" w:type="dxa"/>
            </w:tcMar>
            <w:vAlign w:val="bottom"/>
          </w:tcPr>
          <w:p w14:paraId="67535821" w14:textId="77777777" w:rsidR="001B77DD" w:rsidRDefault="00BF0A28">
            <w:pPr>
              <w:textAlignment w:val="bottom"/>
            </w:pPr>
            <w:r>
              <w:rPr>
                <w:rFonts w:ascii="Arial" w:eastAsia="宋体" w:hAnsi="Arial" w:cs="Arial"/>
                <w:color w:val="262626"/>
                <w:sz w:val="18"/>
                <w:szCs w:val="18"/>
              </w:rPr>
              <w:t>Note 7: Restructuring and Other Charges</w:t>
            </w:r>
          </w:p>
        </w:tc>
        <w:tc>
          <w:tcPr>
            <w:tcW w:w="0" w:type="auto"/>
            <w:gridSpan w:val="3"/>
            <w:shd w:val="clear" w:color="auto" w:fill="auto"/>
            <w:tcMar>
              <w:top w:w="40" w:type="dxa"/>
              <w:left w:w="20" w:type="dxa"/>
              <w:bottom w:w="40" w:type="dxa"/>
              <w:right w:w="20" w:type="dxa"/>
            </w:tcMar>
            <w:vAlign w:val="bottom"/>
          </w:tcPr>
          <w:p w14:paraId="67535822" w14:textId="77777777" w:rsidR="001B77DD" w:rsidRDefault="00BF0A28">
            <w:pPr>
              <w:jc w:val="center"/>
              <w:textAlignment w:val="bottom"/>
            </w:pPr>
            <w:hyperlink r:id="rId139" w:anchor="i6c9ced68f6b24d58a3dcf326e8c3c699_391" w:history="1">
              <w:r>
                <w:rPr>
                  <w:rStyle w:val="a5"/>
                  <w:rFonts w:ascii="Arial" w:eastAsia="宋体" w:hAnsi="Arial" w:cs="Arial"/>
                  <w:color w:val="262626"/>
                  <w:sz w:val="18"/>
                  <w:szCs w:val="18"/>
                  <w:u w:val="none"/>
                </w:rPr>
                <w:t>87</w:t>
              </w:r>
            </w:hyperlink>
          </w:p>
        </w:tc>
      </w:tr>
      <w:tr w:rsidR="001B77DD" w14:paraId="67535826" w14:textId="77777777">
        <w:tc>
          <w:tcPr>
            <w:tcW w:w="0" w:type="auto"/>
            <w:gridSpan w:val="9"/>
            <w:shd w:val="clear" w:color="auto" w:fill="auto"/>
            <w:tcMar>
              <w:top w:w="40" w:type="dxa"/>
              <w:left w:w="245" w:type="dxa"/>
              <w:bottom w:w="40" w:type="dxa"/>
              <w:right w:w="20" w:type="dxa"/>
            </w:tcMar>
            <w:vAlign w:val="bottom"/>
          </w:tcPr>
          <w:p w14:paraId="67535824" w14:textId="77777777" w:rsidR="001B77DD" w:rsidRDefault="00BF0A28">
            <w:pPr>
              <w:textAlignment w:val="bottom"/>
            </w:pPr>
            <w:r>
              <w:rPr>
                <w:rFonts w:ascii="Arial" w:eastAsia="宋体" w:hAnsi="Arial" w:cs="Arial"/>
                <w:color w:val="262626"/>
                <w:sz w:val="18"/>
                <w:szCs w:val="18"/>
              </w:rPr>
              <w:t>Note 8: Income Taxes</w:t>
            </w:r>
          </w:p>
        </w:tc>
        <w:tc>
          <w:tcPr>
            <w:tcW w:w="0" w:type="auto"/>
            <w:gridSpan w:val="3"/>
            <w:shd w:val="clear" w:color="auto" w:fill="auto"/>
            <w:tcMar>
              <w:top w:w="40" w:type="dxa"/>
              <w:left w:w="20" w:type="dxa"/>
              <w:bottom w:w="40" w:type="dxa"/>
              <w:right w:w="20" w:type="dxa"/>
            </w:tcMar>
            <w:vAlign w:val="bottom"/>
          </w:tcPr>
          <w:p w14:paraId="67535825" w14:textId="77777777" w:rsidR="001B77DD" w:rsidRDefault="00BF0A28">
            <w:pPr>
              <w:jc w:val="center"/>
              <w:textAlignment w:val="bottom"/>
            </w:pPr>
            <w:hyperlink r:id="rId140" w:anchor="i6c9ced68f6b24d58a3dcf326e8c3c699_394" w:history="1">
              <w:r>
                <w:rPr>
                  <w:rStyle w:val="a5"/>
                  <w:rFonts w:ascii="Arial" w:eastAsia="宋体" w:hAnsi="Arial" w:cs="Arial"/>
                  <w:color w:val="262626"/>
                  <w:sz w:val="18"/>
                  <w:szCs w:val="18"/>
                  <w:u w:val="none"/>
                </w:rPr>
                <w:t>87</w:t>
              </w:r>
            </w:hyperlink>
          </w:p>
        </w:tc>
      </w:tr>
      <w:tr w:rsidR="001B77DD" w14:paraId="67535829" w14:textId="77777777">
        <w:tc>
          <w:tcPr>
            <w:tcW w:w="0" w:type="auto"/>
            <w:gridSpan w:val="9"/>
            <w:shd w:val="clear" w:color="auto" w:fill="auto"/>
            <w:tcMar>
              <w:top w:w="40" w:type="dxa"/>
              <w:left w:w="155" w:type="dxa"/>
              <w:bottom w:w="40" w:type="dxa"/>
              <w:right w:w="20" w:type="dxa"/>
            </w:tcMar>
            <w:vAlign w:val="bottom"/>
          </w:tcPr>
          <w:p w14:paraId="67535827" w14:textId="77777777" w:rsidR="001B77DD" w:rsidRDefault="00BF0A28">
            <w:pPr>
              <w:textAlignment w:val="bottom"/>
            </w:pPr>
            <w:r>
              <w:rPr>
                <w:rFonts w:ascii="Arial" w:eastAsia="宋体" w:hAnsi="Arial" w:cs="Arial"/>
                <w:color w:val="0068B5"/>
                <w:sz w:val="18"/>
                <w:szCs w:val="18"/>
              </w:rPr>
              <w:t>Investments, Long-term Assets, and Debt</w:t>
            </w:r>
          </w:p>
        </w:tc>
        <w:tc>
          <w:tcPr>
            <w:tcW w:w="0" w:type="auto"/>
            <w:gridSpan w:val="3"/>
            <w:shd w:val="clear" w:color="auto" w:fill="auto"/>
            <w:tcMar>
              <w:top w:w="0" w:type="dxa"/>
              <w:left w:w="20" w:type="dxa"/>
              <w:bottom w:w="0" w:type="dxa"/>
              <w:right w:w="20" w:type="dxa"/>
            </w:tcMar>
            <w:vAlign w:val="bottom"/>
          </w:tcPr>
          <w:p w14:paraId="67535828" w14:textId="77777777" w:rsidR="001B77DD" w:rsidRDefault="001B77DD">
            <w:pPr>
              <w:rPr>
                <w:rFonts w:ascii="宋体"/>
              </w:rPr>
            </w:pPr>
          </w:p>
        </w:tc>
      </w:tr>
      <w:tr w:rsidR="001B77DD" w14:paraId="6753582C" w14:textId="77777777">
        <w:tc>
          <w:tcPr>
            <w:tcW w:w="0" w:type="auto"/>
            <w:gridSpan w:val="9"/>
            <w:shd w:val="clear" w:color="auto" w:fill="auto"/>
            <w:tcMar>
              <w:top w:w="40" w:type="dxa"/>
              <w:left w:w="245" w:type="dxa"/>
              <w:bottom w:w="40" w:type="dxa"/>
              <w:right w:w="20" w:type="dxa"/>
            </w:tcMar>
            <w:vAlign w:val="bottom"/>
          </w:tcPr>
          <w:p w14:paraId="6753582A" w14:textId="77777777" w:rsidR="001B77DD" w:rsidRDefault="00BF0A28">
            <w:pPr>
              <w:textAlignment w:val="bottom"/>
            </w:pPr>
            <w:r>
              <w:rPr>
                <w:rFonts w:ascii="Arial" w:eastAsia="宋体" w:hAnsi="Arial" w:cs="Arial"/>
                <w:color w:val="262626"/>
                <w:sz w:val="18"/>
                <w:szCs w:val="18"/>
              </w:rPr>
              <w:t>Note 9: Investments</w:t>
            </w:r>
          </w:p>
        </w:tc>
        <w:tc>
          <w:tcPr>
            <w:tcW w:w="0" w:type="auto"/>
            <w:gridSpan w:val="3"/>
            <w:shd w:val="clear" w:color="auto" w:fill="auto"/>
            <w:tcMar>
              <w:top w:w="40" w:type="dxa"/>
              <w:left w:w="20" w:type="dxa"/>
              <w:bottom w:w="40" w:type="dxa"/>
              <w:right w:w="20" w:type="dxa"/>
            </w:tcMar>
            <w:vAlign w:val="bottom"/>
          </w:tcPr>
          <w:p w14:paraId="6753582B" w14:textId="77777777" w:rsidR="001B77DD" w:rsidRDefault="00BF0A28">
            <w:pPr>
              <w:jc w:val="center"/>
              <w:textAlignment w:val="bottom"/>
            </w:pPr>
            <w:hyperlink r:id="rId141" w:anchor="i6c9ced68f6b24d58a3dcf326e8c3c699_397" w:history="1">
              <w:r>
                <w:rPr>
                  <w:rStyle w:val="a5"/>
                  <w:rFonts w:ascii="Arial" w:eastAsia="宋体" w:hAnsi="Arial" w:cs="Arial"/>
                  <w:color w:val="262626"/>
                  <w:sz w:val="18"/>
                  <w:szCs w:val="18"/>
                  <w:u w:val="none"/>
                </w:rPr>
                <w:t>90</w:t>
              </w:r>
            </w:hyperlink>
          </w:p>
        </w:tc>
      </w:tr>
      <w:tr w:rsidR="001B77DD" w14:paraId="6753582F" w14:textId="77777777">
        <w:tc>
          <w:tcPr>
            <w:tcW w:w="0" w:type="auto"/>
            <w:gridSpan w:val="9"/>
            <w:shd w:val="clear" w:color="auto" w:fill="auto"/>
            <w:tcMar>
              <w:top w:w="40" w:type="dxa"/>
              <w:left w:w="245" w:type="dxa"/>
              <w:bottom w:w="40" w:type="dxa"/>
              <w:right w:w="20" w:type="dxa"/>
            </w:tcMar>
            <w:vAlign w:val="bottom"/>
          </w:tcPr>
          <w:p w14:paraId="6753582D" w14:textId="77777777" w:rsidR="001B77DD" w:rsidRDefault="00BF0A28">
            <w:pPr>
              <w:textAlignment w:val="bottom"/>
            </w:pPr>
            <w:r>
              <w:rPr>
                <w:rFonts w:ascii="Arial" w:eastAsia="宋体" w:hAnsi="Arial" w:cs="Arial"/>
                <w:color w:val="262626"/>
                <w:sz w:val="18"/>
                <w:szCs w:val="18"/>
              </w:rPr>
              <w:t>Note 10: Acquisitions and Divestitures</w:t>
            </w:r>
          </w:p>
        </w:tc>
        <w:tc>
          <w:tcPr>
            <w:tcW w:w="0" w:type="auto"/>
            <w:gridSpan w:val="3"/>
            <w:shd w:val="clear" w:color="auto" w:fill="auto"/>
            <w:tcMar>
              <w:top w:w="40" w:type="dxa"/>
              <w:left w:w="20" w:type="dxa"/>
              <w:bottom w:w="40" w:type="dxa"/>
              <w:right w:w="20" w:type="dxa"/>
            </w:tcMar>
            <w:vAlign w:val="bottom"/>
          </w:tcPr>
          <w:p w14:paraId="6753582E" w14:textId="77777777" w:rsidR="001B77DD" w:rsidRDefault="00BF0A28">
            <w:pPr>
              <w:jc w:val="center"/>
              <w:textAlignment w:val="bottom"/>
            </w:pPr>
            <w:hyperlink r:id="rId142" w:anchor="i6c9ced68f6b24d58a3dcf326e8c3c699_400" w:history="1">
              <w:r>
                <w:rPr>
                  <w:rStyle w:val="a5"/>
                  <w:rFonts w:ascii="Arial" w:eastAsia="宋体" w:hAnsi="Arial" w:cs="Arial"/>
                  <w:color w:val="262626"/>
                  <w:sz w:val="18"/>
                  <w:szCs w:val="18"/>
                  <w:u w:val="none"/>
                </w:rPr>
                <w:t>91</w:t>
              </w:r>
            </w:hyperlink>
          </w:p>
        </w:tc>
      </w:tr>
      <w:tr w:rsidR="001B77DD" w14:paraId="67535832" w14:textId="77777777">
        <w:tc>
          <w:tcPr>
            <w:tcW w:w="0" w:type="auto"/>
            <w:gridSpan w:val="9"/>
            <w:shd w:val="clear" w:color="auto" w:fill="auto"/>
            <w:tcMar>
              <w:top w:w="40" w:type="dxa"/>
              <w:left w:w="245" w:type="dxa"/>
              <w:bottom w:w="40" w:type="dxa"/>
              <w:right w:w="20" w:type="dxa"/>
            </w:tcMar>
            <w:vAlign w:val="bottom"/>
          </w:tcPr>
          <w:p w14:paraId="67535830" w14:textId="77777777" w:rsidR="001B77DD" w:rsidRDefault="00BF0A28">
            <w:pPr>
              <w:textAlignment w:val="bottom"/>
            </w:pPr>
            <w:r>
              <w:rPr>
                <w:rFonts w:ascii="Arial" w:eastAsia="宋体" w:hAnsi="Arial" w:cs="Arial"/>
                <w:color w:val="262626"/>
                <w:sz w:val="18"/>
                <w:szCs w:val="18"/>
              </w:rPr>
              <w:t>Note 11: Goodwill</w:t>
            </w:r>
          </w:p>
        </w:tc>
        <w:tc>
          <w:tcPr>
            <w:tcW w:w="0" w:type="auto"/>
            <w:gridSpan w:val="3"/>
            <w:shd w:val="clear" w:color="auto" w:fill="auto"/>
            <w:tcMar>
              <w:top w:w="40" w:type="dxa"/>
              <w:left w:w="20" w:type="dxa"/>
              <w:bottom w:w="40" w:type="dxa"/>
              <w:right w:w="20" w:type="dxa"/>
            </w:tcMar>
            <w:vAlign w:val="bottom"/>
          </w:tcPr>
          <w:p w14:paraId="67535831" w14:textId="77777777" w:rsidR="001B77DD" w:rsidRDefault="00BF0A28">
            <w:pPr>
              <w:jc w:val="center"/>
              <w:textAlignment w:val="bottom"/>
            </w:pPr>
            <w:hyperlink r:id="rId143" w:anchor="i6c9ced68f6b24d58a3dcf326e8c3c699_406" w:history="1">
              <w:r>
                <w:rPr>
                  <w:rStyle w:val="a5"/>
                  <w:rFonts w:ascii="Arial" w:eastAsia="宋体" w:hAnsi="Arial" w:cs="Arial"/>
                  <w:color w:val="262626"/>
                  <w:sz w:val="18"/>
                  <w:szCs w:val="18"/>
                  <w:u w:val="none"/>
                </w:rPr>
                <w:t>93</w:t>
              </w:r>
            </w:hyperlink>
          </w:p>
        </w:tc>
      </w:tr>
      <w:tr w:rsidR="001B77DD" w14:paraId="67535835" w14:textId="77777777">
        <w:tc>
          <w:tcPr>
            <w:tcW w:w="0" w:type="auto"/>
            <w:gridSpan w:val="9"/>
            <w:shd w:val="clear" w:color="auto" w:fill="auto"/>
            <w:tcMar>
              <w:top w:w="40" w:type="dxa"/>
              <w:left w:w="245" w:type="dxa"/>
              <w:bottom w:w="40" w:type="dxa"/>
              <w:right w:w="20" w:type="dxa"/>
            </w:tcMar>
            <w:vAlign w:val="bottom"/>
          </w:tcPr>
          <w:p w14:paraId="67535833" w14:textId="77777777" w:rsidR="001B77DD" w:rsidRDefault="00BF0A28">
            <w:pPr>
              <w:textAlignment w:val="bottom"/>
            </w:pPr>
            <w:r>
              <w:rPr>
                <w:rFonts w:ascii="Arial" w:eastAsia="宋体" w:hAnsi="Arial" w:cs="Arial"/>
                <w:color w:val="262626"/>
                <w:sz w:val="18"/>
                <w:szCs w:val="18"/>
              </w:rPr>
              <w:t>Note 12: Identified Intangible Assets</w:t>
            </w:r>
          </w:p>
        </w:tc>
        <w:tc>
          <w:tcPr>
            <w:tcW w:w="0" w:type="auto"/>
            <w:gridSpan w:val="3"/>
            <w:shd w:val="clear" w:color="auto" w:fill="auto"/>
            <w:tcMar>
              <w:top w:w="40" w:type="dxa"/>
              <w:left w:w="20" w:type="dxa"/>
              <w:bottom w:w="40" w:type="dxa"/>
              <w:right w:w="20" w:type="dxa"/>
            </w:tcMar>
            <w:vAlign w:val="bottom"/>
          </w:tcPr>
          <w:p w14:paraId="67535834" w14:textId="77777777" w:rsidR="001B77DD" w:rsidRDefault="00BF0A28">
            <w:pPr>
              <w:jc w:val="center"/>
              <w:textAlignment w:val="bottom"/>
            </w:pPr>
            <w:hyperlink r:id="rId144" w:anchor="i6c9ced68f6b24d58a3dcf326e8c3c699_409" w:history="1">
              <w:r>
                <w:rPr>
                  <w:rStyle w:val="a5"/>
                  <w:rFonts w:ascii="Arial" w:eastAsia="宋体" w:hAnsi="Arial" w:cs="Arial"/>
                  <w:color w:val="262626"/>
                  <w:sz w:val="18"/>
                  <w:szCs w:val="18"/>
                  <w:u w:val="none"/>
                </w:rPr>
                <w:t>93</w:t>
              </w:r>
            </w:hyperlink>
          </w:p>
        </w:tc>
      </w:tr>
      <w:tr w:rsidR="001B77DD" w14:paraId="6753583A" w14:textId="77777777">
        <w:trPr>
          <w:hidden/>
        </w:trPr>
        <w:tc>
          <w:tcPr>
            <w:tcW w:w="0" w:type="auto"/>
            <w:gridSpan w:val="3"/>
            <w:shd w:val="clear" w:color="auto" w:fill="auto"/>
            <w:vAlign w:val="bottom"/>
          </w:tcPr>
          <w:p w14:paraId="67535836" w14:textId="77777777" w:rsidR="001B77DD" w:rsidRDefault="001B77DD">
            <w:pPr>
              <w:rPr>
                <w:rFonts w:ascii="宋体"/>
                <w:vanish/>
              </w:rPr>
            </w:pPr>
          </w:p>
        </w:tc>
        <w:tc>
          <w:tcPr>
            <w:tcW w:w="0" w:type="auto"/>
            <w:gridSpan w:val="3"/>
            <w:shd w:val="clear" w:color="auto" w:fill="auto"/>
            <w:vAlign w:val="bottom"/>
          </w:tcPr>
          <w:p w14:paraId="67535837" w14:textId="77777777" w:rsidR="001B77DD" w:rsidRDefault="001B77DD">
            <w:pPr>
              <w:rPr>
                <w:rFonts w:ascii="宋体"/>
                <w:vanish/>
              </w:rPr>
            </w:pPr>
          </w:p>
        </w:tc>
        <w:tc>
          <w:tcPr>
            <w:tcW w:w="0" w:type="auto"/>
            <w:gridSpan w:val="3"/>
            <w:shd w:val="clear" w:color="auto" w:fill="auto"/>
            <w:vAlign w:val="bottom"/>
          </w:tcPr>
          <w:p w14:paraId="67535838" w14:textId="77777777" w:rsidR="001B77DD" w:rsidRDefault="001B77DD">
            <w:pPr>
              <w:rPr>
                <w:rFonts w:ascii="宋体"/>
                <w:vanish/>
              </w:rPr>
            </w:pPr>
          </w:p>
        </w:tc>
        <w:tc>
          <w:tcPr>
            <w:tcW w:w="0" w:type="auto"/>
            <w:gridSpan w:val="3"/>
            <w:shd w:val="clear" w:color="auto" w:fill="auto"/>
            <w:vAlign w:val="bottom"/>
          </w:tcPr>
          <w:p w14:paraId="67535839" w14:textId="77777777" w:rsidR="001B77DD" w:rsidRDefault="001B77DD">
            <w:pPr>
              <w:rPr>
                <w:rFonts w:ascii="宋体"/>
                <w:vanish/>
              </w:rPr>
            </w:pPr>
          </w:p>
        </w:tc>
      </w:tr>
      <w:tr w:rsidR="001B77DD" w14:paraId="6753583D" w14:textId="77777777">
        <w:tc>
          <w:tcPr>
            <w:tcW w:w="0" w:type="auto"/>
            <w:gridSpan w:val="9"/>
            <w:shd w:val="clear" w:color="auto" w:fill="auto"/>
            <w:tcMar>
              <w:top w:w="40" w:type="dxa"/>
              <w:left w:w="245" w:type="dxa"/>
              <w:bottom w:w="40" w:type="dxa"/>
              <w:right w:w="20" w:type="dxa"/>
            </w:tcMar>
            <w:vAlign w:val="bottom"/>
          </w:tcPr>
          <w:p w14:paraId="6753583B" w14:textId="77777777" w:rsidR="001B77DD" w:rsidRDefault="00BF0A28">
            <w:pPr>
              <w:textAlignment w:val="bottom"/>
            </w:pPr>
            <w:r>
              <w:rPr>
                <w:rFonts w:ascii="Arial" w:eastAsia="宋体" w:hAnsi="Arial" w:cs="Arial"/>
                <w:color w:val="262626"/>
                <w:sz w:val="18"/>
                <w:szCs w:val="18"/>
              </w:rPr>
              <w:t>Note 13: Borrowings</w:t>
            </w:r>
          </w:p>
        </w:tc>
        <w:tc>
          <w:tcPr>
            <w:tcW w:w="0" w:type="auto"/>
            <w:gridSpan w:val="3"/>
            <w:shd w:val="clear" w:color="auto" w:fill="auto"/>
            <w:tcMar>
              <w:top w:w="40" w:type="dxa"/>
              <w:left w:w="20" w:type="dxa"/>
              <w:bottom w:w="40" w:type="dxa"/>
              <w:right w:w="20" w:type="dxa"/>
            </w:tcMar>
            <w:vAlign w:val="bottom"/>
          </w:tcPr>
          <w:p w14:paraId="6753583C" w14:textId="77777777" w:rsidR="001B77DD" w:rsidRDefault="00BF0A28">
            <w:pPr>
              <w:jc w:val="center"/>
              <w:textAlignment w:val="bottom"/>
            </w:pPr>
            <w:hyperlink r:id="rId145" w:anchor="i6c9ced68f6b24d58a3dcf326e8c3c699_412" w:history="1">
              <w:r>
                <w:rPr>
                  <w:rStyle w:val="a5"/>
                  <w:rFonts w:ascii="Arial" w:eastAsia="宋体" w:hAnsi="Arial" w:cs="Arial"/>
                  <w:color w:val="262626"/>
                  <w:sz w:val="18"/>
                  <w:szCs w:val="18"/>
                  <w:u w:val="none"/>
                </w:rPr>
                <w:t>94</w:t>
              </w:r>
            </w:hyperlink>
          </w:p>
        </w:tc>
      </w:tr>
      <w:tr w:rsidR="001B77DD" w14:paraId="67535840" w14:textId="77777777">
        <w:tc>
          <w:tcPr>
            <w:tcW w:w="0" w:type="auto"/>
            <w:gridSpan w:val="9"/>
            <w:shd w:val="clear" w:color="auto" w:fill="auto"/>
            <w:tcMar>
              <w:top w:w="40" w:type="dxa"/>
              <w:left w:w="245" w:type="dxa"/>
              <w:bottom w:w="40" w:type="dxa"/>
              <w:right w:w="20" w:type="dxa"/>
            </w:tcMar>
            <w:vAlign w:val="bottom"/>
          </w:tcPr>
          <w:p w14:paraId="6753583E" w14:textId="77777777" w:rsidR="001B77DD" w:rsidRDefault="00BF0A28">
            <w:pPr>
              <w:textAlignment w:val="bottom"/>
            </w:pPr>
            <w:r>
              <w:rPr>
                <w:rFonts w:ascii="Arial" w:eastAsia="宋体" w:hAnsi="Arial" w:cs="Arial"/>
                <w:color w:val="262626"/>
                <w:sz w:val="18"/>
                <w:szCs w:val="18"/>
              </w:rPr>
              <w:t>Note 14: Fair Value</w:t>
            </w:r>
          </w:p>
        </w:tc>
        <w:tc>
          <w:tcPr>
            <w:tcW w:w="0" w:type="auto"/>
            <w:gridSpan w:val="3"/>
            <w:shd w:val="clear" w:color="auto" w:fill="auto"/>
            <w:tcMar>
              <w:top w:w="40" w:type="dxa"/>
              <w:left w:w="20" w:type="dxa"/>
              <w:bottom w:w="40" w:type="dxa"/>
              <w:right w:w="20" w:type="dxa"/>
            </w:tcMar>
            <w:vAlign w:val="bottom"/>
          </w:tcPr>
          <w:p w14:paraId="6753583F" w14:textId="77777777" w:rsidR="001B77DD" w:rsidRDefault="00BF0A28">
            <w:pPr>
              <w:jc w:val="center"/>
              <w:textAlignment w:val="bottom"/>
            </w:pPr>
            <w:hyperlink r:id="rId146" w:anchor="i6c9ced68f6b24d58a3dcf326e8c3c699_418" w:history="1">
              <w:r>
                <w:rPr>
                  <w:rStyle w:val="a5"/>
                  <w:rFonts w:ascii="Arial" w:eastAsia="宋体" w:hAnsi="Arial" w:cs="Arial"/>
                  <w:color w:val="262626"/>
                  <w:sz w:val="18"/>
                  <w:szCs w:val="18"/>
                  <w:u w:val="none"/>
                </w:rPr>
                <w:t>97</w:t>
              </w:r>
            </w:hyperlink>
          </w:p>
        </w:tc>
      </w:tr>
      <w:tr w:rsidR="001B77DD" w14:paraId="67535843" w14:textId="77777777">
        <w:tc>
          <w:tcPr>
            <w:tcW w:w="0" w:type="auto"/>
            <w:gridSpan w:val="9"/>
            <w:shd w:val="clear" w:color="auto" w:fill="auto"/>
            <w:tcMar>
              <w:top w:w="40" w:type="dxa"/>
              <w:left w:w="155" w:type="dxa"/>
              <w:bottom w:w="40" w:type="dxa"/>
              <w:right w:w="20" w:type="dxa"/>
            </w:tcMar>
            <w:vAlign w:val="bottom"/>
          </w:tcPr>
          <w:p w14:paraId="67535841" w14:textId="77777777" w:rsidR="001B77DD" w:rsidRDefault="00BF0A28">
            <w:pPr>
              <w:textAlignment w:val="bottom"/>
            </w:pPr>
            <w:r>
              <w:rPr>
                <w:rFonts w:ascii="Arial" w:eastAsia="宋体" w:hAnsi="Arial" w:cs="Arial"/>
                <w:color w:val="0068B5"/>
                <w:sz w:val="18"/>
                <w:szCs w:val="18"/>
              </w:rPr>
              <w:t>Risk Management and Other</w:t>
            </w:r>
          </w:p>
        </w:tc>
        <w:tc>
          <w:tcPr>
            <w:tcW w:w="0" w:type="auto"/>
            <w:gridSpan w:val="3"/>
            <w:shd w:val="clear" w:color="auto" w:fill="auto"/>
            <w:tcMar>
              <w:top w:w="0" w:type="dxa"/>
              <w:left w:w="20" w:type="dxa"/>
              <w:bottom w:w="0" w:type="dxa"/>
              <w:right w:w="20" w:type="dxa"/>
            </w:tcMar>
            <w:vAlign w:val="bottom"/>
          </w:tcPr>
          <w:p w14:paraId="67535842" w14:textId="77777777" w:rsidR="001B77DD" w:rsidRDefault="001B77DD">
            <w:pPr>
              <w:rPr>
                <w:rFonts w:ascii="宋体"/>
              </w:rPr>
            </w:pPr>
          </w:p>
        </w:tc>
      </w:tr>
      <w:tr w:rsidR="001B77DD" w14:paraId="67535846" w14:textId="77777777">
        <w:tc>
          <w:tcPr>
            <w:tcW w:w="0" w:type="auto"/>
            <w:gridSpan w:val="9"/>
            <w:shd w:val="clear" w:color="auto" w:fill="auto"/>
            <w:tcMar>
              <w:top w:w="40" w:type="dxa"/>
              <w:left w:w="245" w:type="dxa"/>
              <w:bottom w:w="40" w:type="dxa"/>
              <w:right w:w="20" w:type="dxa"/>
            </w:tcMar>
            <w:vAlign w:val="bottom"/>
          </w:tcPr>
          <w:p w14:paraId="67535844" w14:textId="77777777" w:rsidR="001B77DD" w:rsidRDefault="00BF0A28">
            <w:pPr>
              <w:textAlignment w:val="bottom"/>
            </w:pPr>
            <w:r>
              <w:rPr>
                <w:rFonts w:ascii="Arial" w:eastAsia="宋体" w:hAnsi="Arial" w:cs="Arial"/>
                <w:color w:val="262626"/>
                <w:sz w:val="18"/>
                <w:szCs w:val="18"/>
              </w:rPr>
              <w:t>Note 15: Other Comprehensive Income (Loss)</w:t>
            </w:r>
          </w:p>
        </w:tc>
        <w:tc>
          <w:tcPr>
            <w:tcW w:w="0" w:type="auto"/>
            <w:gridSpan w:val="3"/>
            <w:shd w:val="clear" w:color="auto" w:fill="auto"/>
            <w:tcMar>
              <w:top w:w="40" w:type="dxa"/>
              <w:left w:w="20" w:type="dxa"/>
              <w:bottom w:w="40" w:type="dxa"/>
              <w:right w:w="20" w:type="dxa"/>
            </w:tcMar>
            <w:vAlign w:val="bottom"/>
          </w:tcPr>
          <w:p w14:paraId="67535845" w14:textId="77777777" w:rsidR="001B77DD" w:rsidRDefault="00BF0A28">
            <w:pPr>
              <w:jc w:val="center"/>
              <w:textAlignment w:val="bottom"/>
            </w:pPr>
            <w:hyperlink r:id="rId147" w:anchor="i6c9ced68f6b24d58a3dcf326e8c3c699_421" w:history="1">
              <w:r>
                <w:rPr>
                  <w:rStyle w:val="a5"/>
                  <w:rFonts w:ascii="Arial" w:eastAsia="宋体" w:hAnsi="Arial" w:cs="Arial"/>
                  <w:color w:val="262626"/>
                  <w:sz w:val="18"/>
                  <w:szCs w:val="18"/>
                  <w:u w:val="none"/>
                </w:rPr>
                <w:t>98</w:t>
              </w:r>
            </w:hyperlink>
          </w:p>
        </w:tc>
      </w:tr>
      <w:tr w:rsidR="001B77DD" w14:paraId="67535849" w14:textId="77777777">
        <w:tc>
          <w:tcPr>
            <w:tcW w:w="0" w:type="auto"/>
            <w:gridSpan w:val="9"/>
            <w:shd w:val="clear" w:color="auto" w:fill="auto"/>
            <w:tcMar>
              <w:top w:w="40" w:type="dxa"/>
              <w:left w:w="245" w:type="dxa"/>
              <w:bottom w:w="40" w:type="dxa"/>
              <w:right w:w="20" w:type="dxa"/>
            </w:tcMar>
            <w:vAlign w:val="bottom"/>
          </w:tcPr>
          <w:p w14:paraId="67535847" w14:textId="77777777" w:rsidR="001B77DD" w:rsidRDefault="00BF0A28">
            <w:pPr>
              <w:textAlignment w:val="bottom"/>
            </w:pPr>
            <w:r>
              <w:rPr>
                <w:rFonts w:ascii="Arial" w:eastAsia="宋体" w:hAnsi="Arial" w:cs="Arial"/>
                <w:color w:val="262626"/>
                <w:sz w:val="18"/>
                <w:szCs w:val="18"/>
              </w:rPr>
              <w:t>Note 16: Derivative Financial Instruments</w:t>
            </w:r>
          </w:p>
        </w:tc>
        <w:tc>
          <w:tcPr>
            <w:tcW w:w="0" w:type="auto"/>
            <w:gridSpan w:val="3"/>
            <w:shd w:val="clear" w:color="auto" w:fill="auto"/>
            <w:tcMar>
              <w:top w:w="40" w:type="dxa"/>
              <w:left w:w="20" w:type="dxa"/>
              <w:bottom w:w="40" w:type="dxa"/>
              <w:right w:w="20" w:type="dxa"/>
            </w:tcMar>
            <w:vAlign w:val="bottom"/>
          </w:tcPr>
          <w:p w14:paraId="67535848" w14:textId="77777777" w:rsidR="001B77DD" w:rsidRDefault="00BF0A28">
            <w:pPr>
              <w:jc w:val="center"/>
              <w:textAlignment w:val="bottom"/>
            </w:pPr>
            <w:hyperlink r:id="rId148" w:anchor="i6c9ced68f6b24d58a3dcf326e8c3c699_424" w:history="1">
              <w:r>
                <w:rPr>
                  <w:rStyle w:val="a5"/>
                  <w:rFonts w:ascii="Arial" w:eastAsia="宋体" w:hAnsi="Arial" w:cs="Arial"/>
                  <w:color w:val="262626"/>
                  <w:sz w:val="18"/>
                  <w:szCs w:val="18"/>
                  <w:u w:val="none"/>
                </w:rPr>
                <w:t>99</w:t>
              </w:r>
            </w:hyperlink>
          </w:p>
        </w:tc>
      </w:tr>
      <w:tr w:rsidR="001B77DD" w14:paraId="6753584C" w14:textId="77777777">
        <w:tc>
          <w:tcPr>
            <w:tcW w:w="0" w:type="auto"/>
            <w:gridSpan w:val="9"/>
            <w:shd w:val="clear" w:color="auto" w:fill="auto"/>
            <w:tcMar>
              <w:top w:w="40" w:type="dxa"/>
              <w:left w:w="245" w:type="dxa"/>
              <w:bottom w:w="40" w:type="dxa"/>
              <w:right w:w="20" w:type="dxa"/>
            </w:tcMar>
            <w:vAlign w:val="bottom"/>
          </w:tcPr>
          <w:p w14:paraId="6753584A" w14:textId="77777777" w:rsidR="001B77DD" w:rsidRDefault="00BF0A28">
            <w:pPr>
              <w:textAlignment w:val="bottom"/>
            </w:pPr>
            <w:r>
              <w:rPr>
                <w:rFonts w:ascii="Arial" w:eastAsia="宋体" w:hAnsi="Arial" w:cs="Arial"/>
                <w:color w:val="262626"/>
                <w:sz w:val="18"/>
                <w:szCs w:val="18"/>
              </w:rPr>
              <w:t>Note 17: Retirement Benefit Plans</w:t>
            </w:r>
          </w:p>
        </w:tc>
        <w:tc>
          <w:tcPr>
            <w:tcW w:w="0" w:type="auto"/>
            <w:gridSpan w:val="3"/>
            <w:shd w:val="clear" w:color="auto" w:fill="auto"/>
            <w:tcMar>
              <w:top w:w="40" w:type="dxa"/>
              <w:left w:w="20" w:type="dxa"/>
              <w:bottom w:w="40" w:type="dxa"/>
              <w:right w:w="20" w:type="dxa"/>
            </w:tcMar>
            <w:vAlign w:val="bottom"/>
          </w:tcPr>
          <w:p w14:paraId="6753584B" w14:textId="77777777" w:rsidR="001B77DD" w:rsidRDefault="00BF0A28">
            <w:pPr>
              <w:jc w:val="center"/>
              <w:textAlignment w:val="bottom"/>
            </w:pPr>
            <w:hyperlink r:id="rId149" w:anchor="i6c9ced68f6b24d58a3dcf326e8c3c699_430" w:history="1">
              <w:r>
                <w:rPr>
                  <w:rStyle w:val="a5"/>
                  <w:rFonts w:ascii="Arial" w:eastAsia="宋体" w:hAnsi="Arial" w:cs="Arial"/>
                  <w:color w:val="262626"/>
                  <w:sz w:val="18"/>
                  <w:szCs w:val="18"/>
                  <w:u w:val="none"/>
                </w:rPr>
                <w:t>101</w:t>
              </w:r>
            </w:hyperlink>
          </w:p>
        </w:tc>
      </w:tr>
      <w:tr w:rsidR="001B77DD" w14:paraId="6753584F" w14:textId="77777777">
        <w:tc>
          <w:tcPr>
            <w:tcW w:w="0" w:type="auto"/>
            <w:gridSpan w:val="9"/>
            <w:shd w:val="clear" w:color="auto" w:fill="auto"/>
            <w:tcMar>
              <w:top w:w="40" w:type="dxa"/>
              <w:left w:w="245" w:type="dxa"/>
              <w:bottom w:w="40" w:type="dxa"/>
              <w:right w:w="20" w:type="dxa"/>
            </w:tcMar>
            <w:vAlign w:val="bottom"/>
          </w:tcPr>
          <w:p w14:paraId="6753584D" w14:textId="77777777" w:rsidR="001B77DD" w:rsidRDefault="00BF0A28">
            <w:pPr>
              <w:textAlignment w:val="bottom"/>
            </w:pPr>
            <w:r>
              <w:rPr>
                <w:rFonts w:ascii="Arial" w:eastAsia="宋体" w:hAnsi="Arial" w:cs="Arial"/>
                <w:color w:val="262626"/>
                <w:sz w:val="18"/>
                <w:szCs w:val="18"/>
              </w:rPr>
              <w:t>Note 18: Employee Equity Incentive Plans</w:t>
            </w:r>
          </w:p>
        </w:tc>
        <w:tc>
          <w:tcPr>
            <w:tcW w:w="0" w:type="auto"/>
            <w:gridSpan w:val="3"/>
            <w:shd w:val="clear" w:color="auto" w:fill="auto"/>
            <w:tcMar>
              <w:top w:w="40" w:type="dxa"/>
              <w:left w:w="20" w:type="dxa"/>
              <w:bottom w:w="40" w:type="dxa"/>
              <w:right w:w="20" w:type="dxa"/>
            </w:tcMar>
            <w:vAlign w:val="bottom"/>
          </w:tcPr>
          <w:p w14:paraId="6753584E" w14:textId="77777777" w:rsidR="001B77DD" w:rsidRDefault="00BF0A28">
            <w:pPr>
              <w:jc w:val="center"/>
              <w:textAlignment w:val="bottom"/>
            </w:pPr>
            <w:hyperlink r:id="rId150" w:anchor="i6c9ced68f6b24d58a3dcf326e8c3c699_436" w:history="1">
              <w:r>
                <w:rPr>
                  <w:rStyle w:val="a5"/>
                  <w:rFonts w:ascii="Arial" w:eastAsia="宋体" w:hAnsi="Arial" w:cs="Arial"/>
                  <w:color w:val="262626"/>
                  <w:sz w:val="18"/>
                  <w:szCs w:val="18"/>
                  <w:u w:val="none"/>
                </w:rPr>
                <w:t>104</w:t>
              </w:r>
            </w:hyperlink>
          </w:p>
        </w:tc>
      </w:tr>
      <w:tr w:rsidR="001B77DD" w14:paraId="67535852" w14:textId="77777777">
        <w:tc>
          <w:tcPr>
            <w:tcW w:w="0" w:type="auto"/>
            <w:gridSpan w:val="9"/>
            <w:shd w:val="clear" w:color="auto" w:fill="auto"/>
            <w:tcMar>
              <w:top w:w="40" w:type="dxa"/>
              <w:left w:w="245" w:type="dxa"/>
              <w:bottom w:w="40" w:type="dxa"/>
              <w:right w:w="20" w:type="dxa"/>
            </w:tcMar>
            <w:vAlign w:val="bottom"/>
          </w:tcPr>
          <w:p w14:paraId="67535850" w14:textId="77777777" w:rsidR="001B77DD" w:rsidRDefault="00BF0A28">
            <w:pPr>
              <w:textAlignment w:val="bottom"/>
            </w:pPr>
            <w:r>
              <w:rPr>
                <w:rFonts w:ascii="Arial" w:eastAsia="宋体" w:hAnsi="Arial" w:cs="Arial"/>
                <w:color w:val="262626"/>
                <w:sz w:val="18"/>
                <w:szCs w:val="18"/>
              </w:rPr>
              <w:t>Note 19: Commitments and Contingencies</w:t>
            </w:r>
          </w:p>
        </w:tc>
        <w:tc>
          <w:tcPr>
            <w:tcW w:w="0" w:type="auto"/>
            <w:gridSpan w:val="3"/>
            <w:shd w:val="clear" w:color="auto" w:fill="auto"/>
            <w:tcMar>
              <w:top w:w="40" w:type="dxa"/>
              <w:left w:w="20" w:type="dxa"/>
              <w:bottom w:w="40" w:type="dxa"/>
              <w:right w:w="20" w:type="dxa"/>
            </w:tcMar>
            <w:vAlign w:val="bottom"/>
          </w:tcPr>
          <w:p w14:paraId="67535851" w14:textId="77777777" w:rsidR="001B77DD" w:rsidRDefault="00BF0A28">
            <w:pPr>
              <w:jc w:val="center"/>
              <w:textAlignment w:val="bottom"/>
            </w:pPr>
            <w:hyperlink r:id="rId151" w:anchor="i6c9ced68f6b24d58a3dcf326e8c3c699_442" w:history="1">
              <w:r>
                <w:rPr>
                  <w:rStyle w:val="a5"/>
                  <w:rFonts w:ascii="Arial" w:eastAsia="宋体" w:hAnsi="Arial" w:cs="Arial"/>
                  <w:color w:val="262626"/>
                  <w:sz w:val="18"/>
                  <w:szCs w:val="18"/>
                  <w:u w:val="none"/>
                </w:rPr>
                <w:t>105</w:t>
              </w:r>
            </w:hyperlink>
          </w:p>
        </w:tc>
      </w:tr>
      <w:tr w:rsidR="001B77DD" w14:paraId="67535855" w14:textId="77777777">
        <w:tc>
          <w:tcPr>
            <w:tcW w:w="0" w:type="auto"/>
            <w:gridSpan w:val="9"/>
            <w:shd w:val="clear" w:color="auto" w:fill="auto"/>
            <w:tcMar>
              <w:top w:w="40" w:type="dxa"/>
              <w:left w:w="20" w:type="dxa"/>
              <w:bottom w:w="40" w:type="dxa"/>
              <w:right w:w="20" w:type="dxa"/>
            </w:tcMar>
            <w:vAlign w:val="bottom"/>
          </w:tcPr>
          <w:p w14:paraId="67535853" w14:textId="77777777" w:rsidR="001B77DD" w:rsidRDefault="00BF0A28">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67535854" w14:textId="77777777" w:rsidR="001B77DD" w:rsidRDefault="00BF0A28">
            <w:pPr>
              <w:jc w:val="center"/>
              <w:textAlignment w:val="bottom"/>
            </w:pPr>
            <w:hyperlink r:id="rId152" w:anchor="i6c9ced68f6b24d58a3dcf326e8c3c699_448" w:history="1">
              <w:r>
                <w:rPr>
                  <w:rStyle w:val="a5"/>
                  <w:rFonts w:ascii="Arial" w:eastAsia="宋体" w:hAnsi="Arial" w:cs="Arial"/>
                  <w:color w:val="262626"/>
                  <w:sz w:val="18"/>
                  <w:szCs w:val="18"/>
                  <w:u w:val="none"/>
                </w:rPr>
                <w:t>111</w:t>
              </w:r>
            </w:hyperlink>
          </w:p>
        </w:tc>
      </w:tr>
      <w:tr w:rsidR="001B77DD" w14:paraId="6753585A" w14:textId="77777777">
        <w:trPr>
          <w:trHeight w:val="60"/>
        </w:trPr>
        <w:tc>
          <w:tcPr>
            <w:tcW w:w="0" w:type="auto"/>
            <w:gridSpan w:val="3"/>
            <w:shd w:val="clear" w:color="auto" w:fill="auto"/>
            <w:tcMar>
              <w:top w:w="0" w:type="dxa"/>
              <w:left w:w="20" w:type="dxa"/>
              <w:bottom w:w="0" w:type="dxa"/>
              <w:right w:w="20" w:type="dxa"/>
            </w:tcMar>
            <w:vAlign w:val="bottom"/>
          </w:tcPr>
          <w:p w14:paraId="6753585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5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5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59" w14:textId="77777777" w:rsidR="001B77DD" w:rsidRDefault="001B77DD">
            <w:pPr>
              <w:rPr>
                <w:rFonts w:ascii="宋体"/>
              </w:rPr>
            </w:pPr>
          </w:p>
        </w:tc>
      </w:tr>
      <w:tr w:rsidR="001B77DD" w14:paraId="6753585D" w14:textId="77777777">
        <w:tc>
          <w:tcPr>
            <w:tcW w:w="0" w:type="auto"/>
            <w:gridSpan w:val="9"/>
            <w:shd w:val="clear" w:color="auto" w:fill="auto"/>
            <w:tcMar>
              <w:top w:w="40" w:type="dxa"/>
              <w:left w:w="20" w:type="dxa"/>
              <w:bottom w:w="40" w:type="dxa"/>
              <w:right w:w="20" w:type="dxa"/>
            </w:tcMar>
            <w:vAlign w:val="bottom"/>
          </w:tcPr>
          <w:p w14:paraId="6753585B" w14:textId="77777777" w:rsidR="001B77DD" w:rsidRDefault="00BF0A28">
            <w:pPr>
              <w:textAlignment w:val="bottom"/>
            </w:pPr>
            <w:r>
              <w:rPr>
                <w:rFonts w:ascii="Arial" w:eastAsia="宋体" w:hAnsi="Arial" w:cs="Arial"/>
                <w:color w:val="0068B5"/>
                <w:sz w:val="18"/>
                <w:szCs w:val="18"/>
              </w:rPr>
              <w:t xml:space="preserve">Index to Supplemental </w:t>
            </w:r>
            <w:r>
              <w:rPr>
                <w:rFonts w:ascii="Arial" w:eastAsia="宋体" w:hAnsi="Arial" w:cs="Arial"/>
                <w:color w:val="0068B5"/>
                <w:sz w:val="18"/>
                <w:szCs w:val="18"/>
              </w:rPr>
              <w:t>Details</w:t>
            </w:r>
          </w:p>
        </w:tc>
        <w:tc>
          <w:tcPr>
            <w:tcW w:w="0" w:type="auto"/>
            <w:gridSpan w:val="3"/>
            <w:shd w:val="clear" w:color="auto" w:fill="auto"/>
            <w:tcMar>
              <w:top w:w="0" w:type="dxa"/>
              <w:left w:w="20" w:type="dxa"/>
              <w:bottom w:w="0" w:type="dxa"/>
              <w:right w:w="20" w:type="dxa"/>
            </w:tcMar>
            <w:vAlign w:val="bottom"/>
          </w:tcPr>
          <w:p w14:paraId="6753585C" w14:textId="77777777" w:rsidR="001B77DD" w:rsidRDefault="001B77DD">
            <w:pPr>
              <w:rPr>
                <w:rFonts w:ascii="宋体"/>
              </w:rPr>
            </w:pPr>
          </w:p>
        </w:tc>
      </w:tr>
      <w:tr w:rsidR="001B77DD" w14:paraId="67535862" w14:textId="77777777">
        <w:trPr>
          <w:hidden/>
        </w:trPr>
        <w:tc>
          <w:tcPr>
            <w:tcW w:w="0" w:type="auto"/>
            <w:gridSpan w:val="3"/>
            <w:shd w:val="clear" w:color="auto" w:fill="auto"/>
            <w:vAlign w:val="bottom"/>
          </w:tcPr>
          <w:p w14:paraId="6753585E" w14:textId="77777777" w:rsidR="001B77DD" w:rsidRDefault="001B77DD">
            <w:pPr>
              <w:rPr>
                <w:rFonts w:ascii="宋体"/>
                <w:vanish/>
              </w:rPr>
            </w:pPr>
          </w:p>
        </w:tc>
        <w:tc>
          <w:tcPr>
            <w:tcW w:w="0" w:type="auto"/>
            <w:gridSpan w:val="3"/>
            <w:shd w:val="clear" w:color="auto" w:fill="auto"/>
            <w:vAlign w:val="bottom"/>
          </w:tcPr>
          <w:p w14:paraId="6753585F" w14:textId="77777777" w:rsidR="001B77DD" w:rsidRDefault="001B77DD">
            <w:pPr>
              <w:rPr>
                <w:rFonts w:ascii="宋体"/>
                <w:vanish/>
              </w:rPr>
            </w:pPr>
          </w:p>
        </w:tc>
        <w:tc>
          <w:tcPr>
            <w:tcW w:w="0" w:type="auto"/>
            <w:gridSpan w:val="3"/>
            <w:shd w:val="clear" w:color="auto" w:fill="auto"/>
            <w:vAlign w:val="bottom"/>
          </w:tcPr>
          <w:p w14:paraId="67535860" w14:textId="77777777" w:rsidR="001B77DD" w:rsidRDefault="001B77DD">
            <w:pPr>
              <w:rPr>
                <w:rFonts w:ascii="宋体"/>
                <w:vanish/>
              </w:rPr>
            </w:pPr>
          </w:p>
        </w:tc>
        <w:tc>
          <w:tcPr>
            <w:tcW w:w="0" w:type="auto"/>
            <w:gridSpan w:val="3"/>
            <w:shd w:val="clear" w:color="auto" w:fill="auto"/>
            <w:vAlign w:val="bottom"/>
          </w:tcPr>
          <w:p w14:paraId="67535861" w14:textId="77777777" w:rsidR="001B77DD" w:rsidRDefault="001B77DD">
            <w:pPr>
              <w:rPr>
                <w:rFonts w:ascii="宋体"/>
                <w:vanish/>
              </w:rPr>
            </w:pPr>
          </w:p>
        </w:tc>
      </w:tr>
      <w:tr w:rsidR="001B77DD" w14:paraId="67535865" w14:textId="77777777">
        <w:tc>
          <w:tcPr>
            <w:tcW w:w="0" w:type="auto"/>
            <w:gridSpan w:val="9"/>
            <w:tcBorders>
              <w:top w:val="single" w:sz="8" w:space="0" w:color="0068B5"/>
            </w:tcBorders>
            <w:shd w:val="clear" w:color="auto" w:fill="auto"/>
            <w:tcMar>
              <w:top w:w="40" w:type="dxa"/>
              <w:left w:w="20" w:type="dxa"/>
              <w:bottom w:w="40" w:type="dxa"/>
              <w:right w:w="20" w:type="dxa"/>
            </w:tcMar>
            <w:vAlign w:val="bottom"/>
          </w:tcPr>
          <w:p w14:paraId="67535863" w14:textId="77777777" w:rsidR="001B77DD" w:rsidRDefault="00BF0A28">
            <w:pPr>
              <w:textAlignment w:val="bottom"/>
            </w:pPr>
            <w:r>
              <w:rPr>
                <w:rFonts w:ascii="Arial" w:eastAsia="宋体" w:hAnsi="Arial" w:cs="Arial"/>
                <w:color w:val="262626"/>
                <w:sz w:val="18"/>
                <w:szCs w:val="18"/>
              </w:rPr>
              <w:t>Controls and Procedures</w:t>
            </w: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864" w14:textId="77777777" w:rsidR="001B77DD" w:rsidRDefault="00BF0A28">
            <w:pPr>
              <w:jc w:val="center"/>
              <w:textAlignment w:val="bottom"/>
            </w:pPr>
            <w:hyperlink r:id="rId153" w:anchor="i6c9ced68f6b24d58a3dcf326e8c3c699_454" w:history="1">
              <w:r>
                <w:rPr>
                  <w:rStyle w:val="a5"/>
                  <w:rFonts w:ascii="Arial" w:eastAsia="宋体" w:hAnsi="Arial" w:cs="Arial"/>
                  <w:color w:val="262626"/>
                  <w:sz w:val="18"/>
                  <w:szCs w:val="18"/>
                  <w:u w:val="none"/>
                </w:rPr>
                <w:t>114</w:t>
              </w:r>
            </w:hyperlink>
          </w:p>
        </w:tc>
      </w:tr>
      <w:tr w:rsidR="001B77DD" w14:paraId="67535868" w14:textId="77777777">
        <w:tc>
          <w:tcPr>
            <w:tcW w:w="0" w:type="auto"/>
            <w:gridSpan w:val="9"/>
            <w:shd w:val="clear" w:color="auto" w:fill="auto"/>
            <w:tcMar>
              <w:top w:w="40" w:type="dxa"/>
              <w:left w:w="20" w:type="dxa"/>
              <w:bottom w:w="40" w:type="dxa"/>
              <w:right w:w="20" w:type="dxa"/>
            </w:tcMar>
            <w:vAlign w:val="bottom"/>
          </w:tcPr>
          <w:p w14:paraId="67535866" w14:textId="77777777" w:rsidR="001B77DD" w:rsidRDefault="00BF0A28">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67535867" w14:textId="77777777" w:rsidR="001B77DD" w:rsidRDefault="00BF0A28">
            <w:pPr>
              <w:jc w:val="center"/>
              <w:textAlignment w:val="bottom"/>
            </w:pPr>
            <w:hyperlink r:id="rId154" w:anchor="i6c9ced68f6b24d58a3dcf326e8c3c699_457" w:history="1">
              <w:r>
                <w:rPr>
                  <w:rStyle w:val="a5"/>
                  <w:rFonts w:ascii="Arial" w:eastAsia="宋体" w:hAnsi="Arial" w:cs="Arial"/>
                  <w:color w:val="262626"/>
                  <w:sz w:val="18"/>
                  <w:szCs w:val="18"/>
                  <w:u w:val="none"/>
                </w:rPr>
                <w:t>115</w:t>
              </w:r>
            </w:hyperlink>
          </w:p>
        </w:tc>
      </w:tr>
      <w:tr w:rsidR="001B77DD" w14:paraId="6753586B" w14:textId="77777777">
        <w:tc>
          <w:tcPr>
            <w:tcW w:w="0" w:type="auto"/>
            <w:gridSpan w:val="9"/>
            <w:shd w:val="clear" w:color="auto" w:fill="auto"/>
            <w:tcMar>
              <w:top w:w="40" w:type="dxa"/>
              <w:left w:w="20" w:type="dxa"/>
              <w:bottom w:w="40" w:type="dxa"/>
              <w:right w:w="20" w:type="dxa"/>
            </w:tcMar>
            <w:vAlign w:val="bottom"/>
          </w:tcPr>
          <w:p w14:paraId="67535869" w14:textId="77777777" w:rsidR="001B77DD" w:rsidRDefault="00BF0A28">
            <w:pPr>
              <w:textAlignment w:val="bottom"/>
            </w:pPr>
            <w:r>
              <w:rPr>
                <w:rFonts w:ascii="Arial" w:eastAsia="宋体" w:hAnsi="Arial" w:cs="Arial"/>
                <w:color w:val="262626"/>
                <w:sz w:val="18"/>
                <w:szCs w:val="18"/>
              </w:rPr>
              <w:t>Form 10-K Cross-Reference Index</w:t>
            </w:r>
          </w:p>
        </w:tc>
        <w:tc>
          <w:tcPr>
            <w:tcW w:w="0" w:type="auto"/>
            <w:gridSpan w:val="3"/>
            <w:shd w:val="clear" w:color="auto" w:fill="auto"/>
            <w:tcMar>
              <w:top w:w="40" w:type="dxa"/>
              <w:left w:w="20" w:type="dxa"/>
              <w:bottom w:w="40" w:type="dxa"/>
              <w:right w:w="20" w:type="dxa"/>
            </w:tcMar>
            <w:vAlign w:val="bottom"/>
          </w:tcPr>
          <w:p w14:paraId="6753586A" w14:textId="77777777" w:rsidR="001B77DD" w:rsidRDefault="00BF0A28">
            <w:pPr>
              <w:jc w:val="center"/>
              <w:textAlignment w:val="bottom"/>
            </w:pPr>
            <w:hyperlink r:id="rId155" w:anchor="i6c9ced68f6b24d58a3dcf326e8c3c699_469" w:history="1">
              <w:r>
                <w:rPr>
                  <w:rStyle w:val="a5"/>
                  <w:rFonts w:ascii="Arial" w:eastAsia="宋体" w:hAnsi="Arial" w:cs="Arial"/>
                  <w:color w:val="262626"/>
                  <w:sz w:val="18"/>
                  <w:szCs w:val="18"/>
                  <w:u w:val="none"/>
                </w:rPr>
                <w:t>120</w:t>
              </w:r>
            </w:hyperlink>
          </w:p>
        </w:tc>
      </w:tr>
    </w:tbl>
    <w:p w14:paraId="6753586C"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5876" w14:textId="77777777">
        <w:tc>
          <w:tcPr>
            <w:tcW w:w="50" w:type="pct"/>
            <w:shd w:val="clear" w:color="auto" w:fill="auto"/>
            <w:vAlign w:val="bottom"/>
          </w:tcPr>
          <w:p w14:paraId="6753586D" w14:textId="77777777" w:rsidR="001B77DD" w:rsidRDefault="001B77DD">
            <w:pPr>
              <w:rPr>
                <w:rFonts w:ascii="宋体"/>
              </w:rPr>
            </w:pPr>
          </w:p>
        </w:tc>
        <w:tc>
          <w:tcPr>
            <w:tcW w:w="283" w:type="pct"/>
            <w:shd w:val="clear" w:color="auto" w:fill="auto"/>
            <w:vAlign w:val="bottom"/>
          </w:tcPr>
          <w:p w14:paraId="6753586E" w14:textId="77777777" w:rsidR="001B77DD" w:rsidRDefault="001B77DD">
            <w:pPr>
              <w:rPr>
                <w:rFonts w:ascii="宋体"/>
              </w:rPr>
            </w:pPr>
          </w:p>
        </w:tc>
        <w:tc>
          <w:tcPr>
            <w:tcW w:w="5" w:type="pct"/>
            <w:shd w:val="clear" w:color="auto" w:fill="auto"/>
            <w:vAlign w:val="bottom"/>
          </w:tcPr>
          <w:p w14:paraId="6753586F" w14:textId="77777777" w:rsidR="001B77DD" w:rsidRDefault="001B77DD">
            <w:pPr>
              <w:rPr>
                <w:rFonts w:ascii="宋体"/>
              </w:rPr>
            </w:pPr>
          </w:p>
        </w:tc>
        <w:tc>
          <w:tcPr>
            <w:tcW w:w="50" w:type="pct"/>
            <w:shd w:val="clear" w:color="auto" w:fill="auto"/>
            <w:vAlign w:val="bottom"/>
          </w:tcPr>
          <w:p w14:paraId="67535870" w14:textId="77777777" w:rsidR="001B77DD" w:rsidRDefault="001B77DD">
            <w:pPr>
              <w:rPr>
                <w:rFonts w:ascii="宋体"/>
              </w:rPr>
            </w:pPr>
          </w:p>
        </w:tc>
        <w:tc>
          <w:tcPr>
            <w:tcW w:w="2656" w:type="pct"/>
            <w:shd w:val="clear" w:color="auto" w:fill="auto"/>
            <w:vAlign w:val="bottom"/>
          </w:tcPr>
          <w:p w14:paraId="67535871" w14:textId="77777777" w:rsidR="001B77DD" w:rsidRDefault="001B77DD">
            <w:pPr>
              <w:rPr>
                <w:rFonts w:ascii="宋体"/>
              </w:rPr>
            </w:pPr>
          </w:p>
        </w:tc>
        <w:tc>
          <w:tcPr>
            <w:tcW w:w="5" w:type="pct"/>
            <w:shd w:val="clear" w:color="auto" w:fill="auto"/>
            <w:vAlign w:val="bottom"/>
          </w:tcPr>
          <w:p w14:paraId="67535872" w14:textId="77777777" w:rsidR="001B77DD" w:rsidRDefault="001B77DD">
            <w:pPr>
              <w:rPr>
                <w:rFonts w:ascii="宋体"/>
              </w:rPr>
            </w:pPr>
          </w:p>
        </w:tc>
        <w:tc>
          <w:tcPr>
            <w:tcW w:w="50" w:type="pct"/>
            <w:shd w:val="clear" w:color="auto" w:fill="auto"/>
            <w:vAlign w:val="bottom"/>
          </w:tcPr>
          <w:p w14:paraId="67535873" w14:textId="77777777" w:rsidR="001B77DD" w:rsidRDefault="001B77DD">
            <w:pPr>
              <w:rPr>
                <w:rFonts w:ascii="宋体"/>
              </w:rPr>
            </w:pPr>
          </w:p>
        </w:tc>
        <w:tc>
          <w:tcPr>
            <w:tcW w:w="1894" w:type="pct"/>
            <w:shd w:val="clear" w:color="auto" w:fill="auto"/>
            <w:vAlign w:val="bottom"/>
          </w:tcPr>
          <w:p w14:paraId="67535874" w14:textId="77777777" w:rsidR="001B77DD" w:rsidRDefault="001B77DD">
            <w:pPr>
              <w:rPr>
                <w:rFonts w:ascii="宋体"/>
              </w:rPr>
            </w:pPr>
          </w:p>
        </w:tc>
        <w:tc>
          <w:tcPr>
            <w:tcW w:w="5" w:type="pct"/>
            <w:shd w:val="clear" w:color="auto" w:fill="auto"/>
            <w:vAlign w:val="bottom"/>
          </w:tcPr>
          <w:p w14:paraId="67535875" w14:textId="77777777" w:rsidR="001B77DD" w:rsidRDefault="001B77DD">
            <w:pPr>
              <w:rPr>
                <w:rFonts w:ascii="宋体"/>
              </w:rPr>
            </w:pPr>
          </w:p>
        </w:tc>
      </w:tr>
      <w:tr w:rsidR="001B77DD" w14:paraId="6753587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877"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0C" wp14:editId="67538F0D">
                  <wp:extent cx="304800" cy="304800"/>
                  <wp:effectExtent l="0" t="0" r="0" b="0"/>
                  <wp:docPr id="219" name="图片 26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6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878"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879" w14:textId="77777777" w:rsidR="001B77DD" w:rsidRDefault="00BF0A28">
            <w:pPr>
              <w:jc w:val="right"/>
              <w:textAlignment w:val="center"/>
            </w:pPr>
            <w:r>
              <w:rPr>
                <w:rFonts w:ascii="Arial" w:eastAsia="宋体" w:hAnsi="Arial" w:cs="Arial"/>
                <w:color w:val="262626"/>
                <w:sz w:val="16"/>
                <w:szCs w:val="16"/>
              </w:rPr>
              <w:t>68</w:t>
            </w:r>
          </w:p>
        </w:tc>
      </w:tr>
    </w:tbl>
    <w:p w14:paraId="6753587B" w14:textId="77777777" w:rsidR="001B77DD" w:rsidRDefault="00BF0A28">
      <w:r>
        <w:pict w14:anchorId="67538F0E">
          <v:rect id="_x0000_i1094" style="width:415.3pt;height:1.5pt" o:hralign="center" o:hrstd="t" o:hr="t" fillcolor="#a0a0a0" stroked="f"/>
        </w:pict>
      </w:r>
    </w:p>
    <w:p w14:paraId="6753587C" w14:textId="77777777" w:rsidR="001B77DD" w:rsidRDefault="00BF0A28">
      <w:pPr>
        <w:jc w:val="right"/>
      </w:pPr>
      <w:hyperlink r:id="rId156" w:anchor="i6c9ced68f6b24d58a3dcf326e8c3c699_16" w:history="1">
        <w:r>
          <w:rPr>
            <w:rStyle w:val="a5"/>
            <w:rFonts w:ascii="Arial" w:eastAsia="宋体" w:hAnsi="Arial" w:cs="Arial"/>
            <w:b/>
            <w:bCs/>
            <w:sz w:val="16"/>
            <w:szCs w:val="16"/>
          </w:rPr>
          <w:t>Table of Contents</w:t>
        </w:r>
      </w:hyperlink>
    </w:p>
    <w:p w14:paraId="6753587D"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5884" w14:textId="77777777">
        <w:tc>
          <w:tcPr>
            <w:tcW w:w="50" w:type="pct"/>
            <w:shd w:val="clear" w:color="auto" w:fill="auto"/>
            <w:vAlign w:val="bottom"/>
          </w:tcPr>
          <w:p w14:paraId="6753587E" w14:textId="77777777" w:rsidR="001B77DD" w:rsidRDefault="001B77DD">
            <w:pPr>
              <w:rPr>
                <w:rFonts w:ascii="宋体"/>
              </w:rPr>
            </w:pPr>
          </w:p>
        </w:tc>
        <w:tc>
          <w:tcPr>
            <w:tcW w:w="4870" w:type="pct"/>
            <w:shd w:val="clear" w:color="auto" w:fill="auto"/>
            <w:vAlign w:val="bottom"/>
          </w:tcPr>
          <w:p w14:paraId="6753587F" w14:textId="77777777" w:rsidR="001B77DD" w:rsidRDefault="001B77DD">
            <w:pPr>
              <w:rPr>
                <w:rFonts w:ascii="宋体"/>
              </w:rPr>
            </w:pPr>
          </w:p>
        </w:tc>
        <w:tc>
          <w:tcPr>
            <w:tcW w:w="5" w:type="pct"/>
            <w:shd w:val="clear" w:color="auto" w:fill="auto"/>
            <w:vAlign w:val="bottom"/>
          </w:tcPr>
          <w:p w14:paraId="67535880" w14:textId="77777777" w:rsidR="001B77DD" w:rsidRDefault="001B77DD">
            <w:pPr>
              <w:rPr>
                <w:rFonts w:ascii="宋体"/>
              </w:rPr>
            </w:pPr>
          </w:p>
        </w:tc>
        <w:tc>
          <w:tcPr>
            <w:tcW w:w="5" w:type="pct"/>
            <w:shd w:val="clear" w:color="auto" w:fill="auto"/>
            <w:vAlign w:val="bottom"/>
          </w:tcPr>
          <w:p w14:paraId="67535881" w14:textId="77777777" w:rsidR="001B77DD" w:rsidRDefault="001B77DD">
            <w:pPr>
              <w:rPr>
                <w:rFonts w:ascii="宋体"/>
              </w:rPr>
            </w:pPr>
          </w:p>
        </w:tc>
        <w:tc>
          <w:tcPr>
            <w:tcW w:w="64" w:type="pct"/>
            <w:shd w:val="clear" w:color="auto" w:fill="auto"/>
            <w:vAlign w:val="bottom"/>
          </w:tcPr>
          <w:p w14:paraId="67535882" w14:textId="77777777" w:rsidR="001B77DD" w:rsidRDefault="001B77DD">
            <w:pPr>
              <w:rPr>
                <w:rFonts w:ascii="宋体"/>
              </w:rPr>
            </w:pPr>
          </w:p>
        </w:tc>
        <w:tc>
          <w:tcPr>
            <w:tcW w:w="5" w:type="pct"/>
            <w:shd w:val="clear" w:color="auto" w:fill="auto"/>
            <w:vAlign w:val="bottom"/>
          </w:tcPr>
          <w:p w14:paraId="67535883" w14:textId="77777777" w:rsidR="001B77DD" w:rsidRDefault="001B77DD">
            <w:pPr>
              <w:rPr>
                <w:rFonts w:ascii="宋体"/>
              </w:rPr>
            </w:pPr>
          </w:p>
        </w:tc>
      </w:tr>
      <w:tr w:rsidR="001B77DD" w14:paraId="67535887" w14:textId="77777777">
        <w:tc>
          <w:tcPr>
            <w:tcW w:w="0" w:type="auto"/>
            <w:gridSpan w:val="3"/>
            <w:shd w:val="clear" w:color="auto" w:fill="004A86"/>
            <w:tcMar>
              <w:top w:w="40" w:type="dxa"/>
              <w:left w:w="20" w:type="dxa"/>
              <w:bottom w:w="40" w:type="dxa"/>
              <w:right w:w="20" w:type="dxa"/>
            </w:tcMar>
            <w:vAlign w:val="center"/>
          </w:tcPr>
          <w:p w14:paraId="67535885" w14:textId="77777777" w:rsidR="001B77DD" w:rsidRDefault="00BF0A28">
            <w:pPr>
              <w:textAlignment w:val="center"/>
            </w:pPr>
            <w:r>
              <w:rPr>
                <w:rFonts w:ascii="Arial" w:eastAsia="宋体" w:hAnsi="Arial" w:cs="Arial"/>
                <w:color w:val="FFFFFF"/>
                <w:sz w:val="36"/>
                <w:szCs w:val="36"/>
              </w:rPr>
              <w:t>Report of Independent Registered Public Accounting Firm</w:t>
            </w:r>
          </w:p>
        </w:tc>
        <w:tc>
          <w:tcPr>
            <w:tcW w:w="0" w:type="auto"/>
            <w:gridSpan w:val="3"/>
            <w:shd w:val="clear" w:color="auto" w:fill="auto"/>
            <w:tcMar>
              <w:top w:w="0" w:type="dxa"/>
              <w:left w:w="20" w:type="dxa"/>
              <w:bottom w:w="0" w:type="dxa"/>
              <w:right w:w="20" w:type="dxa"/>
            </w:tcMar>
            <w:vAlign w:val="bottom"/>
          </w:tcPr>
          <w:p w14:paraId="67535886" w14:textId="77777777" w:rsidR="001B77DD" w:rsidRDefault="001B77DD">
            <w:pPr>
              <w:rPr>
                <w:rFonts w:ascii="宋体"/>
              </w:rPr>
            </w:pPr>
          </w:p>
        </w:tc>
      </w:tr>
      <w:tr w:rsidR="001B77DD" w14:paraId="6753588A" w14:textId="77777777">
        <w:trPr>
          <w:trHeight w:val="160"/>
        </w:trPr>
        <w:tc>
          <w:tcPr>
            <w:tcW w:w="0" w:type="auto"/>
            <w:gridSpan w:val="3"/>
            <w:shd w:val="clear" w:color="auto" w:fill="auto"/>
            <w:tcMar>
              <w:top w:w="0" w:type="dxa"/>
              <w:left w:w="20" w:type="dxa"/>
              <w:bottom w:w="0" w:type="dxa"/>
              <w:right w:w="20" w:type="dxa"/>
            </w:tcMar>
            <w:vAlign w:val="bottom"/>
          </w:tcPr>
          <w:p w14:paraId="67535888"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5889" w14:textId="77777777" w:rsidR="001B77DD" w:rsidRDefault="001B77DD">
            <w:pPr>
              <w:rPr>
                <w:rFonts w:ascii="宋体"/>
              </w:rPr>
            </w:pPr>
          </w:p>
        </w:tc>
      </w:tr>
    </w:tbl>
    <w:p w14:paraId="6753588B" w14:textId="77777777" w:rsidR="001B77DD" w:rsidRDefault="00BF0A28">
      <w:pPr>
        <w:spacing w:after="180"/>
      </w:pPr>
      <w:r>
        <w:rPr>
          <w:rFonts w:ascii="Arial" w:eastAsia="宋体" w:hAnsi="Arial" w:cs="Arial"/>
          <w:color w:val="0068B5"/>
        </w:rPr>
        <w:t xml:space="preserve">To the </w:t>
      </w:r>
      <w:r>
        <w:rPr>
          <w:rFonts w:ascii="Arial" w:eastAsia="宋体" w:hAnsi="Arial" w:cs="Arial"/>
          <w:color w:val="0068B5"/>
        </w:rPr>
        <w:t>Stockholders and the Board of Directors of Intel Corporation</w:t>
      </w:r>
    </w:p>
    <w:p w14:paraId="6753588C" w14:textId="77777777" w:rsidR="001B77DD" w:rsidRDefault="00BF0A28">
      <w:pPr>
        <w:spacing w:after="120"/>
      </w:pPr>
      <w:r>
        <w:rPr>
          <w:rFonts w:ascii="Arial" w:eastAsia="宋体" w:hAnsi="Arial" w:cs="Arial"/>
          <w:color w:val="0068B5"/>
          <w:sz w:val="20"/>
          <w:szCs w:val="20"/>
        </w:rPr>
        <w:t>Opinion on the Financial Statements</w:t>
      </w:r>
    </w:p>
    <w:p w14:paraId="6753588D" w14:textId="77777777" w:rsidR="001B77DD" w:rsidRDefault="00BF0A28">
      <w:pPr>
        <w:spacing w:after="180"/>
      </w:pPr>
      <w:r>
        <w:rPr>
          <w:rFonts w:ascii="Arial" w:eastAsia="宋体" w:hAnsi="Arial" w:cs="Arial"/>
          <w:color w:val="262626"/>
          <w:sz w:val="18"/>
          <w:szCs w:val="18"/>
        </w:rPr>
        <w:t>We have audited the accompanying Consolidated Balance Sheets of Intel Corporation (the Company) as of December 25, 2021 and December 26, 2020, the related Cons</w:t>
      </w:r>
      <w:r>
        <w:rPr>
          <w:rFonts w:ascii="Arial" w:eastAsia="宋体" w:hAnsi="Arial" w:cs="Arial"/>
          <w:color w:val="262626"/>
          <w:sz w:val="18"/>
          <w:szCs w:val="18"/>
        </w:rPr>
        <w:t xml:space="preserve">olidated Statements of Income, Comprehensive Income, Cash Flows and Stockholders' Equity for each of the three years in the period ended December 25, 2021, and the related notes (collectively referred to as the "Consolidated Financial Statements"). In our </w:t>
      </w:r>
      <w:r>
        <w:rPr>
          <w:rFonts w:ascii="Arial" w:eastAsia="宋体" w:hAnsi="Arial" w:cs="Arial"/>
          <w:color w:val="262626"/>
          <w:sz w:val="18"/>
          <w:szCs w:val="18"/>
        </w:rPr>
        <w:t>opinion, the Consolidated Financial Statements present fairly, in all material respects, the financial position of the Company at December 25, 2021 and December 26, 2020, and the results of its operations and its cash flows for each of the three years in t</w:t>
      </w:r>
      <w:r>
        <w:rPr>
          <w:rFonts w:ascii="Arial" w:eastAsia="宋体" w:hAnsi="Arial" w:cs="Arial"/>
          <w:color w:val="262626"/>
          <w:sz w:val="18"/>
          <w:szCs w:val="18"/>
        </w:rPr>
        <w:t xml:space="preserve">he period ended December 25, 2021, in conformity with U.S. generally accepted accounting principles. </w:t>
      </w:r>
    </w:p>
    <w:p w14:paraId="6753588E" w14:textId="77777777" w:rsidR="001B77DD" w:rsidRDefault="00BF0A28">
      <w:pPr>
        <w:spacing w:after="180"/>
      </w:pPr>
      <w:r>
        <w:rPr>
          <w:rFonts w:ascii="Arial" w:eastAsia="宋体" w:hAnsi="Arial" w:cs="Arial"/>
          <w:color w:val="262626"/>
          <w:sz w:val="18"/>
          <w:szCs w:val="18"/>
        </w:rPr>
        <w:t>We also have audited, in accordance with the standards of the Public Company Accounting Oversight Board (United States) (PCAOB), the Company's internal co</w:t>
      </w:r>
      <w:r>
        <w:rPr>
          <w:rFonts w:ascii="Arial" w:eastAsia="宋体" w:hAnsi="Arial" w:cs="Arial"/>
          <w:color w:val="262626"/>
          <w:sz w:val="18"/>
          <w:szCs w:val="18"/>
        </w:rPr>
        <w:t xml:space="preserve">ntrol over financial reporting as of December 25, 2021, based on criteria established in Internal Control—Integrated Framework issued by the Committee of Sponsoring Organizations of the Treadway Commission (2013 framework) and our report dated January 26, </w:t>
      </w:r>
      <w:r>
        <w:rPr>
          <w:rFonts w:ascii="Arial" w:eastAsia="宋体" w:hAnsi="Arial" w:cs="Arial"/>
          <w:color w:val="262626"/>
          <w:sz w:val="18"/>
          <w:szCs w:val="18"/>
        </w:rPr>
        <w:t>2022 expressed an unqualified opinion thereon.</w:t>
      </w:r>
    </w:p>
    <w:p w14:paraId="6753588F" w14:textId="77777777" w:rsidR="001B77DD" w:rsidRDefault="00BF0A28">
      <w:pPr>
        <w:spacing w:after="120"/>
      </w:pPr>
      <w:r>
        <w:rPr>
          <w:rFonts w:ascii="Arial" w:eastAsia="宋体" w:hAnsi="Arial" w:cs="Arial"/>
          <w:color w:val="0068B5"/>
          <w:sz w:val="20"/>
          <w:szCs w:val="20"/>
        </w:rPr>
        <w:t>Basis for Opinion</w:t>
      </w:r>
    </w:p>
    <w:p w14:paraId="67535890" w14:textId="77777777" w:rsidR="001B77DD" w:rsidRDefault="00BF0A28">
      <w:pPr>
        <w:spacing w:after="180"/>
      </w:pPr>
      <w:r>
        <w:rPr>
          <w:rFonts w:ascii="Arial" w:eastAsia="宋体" w:hAnsi="Arial" w:cs="Arial"/>
          <w:color w:val="262626"/>
          <w:sz w:val="18"/>
          <w:szCs w:val="18"/>
        </w:rPr>
        <w:t xml:space="preserve">These financial statements are the responsibility of the Company's management. Our responsibility is to express an opinion on the Company's financial statements based on our audits. We are a </w:t>
      </w:r>
      <w:r>
        <w:rPr>
          <w:rFonts w:ascii="Arial" w:eastAsia="宋体" w:hAnsi="Arial" w:cs="Arial"/>
          <w:color w:val="262626"/>
          <w:sz w:val="18"/>
          <w:szCs w:val="18"/>
        </w:rPr>
        <w:t>public accounting firm registered with the PCAOB and are required to be independent with respect to the Company in accordance with the U.S. federal securities laws and the applicable rules and regulations of the Securities and Exchange Commission and the P</w:t>
      </w:r>
      <w:r>
        <w:rPr>
          <w:rFonts w:ascii="Arial" w:eastAsia="宋体" w:hAnsi="Arial" w:cs="Arial"/>
          <w:color w:val="262626"/>
          <w:sz w:val="18"/>
          <w:szCs w:val="18"/>
        </w:rPr>
        <w:t xml:space="preserve">CAOB. </w:t>
      </w:r>
    </w:p>
    <w:p w14:paraId="67535891" w14:textId="77777777" w:rsidR="001B77DD" w:rsidRDefault="00BF0A28">
      <w:pPr>
        <w:spacing w:after="180"/>
      </w:pPr>
      <w:r>
        <w:rPr>
          <w:rFonts w:ascii="Arial" w:eastAsia="宋体" w:hAnsi="Arial" w:cs="Arial"/>
          <w:color w:val="262626"/>
          <w:sz w:val="18"/>
          <w:szCs w:val="18"/>
        </w:rPr>
        <w:t>We conducted our audits in accordance with the standards of the PCAOB. Those standards require that we plan and perform the audit to obtain reasonable assurance about whether the financial statements are free of material misstatement, whether due to</w:t>
      </w:r>
      <w:r>
        <w:rPr>
          <w:rFonts w:ascii="Arial" w:eastAsia="宋体" w:hAnsi="Arial" w:cs="Arial"/>
          <w:color w:val="262626"/>
          <w:sz w:val="18"/>
          <w:szCs w:val="18"/>
        </w:rPr>
        <w:t xml:space="preserve"> error or fraud. Our audits included performing procedures to assess the risks of material misstatement of the financial statements, whether due to error or fraud, and performing procedures that respond to those risks. Such procedures included examining, o</w:t>
      </w:r>
      <w:r>
        <w:rPr>
          <w:rFonts w:ascii="Arial" w:eastAsia="宋体" w:hAnsi="Arial" w:cs="Arial"/>
          <w:color w:val="262626"/>
          <w:sz w:val="18"/>
          <w:szCs w:val="18"/>
        </w:rPr>
        <w:t>n a test basis, evidence regarding the amounts and disclosures in the financial statements. Our audits also included evaluating the accounting principles used and significant estimates made by management, as well as evaluating the overall presentation of t</w:t>
      </w:r>
      <w:r>
        <w:rPr>
          <w:rFonts w:ascii="Arial" w:eastAsia="宋体" w:hAnsi="Arial" w:cs="Arial"/>
          <w:color w:val="262626"/>
          <w:sz w:val="18"/>
          <w:szCs w:val="18"/>
        </w:rPr>
        <w:t xml:space="preserve">he financial statements. We believe that our audits provide a reasonable basis for our opinion. </w:t>
      </w:r>
    </w:p>
    <w:p w14:paraId="67535892" w14:textId="77777777" w:rsidR="001B77DD" w:rsidRDefault="00BF0A28">
      <w:pPr>
        <w:spacing w:after="120"/>
      </w:pPr>
      <w:r>
        <w:rPr>
          <w:rFonts w:ascii="Arial" w:eastAsia="宋体" w:hAnsi="Arial" w:cs="Arial"/>
          <w:color w:val="0068B5"/>
          <w:sz w:val="20"/>
          <w:szCs w:val="20"/>
        </w:rPr>
        <w:t>Critical Audit Matter</w:t>
      </w:r>
    </w:p>
    <w:p w14:paraId="67535893" w14:textId="77777777" w:rsidR="001B77DD" w:rsidRDefault="00BF0A28">
      <w:pPr>
        <w:spacing w:after="180"/>
      </w:pPr>
      <w:r>
        <w:rPr>
          <w:rFonts w:ascii="Arial" w:eastAsia="宋体" w:hAnsi="Arial" w:cs="Arial"/>
          <w:color w:val="262626"/>
          <w:sz w:val="18"/>
          <w:szCs w:val="18"/>
        </w:rPr>
        <w:t>The critical audit matter communicated below is a matter arising from the current period audit of the financial statements that was commu</w:t>
      </w:r>
      <w:r>
        <w:rPr>
          <w:rFonts w:ascii="Arial" w:eastAsia="宋体" w:hAnsi="Arial" w:cs="Arial"/>
          <w:color w:val="262626"/>
          <w:sz w:val="18"/>
          <w:szCs w:val="18"/>
        </w:rPr>
        <w:t xml:space="preserve">nicated or required to be communicated to the audit committee and that: (1) relates to accounts or disclosures that are material to the financial statements and (2) involved our especially challenging, subjective or complex judgments. The communication of </w:t>
      </w:r>
      <w:r>
        <w:rPr>
          <w:rFonts w:ascii="Arial" w:eastAsia="宋体" w:hAnsi="Arial" w:cs="Arial"/>
          <w:color w:val="262626"/>
          <w:sz w:val="18"/>
          <w:szCs w:val="18"/>
        </w:rPr>
        <w:t>the critical audit matter does not alter in any way our opinion on the Consolidated Financial Statements, taken as a whole, and we are not, by communicating the critical audit matter below, providing a separate opinion on the critical audit matter or on th</w:t>
      </w:r>
      <w:r>
        <w:rPr>
          <w:rFonts w:ascii="Arial" w:eastAsia="宋体" w:hAnsi="Arial" w:cs="Arial"/>
          <w:color w:val="262626"/>
          <w:sz w:val="18"/>
          <w:szCs w:val="18"/>
        </w:rPr>
        <w:t>e accounts or disclosures to which it relates.</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589D" w14:textId="77777777">
        <w:tc>
          <w:tcPr>
            <w:tcW w:w="50" w:type="pct"/>
            <w:shd w:val="clear" w:color="auto" w:fill="auto"/>
            <w:vAlign w:val="bottom"/>
          </w:tcPr>
          <w:p w14:paraId="67535894" w14:textId="77777777" w:rsidR="001B77DD" w:rsidRDefault="001B77DD">
            <w:pPr>
              <w:rPr>
                <w:rFonts w:ascii="宋体"/>
              </w:rPr>
            </w:pPr>
          </w:p>
        </w:tc>
        <w:tc>
          <w:tcPr>
            <w:tcW w:w="283" w:type="pct"/>
            <w:shd w:val="clear" w:color="auto" w:fill="auto"/>
            <w:vAlign w:val="bottom"/>
          </w:tcPr>
          <w:p w14:paraId="67535895" w14:textId="77777777" w:rsidR="001B77DD" w:rsidRDefault="001B77DD">
            <w:pPr>
              <w:rPr>
                <w:rFonts w:ascii="宋体"/>
              </w:rPr>
            </w:pPr>
          </w:p>
        </w:tc>
        <w:tc>
          <w:tcPr>
            <w:tcW w:w="5" w:type="pct"/>
            <w:shd w:val="clear" w:color="auto" w:fill="auto"/>
            <w:vAlign w:val="bottom"/>
          </w:tcPr>
          <w:p w14:paraId="67535896" w14:textId="77777777" w:rsidR="001B77DD" w:rsidRDefault="001B77DD">
            <w:pPr>
              <w:rPr>
                <w:rFonts w:ascii="宋体"/>
              </w:rPr>
            </w:pPr>
          </w:p>
        </w:tc>
        <w:tc>
          <w:tcPr>
            <w:tcW w:w="50" w:type="pct"/>
            <w:shd w:val="clear" w:color="auto" w:fill="auto"/>
            <w:vAlign w:val="bottom"/>
          </w:tcPr>
          <w:p w14:paraId="67535897" w14:textId="77777777" w:rsidR="001B77DD" w:rsidRDefault="001B77DD">
            <w:pPr>
              <w:rPr>
                <w:rFonts w:ascii="宋体"/>
              </w:rPr>
            </w:pPr>
          </w:p>
        </w:tc>
        <w:tc>
          <w:tcPr>
            <w:tcW w:w="2656" w:type="pct"/>
            <w:shd w:val="clear" w:color="auto" w:fill="auto"/>
            <w:vAlign w:val="bottom"/>
          </w:tcPr>
          <w:p w14:paraId="67535898" w14:textId="77777777" w:rsidR="001B77DD" w:rsidRDefault="001B77DD">
            <w:pPr>
              <w:rPr>
                <w:rFonts w:ascii="宋体"/>
              </w:rPr>
            </w:pPr>
          </w:p>
        </w:tc>
        <w:tc>
          <w:tcPr>
            <w:tcW w:w="5" w:type="pct"/>
            <w:shd w:val="clear" w:color="auto" w:fill="auto"/>
            <w:vAlign w:val="bottom"/>
          </w:tcPr>
          <w:p w14:paraId="67535899" w14:textId="77777777" w:rsidR="001B77DD" w:rsidRDefault="001B77DD">
            <w:pPr>
              <w:rPr>
                <w:rFonts w:ascii="宋体"/>
              </w:rPr>
            </w:pPr>
          </w:p>
        </w:tc>
        <w:tc>
          <w:tcPr>
            <w:tcW w:w="50" w:type="pct"/>
            <w:shd w:val="clear" w:color="auto" w:fill="auto"/>
            <w:vAlign w:val="bottom"/>
          </w:tcPr>
          <w:p w14:paraId="6753589A" w14:textId="77777777" w:rsidR="001B77DD" w:rsidRDefault="001B77DD">
            <w:pPr>
              <w:rPr>
                <w:rFonts w:ascii="宋体"/>
              </w:rPr>
            </w:pPr>
          </w:p>
        </w:tc>
        <w:tc>
          <w:tcPr>
            <w:tcW w:w="1894" w:type="pct"/>
            <w:shd w:val="clear" w:color="auto" w:fill="auto"/>
            <w:vAlign w:val="bottom"/>
          </w:tcPr>
          <w:p w14:paraId="6753589B" w14:textId="77777777" w:rsidR="001B77DD" w:rsidRDefault="001B77DD">
            <w:pPr>
              <w:rPr>
                <w:rFonts w:ascii="宋体"/>
              </w:rPr>
            </w:pPr>
          </w:p>
        </w:tc>
        <w:tc>
          <w:tcPr>
            <w:tcW w:w="5" w:type="pct"/>
            <w:shd w:val="clear" w:color="auto" w:fill="auto"/>
            <w:vAlign w:val="bottom"/>
          </w:tcPr>
          <w:p w14:paraId="6753589C" w14:textId="77777777" w:rsidR="001B77DD" w:rsidRDefault="001B77DD">
            <w:pPr>
              <w:rPr>
                <w:rFonts w:ascii="宋体"/>
              </w:rPr>
            </w:pPr>
          </w:p>
        </w:tc>
      </w:tr>
      <w:tr w:rsidR="001B77DD" w14:paraId="675358A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89E"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0F" wp14:editId="67538F10">
                  <wp:extent cx="304800" cy="304800"/>
                  <wp:effectExtent l="0" t="0" r="0" b="0"/>
                  <wp:docPr id="220" name="图片 26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6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89F" w14:textId="77777777" w:rsidR="001B77DD" w:rsidRDefault="00BF0A28">
            <w:pPr>
              <w:textAlignment w:val="center"/>
            </w:pPr>
            <w:r>
              <w:rPr>
                <w:rFonts w:ascii="Arial" w:eastAsia="宋体" w:hAnsi="Arial" w:cs="Arial"/>
                <w:color w:val="262626"/>
                <w:sz w:val="16"/>
                <w:szCs w:val="16"/>
              </w:rPr>
              <w:t>Auditor's Reports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8A0" w14:textId="77777777" w:rsidR="001B77DD" w:rsidRDefault="00BF0A28">
            <w:pPr>
              <w:jc w:val="right"/>
              <w:textAlignment w:val="center"/>
            </w:pPr>
            <w:r>
              <w:rPr>
                <w:rFonts w:ascii="Arial" w:eastAsia="宋体" w:hAnsi="Arial" w:cs="Arial"/>
                <w:color w:val="262626"/>
                <w:sz w:val="16"/>
                <w:szCs w:val="16"/>
              </w:rPr>
              <w:t>69</w:t>
            </w:r>
          </w:p>
        </w:tc>
      </w:tr>
    </w:tbl>
    <w:p w14:paraId="675358A2" w14:textId="77777777" w:rsidR="001B77DD" w:rsidRDefault="00BF0A28">
      <w:r>
        <w:pict w14:anchorId="67538F11">
          <v:rect id="_x0000_i1095" style="width:415.3pt;height:1.5pt" o:hralign="center" o:hrstd="t" o:hr="t" fillcolor="#a0a0a0" stroked="f"/>
        </w:pict>
      </w:r>
    </w:p>
    <w:p w14:paraId="675358A3" w14:textId="77777777" w:rsidR="001B77DD" w:rsidRDefault="00BF0A28">
      <w:pPr>
        <w:jc w:val="right"/>
      </w:pPr>
      <w:hyperlink r:id="rId157" w:anchor="i6c9ced68f6b24d58a3dcf326e8c3c699_16" w:history="1">
        <w:r>
          <w:rPr>
            <w:rStyle w:val="a5"/>
            <w:rFonts w:ascii="Arial" w:eastAsia="宋体" w:hAnsi="Arial" w:cs="Arial"/>
            <w:b/>
            <w:bCs/>
            <w:sz w:val="16"/>
            <w:szCs w:val="16"/>
          </w:rPr>
          <w:t>Table of Contents</w:t>
        </w:r>
      </w:hyperlink>
    </w:p>
    <w:p w14:paraId="675358A4" w14:textId="77777777" w:rsidR="001B77DD" w:rsidRDefault="001B77DD">
      <w:pPr>
        <w:jc w:val="right"/>
      </w:pPr>
    </w:p>
    <w:tbl>
      <w:tblPr>
        <w:tblW w:w="10965" w:type="dxa"/>
        <w:tblCellMar>
          <w:top w:w="15" w:type="dxa"/>
          <w:left w:w="15" w:type="dxa"/>
          <w:bottom w:w="15" w:type="dxa"/>
          <w:right w:w="15" w:type="dxa"/>
        </w:tblCellMar>
        <w:tblLook w:val="04A0" w:firstRow="1" w:lastRow="0" w:firstColumn="1" w:lastColumn="0" w:noHBand="0" w:noVBand="1"/>
      </w:tblPr>
      <w:tblGrid>
        <w:gridCol w:w="37"/>
        <w:gridCol w:w="1287"/>
        <w:gridCol w:w="37"/>
        <w:gridCol w:w="36"/>
        <w:gridCol w:w="36"/>
        <w:gridCol w:w="36"/>
        <w:gridCol w:w="62"/>
        <w:gridCol w:w="9372"/>
        <w:gridCol w:w="62"/>
      </w:tblGrid>
      <w:tr w:rsidR="001B77DD" w14:paraId="675358AE" w14:textId="77777777">
        <w:tc>
          <w:tcPr>
            <w:tcW w:w="20" w:type="dxa"/>
            <w:shd w:val="clear" w:color="auto" w:fill="auto"/>
            <w:vAlign w:val="bottom"/>
          </w:tcPr>
          <w:p w14:paraId="675358A5" w14:textId="77777777" w:rsidR="001B77DD" w:rsidRDefault="001B77DD">
            <w:pPr>
              <w:rPr>
                <w:rFonts w:ascii="宋体"/>
              </w:rPr>
            </w:pPr>
          </w:p>
        </w:tc>
        <w:tc>
          <w:tcPr>
            <w:tcW w:w="1955" w:type="dxa"/>
            <w:shd w:val="clear" w:color="auto" w:fill="auto"/>
            <w:vAlign w:val="bottom"/>
          </w:tcPr>
          <w:p w14:paraId="675358A6" w14:textId="77777777" w:rsidR="001B77DD" w:rsidRDefault="001B77DD">
            <w:pPr>
              <w:rPr>
                <w:rFonts w:ascii="宋体"/>
              </w:rPr>
            </w:pPr>
          </w:p>
        </w:tc>
        <w:tc>
          <w:tcPr>
            <w:tcW w:w="20" w:type="dxa"/>
            <w:shd w:val="clear" w:color="auto" w:fill="auto"/>
            <w:vAlign w:val="bottom"/>
          </w:tcPr>
          <w:p w14:paraId="675358A7" w14:textId="77777777" w:rsidR="001B77DD" w:rsidRDefault="001B77DD">
            <w:pPr>
              <w:rPr>
                <w:rFonts w:ascii="宋体"/>
              </w:rPr>
            </w:pPr>
          </w:p>
        </w:tc>
        <w:tc>
          <w:tcPr>
            <w:tcW w:w="20" w:type="dxa"/>
            <w:shd w:val="clear" w:color="auto" w:fill="auto"/>
            <w:vAlign w:val="bottom"/>
          </w:tcPr>
          <w:p w14:paraId="675358A8" w14:textId="77777777" w:rsidR="001B77DD" w:rsidRDefault="001B77DD">
            <w:pPr>
              <w:rPr>
                <w:rFonts w:ascii="宋体"/>
              </w:rPr>
            </w:pPr>
          </w:p>
        </w:tc>
        <w:tc>
          <w:tcPr>
            <w:tcW w:w="35" w:type="dxa"/>
            <w:shd w:val="clear" w:color="auto" w:fill="auto"/>
            <w:vAlign w:val="bottom"/>
          </w:tcPr>
          <w:p w14:paraId="675358A9" w14:textId="77777777" w:rsidR="001B77DD" w:rsidRDefault="001B77DD">
            <w:pPr>
              <w:rPr>
                <w:rFonts w:ascii="宋体"/>
              </w:rPr>
            </w:pPr>
          </w:p>
        </w:tc>
        <w:tc>
          <w:tcPr>
            <w:tcW w:w="20" w:type="dxa"/>
            <w:shd w:val="clear" w:color="auto" w:fill="auto"/>
            <w:vAlign w:val="bottom"/>
          </w:tcPr>
          <w:p w14:paraId="675358AA" w14:textId="77777777" w:rsidR="001B77DD" w:rsidRDefault="001B77DD">
            <w:pPr>
              <w:rPr>
                <w:rFonts w:ascii="宋体"/>
              </w:rPr>
            </w:pPr>
          </w:p>
        </w:tc>
        <w:tc>
          <w:tcPr>
            <w:tcW w:w="20" w:type="dxa"/>
            <w:shd w:val="clear" w:color="auto" w:fill="auto"/>
            <w:vAlign w:val="bottom"/>
          </w:tcPr>
          <w:p w14:paraId="675358AB" w14:textId="77777777" w:rsidR="001B77DD" w:rsidRDefault="001B77DD">
            <w:pPr>
              <w:rPr>
                <w:rFonts w:ascii="宋体"/>
              </w:rPr>
            </w:pPr>
          </w:p>
        </w:tc>
        <w:tc>
          <w:tcPr>
            <w:tcW w:w="8855" w:type="dxa"/>
            <w:shd w:val="clear" w:color="auto" w:fill="auto"/>
            <w:vAlign w:val="bottom"/>
          </w:tcPr>
          <w:p w14:paraId="675358AC" w14:textId="77777777" w:rsidR="001B77DD" w:rsidRDefault="001B77DD">
            <w:pPr>
              <w:rPr>
                <w:rFonts w:ascii="宋体"/>
              </w:rPr>
            </w:pPr>
          </w:p>
        </w:tc>
        <w:tc>
          <w:tcPr>
            <w:tcW w:w="20" w:type="dxa"/>
            <w:shd w:val="clear" w:color="auto" w:fill="auto"/>
            <w:vAlign w:val="bottom"/>
          </w:tcPr>
          <w:p w14:paraId="675358AD" w14:textId="77777777" w:rsidR="001B77DD" w:rsidRDefault="001B77DD">
            <w:pPr>
              <w:rPr>
                <w:rFonts w:ascii="宋体"/>
              </w:rPr>
            </w:pPr>
          </w:p>
        </w:tc>
      </w:tr>
      <w:tr w:rsidR="001B77DD" w14:paraId="675358B2" w14:textId="77777777">
        <w:trPr>
          <w:trHeight w:val="280"/>
        </w:trPr>
        <w:tc>
          <w:tcPr>
            <w:tcW w:w="0" w:type="auto"/>
            <w:gridSpan w:val="3"/>
            <w:shd w:val="clear" w:color="auto" w:fill="auto"/>
            <w:tcMar>
              <w:top w:w="0" w:type="dxa"/>
              <w:left w:w="20" w:type="dxa"/>
              <w:bottom w:w="0" w:type="dxa"/>
              <w:right w:w="20" w:type="dxa"/>
            </w:tcMar>
            <w:vAlign w:val="bottom"/>
          </w:tcPr>
          <w:p w14:paraId="675358A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B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8B1" w14:textId="77777777" w:rsidR="001B77DD" w:rsidRDefault="00BF0A28">
            <w:pPr>
              <w:textAlignment w:val="bottom"/>
            </w:pPr>
            <w:r>
              <w:rPr>
                <w:rFonts w:ascii="Arial" w:eastAsia="宋体" w:hAnsi="Arial" w:cs="Arial"/>
                <w:i/>
                <w:iCs/>
                <w:color w:val="0068B5"/>
                <w:sz w:val="20"/>
                <w:szCs w:val="20"/>
              </w:rPr>
              <w:t>Inventory Valuation</w:t>
            </w:r>
          </w:p>
        </w:tc>
      </w:tr>
      <w:tr w:rsidR="001B77DD" w14:paraId="675358B6" w14:textId="77777777">
        <w:trPr>
          <w:trHeight w:val="60"/>
        </w:trPr>
        <w:tc>
          <w:tcPr>
            <w:tcW w:w="0" w:type="auto"/>
            <w:gridSpan w:val="3"/>
            <w:shd w:val="clear" w:color="auto" w:fill="auto"/>
            <w:tcMar>
              <w:top w:w="0" w:type="dxa"/>
              <w:left w:w="20" w:type="dxa"/>
              <w:bottom w:w="0" w:type="dxa"/>
              <w:right w:w="20" w:type="dxa"/>
            </w:tcMar>
            <w:vAlign w:val="bottom"/>
          </w:tcPr>
          <w:p w14:paraId="675358B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B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B5" w14:textId="77777777" w:rsidR="001B77DD" w:rsidRDefault="001B77DD">
            <w:pPr>
              <w:rPr>
                <w:rFonts w:ascii="宋体"/>
              </w:rPr>
            </w:pPr>
          </w:p>
        </w:tc>
      </w:tr>
      <w:tr w:rsidR="001B77DD" w14:paraId="675358BA" w14:textId="77777777">
        <w:trPr>
          <w:trHeight w:val="2220"/>
        </w:trPr>
        <w:tc>
          <w:tcPr>
            <w:tcW w:w="0" w:type="auto"/>
            <w:gridSpan w:val="3"/>
            <w:vMerge w:val="restart"/>
            <w:shd w:val="clear" w:color="auto" w:fill="auto"/>
            <w:tcMar>
              <w:top w:w="40" w:type="dxa"/>
              <w:left w:w="20" w:type="dxa"/>
              <w:bottom w:w="40" w:type="dxa"/>
              <w:right w:w="20" w:type="dxa"/>
            </w:tcMar>
          </w:tcPr>
          <w:p w14:paraId="675358B7" w14:textId="77777777" w:rsidR="001B77DD" w:rsidRDefault="00BF0A28">
            <w:pPr>
              <w:textAlignment w:val="top"/>
            </w:pPr>
            <w:r>
              <w:rPr>
                <w:rFonts w:ascii="Arial" w:eastAsia="宋体" w:hAnsi="Arial" w:cs="Arial"/>
                <w:i/>
                <w:iCs/>
                <w:color w:val="0068B5"/>
                <w:sz w:val="20"/>
                <w:szCs w:val="20"/>
              </w:rPr>
              <w:t>Description of the Matter</w:t>
            </w:r>
          </w:p>
        </w:tc>
        <w:tc>
          <w:tcPr>
            <w:tcW w:w="0" w:type="auto"/>
            <w:gridSpan w:val="3"/>
            <w:shd w:val="clear" w:color="auto" w:fill="auto"/>
            <w:tcMar>
              <w:top w:w="0" w:type="dxa"/>
              <w:left w:w="20" w:type="dxa"/>
              <w:bottom w:w="0" w:type="dxa"/>
              <w:right w:w="20" w:type="dxa"/>
            </w:tcMar>
            <w:vAlign w:val="bottom"/>
          </w:tcPr>
          <w:p w14:paraId="675358B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58B9" w14:textId="77777777" w:rsidR="001B77DD" w:rsidRDefault="00BF0A28">
            <w:pPr>
              <w:spacing w:after="180"/>
              <w:textAlignment w:val="top"/>
            </w:pPr>
            <w:r>
              <w:rPr>
                <w:rFonts w:ascii="Arial" w:eastAsia="宋体" w:hAnsi="Arial" w:cs="Arial"/>
                <w:color w:val="262626"/>
                <w:sz w:val="18"/>
                <w:szCs w:val="18"/>
              </w:rPr>
              <w:t>The Company's net inventory totaled $10.8 billion as of December 25, 2021, representing 6.4% of total assets. As explained in "Note 2: Accounting Policies" within the Consolidated Financial Statements, the Company computes inventory cost on a first-in, fir</w:t>
            </w:r>
            <w:r>
              <w:rPr>
                <w:rFonts w:ascii="Arial" w:eastAsia="宋体" w:hAnsi="Arial" w:cs="Arial"/>
                <w:color w:val="262626"/>
                <w:sz w:val="18"/>
                <w:szCs w:val="18"/>
              </w:rPr>
              <w:t>st-out basis, and applies judgment in determining saleability of products and the valuation of inventories. The Company assesses inventory at each reporting date in order to assert that it is recorded at net realizable value, giving consideration to, among</w:t>
            </w:r>
            <w:r>
              <w:rPr>
                <w:rFonts w:ascii="Arial" w:eastAsia="宋体" w:hAnsi="Arial" w:cs="Arial"/>
                <w:color w:val="262626"/>
                <w:sz w:val="18"/>
                <w:szCs w:val="18"/>
              </w:rPr>
              <w:t xml:space="preserve"> other factors: whether the products have achieved the substantive engineering milestones to qualify for sale to customers; the determination of normal capacity levels in its manufacturing process to determine which manufacturing overhead costs can be incl</w:t>
            </w:r>
            <w:r>
              <w:rPr>
                <w:rFonts w:ascii="Arial" w:eastAsia="宋体" w:hAnsi="Arial" w:cs="Arial"/>
                <w:color w:val="262626"/>
                <w:sz w:val="18"/>
                <w:szCs w:val="18"/>
              </w:rPr>
              <w:t xml:space="preserve">uded in the valuation of inventory; whether the product is valued at the lower of cost or net realizable value; and the estimation of excess and obsolete inventory or that which is not of saleable quality. </w:t>
            </w:r>
          </w:p>
        </w:tc>
      </w:tr>
      <w:tr w:rsidR="001B77DD" w14:paraId="675358BE" w14:textId="77777777">
        <w:trPr>
          <w:trHeight w:val="180"/>
        </w:trPr>
        <w:tc>
          <w:tcPr>
            <w:tcW w:w="0" w:type="auto"/>
            <w:gridSpan w:val="3"/>
            <w:vMerge/>
            <w:shd w:val="clear" w:color="auto" w:fill="auto"/>
            <w:tcMar>
              <w:top w:w="40" w:type="dxa"/>
              <w:left w:w="20" w:type="dxa"/>
              <w:bottom w:w="40" w:type="dxa"/>
              <w:right w:w="20" w:type="dxa"/>
            </w:tcMar>
          </w:tcPr>
          <w:p w14:paraId="675358B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B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BD" w14:textId="77777777" w:rsidR="001B77DD" w:rsidRDefault="001B77DD">
            <w:pPr>
              <w:rPr>
                <w:rFonts w:ascii="宋体"/>
              </w:rPr>
            </w:pPr>
          </w:p>
        </w:tc>
      </w:tr>
      <w:tr w:rsidR="001B77DD" w14:paraId="675358C2" w14:textId="77777777">
        <w:trPr>
          <w:trHeight w:val="1140"/>
        </w:trPr>
        <w:tc>
          <w:tcPr>
            <w:tcW w:w="0" w:type="auto"/>
            <w:gridSpan w:val="3"/>
            <w:vMerge/>
            <w:shd w:val="clear" w:color="auto" w:fill="auto"/>
            <w:tcMar>
              <w:top w:w="40" w:type="dxa"/>
              <w:left w:w="20" w:type="dxa"/>
              <w:bottom w:w="40" w:type="dxa"/>
              <w:right w:w="20" w:type="dxa"/>
            </w:tcMar>
          </w:tcPr>
          <w:p w14:paraId="675358B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C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58C1" w14:textId="77777777" w:rsidR="001B77DD" w:rsidRDefault="00BF0A28">
            <w:pPr>
              <w:textAlignment w:val="top"/>
            </w:pPr>
            <w:r>
              <w:rPr>
                <w:rFonts w:ascii="Arial" w:eastAsia="宋体" w:hAnsi="Arial" w:cs="Arial"/>
                <w:color w:val="262626"/>
                <w:sz w:val="18"/>
                <w:szCs w:val="18"/>
              </w:rPr>
              <w:t xml:space="preserve">Auditing management's assessment of net </w:t>
            </w:r>
            <w:r>
              <w:rPr>
                <w:rFonts w:ascii="Arial" w:eastAsia="宋体" w:hAnsi="Arial" w:cs="Arial"/>
                <w:color w:val="262626"/>
                <w:sz w:val="18"/>
                <w:szCs w:val="18"/>
              </w:rPr>
              <w:t>realizable value for inventory was challenging because the determination of lower of cost or net realizable value and excess and obsolete inventory reserves is judgmental and considers a number of factors that are affected by market and economic conditions</w:t>
            </w:r>
            <w:r>
              <w:rPr>
                <w:rFonts w:ascii="Arial" w:eastAsia="宋体" w:hAnsi="Arial" w:cs="Arial"/>
                <w:color w:val="262626"/>
                <w:sz w:val="18"/>
                <w:szCs w:val="18"/>
              </w:rPr>
              <w:t>, such as customer forecasts, dynamic pricing environments, and industry supply and demand. Additionally, for certain new product launches there is limited historical data with which to evaluate forecasts.</w:t>
            </w:r>
          </w:p>
        </w:tc>
      </w:tr>
      <w:tr w:rsidR="001B77DD" w14:paraId="675358C6" w14:textId="77777777">
        <w:trPr>
          <w:trHeight w:val="180"/>
        </w:trPr>
        <w:tc>
          <w:tcPr>
            <w:tcW w:w="0" w:type="auto"/>
            <w:gridSpan w:val="3"/>
            <w:shd w:val="clear" w:color="auto" w:fill="auto"/>
            <w:tcMar>
              <w:top w:w="0" w:type="dxa"/>
              <w:left w:w="20" w:type="dxa"/>
              <w:bottom w:w="0" w:type="dxa"/>
              <w:right w:w="20" w:type="dxa"/>
            </w:tcMar>
            <w:vAlign w:val="bottom"/>
          </w:tcPr>
          <w:p w14:paraId="675358C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C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C5" w14:textId="77777777" w:rsidR="001B77DD" w:rsidRDefault="001B77DD">
            <w:pPr>
              <w:rPr>
                <w:rFonts w:ascii="宋体"/>
              </w:rPr>
            </w:pPr>
          </w:p>
        </w:tc>
      </w:tr>
      <w:tr w:rsidR="001B77DD" w14:paraId="675358CA" w14:textId="77777777">
        <w:trPr>
          <w:trHeight w:val="900"/>
        </w:trPr>
        <w:tc>
          <w:tcPr>
            <w:tcW w:w="0" w:type="auto"/>
            <w:gridSpan w:val="3"/>
            <w:vMerge w:val="restart"/>
            <w:shd w:val="clear" w:color="auto" w:fill="auto"/>
            <w:tcMar>
              <w:top w:w="40" w:type="dxa"/>
              <w:left w:w="20" w:type="dxa"/>
              <w:bottom w:w="40" w:type="dxa"/>
              <w:right w:w="20" w:type="dxa"/>
            </w:tcMar>
          </w:tcPr>
          <w:p w14:paraId="675358C7" w14:textId="77777777" w:rsidR="001B77DD" w:rsidRDefault="00BF0A28">
            <w:pPr>
              <w:textAlignment w:val="top"/>
            </w:pPr>
            <w:r>
              <w:rPr>
                <w:rFonts w:ascii="Arial" w:eastAsia="宋体" w:hAnsi="Arial" w:cs="Arial"/>
                <w:i/>
                <w:iCs/>
                <w:color w:val="0068B5"/>
                <w:sz w:val="20"/>
                <w:szCs w:val="20"/>
              </w:rPr>
              <w:t xml:space="preserve">How We Addressed </w:t>
            </w:r>
            <w:r>
              <w:rPr>
                <w:rFonts w:ascii="Arial" w:eastAsia="宋体" w:hAnsi="Arial" w:cs="Arial"/>
                <w:i/>
                <w:iCs/>
                <w:color w:val="0068B5"/>
                <w:sz w:val="20"/>
                <w:szCs w:val="20"/>
              </w:rPr>
              <w:br/>
              <w:t xml:space="preserve">the Matter in Our </w:t>
            </w:r>
            <w:r>
              <w:rPr>
                <w:rFonts w:ascii="Arial" w:eastAsia="宋体" w:hAnsi="Arial" w:cs="Arial"/>
                <w:i/>
                <w:iCs/>
                <w:color w:val="0068B5"/>
                <w:sz w:val="20"/>
                <w:szCs w:val="20"/>
              </w:rPr>
              <w:t>Audit</w:t>
            </w:r>
          </w:p>
        </w:tc>
        <w:tc>
          <w:tcPr>
            <w:tcW w:w="0" w:type="auto"/>
            <w:gridSpan w:val="3"/>
            <w:shd w:val="clear" w:color="auto" w:fill="auto"/>
            <w:tcMar>
              <w:top w:w="0" w:type="dxa"/>
              <w:left w:w="20" w:type="dxa"/>
              <w:bottom w:w="0" w:type="dxa"/>
              <w:right w:w="20" w:type="dxa"/>
            </w:tcMar>
            <w:vAlign w:val="bottom"/>
          </w:tcPr>
          <w:p w14:paraId="675358C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58C9" w14:textId="77777777" w:rsidR="001B77DD" w:rsidRDefault="00BF0A28">
            <w:pPr>
              <w:textAlignment w:val="top"/>
            </w:pPr>
            <w:r>
              <w:rPr>
                <w:rFonts w:ascii="Arial" w:eastAsia="宋体" w:hAnsi="Arial" w:cs="Arial"/>
                <w:color w:val="262626"/>
                <w:sz w:val="18"/>
                <w:szCs w:val="18"/>
              </w:rPr>
              <w:t xml:space="preserve">We evaluated and tested the design and operating effectiveness of the Company's internal controls over the costing of inventory, the determination of whether inventory is of saleable quality, the calculation of lower of cost or net realizable value </w:t>
            </w:r>
            <w:r>
              <w:rPr>
                <w:rFonts w:ascii="Arial" w:eastAsia="宋体" w:hAnsi="Arial" w:cs="Arial"/>
                <w:color w:val="262626"/>
                <w:sz w:val="18"/>
                <w:szCs w:val="18"/>
              </w:rPr>
              <w:t>reserves including related estimated costs and selling prices, and the determination of demand forecasts and related application against on hand inventory.</w:t>
            </w:r>
          </w:p>
        </w:tc>
      </w:tr>
      <w:tr w:rsidR="001B77DD" w14:paraId="675358CE" w14:textId="77777777">
        <w:trPr>
          <w:trHeight w:val="180"/>
        </w:trPr>
        <w:tc>
          <w:tcPr>
            <w:tcW w:w="0" w:type="auto"/>
            <w:gridSpan w:val="3"/>
            <w:vMerge/>
            <w:shd w:val="clear" w:color="auto" w:fill="auto"/>
            <w:tcMar>
              <w:top w:w="40" w:type="dxa"/>
              <w:left w:w="20" w:type="dxa"/>
              <w:bottom w:w="40" w:type="dxa"/>
              <w:right w:w="20" w:type="dxa"/>
            </w:tcMar>
          </w:tcPr>
          <w:p w14:paraId="675358C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C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CD" w14:textId="77777777" w:rsidR="001B77DD" w:rsidRDefault="001B77DD">
            <w:pPr>
              <w:rPr>
                <w:rFonts w:ascii="宋体"/>
              </w:rPr>
            </w:pPr>
          </w:p>
        </w:tc>
      </w:tr>
      <w:tr w:rsidR="001B77DD" w14:paraId="675358D2" w14:textId="77777777">
        <w:trPr>
          <w:trHeight w:val="1560"/>
        </w:trPr>
        <w:tc>
          <w:tcPr>
            <w:tcW w:w="0" w:type="auto"/>
            <w:gridSpan w:val="3"/>
            <w:vMerge/>
            <w:shd w:val="clear" w:color="auto" w:fill="auto"/>
            <w:tcMar>
              <w:top w:w="40" w:type="dxa"/>
              <w:left w:w="20" w:type="dxa"/>
              <w:bottom w:w="40" w:type="dxa"/>
              <w:right w:w="20" w:type="dxa"/>
            </w:tcMar>
          </w:tcPr>
          <w:p w14:paraId="675358C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8D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58D1" w14:textId="77777777" w:rsidR="001B77DD" w:rsidRDefault="00BF0A28">
            <w:pPr>
              <w:textAlignment w:val="top"/>
            </w:pPr>
            <w:r>
              <w:rPr>
                <w:rFonts w:ascii="Arial" w:eastAsia="宋体" w:hAnsi="Arial" w:cs="Arial"/>
                <w:color w:val="262626"/>
                <w:sz w:val="18"/>
                <w:szCs w:val="18"/>
              </w:rPr>
              <w:t xml:space="preserve">Our audit procedures included, among others, testing the significant assumptions (e.g., </w:t>
            </w:r>
            <w:r>
              <w:rPr>
                <w:rFonts w:ascii="Arial" w:eastAsia="宋体" w:hAnsi="Arial" w:cs="Arial"/>
                <w:color w:val="262626"/>
                <w:sz w:val="18"/>
                <w:szCs w:val="18"/>
              </w:rPr>
              <w:t>estimated product costs and selling prices, and product demand forecasts) and the underlying data used in management's inventory valuation assessment. We compared the significant assumptions used by management to current industry and economic trends. We as</w:t>
            </w:r>
            <w:r>
              <w:rPr>
                <w:rFonts w:ascii="Arial" w:eastAsia="宋体" w:hAnsi="Arial" w:cs="Arial"/>
                <w:color w:val="262626"/>
                <w:sz w:val="18"/>
                <w:szCs w:val="18"/>
              </w:rPr>
              <w:t xml:space="preserve">sessed whether there were any potential sources of contrary information, including historical forecast accuracy or history of significant revisions to previously recorded inventory valuation adjustments, and performed sensitivity analyses over significant </w:t>
            </w:r>
            <w:r>
              <w:rPr>
                <w:rFonts w:ascii="Arial" w:eastAsia="宋体" w:hAnsi="Arial" w:cs="Arial"/>
                <w:color w:val="262626"/>
                <w:sz w:val="18"/>
                <w:szCs w:val="18"/>
              </w:rPr>
              <w:t>assumptions to evaluate the changes in inventory valuation that would result from changes in the assumptions.</w:t>
            </w:r>
          </w:p>
        </w:tc>
      </w:tr>
    </w:tbl>
    <w:p w14:paraId="675358D3" w14:textId="77777777" w:rsidR="001B77DD" w:rsidRDefault="001B77DD">
      <w:pPr>
        <w:spacing w:after="180"/>
      </w:pPr>
    </w:p>
    <w:p w14:paraId="675358D4" w14:textId="77777777" w:rsidR="001B77DD" w:rsidRDefault="00BF0A28">
      <w:r>
        <w:rPr>
          <w:rFonts w:ascii="Arial" w:eastAsia="宋体" w:hAnsi="Arial" w:cs="Arial"/>
          <w:color w:val="262626"/>
          <w:sz w:val="18"/>
          <w:szCs w:val="18"/>
        </w:rPr>
        <w:t>/s/ Ernst &amp; Young LLP</w:t>
      </w:r>
    </w:p>
    <w:p w14:paraId="675358D5" w14:textId="77777777" w:rsidR="001B77DD" w:rsidRDefault="00BF0A28">
      <w:r>
        <w:rPr>
          <w:rFonts w:ascii="Arial" w:eastAsia="宋体" w:hAnsi="Arial" w:cs="Arial"/>
          <w:color w:val="262626"/>
          <w:sz w:val="18"/>
          <w:szCs w:val="18"/>
        </w:rPr>
        <w:t>    </w:t>
      </w:r>
    </w:p>
    <w:p w14:paraId="675358D6" w14:textId="77777777" w:rsidR="001B77DD" w:rsidRDefault="00BF0A28">
      <w:pPr>
        <w:spacing w:after="180"/>
      </w:pPr>
      <w:r>
        <w:rPr>
          <w:rFonts w:ascii="Arial" w:eastAsia="宋体" w:hAnsi="Arial" w:cs="Arial"/>
          <w:color w:val="262626"/>
          <w:sz w:val="18"/>
          <w:szCs w:val="18"/>
        </w:rPr>
        <w:t>We have served as the Company's auditor since 1968.</w:t>
      </w:r>
    </w:p>
    <w:p w14:paraId="675358D7" w14:textId="77777777" w:rsidR="001B77DD" w:rsidRDefault="00BF0A28">
      <w:r>
        <w:rPr>
          <w:rFonts w:ascii="Arial" w:eastAsia="宋体" w:hAnsi="Arial" w:cs="Arial"/>
          <w:color w:val="262626"/>
          <w:sz w:val="18"/>
          <w:szCs w:val="18"/>
        </w:rPr>
        <w:t>San Jose, California</w:t>
      </w:r>
    </w:p>
    <w:p w14:paraId="675358D8" w14:textId="77777777" w:rsidR="001B77DD" w:rsidRDefault="00BF0A28">
      <w:r>
        <w:rPr>
          <w:rFonts w:ascii="Arial" w:eastAsia="宋体" w:hAnsi="Arial" w:cs="Arial"/>
          <w:color w:val="262626"/>
          <w:sz w:val="18"/>
          <w:szCs w:val="18"/>
        </w:rPr>
        <w:t>January 26, 2022</w:t>
      </w:r>
    </w:p>
    <w:p w14:paraId="675358D9"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58E3" w14:textId="77777777">
        <w:tc>
          <w:tcPr>
            <w:tcW w:w="50" w:type="pct"/>
            <w:shd w:val="clear" w:color="auto" w:fill="auto"/>
            <w:vAlign w:val="bottom"/>
          </w:tcPr>
          <w:p w14:paraId="675358DA" w14:textId="77777777" w:rsidR="001B77DD" w:rsidRDefault="001B77DD">
            <w:pPr>
              <w:rPr>
                <w:rFonts w:ascii="宋体"/>
              </w:rPr>
            </w:pPr>
          </w:p>
        </w:tc>
        <w:tc>
          <w:tcPr>
            <w:tcW w:w="283" w:type="pct"/>
            <w:shd w:val="clear" w:color="auto" w:fill="auto"/>
            <w:vAlign w:val="bottom"/>
          </w:tcPr>
          <w:p w14:paraId="675358DB" w14:textId="77777777" w:rsidR="001B77DD" w:rsidRDefault="001B77DD">
            <w:pPr>
              <w:rPr>
                <w:rFonts w:ascii="宋体"/>
              </w:rPr>
            </w:pPr>
          </w:p>
        </w:tc>
        <w:tc>
          <w:tcPr>
            <w:tcW w:w="5" w:type="pct"/>
            <w:shd w:val="clear" w:color="auto" w:fill="auto"/>
            <w:vAlign w:val="bottom"/>
          </w:tcPr>
          <w:p w14:paraId="675358DC" w14:textId="77777777" w:rsidR="001B77DD" w:rsidRDefault="001B77DD">
            <w:pPr>
              <w:rPr>
                <w:rFonts w:ascii="宋体"/>
              </w:rPr>
            </w:pPr>
          </w:p>
        </w:tc>
        <w:tc>
          <w:tcPr>
            <w:tcW w:w="50" w:type="pct"/>
            <w:shd w:val="clear" w:color="auto" w:fill="auto"/>
            <w:vAlign w:val="bottom"/>
          </w:tcPr>
          <w:p w14:paraId="675358DD" w14:textId="77777777" w:rsidR="001B77DD" w:rsidRDefault="001B77DD">
            <w:pPr>
              <w:rPr>
                <w:rFonts w:ascii="宋体"/>
              </w:rPr>
            </w:pPr>
          </w:p>
        </w:tc>
        <w:tc>
          <w:tcPr>
            <w:tcW w:w="2656" w:type="pct"/>
            <w:shd w:val="clear" w:color="auto" w:fill="auto"/>
            <w:vAlign w:val="bottom"/>
          </w:tcPr>
          <w:p w14:paraId="675358DE" w14:textId="77777777" w:rsidR="001B77DD" w:rsidRDefault="001B77DD">
            <w:pPr>
              <w:rPr>
                <w:rFonts w:ascii="宋体"/>
              </w:rPr>
            </w:pPr>
          </w:p>
        </w:tc>
        <w:tc>
          <w:tcPr>
            <w:tcW w:w="5" w:type="pct"/>
            <w:shd w:val="clear" w:color="auto" w:fill="auto"/>
            <w:vAlign w:val="bottom"/>
          </w:tcPr>
          <w:p w14:paraId="675358DF" w14:textId="77777777" w:rsidR="001B77DD" w:rsidRDefault="001B77DD">
            <w:pPr>
              <w:rPr>
                <w:rFonts w:ascii="宋体"/>
              </w:rPr>
            </w:pPr>
          </w:p>
        </w:tc>
        <w:tc>
          <w:tcPr>
            <w:tcW w:w="50" w:type="pct"/>
            <w:shd w:val="clear" w:color="auto" w:fill="auto"/>
            <w:vAlign w:val="bottom"/>
          </w:tcPr>
          <w:p w14:paraId="675358E0" w14:textId="77777777" w:rsidR="001B77DD" w:rsidRDefault="001B77DD">
            <w:pPr>
              <w:rPr>
                <w:rFonts w:ascii="宋体"/>
              </w:rPr>
            </w:pPr>
          </w:p>
        </w:tc>
        <w:tc>
          <w:tcPr>
            <w:tcW w:w="1894" w:type="pct"/>
            <w:shd w:val="clear" w:color="auto" w:fill="auto"/>
            <w:vAlign w:val="bottom"/>
          </w:tcPr>
          <w:p w14:paraId="675358E1" w14:textId="77777777" w:rsidR="001B77DD" w:rsidRDefault="001B77DD">
            <w:pPr>
              <w:rPr>
                <w:rFonts w:ascii="宋体"/>
              </w:rPr>
            </w:pPr>
          </w:p>
        </w:tc>
        <w:tc>
          <w:tcPr>
            <w:tcW w:w="5" w:type="pct"/>
            <w:shd w:val="clear" w:color="auto" w:fill="auto"/>
            <w:vAlign w:val="bottom"/>
          </w:tcPr>
          <w:p w14:paraId="675358E2" w14:textId="77777777" w:rsidR="001B77DD" w:rsidRDefault="001B77DD">
            <w:pPr>
              <w:rPr>
                <w:rFonts w:ascii="宋体"/>
              </w:rPr>
            </w:pPr>
          </w:p>
        </w:tc>
      </w:tr>
      <w:tr w:rsidR="001B77DD" w14:paraId="675358E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8E4"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12" wp14:editId="67538F13">
                  <wp:extent cx="304800" cy="304800"/>
                  <wp:effectExtent l="0" t="0" r="0" b="0"/>
                  <wp:docPr id="221" name="图片 26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6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8E5" w14:textId="77777777" w:rsidR="001B77DD" w:rsidRDefault="00BF0A28">
            <w:pPr>
              <w:textAlignment w:val="center"/>
            </w:pPr>
            <w:r>
              <w:rPr>
                <w:rFonts w:ascii="Arial" w:eastAsia="宋体" w:hAnsi="Arial" w:cs="Arial"/>
                <w:color w:val="262626"/>
                <w:sz w:val="16"/>
                <w:szCs w:val="16"/>
              </w:rPr>
              <w:t>Auditor's Reports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8E6" w14:textId="77777777" w:rsidR="001B77DD" w:rsidRDefault="00BF0A28">
            <w:pPr>
              <w:jc w:val="right"/>
              <w:textAlignment w:val="center"/>
            </w:pPr>
            <w:r>
              <w:rPr>
                <w:rFonts w:ascii="Arial" w:eastAsia="宋体" w:hAnsi="Arial" w:cs="Arial"/>
                <w:color w:val="262626"/>
                <w:sz w:val="16"/>
                <w:szCs w:val="16"/>
              </w:rPr>
              <w:t>70</w:t>
            </w:r>
          </w:p>
        </w:tc>
      </w:tr>
    </w:tbl>
    <w:p w14:paraId="675358E8" w14:textId="77777777" w:rsidR="001B77DD" w:rsidRDefault="00BF0A28">
      <w:r>
        <w:pict w14:anchorId="67538F14">
          <v:rect id="_x0000_i1096" style="width:415.3pt;height:1.5pt" o:hralign="center" o:hrstd="t" o:hr="t" fillcolor="#a0a0a0" stroked="f"/>
        </w:pict>
      </w:r>
    </w:p>
    <w:p w14:paraId="675358E9" w14:textId="77777777" w:rsidR="001B77DD" w:rsidRDefault="00BF0A28">
      <w:pPr>
        <w:jc w:val="right"/>
      </w:pPr>
      <w:hyperlink r:id="rId158" w:anchor="i6c9ced68f6b24d58a3dcf326e8c3c699_16" w:history="1">
        <w:r>
          <w:rPr>
            <w:rStyle w:val="a5"/>
            <w:rFonts w:ascii="Arial" w:eastAsia="宋体" w:hAnsi="Arial" w:cs="Arial"/>
            <w:b/>
            <w:bCs/>
            <w:sz w:val="16"/>
            <w:szCs w:val="16"/>
          </w:rPr>
          <w:t>Table of Contents</w:t>
        </w:r>
      </w:hyperlink>
    </w:p>
    <w:p w14:paraId="675358EA"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58F1" w14:textId="77777777">
        <w:tc>
          <w:tcPr>
            <w:tcW w:w="50" w:type="pct"/>
            <w:shd w:val="clear" w:color="auto" w:fill="auto"/>
            <w:vAlign w:val="bottom"/>
          </w:tcPr>
          <w:p w14:paraId="675358EB" w14:textId="77777777" w:rsidR="001B77DD" w:rsidRDefault="001B77DD">
            <w:pPr>
              <w:rPr>
                <w:rFonts w:ascii="宋体"/>
              </w:rPr>
            </w:pPr>
          </w:p>
        </w:tc>
        <w:tc>
          <w:tcPr>
            <w:tcW w:w="4870" w:type="pct"/>
            <w:shd w:val="clear" w:color="auto" w:fill="auto"/>
            <w:vAlign w:val="bottom"/>
          </w:tcPr>
          <w:p w14:paraId="675358EC" w14:textId="77777777" w:rsidR="001B77DD" w:rsidRDefault="001B77DD">
            <w:pPr>
              <w:rPr>
                <w:rFonts w:ascii="宋体"/>
              </w:rPr>
            </w:pPr>
          </w:p>
        </w:tc>
        <w:tc>
          <w:tcPr>
            <w:tcW w:w="5" w:type="pct"/>
            <w:shd w:val="clear" w:color="auto" w:fill="auto"/>
            <w:vAlign w:val="bottom"/>
          </w:tcPr>
          <w:p w14:paraId="675358ED" w14:textId="77777777" w:rsidR="001B77DD" w:rsidRDefault="001B77DD">
            <w:pPr>
              <w:rPr>
                <w:rFonts w:ascii="宋体"/>
              </w:rPr>
            </w:pPr>
          </w:p>
        </w:tc>
        <w:tc>
          <w:tcPr>
            <w:tcW w:w="5" w:type="pct"/>
            <w:shd w:val="clear" w:color="auto" w:fill="auto"/>
            <w:vAlign w:val="bottom"/>
          </w:tcPr>
          <w:p w14:paraId="675358EE" w14:textId="77777777" w:rsidR="001B77DD" w:rsidRDefault="001B77DD">
            <w:pPr>
              <w:rPr>
                <w:rFonts w:ascii="宋体"/>
              </w:rPr>
            </w:pPr>
          </w:p>
        </w:tc>
        <w:tc>
          <w:tcPr>
            <w:tcW w:w="64" w:type="pct"/>
            <w:shd w:val="clear" w:color="auto" w:fill="auto"/>
            <w:vAlign w:val="bottom"/>
          </w:tcPr>
          <w:p w14:paraId="675358EF" w14:textId="77777777" w:rsidR="001B77DD" w:rsidRDefault="001B77DD">
            <w:pPr>
              <w:rPr>
                <w:rFonts w:ascii="宋体"/>
              </w:rPr>
            </w:pPr>
          </w:p>
        </w:tc>
        <w:tc>
          <w:tcPr>
            <w:tcW w:w="5" w:type="pct"/>
            <w:shd w:val="clear" w:color="auto" w:fill="auto"/>
            <w:vAlign w:val="bottom"/>
          </w:tcPr>
          <w:p w14:paraId="675358F0" w14:textId="77777777" w:rsidR="001B77DD" w:rsidRDefault="001B77DD">
            <w:pPr>
              <w:rPr>
                <w:rFonts w:ascii="宋体"/>
              </w:rPr>
            </w:pPr>
          </w:p>
        </w:tc>
      </w:tr>
      <w:tr w:rsidR="001B77DD" w14:paraId="675358F4" w14:textId="77777777">
        <w:tc>
          <w:tcPr>
            <w:tcW w:w="0" w:type="auto"/>
            <w:gridSpan w:val="3"/>
            <w:shd w:val="clear" w:color="auto" w:fill="004A86"/>
            <w:tcMar>
              <w:top w:w="40" w:type="dxa"/>
              <w:left w:w="20" w:type="dxa"/>
              <w:bottom w:w="40" w:type="dxa"/>
              <w:right w:w="20" w:type="dxa"/>
            </w:tcMar>
            <w:vAlign w:val="center"/>
          </w:tcPr>
          <w:p w14:paraId="675358F2" w14:textId="77777777" w:rsidR="001B77DD" w:rsidRDefault="00BF0A28">
            <w:pPr>
              <w:textAlignment w:val="center"/>
            </w:pPr>
            <w:r>
              <w:rPr>
                <w:rFonts w:ascii="Arial" w:eastAsia="宋体" w:hAnsi="Arial" w:cs="Arial"/>
                <w:color w:val="FFFFFF"/>
                <w:sz w:val="36"/>
                <w:szCs w:val="36"/>
              </w:rPr>
              <w:t>Report of Independent Registered Public Accounting Firm</w:t>
            </w:r>
          </w:p>
        </w:tc>
        <w:tc>
          <w:tcPr>
            <w:tcW w:w="0" w:type="auto"/>
            <w:gridSpan w:val="3"/>
            <w:shd w:val="clear" w:color="auto" w:fill="auto"/>
            <w:tcMar>
              <w:top w:w="0" w:type="dxa"/>
              <w:left w:w="20" w:type="dxa"/>
              <w:bottom w:w="0" w:type="dxa"/>
              <w:right w:w="20" w:type="dxa"/>
            </w:tcMar>
            <w:vAlign w:val="bottom"/>
          </w:tcPr>
          <w:p w14:paraId="675358F3" w14:textId="77777777" w:rsidR="001B77DD" w:rsidRDefault="001B77DD">
            <w:pPr>
              <w:rPr>
                <w:rFonts w:ascii="宋体"/>
              </w:rPr>
            </w:pPr>
          </w:p>
        </w:tc>
      </w:tr>
      <w:tr w:rsidR="001B77DD" w14:paraId="675358F7" w14:textId="77777777">
        <w:trPr>
          <w:trHeight w:val="160"/>
        </w:trPr>
        <w:tc>
          <w:tcPr>
            <w:tcW w:w="0" w:type="auto"/>
            <w:gridSpan w:val="3"/>
            <w:shd w:val="clear" w:color="auto" w:fill="auto"/>
            <w:tcMar>
              <w:top w:w="0" w:type="dxa"/>
              <w:left w:w="20" w:type="dxa"/>
              <w:bottom w:w="0" w:type="dxa"/>
              <w:right w:w="20" w:type="dxa"/>
            </w:tcMar>
            <w:vAlign w:val="bottom"/>
          </w:tcPr>
          <w:p w14:paraId="675358F5"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58F6" w14:textId="77777777" w:rsidR="001B77DD" w:rsidRDefault="001B77DD">
            <w:pPr>
              <w:rPr>
                <w:rFonts w:ascii="宋体"/>
              </w:rPr>
            </w:pPr>
          </w:p>
        </w:tc>
      </w:tr>
    </w:tbl>
    <w:p w14:paraId="675358F8" w14:textId="77777777" w:rsidR="001B77DD" w:rsidRDefault="00BF0A28">
      <w:pPr>
        <w:spacing w:after="180"/>
      </w:pPr>
      <w:r>
        <w:rPr>
          <w:rFonts w:ascii="Arial" w:eastAsia="宋体" w:hAnsi="Arial" w:cs="Arial"/>
          <w:color w:val="0068B5"/>
        </w:rPr>
        <w:t xml:space="preserve">To the </w:t>
      </w:r>
      <w:r>
        <w:rPr>
          <w:rFonts w:ascii="Arial" w:eastAsia="宋体" w:hAnsi="Arial" w:cs="Arial"/>
          <w:color w:val="0068B5"/>
        </w:rPr>
        <w:t>Stockholders and the Board of Directors of Intel Corporation</w:t>
      </w:r>
    </w:p>
    <w:p w14:paraId="675358F9" w14:textId="77777777" w:rsidR="001B77DD" w:rsidRDefault="00BF0A28">
      <w:pPr>
        <w:spacing w:after="120"/>
      </w:pPr>
      <w:r>
        <w:rPr>
          <w:rFonts w:ascii="Arial" w:eastAsia="宋体" w:hAnsi="Arial" w:cs="Arial"/>
          <w:color w:val="0068B5"/>
          <w:sz w:val="20"/>
          <w:szCs w:val="20"/>
        </w:rPr>
        <w:t>Opinion on Internal Control Over Financial Reporting</w:t>
      </w:r>
    </w:p>
    <w:p w14:paraId="675358FA" w14:textId="77777777" w:rsidR="001B77DD" w:rsidRDefault="00BF0A28">
      <w:pPr>
        <w:spacing w:after="180"/>
      </w:pPr>
      <w:r>
        <w:rPr>
          <w:rFonts w:ascii="Arial" w:eastAsia="宋体" w:hAnsi="Arial" w:cs="Arial"/>
          <w:color w:val="262626"/>
          <w:sz w:val="18"/>
          <w:szCs w:val="18"/>
        </w:rPr>
        <w:t>We have audited Intel Corporation's internal control over financial reporting as of December 25, 2021, based on criteria established in Intern</w:t>
      </w:r>
      <w:r>
        <w:rPr>
          <w:rFonts w:ascii="Arial" w:eastAsia="宋体" w:hAnsi="Arial" w:cs="Arial"/>
          <w:color w:val="262626"/>
          <w:sz w:val="18"/>
          <w:szCs w:val="18"/>
        </w:rPr>
        <w:t>al Control—Integrated Framework issued by the Committee of Sponsoring Organizations of the Treadway Commission (2013 framework), (the COSO criteria). In our opinion, Intel Corporation (the Company) maintained, in all material respects, effective internal c</w:t>
      </w:r>
      <w:r>
        <w:rPr>
          <w:rFonts w:ascii="Arial" w:eastAsia="宋体" w:hAnsi="Arial" w:cs="Arial"/>
          <w:color w:val="262626"/>
          <w:sz w:val="18"/>
          <w:szCs w:val="18"/>
        </w:rPr>
        <w:t>ontrol over financial reporting as of December 25, 2021, based on the COSO criteria.</w:t>
      </w:r>
    </w:p>
    <w:p w14:paraId="675358FB" w14:textId="77777777" w:rsidR="001B77DD" w:rsidRDefault="00BF0A28">
      <w:pPr>
        <w:spacing w:after="180"/>
      </w:pPr>
      <w:r>
        <w:rPr>
          <w:rFonts w:ascii="Arial" w:eastAsia="宋体" w:hAnsi="Arial" w:cs="Arial"/>
          <w:color w:val="262626"/>
          <w:sz w:val="18"/>
          <w:szCs w:val="18"/>
        </w:rPr>
        <w:t>We also have audited, in accordance with the standards of the Public Company Accounting Oversight Board (United States) (PCAOB), the 2021 Consolidated Financial Statements</w:t>
      </w:r>
      <w:r>
        <w:rPr>
          <w:rFonts w:ascii="Arial" w:eastAsia="宋体" w:hAnsi="Arial" w:cs="Arial"/>
          <w:color w:val="262626"/>
          <w:sz w:val="18"/>
          <w:szCs w:val="18"/>
        </w:rPr>
        <w:t xml:space="preserve"> of the Company and our report dated January 26, 2022 expressed an unqualified opinion thereon.</w:t>
      </w:r>
    </w:p>
    <w:p w14:paraId="675358FC" w14:textId="77777777" w:rsidR="001B77DD" w:rsidRDefault="00BF0A28">
      <w:pPr>
        <w:spacing w:after="120"/>
      </w:pPr>
      <w:r>
        <w:rPr>
          <w:rFonts w:ascii="Arial" w:eastAsia="宋体" w:hAnsi="Arial" w:cs="Arial"/>
          <w:color w:val="0068B5"/>
          <w:sz w:val="20"/>
          <w:szCs w:val="20"/>
        </w:rPr>
        <w:t>Basis for Opinion</w:t>
      </w:r>
    </w:p>
    <w:p w14:paraId="675358FD" w14:textId="77777777" w:rsidR="001B77DD" w:rsidRDefault="00BF0A28">
      <w:pPr>
        <w:spacing w:after="180"/>
      </w:pPr>
      <w:r>
        <w:rPr>
          <w:rFonts w:ascii="Arial" w:eastAsia="宋体" w:hAnsi="Arial" w:cs="Arial"/>
          <w:color w:val="262626"/>
          <w:sz w:val="18"/>
          <w:szCs w:val="18"/>
        </w:rPr>
        <w:t>The Company's management is responsible for maintaining effective internal control over financial reporting and for its assessment of the effe</w:t>
      </w:r>
      <w:r>
        <w:rPr>
          <w:rFonts w:ascii="Arial" w:eastAsia="宋体" w:hAnsi="Arial" w:cs="Arial"/>
          <w:color w:val="262626"/>
          <w:sz w:val="18"/>
          <w:szCs w:val="18"/>
        </w:rPr>
        <w:t>ctiveness of internal control over financial reporting included in the accompanying Management Report on Internal Control Over Financial Reporting. Our responsibility is to express an opinion on the Company's internal control over financial reporting based</w:t>
      </w:r>
      <w:r>
        <w:rPr>
          <w:rFonts w:ascii="Arial" w:eastAsia="宋体" w:hAnsi="Arial" w:cs="Arial"/>
          <w:color w:val="262626"/>
          <w:sz w:val="18"/>
          <w:szCs w:val="18"/>
        </w:rPr>
        <w:t xml:space="preserve"> on our audit. We are a public accounting firm registered with the PCAOB and are required to be independent with respect to the Company in accordance with the U.S. federal securities laws and the applicable rules and regulations of the Securities and Excha</w:t>
      </w:r>
      <w:r>
        <w:rPr>
          <w:rFonts w:ascii="Arial" w:eastAsia="宋体" w:hAnsi="Arial" w:cs="Arial"/>
          <w:color w:val="262626"/>
          <w:sz w:val="18"/>
          <w:szCs w:val="18"/>
        </w:rPr>
        <w:t xml:space="preserve">nge Commission and the PCAOB. </w:t>
      </w:r>
    </w:p>
    <w:p w14:paraId="675358FE" w14:textId="77777777" w:rsidR="001B77DD" w:rsidRDefault="00BF0A28">
      <w:pPr>
        <w:spacing w:after="180"/>
      </w:pPr>
      <w:r>
        <w:rPr>
          <w:rFonts w:ascii="Arial" w:eastAsia="宋体" w:hAnsi="Arial" w:cs="Arial"/>
          <w:color w:val="262626"/>
          <w:sz w:val="18"/>
          <w:szCs w:val="18"/>
        </w:rPr>
        <w:t>We conducted our audit in accordance with the standards of the PCAOB. Those standards require that we plan and perform the audit to obtain reasonable assurance about whether effective internal control over financial reporting</w:t>
      </w:r>
      <w:r>
        <w:rPr>
          <w:rFonts w:ascii="Arial" w:eastAsia="宋体" w:hAnsi="Arial" w:cs="Arial"/>
          <w:color w:val="262626"/>
          <w:sz w:val="18"/>
          <w:szCs w:val="18"/>
        </w:rPr>
        <w:t xml:space="preserve"> was maintained in all material respects. </w:t>
      </w:r>
    </w:p>
    <w:p w14:paraId="675358FF" w14:textId="77777777" w:rsidR="001B77DD" w:rsidRDefault="00BF0A28">
      <w:pPr>
        <w:spacing w:after="180"/>
      </w:pPr>
      <w:r>
        <w:rPr>
          <w:rFonts w:ascii="Arial" w:eastAsia="宋体" w:hAnsi="Arial" w:cs="Arial"/>
          <w:color w:val="262626"/>
          <w:sz w:val="18"/>
          <w:szCs w:val="18"/>
        </w:rPr>
        <w:t>Our audit included obtaining an understanding of internal control over financial reporting, assessing the risk that a material weakness exists, testing and evaluating the design and operating effectiveness of inte</w:t>
      </w:r>
      <w:r>
        <w:rPr>
          <w:rFonts w:ascii="Arial" w:eastAsia="宋体" w:hAnsi="Arial" w:cs="Arial"/>
          <w:color w:val="262626"/>
          <w:sz w:val="18"/>
          <w:szCs w:val="18"/>
        </w:rPr>
        <w:t>rnal control based on the assessed risk, and performing such other procedures as we considered necessary in the circumstances. We believe that our audit provides a reasonable basis for our opinion.</w:t>
      </w:r>
    </w:p>
    <w:p w14:paraId="67535900" w14:textId="77777777" w:rsidR="001B77DD" w:rsidRDefault="00BF0A28">
      <w:pPr>
        <w:spacing w:after="120"/>
      </w:pPr>
      <w:r>
        <w:rPr>
          <w:rFonts w:ascii="Arial" w:eastAsia="宋体" w:hAnsi="Arial" w:cs="Arial"/>
          <w:color w:val="0068B5"/>
          <w:sz w:val="20"/>
          <w:szCs w:val="20"/>
        </w:rPr>
        <w:t>Definition and Limitations of Internal Control Over Financ</w:t>
      </w:r>
      <w:r>
        <w:rPr>
          <w:rFonts w:ascii="Arial" w:eastAsia="宋体" w:hAnsi="Arial" w:cs="Arial"/>
          <w:color w:val="0068B5"/>
          <w:sz w:val="20"/>
          <w:szCs w:val="20"/>
        </w:rPr>
        <w:t>ial Reporting</w:t>
      </w:r>
    </w:p>
    <w:p w14:paraId="67535901" w14:textId="77777777" w:rsidR="001B77DD" w:rsidRDefault="00BF0A28">
      <w:pPr>
        <w:spacing w:after="180"/>
      </w:pPr>
      <w:r>
        <w:rPr>
          <w:rFonts w:ascii="Arial" w:eastAsia="宋体" w:hAnsi="Arial" w:cs="Arial"/>
          <w:color w:val="262626"/>
          <w:sz w:val="18"/>
          <w:szCs w:val="18"/>
        </w:rPr>
        <w:t xml:space="preserve">A company's internal control over financial reporting is a process designed to provide reasonable assurance regarding the reliability of financial reporting and the preparation of financial statements for external purposes in accordance with </w:t>
      </w:r>
      <w:r>
        <w:rPr>
          <w:rFonts w:ascii="Arial" w:eastAsia="宋体" w:hAnsi="Arial" w:cs="Arial"/>
          <w:color w:val="262626"/>
          <w:sz w:val="18"/>
          <w:szCs w:val="18"/>
        </w:rPr>
        <w:t>generally accepted accounting principles. A company's internal control over financial reporting includes those policies and procedures that (1) pertain to the maintenance of records that, in reasonable detail, accurately and fairly reflect the transactions</w:t>
      </w:r>
      <w:r>
        <w:rPr>
          <w:rFonts w:ascii="Arial" w:eastAsia="宋体" w:hAnsi="Arial" w:cs="Arial"/>
          <w:color w:val="262626"/>
          <w:sz w:val="18"/>
          <w:szCs w:val="18"/>
        </w:rPr>
        <w:t xml:space="preserve"> and dispositions of the assets of the company; (2) provide reasonable assurance that transactions are recorded as necessary to permit preparation of financial statements in accordance with generally accepted accounting principles, and that receipts and ex</w:t>
      </w:r>
      <w:r>
        <w:rPr>
          <w:rFonts w:ascii="Arial" w:eastAsia="宋体" w:hAnsi="Arial" w:cs="Arial"/>
          <w:color w:val="262626"/>
          <w:sz w:val="18"/>
          <w:szCs w:val="18"/>
        </w:rPr>
        <w:t>penditures of the company are being made only in accordance with authorizations of management and directors of the company; and (3) provide reasonable assurance regarding prevention or timely detection of unauthorized acquisition, use, or disposition of th</w:t>
      </w:r>
      <w:r>
        <w:rPr>
          <w:rFonts w:ascii="Arial" w:eastAsia="宋体" w:hAnsi="Arial" w:cs="Arial"/>
          <w:color w:val="262626"/>
          <w:sz w:val="18"/>
          <w:szCs w:val="18"/>
        </w:rPr>
        <w:t xml:space="preserve">e company's assets that could have a material effect on the financial statements. </w:t>
      </w:r>
    </w:p>
    <w:p w14:paraId="67535902" w14:textId="77777777" w:rsidR="001B77DD" w:rsidRDefault="00BF0A28">
      <w:pPr>
        <w:spacing w:after="180"/>
      </w:pPr>
      <w:r>
        <w:rPr>
          <w:rFonts w:ascii="Arial" w:eastAsia="宋体" w:hAnsi="Arial" w:cs="Arial"/>
          <w:color w:val="262626"/>
          <w:sz w:val="18"/>
          <w:szCs w:val="18"/>
        </w:rPr>
        <w:t xml:space="preserve">Because of its inherent limitations, internal control over financial reporting may not prevent or detect misstatements. Also, projections of any evaluation of effectiveness </w:t>
      </w:r>
      <w:r>
        <w:rPr>
          <w:rFonts w:ascii="Arial" w:eastAsia="宋体" w:hAnsi="Arial" w:cs="Arial"/>
          <w:color w:val="262626"/>
          <w:sz w:val="18"/>
          <w:szCs w:val="18"/>
        </w:rPr>
        <w:t xml:space="preserve">to future periods are subject to the risk that controls may become inadequate because of changes in conditions, or that the degree of compliance with the policies or procedures may deteriorate. </w:t>
      </w:r>
    </w:p>
    <w:p w14:paraId="67535903" w14:textId="77777777" w:rsidR="001B77DD" w:rsidRDefault="00BF0A28">
      <w:pPr>
        <w:spacing w:after="180"/>
      </w:pPr>
      <w:r>
        <w:rPr>
          <w:rFonts w:ascii="Arial" w:eastAsia="宋体" w:hAnsi="Arial" w:cs="Arial"/>
          <w:color w:val="262626"/>
          <w:sz w:val="18"/>
          <w:szCs w:val="18"/>
        </w:rPr>
        <w:t xml:space="preserve">/s/ Ernst &amp; Young LLP                       </w:t>
      </w:r>
    </w:p>
    <w:p w14:paraId="67535904" w14:textId="77777777" w:rsidR="001B77DD" w:rsidRDefault="00BF0A28">
      <w:r>
        <w:rPr>
          <w:rFonts w:ascii="Arial" w:eastAsia="宋体" w:hAnsi="Arial" w:cs="Arial"/>
          <w:color w:val="262626"/>
          <w:sz w:val="18"/>
          <w:szCs w:val="18"/>
        </w:rPr>
        <w:t>San Jose, Califo</w:t>
      </w:r>
      <w:r>
        <w:rPr>
          <w:rFonts w:ascii="Arial" w:eastAsia="宋体" w:hAnsi="Arial" w:cs="Arial"/>
          <w:color w:val="262626"/>
          <w:sz w:val="18"/>
          <w:szCs w:val="18"/>
        </w:rPr>
        <w:t>rnia</w:t>
      </w:r>
    </w:p>
    <w:p w14:paraId="67535905" w14:textId="77777777" w:rsidR="001B77DD" w:rsidRDefault="00BF0A28">
      <w:r>
        <w:rPr>
          <w:rFonts w:ascii="Arial" w:eastAsia="宋体" w:hAnsi="Arial" w:cs="Arial"/>
          <w:color w:val="262626"/>
          <w:sz w:val="18"/>
          <w:szCs w:val="18"/>
        </w:rPr>
        <w:t>January 26, 2022</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590F" w14:textId="77777777">
        <w:tc>
          <w:tcPr>
            <w:tcW w:w="50" w:type="pct"/>
            <w:shd w:val="clear" w:color="auto" w:fill="auto"/>
            <w:vAlign w:val="bottom"/>
          </w:tcPr>
          <w:p w14:paraId="67535906" w14:textId="77777777" w:rsidR="001B77DD" w:rsidRDefault="001B77DD">
            <w:pPr>
              <w:rPr>
                <w:rFonts w:ascii="宋体"/>
              </w:rPr>
            </w:pPr>
          </w:p>
        </w:tc>
        <w:tc>
          <w:tcPr>
            <w:tcW w:w="283" w:type="pct"/>
            <w:shd w:val="clear" w:color="auto" w:fill="auto"/>
            <w:vAlign w:val="bottom"/>
          </w:tcPr>
          <w:p w14:paraId="67535907" w14:textId="77777777" w:rsidR="001B77DD" w:rsidRDefault="001B77DD">
            <w:pPr>
              <w:rPr>
                <w:rFonts w:ascii="宋体"/>
              </w:rPr>
            </w:pPr>
          </w:p>
        </w:tc>
        <w:tc>
          <w:tcPr>
            <w:tcW w:w="5" w:type="pct"/>
            <w:shd w:val="clear" w:color="auto" w:fill="auto"/>
            <w:vAlign w:val="bottom"/>
          </w:tcPr>
          <w:p w14:paraId="67535908" w14:textId="77777777" w:rsidR="001B77DD" w:rsidRDefault="001B77DD">
            <w:pPr>
              <w:rPr>
                <w:rFonts w:ascii="宋体"/>
              </w:rPr>
            </w:pPr>
          </w:p>
        </w:tc>
        <w:tc>
          <w:tcPr>
            <w:tcW w:w="50" w:type="pct"/>
            <w:shd w:val="clear" w:color="auto" w:fill="auto"/>
            <w:vAlign w:val="bottom"/>
          </w:tcPr>
          <w:p w14:paraId="67535909" w14:textId="77777777" w:rsidR="001B77DD" w:rsidRDefault="001B77DD">
            <w:pPr>
              <w:rPr>
                <w:rFonts w:ascii="宋体"/>
              </w:rPr>
            </w:pPr>
          </w:p>
        </w:tc>
        <w:tc>
          <w:tcPr>
            <w:tcW w:w="2656" w:type="pct"/>
            <w:shd w:val="clear" w:color="auto" w:fill="auto"/>
            <w:vAlign w:val="bottom"/>
          </w:tcPr>
          <w:p w14:paraId="6753590A" w14:textId="77777777" w:rsidR="001B77DD" w:rsidRDefault="001B77DD">
            <w:pPr>
              <w:rPr>
                <w:rFonts w:ascii="宋体"/>
              </w:rPr>
            </w:pPr>
          </w:p>
        </w:tc>
        <w:tc>
          <w:tcPr>
            <w:tcW w:w="5" w:type="pct"/>
            <w:shd w:val="clear" w:color="auto" w:fill="auto"/>
            <w:vAlign w:val="bottom"/>
          </w:tcPr>
          <w:p w14:paraId="6753590B" w14:textId="77777777" w:rsidR="001B77DD" w:rsidRDefault="001B77DD">
            <w:pPr>
              <w:rPr>
                <w:rFonts w:ascii="宋体"/>
              </w:rPr>
            </w:pPr>
          </w:p>
        </w:tc>
        <w:tc>
          <w:tcPr>
            <w:tcW w:w="50" w:type="pct"/>
            <w:shd w:val="clear" w:color="auto" w:fill="auto"/>
            <w:vAlign w:val="bottom"/>
          </w:tcPr>
          <w:p w14:paraId="6753590C" w14:textId="77777777" w:rsidR="001B77DD" w:rsidRDefault="001B77DD">
            <w:pPr>
              <w:rPr>
                <w:rFonts w:ascii="宋体"/>
              </w:rPr>
            </w:pPr>
          </w:p>
        </w:tc>
        <w:tc>
          <w:tcPr>
            <w:tcW w:w="1894" w:type="pct"/>
            <w:shd w:val="clear" w:color="auto" w:fill="auto"/>
            <w:vAlign w:val="bottom"/>
          </w:tcPr>
          <w:p w14:paraId="6753590D" w14:textId="77777777" w:rsidR="001B77DD" w:rsidRDefault="001B77DD">
            <w:pPr>
              <w:rPr>
                <w:rFonts w:ascii="宋体"/>
              </w:rPr>
            </w:pPr>
          </w:p>
        </w:tc>
        <w:tc>
          <w:tcPr>
            <w:tcW w:w="5" w:type="pct"/>
            <w:shd w:val="clear" w:color="auto" w:fill="auto"/>
            <w:vAlign w:val="bottom"/>
          </w:tcPr>
          <w:p w14:paraId="6753590E" w14:textId="77777777" w:rsidR="001B77DD" w:rsidRDefault="001B77DD">
            <w:pPr>
              <w:rPr>
                <w:rFonts w:ascii="宋体"/>
              </w:rPr>
            </w:pPr>
          </w:p>
        </w:tc>
      </w:tr>
      <w:tr w:rsidR="001B77DD" w14:paraId="6753591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910"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15" wp14:editId="67538F16">
                  <wp:extent cx="304800" cy="304800"/>
                  <wp:effectExtent l="0" t="0" r="0" b="0"/>
                  <wp:docPr id="222" name="图片 27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7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911" w14:textId="77777777" w:rsidR="001B77DD" w:rsidRDefault="00BF0A28">
            <w:pPr>
              <w:textAlignment w:val="center"/>
            </w:pPr>
            <w:r>
              <w:rPr>
                <w:rFonts w:ascii="Arial" w:eastAsia="宋体" w:hAnsi="Arial" w:cs="Arial"/>
                <w:color w:val="262626"/>
                <w:sz w:val="16"/>
                <w:szCs w:val="16"/>
              </w:rPr>
              <w:t>Auditor's Reports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912" w14:textId="77777777" w:rsidR="001B77DD" w:rsidRDefault="00BF0A28">
            <w:pPr>
              <w:jc w:val="right"/>
              <w:textAlignment w:val="center"/>
            </w:pPr>
            <w:r>
              <w:rPr>
                <w:rFonts w:ascii="Arial" w:eastAsia="宋体" w:hAnsi="Arial" w:cs="Arial"/>
                <w:color w:val="262626"/>
                <w:sz w:val="16"/>
                <w:szCs w:val="16"/>
              </w:rPr>
              <w:t>71</w:t>
            </w:r>
          </w:p>
        </w:tc>
      </w:tr>
    </w:tbl>
    <w:p w14:paraId="67535914" w14:textId="77777777" w:rsidR="001B77DD" w:rsidRDefault="00BF0A28">
      <w:r>
        <w:pict w14:anchorId="67538F17">
          <v:rect id="_x0000_i1097" style="width:415.3pt;height:1.5pt" o:hralign="center" o:hrstd="t" o:hr="t" fillcolor="#a0a0a0" stroked="f"/>
        </w:pict>
      </w:r>
    </w:p>
    <w:p w14:paraId="67535915" w14:textId="77777777" w:rsidR="001B77DD" w:rsidRDefault="00BF0A28">
      <w:pPr>
        <w:jc w:val="right"/>
      </w:pPr>
      <w:hyperlink r:id="rId159" w:anchor="i6c9ced68f6b24d58a3dcf326e8c3c699_16" w:history="1">
        <w:r>
          <w:rPr>
            <w:rStyle w:val="a5"/>
            <w:rFonts w:ascii="Arial" w:eastAsia="宋体" w:hAnsi="Arial" w:cs="Arial"/>
            <w:b/>
            <w:bCs/>
            <w:sz w:val="16"/>
            <w:szCs w:val="16"/>
          </w:rPr>
          <w:t>Table of Contents</w:t>
        </w:r>
      </w:hyperlink>
    </w:p>
    <w:p w14:paraId="67535916"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591D" w14:textId="77777777">
        <w:tc>
          <w:tcPr>
            <w:tcW w:w="50" w:type="pct"/>
            <w:shd w:val="clear" w:color="auto" w:fill="auto"/>
            <w:vAlign w:val="bottom"/>
          </w:tcPr>
          <w:p w14:paraId="67535917" w14:textId="77777777" w:rsidR="001B77DD" w:rsidRDefault="001B77DD">
            <w:pPr>
              <w:rPr>
                <w:rFonts w:ascii="宋体"/>
              </w:rPr>
            </w:pPr>
          </w:p>
        </w:tc>
        <w:tc>
          <w:tcPr>
            <w:tcW w:w="4870" w:type="pct"/>
            <w:shd w:val="clear" w:color="auto" w:fill="auto"/>
            <w:vAlign w:val="bottom"/>
          </w:tcPr>
          <w:p w14:paraId="67535918" w14:textId="77777777" w:rsidR="001B77DD" w:rsidRDefault="001B77DD">
            <w:pPr>
              <w:rPr>
                <w:rFonts w:ascii="宋体"/>
              </w:rPr>
            </w:pPr>
          </w:p>
        </w:tc>
        <w:tc>
          <w:tcPr>
            <w:tcW w:w="5" w:type="pct"/>
            <w:shd w:val="clear" w:color="auto" w:fill="auto"/>
            <w:vAlign w:val="bottom"/>
          </w:tcPr>
          <w:p w14:paraId="67535919" w14:textId="77777777" w:rsidR="001B77DD" w:rsidRDefault="001B77DD">
            <w:pPr>
              <w:rPr>
                <w:rFonts w:ascii="宋体"/>
              </w:rPr>
            </w:pPr>
          </w:p>
        </w:tc>
        <w:tc>
          <w:tcPr>
            <w:tcW w:w="5" w:type="pct"/>
            <w:shd w:val="clear" w:color="auto" w:fill="auto"/>
            <w:vAlign w:val="bottom"/>
          </w:tcPr>
          <w:p w14:paraId="6753591A" w14:textId="77777777" w:rsidR="001B77DD" w:rsidRDefault="001B77DD">
            <w:pPr>
              <w:rPr>
                <w:rFonts w:ascii="宋体"/>
              </w:rPr>
            </w:pPr>
          </w:p>
        </w:tc>
        <w:tc>
          <w:tcPr>
            <w:tcW w:w="64" w:type="pct"/>
            <w:shd w:val="clear" w:color="auto" w:fill="auto"/>
            <w:vAlign w:val="bottom"/>
          </w:tcPr>
          <w:p w14:paraId="6753591B" w14:textId="77777777" w:rsidR="001B77DD" w:rsidRDefault="001B77DD">
            <w:pPr>
              <w:rPr>
                <w:rFonts w:ascii="宋体"/>
              </w:rPr>
            </w:pPr>
          </w:p>
        </w:tc>
        <w:tc>
          <w:tcPr>
            <w:tcW w:w="5" w:type="pct"/>
            <w:shd w:val="clear" w:color="auto" w:fill="auto"/>
            <w:vAlign w:val="bottom"/>
          </w:tcPr>
          <w:p w14:paraId="6753591C" w14:textId="77777777" w:rsidR="001B77DD" w:rsidRDefault="001B77DD">
            <w:pPr>
              <w:rPr>
                <w:rFonts w:ascii="宋体"/>
              </w:rPr>
            </w:pPr>
          </w:p>
        </w:tc>
      </w:tr>
      <w:tr w:rsidR="001B77DD" w14:paraId="67535920" w14:textId="77777777">
        <w:tc>
          <w:tcPr>
            <w:tcW w:w="0" w:type="auto"/>
            <w:gridSpan w:val="3"/>
            <w:shd w:val="clear" w:color="auto" w:fill="004A86"/>
            <w:tcMar>
              <w:top w:w="40" w:type="dxa"/>
              <w:left w:w="20" w:type="dxa"/>
              <w:bottom w:w="40" w:type="dxa"/>
              <w:right w:w="20" w:type="dxa"/>
            </w:tcMar>
            <w:vAlign w:val="center"/>
          </w:tcPr>
          <w:p w14:paraId="6753591E" w14:textId="77777777" w:rsidR="001B77DD" w:rsidRDefault="00BF0A28">
            <w:pPr>
              <w:textAlignment w:val="center"/>
            </w:pPr>
            <w:r>
              <w:rPr>
                <w:rFonts w:ascii="Arial" w:eastAsia="宋体" w:hAnsi="Arial" w:cs="Arial"/>
                <w:color w:val="FFFFFF"/>
                <w:sz w:val="36"/>
                <w:szCs w:val="36"/>
              </w:rPr>
              <w:t>Consolidated Statements of Income</w:t>
            </w:r>
          </w:p>
        </w:tc>
        <w:tc>
          <w:tcPr>
            <w:tcW w:w="0" w:type="auto"/>
            <w:gridSpan w:val="3"/>
            <w:shd w:val="clear" w:color="auto" w:fill="auto"/>
            <w:tcMar>
              <w:top w:w="0" w:type="dxa"/>
              <w:left w:w="20" w:type="dxa"/>
              <w:bottom w:w="0" w:type="dxa"/>
              <w:right w:w="20" w:type="dxa"/>
            </w:tcMar>
            <w:vAlign w:val="bottom"/>
          </w:tcPr>
          <w:p w14:paraId="6753591F" w14:textId="77777777" w:rsidR="001B77DD" w:rsidRDefault="001B77DD">
            <w:pPr>
              <w:rPr>
                <w:rFonts w:ascii="宋体"/>
              </w:rPr>
            </w:pPr>
          </w:p>
        </w:tc>
      </w:tr>
      <w:tr w:rsidR="001B77DD" w14:paraId="67535923" w14:textId="77777777">
        <w:trPr>
          <w:trHeight w:val="160"/>
        </w:trPr>
        <w:tc>
          <w:tcPr>
            <w:tcW w:w="0" w:type="auto"/>
            <w:gridSpan w:val="3"/>
            <w:shd w:val="clear" w:color="auto" w:fill="auto"/>
            <w:tcMar>
              <w:top w:w="0" w:type="dxa"/>
              <w:left w:w="20" w:type="dxa"/>
              <w:bottom w:w="0" w:type="dxa"/>
              <w:right w:w="20" w:type="dxa"/>
            </w:tcMar>
            <w:vAlign w:val="bottom"/>
          </w:tcPr>
          <w:p w14:paraId="67535921"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5922" w14:textId="77777777" w:rsidR="001B77DD" w:rsidRDefault="001B77DD">
            <w:pPr>
              <w:rPr>
                <w:rFonts w:ascii="宋体"/>
              </w:rPr>
            </w:pPr>
          </w:p>
        </w:tc>
      </w:tr>
    </w:tbl>
    <w:p w14:paraId="67535924"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1B77DD" w14:paraId="6753593A" w14:textId="77777777">
        <w:tc>
          <w:tcPr>
            <w:tcW w:w="50" w:type="pct"/>
            <w:shd w:val="clear" w:color="auto" w:fill="auto"/>
            <w:vAlign w:val="bottom"/>
          </w:tcPr>
          <w:p w14:paraId="67535925" w14:textId="77777777" w:rsidR="001B77DD" w:rsidRDefault="001B77DD">
            <w:pPr>
              <w:rPr>
                <w:rFonts w:ascii="宋体"/>
              </w:rPr>
            </w:pPr>
          </w:p>
        </w:tc>
        <w:tc>
          <w:tcPr>
            <w:tcW w:w="3059" w:type="pct"/>
            <w:shd w:val="clear" w:color="auto" w:fill="auto"/>
            <w:vAlign w:val="bottom"/>
          </w:tcPr>
          <w:p w14:paraId="67535926" w14:textId="77777777" w:rsidR="001B77DD" w:rsidRDefault="001B77DD">
            <w:pPr>
              <w:rPr>
                <w:rFonts w:ascii="宋体"/>
              </w:rPr>
            </w:pPr>
          </w:p>
        </w:tc>
        <w:tc>
          <w:tcPr>
            <w:tcW w:w="5" w:type="pct"/>
            <w:shd w:val="clear" w:color="auto" w:fill="auto"/>
            <w:vAlign w:val="bottom"/>
          </w:tcPr>
          <w:p w14:paraId="67535927" w14:textId="77777777" w:rsidR="001B77DD" w:rsidRDefault="001B77DD">
            <w:pPr>
              <w:rPr>
                <w:rFonts w:ascii="宋体"/>
              </w:rPr>
            </w:pPr>
          </w:p>
        </w:tc>
        <w:tc>
          <w:tcPr>
            <w:tcW w:w="5" w:type="pct"/>
            <w:shd w:val="clear" w:color="auto" w:fill="auto"/>
            <w:vAlign w:val="bottom"/>
          </w:tcPr>
          <w:p w14:paraId="67535928" w14:textId="77777777" w:rsidR="001B77DD" w:rsidRDefault="001B77DD">
            <w:pPr>
              <w:rPr>
                <w:rFonts w:ascii="宋体"/>
              </w:rPr>
            </w:pPr>
          </w:p>
        </w:tc>
        <w:tc>
          <w:tcPr>
            <w:tcW w:w="24" w:type="pct"/>
            <w:shd w:val="clear" w:color="auto" w:fill="auto"/>
            <w:vAlign w:val="bottom"/>
          </w:tcPr>
          <w:p w14:paraId="67535929" w14:textId="77777777" w:rsidR="001B77DD" w:rsidRDefault="001B77DD">
            <w:pPr>
              <w:rPr>
                <w:rFonts w:ascii="宋体"/>
              </w:rPr>
            </w:pPr>
          </w:p>
        </w:tc>
        <w:tc>
          <w:tcPr>
            <w:tcW w:w="5" w:type="pct"/>
            <w:shd w:val="clear" w:color="auto" w:fill="auto"/>
            <w:vAlign w:val="bottom"/>
          </w:tcPr>
          <w:p w14:paraId="6753592A" w14:textId="77777777" w:rsidR="001B77DD" w:rsidRDefault="001B77DD">
            <w:pPr>
              <w:rPr>
                <w:rFonts w:ascii="宋体"/>
              </w:rPr>
            </w:pPr>
          </w:p>
        </w:tc>
        <w:tc>
          <w:tcPr>
            <w:tcW w:w="50" w:type="pct"/>
            <w:shd w:val="clear" w:color="auto" w:fill="auto"/>
            <w:vAlign w:val="bottom"/>
          </w:tcPr>
          <w:p w14:paraId="6753592B" w14:textId="77777777" w:rsidR="001B77DD" w:rsidRDefault="001B77DD">
            <w:pPr>
              <w:rPr>
                <w:rFonts w:ascii="宋体"/>
              </w:rPr>
            </w:pPr>
          </w:p>
        </w:tc>
        <w:tc>
          <w:tcPr>
            <w:tcW w:w="539" w:type="pct"/>
            <w:shd w:val="clear" w:color="auto" w:fill="auto"/>
            <w:vAlign w:val="bottom"/>
          </w:tcPr>
          <w:p w14:paraId="6753592C" w14:textId="77777777" w:rsidR="001B77DD" w:rsidRDefault="001B77DD">
            <w:pPr>
              <w:rPr>
                <w:rFonts w:ascii="宋体"/>
              </w:rPr>
            </w:pPr>
          </w:p>
        </w:tc>
        <w:tc>
          <w:tcPr>
            <w:tcW w:w="5" w:type="pct"/>
            <w:shd w:val="clear" w:color="auto" w:fill="auto"/>
            <w:vAlign w:val="bottom"/>
          </w:tcPr>
          <w:p w14:paraId="6753592D" w14:textId="77777777" w:rsidR="001B77DD" w:rsidRDefault="001B77DD">
            <w:pPr>
              <w:rPr>
                <w:rFonts w:ascii="宋体"/>
              </w:rPr>
            </w:pPr>
          </w:p>
        </w:tc>
        <w:tc>
          <w:tcPr>
            <w:tcW w:w="5" w:type="pct"/>
            <w:shd w:val="clear" w:color="auto" w:fill="auto"/>
            <w:vAlign w:val="bottom"/>
          </w:tcPr>
          <w:p w14:paraId="6753592E" w14:textId="77777777" w:rsidR="001B77DD" w:rsidRDefault="001B77DD">
            <w:pPr>
              <w:rPr>
                <w:rFonts w:ascii="宋体"/>
              </w:rPr>
            </w:pPr>
          </w:p>
        </w:tc>
        <w:tc>
          <w:tcPr>
            <w:tcW w:w="24" w:type="pct"/>
            <w:shd w:val="clear" w:color="auto" w:fill="auto"/>
            <w:vAlign w:val="bottom"/>
          </w:tcPr>
          <w:p w14:paraId="6753592F" w14:textId="77777777" w:rsidR="001B77DD" w:rsidRDefault="001B77DD">
            <w:pPr>
              <w:rPr>
                <w:rFonts w:ascii="宋体"/>
              </w:rPr>
            </w:pPr>
          </w:p>
        </w:tc>
        <w:tc>
          <w:tcPr>
            <w:tcW w:w="5" w:type="pct"/>
            <w:shd w:val="clear" w:color="auto" w:fill="auto"/>
            <w:vAlign w:val="bottom"/>
          </w:tcPr>
          <w:p w14:paraId="67535930" w14:textId="77777777" w:rsidR="001B77DD" w:rsidRDefault="001B77DD">
            <w:pPr>
              <w:rPr>
                <w:rFonts w:ascii="宋体"/>
              </w:rPr>
            </w:pPr>
          </w:p>
        </w:tc>
        <w:tc>
          <w:tcPr>
            <w:tcW w:w="50" w:type="pct"/>
            <w:shd w:val="clear" w:color="auto" w:fill="auto"/>
            <w:vAlign w:val="bottom"/>
          </w:tcPr>
          <w:p w14:paraId="67535931" w14:textId="77777777" w:rsidR="001B77DD" w:rsidRDefault="001B77DD">
            <w:pPr>
              <w:rPr>
                <w:rFonts w:ascii="宋体"/>
              </w:rPr>
            </w:pPr>
          </w:p>
        </w:tc>
        <w:tc>
          <w:tcPr>
            <w:tcW w:w="539" w:type="pct"/>
            <w:shd w:val="clear" w:color="auto" w:fill="auto"/>
            <w:vAlign w:val="bottom"/>
          </w:tcPr>
          <w:p w14:paraId="67535932" w14:textId="77777777" w:rsidR="001B77DD" w:rsidRDefault="001B77DD">
            <w:pPr>
              <w:rPr>
                <w:rFonts w:ascii="宋体"/>
              </w:rPr>
            </w:pPr>
          </w:p>
        </w:tc>
        <w:tc>
          <w:tcPr>
            <w:tcW w:w="5" w:type="pct"/>
            <w:shd w:val="clear" w:color="auto" w:fill="auto"/>
            <w:vAlign w:val="bottom"/>
          </w:tcPr>
          <w:p w14:paraId="67535933" w14:textId="77777777" w:rsidR="001B77DD" w:rsidRDefault="001B77DD">
            <w:pPr>
              <w:rPr>
                <w:rFonts w:ascii="宋体"/>
              </w:rPr>
            </w:pPr>
          </w:p>
        </w:tc>
        <w:tc>
          <w:tcPr>
            <w:tcW w:w="5" w:type="pct"/>
            <w:shd w:val="clear" w:color="auto" w:fill="auto"/>
            <w:vAlign w:val="bottom"/>
          </w:tcPr>
          <w:p w14:paraId="67535934" w14:textId="77777777" w:rsidR="001B77DD" w:rsidRDefault="001B77DD">
            <w:pPr>
              <w:rPr>
                <w:rFonts w:ascii="宋体"/>
              </w:rPr>
            </w:pPr>
          </w:p>
        </w:tc>
        <w:tc>
          <w:tcPr>
            <w:tcW w:w="24" w:type="pct"/>
            <w:shd w:val="clear" w:color="auto" w:fill="auto"/>
            <w:vAlign w:val="bottom"/>
          </w:tcPr>
          <w:p w14:paraId="67535935" w14:textId="77777777" w:rsidR="001B77DD" w:rsidRDefault="001B77DD">
            <w:pPr>
              <w:rPr>
                <w:rFonts w:ascii="宋体"/>
              </w:rPr>
            </w:pPr>
          </w:p>
        </w:tc>
        <w:tc>
          <w:tcPr>
            <w:tcW w:w="5" w:type="pct"/>
            <w:shd w:val="clear" w:color="auto" w:fill="auto"/>
            <w:vAlign w:val="bottom"/>
          </w:tcPr>
          <w:p w14:paraId="67535936" w14:textId="77777777" w:rsidR="001B77DD" w:rsidRDefault="001B77DD">
            <w:pPr>
              <w:rPr>
                <w:rFonts w:ascii="宋体"/>
              </w:rPr>
            </w:pPr>
          </w:p>
        </w:tc>
        <w:tc>
          <w:tcPr>
            <w:tcW w:w="50" w:type="pct"/>
            <w:shd w:val="clear" w:color="auto" w:fill="auto"/>
            <w:vAlign w:val="bottom"/>
          </w:tcPr>
          <w:p w14:paraId="67535937" w14:textId="77777777" w:rsidR="001B77DD" w:rsidRDefault="001B77DD">
            <w:pPr>
              <w:rPr>
                <w:rFonts w:ascii="宋体"/>
              </w:rPr>
            </w:pPr>
          </w:p>
        </w:tc>
        <w:tc>
          <w:tcPr>
            <w:tcW w:w="539" w:type="pct"/>
            <w:shd w:val="clear" w:color="auto" w:fill="auto"/>
            <w:vAlign w:val="bottom"/>
          </w:tcPr>
          <w:p w14:paraId="67535938" w14:textId="77777777" w:rsidR="001B77DD" w:rsidRDefault="001B77DD">
            <w:pPr>
              <w:rPr>
                <w:rFonts w:ascii="宋体"/>
              </w:rPr>
            </w:pPr>
          </w:p>
        </w:tc>
        <w:tc>
          <w:tcPr>
            <w:tcW w:w="5" w:type="pct"/>
            <w:shd w:val="clear" w:color="auto" w:fill="auto"/>
            <w:vAlign w:val="bottom"/>
          </w:tcPr>
          <w:p w14:paraId="67535939" w14:textId="77777777" w:rsidR="001B77DD" w:rsidRDefault="001B77DD">
            <w:pPr>
              <w:rPr>
                <w:rFonts w:ascii="宋体"/>
              </w:rPr>
            </w:pPr>
          </w:p>
        </w:tc>
      </w:tr>
      <w:tr w:rsidR="001B77DD" w14:paraId="67535942" w14:textId="77777777">
        <w:tc>
          <w:tcPr>
            <w:tcW w:w="0" w:type="auto"/>
            <w:gridSpan w:val="3"/>
            <w:shd w:val="clear" w:color="auto" w:fill="auto"/>
            <w:tcMar>
              <w:top w:w="40" w:type="dxa"/>
              <w:left w:w="20" w:type="dxa"/>
              <w:bottom w:w="40" w:type="dxa"/>
              <w:right w:w="20" w:type="dxa"/>
            </w:tcMar>
            <w:vAlign w:val="bottom"/>
          </w:tcPr>
          <w:p w14:paraId="6753593B"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 Except Per Share Amounts)</w:t>
            </w:r>
          </w:p>
        </w:tc>
        <w:tc>
          <w:tcPr>
            <w:tcW w:w="0" w:type="auto"/>
            <w:gridSpan w:val="3"/>
            <w:shd w:val="clear" w:color="auto" w:fill="auto"/>
            <w:tcMar>
              <w:top w:w="0" w:type="dxa"/>
              <w:left w:w="20" w:type="dxa"/>
              <w:bottom w:w="0" w:type="dxa"/>
              <w:right w:w="20" w:type="dxa"/>
            </w:tcMar>
            <w:vAlign w:val="bottom"/>
          </w:tcPr>
          <w:p w14:paraId="6753593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93D"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593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93F"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594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941"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595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943" w14:textId="77777777" w:rsidR="001B77DD" w:rsidRDefault="00BF0A28">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753594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945"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946" w14:textId="77777777" w:rsidR="001B77DD" w:rsidRDefault="00BF0A28">
            <w:pPr>
              <w:jc w:val="right"/>
              <w:textAlignment w:val="bottom"/>
            </w:pPr>
            <w:r>
              <w:rPr>
                <w:rFonts w:ascii="Arial" w:eastAsia="宋体" w:hAnsi="Arial" w:cs="Arial"/>
                <w:b/>
                <w:bCs/>
                <w:color w:val="0068B5"/>
                <w:sz w:val="18"/>
                <w:szCs w:val="18"/>
              </w:rPr>
              <w:t>79,024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94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48"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949"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94A" w14:textId="77777777" w:rsidR="001B77DD" w:rsidRDefault="00BF0A28">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94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4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94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94E" w14:textId="77777777" w:rsidR="001B77DD" w:rsidRDefault="00BF0A28">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94F" w14:textId="77777777" w:rsidR="001B77DD" w:rsidRDefault="001B77DD">
            <w:pPr>
              <w:jc w:val="right"/>
              <w:rPr>
                <w:rFonts w:ascii="宋体"/>
              </w:rPr>
            </w:pPr>
          </w:p>
        </w:tc>
      </w:tr>
      <w:tr w:rsidR="001B77DD" w14:paraId="6753595B" w14:textId="77777777">
        <w:tc>
          <w:tcPr>
            <w:tcW w:w="0" w:type="auto"/>
            <w:gridSpan w:val="3"/>
            <w:shd w:val="clear" w:color="auto" w:fill="auto"/>
            <w:tcMar>
              <w:top w:w="40" w:type="dxa"/>
              <w:left w:w="20" w:type="dxa"/>
              <w:bottom w:w="40" w:type="dxa"/>
              <w:right w:w="20" w:type="dxa"/>
            </w:tcMar>
            <w:vAlign w:val="bottom"/>
          </w:tcPr>
          <w:p w14:paraId="67535951" w14:textId="77777777" w:rsidR="001B77DD" w:rsidRDefault="00BF0A28">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6753595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53" w14:textId="77777777" w:rsidR="001B77DD" w:rsidRDefault="00BF0A28">
            <w:pPr>
              <w:jc w:val="right"/>
              <w:textAlignment w:val="bottom"/>
            </w:pPr>
            <w:r>
              <w:rPr>
                <w:rFonts w:ascii="Arial" w:eastAsia="宋体" w:hAnsi="Arial" w:cs="Arial"/>
                <w:color w:val="0068B5"/>
                <w:sz w:val="18"/>
                <w:szCs w:val="18"/>
              </w:rPr>
              <w:t>35,209 </w:t>
            </w:r>
          </w:p>
        </w:tc>
        <w:tc>
          <w:tcPr>
            <w:tcW w:w="0" w:type="auto"/>
            <w:shd w:val="clear" w:color="auto" w:fill="auto"/>
            <w:tcMar>
              <w:top w:w="40" w:type="dxa"/>
              <w:left w:w="0" w:type="dxa"/>
              <w:bottom w:w="40" w:type="dxa"/>
              <w:right w:w="20" w:type="dxa"/>
            </w:tcMar>
            <w:vAlign w:val="bottom"/>
          </w:tcPr>
          <w:p w14:paraId="6753595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5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56" w14:textId="77777777" w:rsidR="001B77DD" w:rsidRDefault="00BF0A28">
            <w:pPr>
              <w:jc w:val="right"/>
              <w:textAlignment w:val="bottom"/>
            </w:pPr>
            <w:r>
              <w:rPr>
                <w:rFonts w:ascii="Arial" w:eastAsia="宋体" w:hAnsi="Arial" w:cs="Arial"/>
                <w:color w:val="262626"/>
                <w:sz w:val="18"/>
                <w:szCs w:val="18"/>
              </w:rPr>
              <w:t>34,255 </w:t>
            </w:r>
          </w:p>
        </w:tc>
        <w:tc>
          <w:tcPr>
            <w:tcW w:w="0" w:type="auto"/>
            <w:shd w:val="clear" w:color="auto" w:fill="auto"/>
            <w:tcMar>
              <w:top w:w="40" w:type="dxa"/>
              <w:left w:w="0" w:type="dxa"/>
              <w:bottom w:w="40" w:type="dxa"/>
              <w:right w:w="20" w:type="dxa"/>
            </w:tcMar>
            <w:vAlign w:val="bottom"/>
          </w:tcPr>
          <w:p w14:paraId="6753595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5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59" w14:textId="77777777" w:rsidR="001B77DD" w:rsidRDefault="00BF0A28">
            <w:pPr>
              <w:jc w:val="right"/>
              <w:textAlignment w:val="bottom"/>
            </w:pPr>
            <w:r>
              <w:rPr>
                <w:rFonts w:ascii="Arial" w:eastAsia="宋体" w:hAnsi="Arial" w:cs="Arial"/>
                <w:color w:val="262626"/>
                <w:sz w:val="18"/>
                <w:szCs w:val="18"/>
              </w:rPr>
              <w:t>29,825 </w:t>
            </w:r>
          </w:p>
        </w:tc>
        <w:tc>
          <w:tcPr>
            <w:tcW w:w="0" w:type="auto"/>
            <w:shd w:val="clear" w:color="auto" w:fill="auto"/>
            <w:tcMar>
              <w:top w:w="40" w:type="dxa"/>
              <w:left w:w="0" w:type="dxa"/>
              <w:bottom w:w="40" w:type="dxa"/>
              <w:right w:w="20" w:type="dxa"/>
            </w:tcMar>
            <w:vAlign w:val="bottom"/>
          </w:tcPr>
          <w:p w14:paraId="6753595A" w14:textId="77777777" w:rsidR="001B77DD" w:rsidRDefault="001B77DD">
            <w:pPr>
              <w:jc w:val="right"/>
              <w:rPr>
                <w:rFonts w:ascii="宋体"/>
              </w:rPr>
            </w:pPr>
          </w:p>
        </w:tc>
      </w:tr>
      <w:tr w:rsidR="001B77DD" w14:paraId="67535966" w14:textId="77777777">
        <w:tc>
          <w:tcPr>
            <w:tcW w:w="0" w:type="auto"/>
            <w:gridSpan w:val="3"/>
            <w:shd w:val="clear" w:color="auto" w:fill="auto"/>
            <w:tcMar>
              <w:top w:w="40" w:type="dxa"/>
              <w:left w:w="20" w:type="dxa"/>
              <w:bottom w:w="40" w:type="dxa"/>
              <w:right w:w="20" w:type="dxa"/>
            </w:tcMar>
            <w:vAlign w:val="bottom"/>
          </w:tcPr>
          <w:p w14:paraId="6753595C" w14:textId="77777777" w:rsidR="001B77DD" w:rsidRDefault="00BF0A28">
            <w:pPr>
              <w:textAlignment w:val="bottom"/>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6753595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5E" w14:textId="77777777" w:rsidR="001B77DD" w:rsidRDefault="00BF0A28">
            <w:pPr>
              <w:jc w:val="right"/>
              <w:textAlignment w:val="bottom"/>
            </w:pPr>
            <w:r>
              <w:rPr>
                <w:rFonts w:ascii="Arial" w:eastAsia="宋体" w:hAnsi="Arial" w:cs="Arial"/>
                <w:b/>
                <w:bCs/>
                <w:color w:val="0068B5"/>
                <w:sz w:val="18"/>
                <w:szCs w:val="18"/>
              </w:rPr>
              <w:t>43,815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5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60"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61" w14:textId="77777777" w:rsidR="001B77DD" w:rsidRDefault="00BF0A28">
            <w:pPr>
              <w:jc w:val="right"/>
              <w:textAlignment w:val="bottom"/>
            </w:pPr>
            <w:r>
              <w:rPr>
                <w:rFonts w:ascii="Arial" w:eastAsia="宋体" w:hAnsi="Arial" w:cs="Arial"/>
                <w:b/>
                <w:bCs/>
                <w:color w:val="262626"/>
                <w:sz w:val="18"/>
                <w:szCs w:val="18"/>
              </w:rPr>
              <w:t>43,612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6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6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64" w14:textId="77777777" w:rsidR="001B77DD" w:rsidRDefault="00BF0A28">
            <w:pPr>
              <w:jc w:val="right"/>
              <w:textAlignment w:val="bottom"/>
            </w:pPr>
            <w:r>
              <w:rPr>
                <w:rFonts w:ascii="Arial" w:eastAsia="宋体" w:hAnsi="Arial" w:cs="Arial"/>
                <w:b/>
                <w:bCs/>
                <w:color w:val="262626"/>
                <w:sz w:val="18"/>
                <w:szCs w:val="18"/>
              </w:rPr>
              <w:t>42,140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65" w14:textId="77777777" w:rsidR="001B77DD" w:rsidRDefault="001B77DD">
            <w:pPr>
              <w:jc w:val="right"/>
              <w:rPr>
                <w:rFonts w:ascii="宋体"/>
              </w:rPr>
            </w:pPr>
          </w:p>
        </w:tc>
      </w:tr>
      <w:tr w:rsidR="001B77DD" w14:paraId="67535971" w14:textId="77777777">
        <w:tc>
          <w:tcPr>
            <w:tcW w:w="0" w:type="auto"/>
            <w:gridSpan w:val="3"/>
            <w:shd w:val="clear" w:color="auto" w:fill="auto"/>
            <w:tcMar>
              <w:top w:w="40" w:type="dxa"/>
              <w:left w:w="20" w:type="dxa"/>
              <w:bottom w:w="40" w:type="dxa"/>
              <w:right w:w="20" w:type="dxa"/>
            </w:tcMar>
            <w:vAlign w:val="bottom"/>
          </w:tcPr>
          <w:p w14:paraId="67535967" w14:textId="77777777" w:rsidR="001B77DD" w:rsidRDefault="00BF0A28">
            <w:pPr>
              <w:textAlignment w:val="bottom"/>
            </w:pPr>
            <w:r>
              <w:rPr>
                <w:rFonts w:ascii="Arial" w:eastAsia="宋体" w:hAnsi="Arial" w:cs="Arial"/>
                <w:color w:val="262626"/>
                <w:sz w:val="18"/>
                <w:szCs w:val="18"/>
              </w:rPr>
              <w:t>R</w:t>
            </w:r>
            <w:r>
              <w:rPr>
                <w:rFonts w:ascii="Arial" w:eastAsia="宋体" w:hAnsi="Arial" w:cs="Arial"/>
                <w:color w:val="262626"/>
                <w:sz w:val="18"/>
                <w:szCs w:val="18"/>
              </w:rPr>
              <w:t>esearch and development</w:t>
            </w:r>
          </w:p>
        </w:tc>
        <w:tc>
          <w:tcPr>
            <w:tcW w:w="0" w:type="auto"/>
            <w:gridSpan w:val="3"/>
            <w:shd w:val="clear" w:color="auto" w:fill="auto"/>
            <w:tcMar>
              <w:top w:w="0" w:type="dxa"/>
              <w:left w:w="20" w:type="dxa"/>
              <w:bottom w:w="0" w:type="dxa"/>
              <w:right w:w="20" w:type="dxa"/>
            </w:tcMar>
            <w:vAlign w:val="bottom"/>
          </w:tcPr>
          <w:p w14:paraId="67535968"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69" w14:textId="77777777" w:rsidR="001B77DD" w:rsidRDefault="00BF0A28">
            <w:pPr>
              <w:jc w:val="right"/>
              <w:textAlignment w:val="bottom"/>
            </w:pPr>
            <w:r>
              <w:rPr>
                <w:rFonts w:ascii="Arial" w:eastAsia="宋体" w:hAnsi="Arial" w:cs="Arial"/>
                <w:color w:val="0068B5"/>
                <w:sz w:val="18"/>
                <w:szCs w:val="18"/>
              </w:rPr>
              <w:t>15,190 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6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6B"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6C" w14:textId="77777777" w:rsidR="001B77DD" w:rsidRDefault="00BF0A28">
            <w:pPr>
              <w:jc w:val="right"/>
              <w:textAlignment w:val="bottom"/>
            </w:pPr>
            <w:r>
              <w:rPr>
                <w:rFonts w:ascii="Arial" w:eastAsia="宋体" w:hAnsi="Arial" w:cs="Arial"/>
                <w:color w:val="262626"/>
                <w:sz w:val="18"/>
                <w:szCs w:val="18"/>
              </w:rPr>
              <w:t>13,556 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6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6E"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6F" w14:textId="77777777" w:rsidR="001B77DD" w:rsidRDefault="00BF0A28">
            <w:pPr>
              <w:jc w:val="right"/>
              <w:textAlignment w:val="bottom"/>
            </w:pPr>
            <w:r>
              <w:rPr>
                <w:rFonts w:ascii="Arial" w:eastAsia="宋体" w:hAnsi="Arial" w:cs="Arial"/>
                <w:color w:val="262626"/>
                <w:sz w:val="18"/>
                <w:szCs w:val="18"/>
              </w:rPr>
              <w:t>13,362 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70" w14:textId="77777777" w:rsidR="001B77DD" w:rsidRDefault="001B77DD">
            <w:pPr>
              <w:jc w:val="right"/>
              <w:rPr>
                <w:rFonts w:ascii="宋体"/>
              </w:rPr>
            </w:pPr>
          </w:p>
        </w:tc>
      </w:tr>
      <w:tr w:rsidR="001B77DD" w14:paraId="6753597C" w14:textId="77777777">
        <w:tc>
          <w:tcPr>
            <w:tcW w:w="0" w:type="auto"/>
            <w:gridSpan w:val="3"/>
            <w:shd w:val="clear" w:color="auto" w:fill="auto"/>
            <w:tcMar>
              <w:top w:w="40" w:type="dxa"/>
              <w:left w:w="20" w:type="dxa"/>
              <w:bottom w:w="40" w:type="dxa"/>
              <w:right w:w="20" w:type="dxa"/>
            </w:tcMar>
            <w:vAlign w:val="bottom"/>
          </w:tcPr>
          <w:p w14:paraId="67535972" w14:textId="77777777" w:rsidR="001B77DD" w:rsidRDefault="00BF0A28">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6753597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74" w14:textId="77777777" w:rsidR="001B77DD" w:rsidRDefault="00BF0A28">
            <w:pPr>
              <w:jc w:val="right"/>
              <w:textAlignment w:val="bottom"/>
            </w:pPr>
            <w:r>
              <w:rPr>
                <w:rFonts w:ascii="Arial" w:eastAsia="宋体" w:hAnsi="Arial" w:cs="Arial"/>
                <w:color w:val="0068B5"/>
                <w:sz w:val="18"/>
                <w:szCs w:val="18"/>
              </w:rPr>
              <w:t>6,543 </w:t>
            </w:r>
          </w:p>
        </w:tc>
        <w:tc>
          <w:tcPr>
            <w:tcW w:w="0" w:type="auto"/>
            <w:shd w:val="clear" w:color="auto" w:fill="auto"/>
            <w:tcMar>
              <w:top w:w="40" w:type="dxa"/>
              <w:left w:w="0" w:type="dxa"/>
              <w:bottom w:w="40" w:type="dxa"/>
              <w:right w:w="20" w:type="dxa"/>
            </w:tcMar>
            <w:vAlign w:val="bottom"/>
          </w:tcPr>
          <w:p w14:paraId="6753597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7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77" w14:textId="77777777" w:rsidR="001B77DD" w:rsidRDefault="00BF0A28">
            <w:pPr>
              <w:jc w:val="right"/>
              <w:textAlignment w:val="bottom"/>
            </w:pPr>
            <w:r>
              <w:rPr>
                <w:rFonts w:ascii="Arial" w:eastAsia="宋体" w:hAnsi="Arial" w:cs="Arial"/>
                <w:color w:val="262626"/>
                <w:sz w:val="18"/>
                <w:szCs w:val="18"/>
              </w:rPr>
              <w:t>6,180 </w:t>
            </w:r>
          </w:p>
        </w:tc>
        <w:tc>
          <w:tcPr>
            <w:tcW w:w="0" w:type="auto"/>
            <w:shd w:val="clear" w:color="auto" w:fill="auto"/>
            <w:tcMar>
              <w:top w:w="40" w:type="dxa"/>
              <w:left w:w="0" w:type="dxa"/>
              <w:bottom w:w="40" w:type="dxa"/>
              <w:right w:w="20" w:type="dxa"/>
            </w:tcMar>
            <w:vAlign w:val="bottom"/>
          </w:tcPr>
          <w:p w14:paraId="6753597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7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7A" w14:textId="77777777" w:rsidR="001B77DD" w:rsidRDefault="00BF0A28">
            <w:pPr>
              <w:jc w:val="right"/>
              <w:textAlignment w:val="bottom"/>
            </w:pPr>
            <w:r>
              <w:rPr>
                <w:rFonts w:ascii="Arial" w:eastAsia="宋体" w:hAnsi="Arial" w:cs="Arial"/>
                <w:color w:val="262626"/>
                <w:sz w:val="18"/>
                <w:szCs w:val="18"/>
              </w:rPr>
              <w:t>6,350 </w:t>
            </w:r>
          </w:p>
        </w:tc>
        <w:tc>
          <w:tcPr>
            <w:tcW w:w="0" w:type="auto"/>
            <w:shd w:val="clear" w:color="auto" w:fill="auto"/>
            <w:tcMar>
              <w:top w:w="40" w:type="dxa"/>
              <w:left w:w="0" w:type="dxa"/>
              <w:bottom w:w="40" w:type="dxa"/>
              <w:right w:w="20" w:type="dxa"/>
            </w:tcMar>
            <w:vAlign w:val="bottom"/>
          </w:tcPr>
          <w:p w14:paraId="6753597B" w14:textId="77777777" w:rsidR="001B77DD" w:rsidRDefault="001B77DD">
            <w:pPr>
              <w:jc w:val="right"/>
              <w:rPr>
                <w:rFonts w:ascii="宋体"/>
              </w:rPr>
            </w:pPr>
          </w:p>
        </w:tc>
      </w:tr>
      <w:tr w:rsidR="001B77DD" w14:paraId="67535987" w14:textId="77777777">
        <w:tc>
          <w:tcPr>
            <w:tcW w:w="0" w:type="auto"/>
            <w:gridSpan w:val="3"/>
            <w:shd w:val="clear" w:color="auto" w:fill="auto"/>
            <w:tcMar>
              <w:top w:w="40" w:type="dxa"/>
              <w:left w:w="20" w:type="dxa"/>
              <w:bottom w:w="40" w:type="dxa"/>
              <w:right w:w="20" w:type="dxa"/>
            </w:tcMar>
            <w:vAlign w:val="bottom"/>
          </w:tcPr>
          <w:p w14:paraId="6753597D" w14:textId="77777777" w:rsidR="001B77DD" w:rsidRDefault="00BF0A28">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753597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7F" w14:textId="77777777" w:rsidR="001B77DD" w:rsidRDefault="00BF0A28">
            <w:pPr>
              <w:jc w:val="right"/>
              <w:textAlignment w:val="bottom"/>
            </w:pPr>
            <w:r>
              <w:rPr>
                <w:rFonts w:ascii="Arial" w:eastAsia="宋体" w:hAnsi="Arial" w:cs="Arial"/>
                <w:color w:val="0068B5"/>
                <w:sz w:val="18"/>
                <w:szCs w:val="18"/>
              </w:rPr>
              <w:t>2,626 </w:t>
            </w:r>
          </w:p>
        </w:tc>
        <w:tc>
          <w:tcPr>
            <w:tcW w:w="0" w:type="auto"/>
            <w:shd w:val="clear" w:color="auto" w:fill="auto"/>
            <w:tcMar>
              <w:top w:w="40" w:type="dxa"/>
              <w:left w:w="0" w:type="dxa"/>
              <w:bottom w:w="40" w:type="dxa"/>
              <w:right w:w="20" w:type="dxa"/>
            </w:tcMar>
            <w:vAlign w:val="bottom"/>
          </w:tcPr>
          <w:p w14:paraId="6753598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8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82" w14:textId="77777777" w:rsidR="001B77DD" w:rsidRDefault="00BF0A28">
            <w:pPr>
              <w:jc w:val="right"/>
              <w:textAlignment w:val="bottom"/>
            </w:pPr>
            <w:r>
              <w:rPr>
                <w:rFonts w:ascii="Arial" w:eastAsia="宋体" w:hAnsi="Arial" w:cs="Arial"/>
                <w:color w:val="262626"/>
                <w:sz w:val="18"/>
                <w:szCs w:val="18"/>
              </w:rPr>
              <w:t>198 </w:t>
            </w:r>
          </w:p>
        </w:tc>
        <w:tc>
          <w:tcPr>
            <w:tcW w:w="0" w:type="auto"/>
            <w:shd w:val="clear" w:color="auto" w:fill="auto"/>
            <w:tcMar>
              <w:top w:w="40" w:type="dxa"/>
              <w:left w:w="0" w:type="dxa"/>
              <w:bottom w:w="40" w:type="dxa"/>
              <w:right w:w="20" w:type="dxa"/>
            </w:tcMar>
            <w:vAlign w:val="bottom"/>
          </w:tcPr>
          <w:p w14:paraId="6753598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8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85" w14:textId="77777777" w:rsidR="001B77DD" w:rsidRDefault="00BF0A28">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67535986" w14:textId="77777777" w:rsidR="001B77DD" w:rsidRDefault="001B77DD">
            <w:pPr>
              <w:jc w:val="right"/>
              <w:rPr>
                <w:rFonts w:ascii="宋体"/>
              </w:rPr>
            </w:pPr>
          </w:p>
        </w:tc>
      </w:tr>
      <w:tr w:rsidR="001B77DD" w14:paraId="6753598F" w14:textId="77777777">
        <w:trPr>
          <w:hidden/>
        </w:trPr>
        <w:tc>
          <w:tcPr>
            <w:tcW w:w="0" w:type="auto"/>
            <w:gridSpan w:val="3"/>
            <w:shd w:val="clear" w:color="auto" w:fill="auto"/>
            <w:vAlign w:val="bottom"/>
          </w:tcPr>
          <w:p w14:paraId="67535988" w14:textId="77777777" w:rsidR="001B77DD" w:rsidRDefault="001B77DD">
            <w:pPr>
              <w:rPr>
                <w:rFonts w:ascii="宋体"/>
                <w:vanish/>
              </w:rPr>
            </w:pPr>
          </w:p>
        </w:tc>
        <w:tc>
          <w:tcPr>
            <w:tcW w:w="0" w:type="auto"/>
            <w:gridSpan w:val="3"/>
            <w:shd w:val="clear" w:color="auto" w:fill="auto"/>
            <w:vAlign w:val="bottom"/>
          </w:tcPr>
          <w:p w14:paraId="67535989" w14:textId="77777777" w:rsidR="001B77DD" w:rsidRDefault="001B77DD">
            <w:pPr>
              <w:rPr>
                <w:rFonts w:ascii="宋体"/>
                <w:vanish/>
              </w:rPr>
            </w:pPr>
          </w:p>
        </w:tc>
        <w:tc>
          <w:tcPr>
            <w:tcW w:w="0" w:type="auto"/>
            <w:gridSpan w:val="3"/>
            <w:shd w:val="clear" w:color="auto" w:fill="auto"/>
            <w:vAlign w:val="bottom"/>
          </w:tcPr>
          <w:p w14:paraId="6753598A" w14:textId="77777777" w:rsidR="001B77DD" w:rsidRDefault="001B77DD">
            <w:pPr>
              <w:rPr>
                <w:rFonts w:ascii="宋体"/>
                <w:vanish/>
              </w:rPr>
            </w:pPr>
          </w:p>
        </w:tc>
        <w:tc>
          <w:tcPr>
            <w:tcW w:w="0" w:type="auto"/>
            <w:gridSpan w:val="3"/>
            <w:shd w:val="clear" w:color="auto" w:fill="auto"/>
            <w:vAlign w:val="bottom"/>
          </w:tcPr>
          <w:p w14:paraId="6753598B" w14:textId="77777777" w:rsidR="001B77DD" w:rsidRDefault="001B77DD">
            <w:pPr>
              <w:rPr>
                <w:rFonts w:ascii="宋体"/>
                <w:vanish/>
              </w:rPr>
            </w:pPr>
          </w:p>
        </w:tc>
        <w:tc>
          <w:tcPr>
            <w:tcW w:w="0" w:type="auto"/>
            <w:gridSpan w:val="3"/>
            <w:shd w:val="clear" w:color="auto" w:fill="auto"/>
            <w:vAlign w:val="bottom"/>
          </w:tcPr>
          <w:p w14:paraId="6753598C" w14:textId="77777777" w:rsidR="001B77DD" w:rsidRDefault="001B77DD">
            <w:pPr>
              <w:rPr>
                <w:rFonts w:ascii="宋体"/>
                <w:vanish/>
              </w:rPr>
            </w:pPr>
          </w:p>
        </w:tc>
        <w:tc>
          <w:tcPr>
            <w:tcW w:w="0" w:type="auto"/>
            <w:gridSpan w:val="3"/>
            <w:shd w:val="clear" w:color="auto" w:fill="auto"/>
            <w:vAlign w:val="bottom"/>
          </w:tcPr>
          <w:p w14:paraId="6753598D" w14:textId="77777777" w:rsidR="001B77DD" w:rsidRDefault="001B77DD">
            <w:pPr>
              <w:rPr>
                <w:rFonts w:ascii="宋体"/>
                <w:vanish/>
              </w:rPr>
            </w:pPr>
          </w:p>
        </w:tc>
        <w:tc>
          <w:tcPr>
            <w:tcW w:w="0" w:type="auto"/>
            <w:gridSpan w:val="3"/>
            <w:shd w:val="clear" w:color="auto" w:fill="auto"/>
            <w:vAlign w:val="bottom"/>
          </w:tcPr>
          <w:p w14:paraId="6753598E" w14:textId="77777777" w:rsidR="001B77DD" w:rsidRDefault="001B77DD">
            <w:pPr>
              <w:rPr>
                <w:rFonts w:ascii="宋体"/>
                <w:vanish/>
              </w:rPr>
            </w:pPr>
          </w:p>
        </w:tc>
      </w:tr>
      <w:tr w:rsidR="001B77DD" w14:paraId="6753599A" w14:textId="77777777">
        <w:tc>
          <w:tcPr>
            <w:tcW w:w="0" w:type="auto"/>
            <w:gridSpan w:val="3"/>
            <w:shd w:val="clear" w:color="auto" w:fill="auto"/>
            <w:tcMar>
              <w:top w:w="40" w:type="dxa"/>
              <w:left w:w="20" w:type="dxa"/>
              <w:bottom w:w="40" w:type="dxa"/>
              <w:right w:w="20" w:type="dxa"/>
            </w:tcMar>
            <w:vAlign w:val="bottom"/>
          </w:tcPr>
          <w:p w14:paraId="67535990" w14:textId="77777777" w:rsidR="001B77DD" w:rsidRDefault="00BF0A28">
            <w:pPr>
              <w:textAlignment w:val="bottom"/>
            </w:pPr>
            <w:r>
              <w:rPr>
                <w:rFonts w:ascii="Arial" w:eastAsia="宋体" w:hAnsi="Arial" w:cs="Arial"/>
                <w:b/>
                <w:bCs/>
                <w:color w:val="262626"/>
                <w:sz w:val="18"/>
                <w:szCs w:val="18"/>
              </w:rPr>
              <w:t>Operating expenses</w:t>
            </w:r>
          </w:p>
        </w:tc>
        <w:tc>
          <w:tcPr>
            <w:tcW w:w="0" w:type="auto"/>
            <w:gridSpan w:val="3"/>
            <w:shd w:val="clear" w:color="auto" w:fill="auto"/>
            <w:tcMar>
              <w:top w:w="0" w:type="dxa"/>
              <w:left w:w="20" w:type="dxa"/>
              <w:bottom w:w="0" w:type="dxa"/>
              <w:right w:w="20" w:type="dxa"/>
            </w:tcMar>
            <w:vAlign w:val="bottom"/>
          </w:tcPr>
          <w:p w14:paraId="67535991"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92" w14:textId="77777777" w:rsidR="001B77DD" w:rsidRDefault="00BF0A28">
            <w:pPr>
              <w:jc w:val="right"/>
              <w:textAlignment w:val="bottom"/>
            </w:pPr>
            <w:r>
              <w:rPr>
                <w:rFonts w:ascii="Arial" w:eastAsia="宋体" w:hAnsi="Arial" w:cs="Arial"/>
                <w:b/>
                <w:bCs/>
                <w:color w:val="0068B5"/>
                <w:sz w:val="18"/>
                <w:szCs w:val="18"/>
              </w:rPr>
              <w:t>24,359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9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94"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95" w14:textId="77777777" w:rsidR="001B77DD" w:rsidRDefault="00BF0A28">
            <w:pPr>
              <w:jc w:val="right"/>
              <w:textAlignment w:val="bottom"/>
            </w:pPr>
            <w:r>
              <w:rPr>
                <w:rFonts w:ascii="Arial" w:eastAsia="宋体" w:hAnsi="Arial" w:cs="Arial"/>
                <w:b/>
                <w:bCs/>
                <w:color w:val="262626"/>
                <w:sz w:val="18"/>
                <w:szCs w:val="18"/>
              </w:rPr>
              <w:t>19,934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9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97"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98" w14:textId="77777777" w:rsidR="001B77DD" w:rsidRDefault="00BF0A28">
            <w:pPr>
              <w:jc w:val="right"/>
              <w:textAlignment w:val="bottom"/>
            </w:pPr>
            <w:r>
              <w:rPr>
                <w:rFonts w:ascii="Arial" w:eastAsia="宋体" w:hAnsi="Arial" w:cs="Arial"/>
                <w:b/>
                <w:bCs/>
                <w:color w:val="262626"/>
                <w:sz w:val="18"/>
                <w:szCs w:val="18"/>
              </w:rPr>
              <w:t>20,105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99" w14:textId="77777777" w:rsidR="001B77DD" w:rsidRDefault="001B77DD">
            <w:pPr>
              <w:jc w:val="right"/>
              <w:rPr>
                <w:rFonts w:ascii="宋体"/>
              </w:rPr>
            </w:pPr>
          </w:p>
        </w:tc>
      </w:tr>
      <w:tr w:rsidR="001B77DD" w14:paraId="675359A5" w14:textId="77777777">
        <w:tc>
          <w:tcPr>
            <w:tcW w:w="0" w:type="auto"/>
            <w:gridSpan w:val="3"/>
            <w:shd w:val="clear" w:color="auto" w:fill="auto"/>
            <w:tcMar>
              <w:top w:w="40" w:type="dxa"/>
              <w:left w:w="20" w:type="dxa"/>
              <w:bottom w:w="40" w:type="dxa"/>
              <w:right w:w="20" w:type="dxa"/>
            </w:tcMar>
            <w:vAlign w:val="bottom"/>
          </w:tcPr>
          <w:p w14:paraId="6753599B" w14:textId="77777777" w:rsidR="001B77DD" w:rsidRDefault="00BF0A28">
            <w:pPr>
              <w:textAlignment w:val="bottom"/>
            </w:pPr>
            <w:r>
              <w:rPr>
                <w:rFonts w:ascii="Arial" w:eastAsia="宋体" w:hAnsi="Arial" w:cs="Arial"/>
                <w:b/>
                <w:bCs/>
                <w:color w:val="262626"/>
                <w:sz w:val="18"/>
                <w:szCs w:val="18"/>
              </w:rPr>
              <w:t>O</w:t>
            </w:r>
            <w:r>
              <w:rPr>
                <w:rFonts w:ascii="Arial" w:eastAsia="宋体" w:hAnsi="Arial" w:cs="Arial"/>
                <w:b/>
                <w:bCs/>
                <w:color w:val="262626"/>
                <w:sz w:val="18"/>
                <w:szCs w:val="18"/>
              </w:rPr>
              <w:t>perating income</w:t>
            </w:r>
          </w:p>
        </w:tc>
        <w:tc>
          <w:tcPr>
            <w:tcW w:w="0" w:type="auto"/>
            <w:gridSpan w:val="3"/>
            <w:shd w:val="clear" w:color="auto" w:fill="auto"/>
            <w:tcMar>
              <w:top w:w="0" w:type="dxa"/>
              <w:left w:w="20" w:type="dxa"/>
              <w:bottom w:w="0" w:type="dxa"/>
              <w:right w:w="20" w:type="dxa"/>
            </w:tcMar>
            <w:vAlign w:val="bottom"/>
          </w:tcPr>
          <w:p w14:paraId="6753599C"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9D" w14:textId="77777777" w:rsidR="001B77DD" w:rsidRDefault="00BF0A28">
            <w:pPr>
              <w:jc w:val="right"/>
              <w:textAlignment w:val="bottom"/>
            </w:pPr>
            <w:r>
              <w:rPr>
                <w:rFonts w:ascii="Arial" w:eastAsia="宋体" w:hAnsi="Arial" w:cs="Arial"/>
                <w:b/>
                <w:bCs/>
                <w:color w:val="0068B5"/>
                <w:sz w:val="18"/>
                <w:szCs w:val="18"/>
              </w:rPr>
              <w:t>19,456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9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9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A0" w14:textId="77777777" w:rsidR="001B77DD" w:rsidRDefault="00BF0A28">
            <w:pPr>
              <w:jc w:val="right"/>
              <w:textAlignment w:val="bottom"/>
            </w:pPr>
            <w:r>
              <w:rPr>
                <w:rFonts w:ascii="Arial" w:eastAsia="宋体" w:hAnsi="Arial" w:cs="Arial"/>
                <w:b/>
                <w:bCs/>
                <w:color w:val="262626"/>
                <w:sz w:val="18"/>
                <w:szCs w:val="18"/>
              </w:rPr>
              <w:t>23,678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A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A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A3" w14:textId="77777777" w:rsidR="001B77DD" w:rsidRDefault="00BF0A28">
            <w:pPr>
              <w:jc w:val="right"/>
              <w:textAlignment w:val="bottom"/>
            </w:pPr>
            <w:r>
              <w:rPr>
                <w:rFonts w:ascii="Arial" w:eastAsia="宋体" w:hAnsi="Arial" w:cs="Arial"/>
                <w:b/>
                <w:bCs/>
                <w:color w:val="262626"/>
                <w:sz w:val="18"/>
                <w:szCs w:val="18"/>
              </w:rPr>
              <w:t>22,035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A4" w14:textId="77777777" w:rsidR="001B77DD" w:rsidRDefault="001B77DD">
            <w:pPr>
              <w:jc w:val="right"/>
              <w:rPr>
                <w:rFonts w:ascii="宋体"/>
              </w:rPr>
            </w:pPr>
          </w:p>
        </w:tc>
      </w:tr>
      <w:tr w:rsidR="001B77DD" w14:paraId="675359B0" w14:textId="77777777">
        <w:tc>
          <w:tcPr>
            <w:tcW w:w="0" w:type="auto"/>
            <w:gridSpan w:val="3"/>
            <w:shd w:val="clear" w:color="auto" w:fill="auto"/>
            <w:tcMar>
              <w:top w:w="40" w:type="dxa"/>
              <w:left w:w="20" w:type="dxa"/>
              <w:bottom w:w="40" w:type="dxa"/>
              <w:right w:w="20" w:type="dxa"/>
            </w:tcMar>
            <w:vAlign w:val="bottom"/>
          </w:tcPr>
          <w:p w14:paraId="675359A6" w14:textId="77777777" w:rsidR="001B77DD" w:rsidRDefault="00BF0A28">
            <w:pPr>
              <w:textAlignment w:val="bottom"/>
            </w:pPr>
            <w:r>
              <w:rPr>
                <w:rFonts w:ascii="Arial" w:eastAsia="宋体" w:hAnsi="Arial" w:cs="Arial"/>
                <w:color w:val="262626"/>
                <w:sz w:val="18"/>
                <w:szCs w:val="18"/>
              </w:rPr>
              <w:t>G</w:t>
            </w:r>
            <w:r>
              <w:rPr>
                <w:rFonts w:ascii="Arial" w:eastAsia="宋体" w:hAnsi="Arial" w:cs="Arial"/>
                <w:color w:val="262626"/>
                <w:sz w:val="18"/>
                <w:szCs w:val="18"/>
              </w:rPr>
              <w:t>ains (losses) on equity investments, net</w:t>
            </w:r>
          </w:p>
        </w:tc>
        <w:tc>
          <w:tcPr>
            <w:tcW w:w="0" w:type="auto"/>
            <w:gridSpan w:val="3"/>
            <w:shd w:val="clear" w:color="auto" w:fill="auto"/>
            <w:tcMar>
              <w:top w:w="0" w:type="dxa"/>
              <w:left w:w="20" w:type="dxa"/>
              <w:bottom w:w="0" w:type="dxa"/>
              <w:right w:w="20" w:type="dxa"/>
            </w:tcMar>
            <w:vAlign w:val="bottom"/>
          </w:tcPr>
          <w:p w14:paraId="675359A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A8" w14:textId="77777777" w:rsidR="001B77DD" w:rsidRDefault="00BF0A28">
            <w:pPr>
              <w:jc w:val="right"/>
              <w:textAlignment w:val="bottom"/>
            </w:pPr>
            <w:r>
              <w:rPr>
                <w:rFonts w:ascii="Arial" w:eastAsia="宋体" w:hAnsi="Arial" w:cs="Arial"/>
                <w:color w:val="0068B5"/>
                <w:sz w:val="18"/>
                <w:szCs w:val="18"/>
              </w:rPr>
              <w:t>2,729 </w:t>
            </w:r>
          </w:p>
        </w:tc>
        <w:tc>
          <w:tcPr>
            <w:tcW w:w="0" w:type="auto"/>
            <w:shd w:val="clear" w:color="auto" w:fill="auto"/>
            <w:tcMar>
              <w:top w:w="40" w:type="dxa"/>
              <w:left w:w="0" w:type="dxa"/>
              <w:bottom w:w="40" w:type="dxa"/>
              <w:right w:w="20" w:type="dxa"/>
            </w:tcMar>
            <w:vAlign w:val="bottom"/>
          </w:tcPr>
          <w:p w14:paraId="675359A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A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AB" w14:textId="77777777" w:rsidR="001B77DD" w:rsidRDefault="00BF0A28">
            <w:pPr>
              <w:jc w:val="right"/>
              <w:textAlignment w:val="bottom"/>
            </w:pPr>
            <w:r>
              <w:rPr>
                <w:rFonts w:ascii="Arial" w:eastAsia="宋体" w:hAnsi="Arial" w:cs="Arial"/>
                <w:color w:val="262626"/>
                <w:sz w:val="18"/>
                <w:szCs w:val="18"/>
              </w:rPr>
              <w:t>1,904 </w:t>
            </w:r>
          </w:p>
        </w:tc>
        <w:tc>
          <w:tcPr>
            <w:tcW w:w="0" w:type="auto"/>
            <w:shd w:val="clear" w:color="auto" w:fill="auto"/>
            <w:tcMar>
              <w:top w:w="40" w:type="dxa"/>
              <w:left w:w="0" w:type="dxa"/>
              <w:bottom w:w="40" w:type="dxa"/>
              <w:right w:w="20" w:type="dxa"/>
            </w:tcMar>
            <w:vAlign w:val="bottom"/>
          </w:tcPr>
          <w:p w14:paraId="675359A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A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AE" w14:textId="77777777" w:rsidR="001B77DD" w:rsidRDefault="00BF0A28">
            <w:pPr>
              <w:jc w:val="right"/>
              <w:textAlignment w:val="bottom"/>
            </w:pPr>
            <w:r>
              <w:rPr>
                <w:rFonts w:ascii="Arial" w:eastAsia="宋体" w:hAnsi="Arial" w:cs="Arial"/>
                <w:color w:val="262626"/>
                <w:sz w:val="18"/>
                <w:szCs w:val="18"/>
              </w:rPr>
              <w:t>1,539 </w:t>
            </w:r>
          </w:p>
        </w:tc>
        <w:tc>
          <w:tcPr>
            <w:tcW w:w="0" w:type="auto"/>
            <w:shd w:val="clear" w:color="auto" w:fill="auto"/>
            <w:tcMar>
              <w:top w:w="40" w:type="dxa"/>
              <w:left w:w="0" w:type="dxa"/>
              <w:bottom w:w="40" w:type="dxa"/>
              <w:right w:w="20" w:type="dxa"/>
            </w:tcMar>
            <w:vAlign w:val="bottom"/>
          </w:tcPr>
          <w:p w14:paraId="675359AF" w14:textId="77777777" w:rsidR="001B77DD" w:rsidRDefault="001B77DD">
            <w:pPr>
              <w:jc w:val="right"/>
              <w:rPr>
                <w:rFonts w:ascii="宋体"/>
              </w:rPr>
            </w:pPr>
          </w:p>
        </w:tc>
      </w:tr>
      <w:tr w:rsidR="001B77DD" w14:paraId="675359BB" w14:textId="77777777">
        <w:tc>
          <w:tcPr>
            <w:tcW w:w="0" w:type="auto"/>
            <w:gridSpan w:val="3"/>
            <w:shd w:val="clear" w:color="auto" w:fill="auto"/>
            <w:tcMar>
              <w:top w:w="40" w:type="dxa"/>
              <w:left w:w="20" w:type="dxa"/>
              <w:bottom w:w="40" w:type="dxa"/>
              <w:right w:w="20" w:type="dxa"/>
            </w:tcMar>
            <w:vAlign w:val="bottom"/>
          </w:tcPr>
          <w:p w14:paraId="675359B1" w14:textId="77777777" w:rsidR="001B77DD" w:rsidRDefault="00BF0A28">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75359B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B3" w14:textId="77777777" w:rsidR="001B77DD" w:rsidRDefault="00BF0A28">
            <w:pPr>
              <w:jc w:val="right"/>
              <w:textAlignment w:val="bottom"/>
            </w:pPr>
            <w:r>
              <w:rPr>
                <w:rFonts w:ascii="Arial" w:eastAsia="宋体" w:hAnsi="Arial" w:cs="Arial"/>
                <w:color w:val="0068B5"/>
                <w:sz w:val="18"/>
                <w:szCs w:val="18"/>
              </w:rPr>
              <w:t>(482)</w:t>
            </w:r>
          </w:p>
        </w:tc>
        <w:tc>
          <w:tcPr>
            <w:tcW w:w="0" w:type="auto"/>
            <w:shd w:val="clear" w:color="auto" w:fill="auto"/>
            <w:tcMar>
              <w:top w:w="40" w:type="dxa"/>
              <w:left w:w="0" w:type="dxa"/>
              <w:bottom w:w="40" w:type="dxa"/>
              <w:right w:w="20" w:type="dxa"/>
            </w:tcMar>
            <w:vAlign w:val="bottom"/>
          </w:tcPr>
          <w:p w14:paraId="675359B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B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B6" w14:textId="77777777" w:rsidR="001B77DD" w:rsidRDefault="00BF0A28">
            <w:pPr>
              <w:jc w:val="right"/>
              <w:textAlignment w:val="bottom"/>
            </w:pPr>
            <w:r>
              <w:rPr>
                <w:rFonts w:ascii="Arial" w:eastAsia="宋体" w:hAnsi="Arial" w:cs="Arial"/>
                <w:color w:val="262626"/>
                <w:sz w:val="18"/>
                <w:szCs w:val="18"/>
              </w:rPr>
              <w:t>(504)</w:t>
            </w:r>
          </w:p>
        </w:tc>
        <w:tc>
          <w:tcPr>
            <w:tcW w:w="0" w:type="auto"/>
            <w:shd w:val="clear" w:color="auto" w:fill="auto"/>
            <w:tcMar>
              <w:top w:w="40" w:type="dxa"/>
              <w:left w:w="0" w:type="dxa"/>
              <w:bottom w:w="40" w:type="dxa"/>
              <w:right w:w="20" w:type="dxa"/>
            </w:tcMar>
            <w:vAlign w:val="bottom"/>
          </w:tcPr>
          <w:p w14:paraId="675359B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B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B9" w14:textId="77777777" w:rsidR="001B77DD" w:rsidRDefault="00BF0A28">
            <w:pPr>
              <w:jc w:val="right"/>
              <w:textAlignment w:val="bottom"/>
            </w:pPr>
            <w:r>
              <w:rPr>
                <w:rFonts w:ascii="Arial" w:eastAsia="宋体" w:hAnsi="Arial" w:cs="Arial"/>
                <w:color w:val="262626"/>
                <w:sz w:val="18"/>
                <w:szCs w:val="18"/>
              </w:rPr>
              <w:t>484 </w:t>
            </w:r>
          </w:p>
        </w:tc>
        <w:tc>
          <w:tcPr>
            <w:tcW w:w="0" w:type="auto"/>
            <w:shd w:val="clear" w:color="auto" w:fill="auto"/>
            <w:tcMar>
              <w:top w:w="40" w:type="dxa"/>
              <w:left w:w="0" w:type="dxa"/>
              <w:bottom w:w="40" w:type="dxa"/>
              <w:right w:w="20" w:type="dxa"/>
            </w:tcMar>
            <w:vAlign w:val="bottom"/>
          </w:tcPr>
          <w:p w14:paraId="675359BA" w14:textId="77777777" w:rsidR="001B77DD" w:rsidRDefault="001B77DD">
            <w:pPr>
              <w:jc w:val="right"/>
              <w:rPr>
                <w:rFonts w:ascii="宋体"/>
              </w:rPr>
            </w:pPr>
          </w:p>
        </w:tc>
      </w:tr>
      <w:tr w:rsidR="001B77DD" w14:paraId="675359C6" w14:textId="77777777">
        <w:tc>
          <w:tcPr>
            <w:tcW w:w="0" w:type="auto"/>
            <w:gridSpan w:val="3"/>
            <w:shd w:val="clear" w:color="auto" w:fill="auto"/>
            <w:tcMar>
              <w:top w:w="40" w:type="dxa"/>
              <w:left w:w="20" w:type="dxa"/>
              <w:bottom w:w="40" w:type="dxa"/>
              <w:right w:w="20" w:type="dxa"/>
            </w:tcMar>
            <w:vAlign w:val="bottom"/>
          </w:tcPr>
          <w:p w14:paraId="675359BC" w14:textId="77777777" w:rsidR="001B77DD" w:rsidRDefault="00BF0A28">
            <w:pPr>
              <w:textAlignment w:val="bottom"/>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675359B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BE" w14:textId="77777777" w:rsidR="001B77DD" w:rsidRDefault="00BF0A28">
            <w:pPr>
              <w:jc w:val="right"/>
              <w:textAlignment w:val="bottom"/>
            </w:pPr>
            <w:r>
              <w:rPr>
                <w:rFonts w:ascii="Arial" w:eastAsia="宋体" w:hAnsi="Arial" w:cs="Arial"/>
                <w:b/>
                <w:bCs/>
                <w:color w:val="0068B5"/>
                <w:sz w:val="18"/>
                <w:szCs w:val="18"/>
              </w:rPr>
              <w:t>21,703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B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C0"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C1" w14:textId="77777777" w:rsidR="001B77DD" w:rsidRDefault="00BF0A28">
            <w:pPr>
              <w:jc w:val="right"/>
              <w:textAlignment w:val="bottom"/>
            </w:pPr>
            <w:r>
              <w:rPr>
                <w:rFonts w:ascii="Arial" w:eastAsia="宋体" w:hAnsi="Arial" w:cs="Arial"/>
                <w:b/>
                <w:bCs/>
                <w:color w:val="262626"/>
                <w:sz w:val="18"/>
                <w:szCs w:val="18"/>
              </w:rPr>
              <w:t>25,078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C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C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9C4" w14:textId="77777777" w:rsidR="001B77DD" w:rsidRDefault="00BF0A28">
            <w:pPr>
              <w:jc w:val="right"/>
              <w:textAlignment w:val="bottom"/>
            </w:pPr>
            <w:r>
              <w:rPr>
                <w:rFonts w:ascii="Arial" w:eastAsia="宋体" w:hAnsi="Arial" w:cs="Arial"/>
                <w:b/>
                <w:bCs/>
                <w:color w:val="262626"/>
                <w:sz w:val="18"/>
                <w:szCs w:val="18"/>
              </w:rPr>
              <w:t>24,058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C5" w14:textId="77777777" w:rsidR="001B77DD" w:rsidRDefault="001B77DD">
            <w:pPr>
              <w:jc w:val="right"/>
              <w:rPr>
                <w:rFonts w:ascii="宋体"/>
              </w:rPr>
            </w:pPr>
          </w:p>
        </w:tc>
      </w:tr>
      <w:tr w:rsidR="001B77DD" w14:paraId="675359D1" w14:textId="77777777">
        <w:tc>
          <w:tcPr>
            <w:tcW w:w="0" w:type="auto"/>
            <w:gridSpan w:val="3"/>
            <w:shd w:val="clear" w:color="auto" w:fill="auto"/>
            <w:tcMar>
              <w:top w:w="40" w:type="dxa"/>
              <w:left w:w="20" w:type="dxa"/>
              <w:bottom w:w="40" w:type="dxa"/>
              <w:right w:w="20" w:type="dxa"/>
            </w:tcMar>
            <w:vAlign w:val="bottom"/>
          </w:tcPr>
          <w:p w14:paraId="675359C7" w14:textId="77777777" w:rsidR="001B77DD" w:rsidRDefault="00BF0A28">
            <w:pPr>
              <w:textAlignment w:val="bottom"/>
            </w:pPr>
            <w:r>
              <w:rPr>
                <w:rFonts w:ascii="Arial" w:eastAsia="宋体" w:hAnsi="Arial" w:cs="Arial"/>
                <w:color w:val="262626"/>
                <w:sz w:val="18"/>
                <w:szCs w:val="18"/>
              </w:rPr>
              <w:t>P</w:t>
            </w:r>
            <w:r>
              <w:rPr>
                <w:rFonts w:ascii="Arial" w:eastAsia="宋体" w:hAnsi="Arial" w:cs="Arial"/>
                <w:color w:val="262626"/>
                <w:sz w:val="18"/>
                <w:szCs w:val="18"/>
              </w:rPr>
              <w:t>rovision for taxes</w:t>
            </w:r>
          </w:p>
        </w:tc>
        <w:tc>
          <w:tcPr>
            <w:tcW w:w="0" w:type="auto"/>
            <w:gridSpan w:val="3"/>
            <w:shd w:val="clear" w:color="auto" w:fill="auto"/>
            <w:tcMar>
              <w:top w:w="0" w:type="dxa"/>
              <w:left w:w="20" w:type="dxa"/>
              <w:bottom w:w="0" w:type="dxa"/>
              <w:right w:w="20" w:type="dxa"/>
            </w:tcMar>
            <w:vAlign w:val="bottom"/>
          </w:tcPr>
          <w:p w14:paraId="675359C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C9" w14:textId="77777777" w:rsidR="001B77DD" w:rsidRDefault="00BF0A28">
            <w:pPr>
              <w:jc w:val="right"/>
              <w:textAlignment w:val="bottom"/>
            </w:pPr>
            <w:r>
              <w:rPr>
                <w:rFonts w:ascii="Arial" w:eastAsia="宋体" w:hAnsi="Arial" w:cs="Arial"/>
                <w:color w:val="0068B5"/>
                <w:sz w:val="18"/>
                <w:szCs w:val="18"/>
              </w:rPr>
              <w:t>1,835 </w:t>
            </w:r>
          </w:p>
        </w:tc>
        <w:tc>
          <w:tcPr>
            <w:tcW w:w="0" w:type="auto"/>
            <w:shd w:val="clear" w:color="auto" w:fill="auto"/>
            <w:tcMar>
              <w:top w:w="40" w:type="dxa"/>
              <w:left w:w="0" w:type="dxa"/>
              <w:bottom w:w="40" w:type="dxa"/>
              <w:right w:w="20" w:type="dxa"/>
            </w:tcMar>
            <w:vAlign w:val="bottom"/>
          </w:tcPr>
          <w:p w14:paraId="675359C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CC" w14:textId="77777777" w:rsidR="001B77DD" w:rsidRDefault="00BF0A28">
            <w:pPr>
              <w:jc w:val="right"/>
              <w:textAlignment w:val="bottom"/>
            </w:pPr>
            <w:r>
              <w:rPr>
                <w:rFonts w:ascii="Arial" w:eastAsia="宋体" w:hAnsi="Arial" w:cs="Arial"/>
                <w:color w:val="262626"/>
                <w:sz w:val="18"/>
                <w:szCs w:val="18"/>
              </w:rPr>
              <w:t>4,179 </w:t>
            </w:r>
          </w:p>
        </w:tc>
        <w:tc>
          <w:tcPr>
            <w:tcW w:w="0" w:type="auto"/>
            <w:shd w:val="clear" w:color="auto" w:fill="auto"/>
            <w:tcMar>
              <w:top w:w="40" w:type="dxa"/>
              <w:left w:w="0" w:type="dxa"/>
              <w:bottom w:w="40" w:type="dxa"/>
              <w:right w:w="20" w:type="dxa"/>
            </w:tcMar>
            <w:vAlign w:val="bottom"/>
          </w:tcPr>
          <w:p w14:paraId="675359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C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9CF" w14:textId="77777777" w:rsidR="001B77DD" w:rsidRDefault="00BF0A28">
            <w:pPr>
              <w:jc w:val="right"/>
              <w:textAlignment w:val="bottom"/>
            </w:pPr>
            <w:r>
              <w:rPr>
                <w:rFonts w:ascii="Arial" w:eastAsia="宋体" w:hAnsi="Arial" w:cs="Arial"/>
                <w:color w:val="262626"/>
                <w:sz w:val="18"/>
                <w:szCs w:val="18"/>
              </w:rPr>
              <w:t>3,010 </w:t>
            </w:r>
          </w:p>
        </w:tc>
        <w:tc>
          <w:tcPr>
            <w:tcW w:w="0" w:type="auto"/>
            <w:shd w:val="clear" w:color="auto" w:fill="auto"/>
            <w:tcMar>
              <w:top w:w="40" w:type="dxa"/>
              <w:left w:w="0" w:type="dxa"/>
              <w:bottom w:w="40" w:type="dxa"/>
              <w:right w:w="20" w:type="dxa"/>
            </w:tcMar>
            <w:vAlign w:val="bottom"/>
          </w:tcPr>
          <w:p w14:paraId="675359D0" w14:textId="77777777" w:rsidR="001B77DD" w:rsidRDefault="001B77DD">
            <w:pPr>
              <w:jc w:val="right"/>
              <w:rPr>
                <w:rFonts w:ascii="宋体"/>
              </w:rPr>
            </w:pPr>
          </w:p>
        </w:tc>
      </w:tr>
      <w:tr w:rsidR="001B77DD" w14:paraId="675359DF" w14:textId="77777777">
        <w:tc>
          <w:tcPr>
            <w:tcW w:w="0" w:type="auto"/>
            <w:gridSpan w:val="3"/>
            <w:shd w:val="clear" w:color="auto" w:fill="auto"/>
            <w:tcMar>
              <w:top w:w="40" w:type="dxa"/>
              <w:left w:w="20" w:type="dxa"/>
              <w:bottom w:w="40" w:type="dxa"/>
              <w:right w:w="20" w:type="dxa"/>
            </w:tcMar>
            <w:vAlign w:val="bottom"/>
          </w:tcPr>
          <w:p w14:paraId="675359D2" w14:textId="77777777" w:rsidR="001B77DD" w:rsidRDefault="00BF0A28">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75359D3"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9D4"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9D5" w14:textId="77777777" w:rsidR="001B77DD" w:rsidRDefault="00BF0A28">
            <w:pPr>
              <w:jc w:val="right"/>
              <w:textAlignment w:val="bottom"/>
            </w:pPr>
            <w:r>
              <w:rPr>
                <w:rFonts w:ascii="Arial" w:eastAsia="宋体" w:hAnsi="Arial" w:cs="Arial"/>
                <w:b/>
                <w:bCs/>
                <w:color w:val="0068B5"/>
                <w:sz w:val="18"/>
                <w:szCs w:val="18"/>
              </w:rPr>
              <w:t>19,868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D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D7"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9D8"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9D9" w14:textId="77777777" w:rsidR="001B77DD" w:rsidRDefault="00BF0A28">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D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DB"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9DC"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9DD" w14:textId="77777777" w:rsidR="001B77DD" w:rsidRDefault="00BF0A28">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9DE" w14:textId="77777777" w:rsidR="001B77DD" w:rsidRDefault="001B77DD">
            <w:pPr>
              <w:jc w:val="right"/>
              <w:rPr>
                <w:rFonts w:ascii="宋体"/>
              </w:rPr>
            </w:pPr>
          </w:p>
        </w:tc>
      </w:tr>
      <w:tr w:rsidR="001B77DD" w14:paraId="675359ED" w14:textId="77777777">
        <w:tc>
          <w:tcPr>
            <w:tcW w:w="0" w:type="auto"/>
            <w:gridSpan w:val="3"/>
            <w:shd w:val="clear" w:color="auto" w:fill="auto"/>
            <w:tcMar>
              <w:top w:w="40" w:type="dxa"/>
              <w:left w:w="20" w:type="dxa"/>
              <w:bottom w:w="40" w:type="dxa"/>
              <w:right w:w="20" w:type="dxa"/>
            </w:tcMar>
            <w:vAlign w:val="bottom"/>
          </w:tcPr>
          <w:p w14:paraId="675359E0" w14:textId="77777777" w:rsidR="001B77DD" w:rsidRDefault="00BF0A28">
            <w:pPr>
              <w:textAlignment w:val="bottom"/>
            </w:pPr>
            <w:r>
              <w:rPr>
                <w:rFonts w:ascii="Arial" w:eastAsia="宋体" w:hAnsi="Arial" w:cs="Arial"/>
                <w:b/>
                <w:bCs/>
                <w:color w:val="262626"/>
                <w:sz w:val="18"/>
                <w:szCs w:val="18"/>
              </w:rPr>
              <w:t>Earnings per share—basic</w:t>
            </w:r>
          </w:p>
        </w:tc>
        <w:tc>
          <w:tcPr>
            <w:tcW w:w="0" w:type="auto"/>
            <w:gridSpan w:val="3"/>
            <w:shd w:val="clear" w:color="auto" w:fill="auto"/>
            <w:tcMar>
              <w:top w:w="0" w:type="dxa"/>
              <w:left w:w="20" w:type="dxa"/>
              <w:bottom w:w="0" w:type="dxa"/>
              <w:right w:w="20" w:type="dxa"/>
            </w:tcMar>
            <w:vAlign w:val="bottom"/>
          </w:tcPr>
          <w:p w14:paraId="675359E1"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59E2" w14:textId="77777777" w:rsidR="001B77DD" w:rsidRDefault="00BF0A2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59E3" w14:textId="77777777" w:rsidR="001B77DD" w:rsidRDefault="00BF0A28">
            <w:pPr>
              <w:jc w:val="right"/>
              <w:textAlignment w:val="bottom"/>
            </w:pPr>
            <w:r>
              <w:rPr>
                <w:rFonts w:ascii="Arial" w:eastAsia="宋体" w:hAnsi="Arial" w:cs="Arial"/>
                <w:b/>
                <w:bCs/>
                <w:color w:val="0068B5"/>
                <w:sz w:val="18"/>
                <w:szCs w:val="18"/>
              </w:rPr>
              <w:t>4.89</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75359E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E5"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59E6"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59E7" w14:textId="77777777" w:rsidR="001B77DD" w:rsidRDefault="00BF0A28">
            <w:pPr>
              <w:jc w:val="right"/>
              <w:textAlignment w:val="bottom"/>
            </w:pPr>
            <w:r>
              <w:rPr>
                <w:rFonts w:ascii="Arial" w:eastAsia="宋体" w:hAnsi="Arial" w:cs="Arial"/>
                <w:b/>
                <w:bCs/>
                <w:color w:val="262626"/>
                <w:sz w:val="18"/>
                <w:szCs w:val="18"/>
              </w:rPr>
              <w:t>4.98</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75359E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E9"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59EA"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59EB" w14:textId="77777777" w:rsidR="001B77DD" w:rsidRDefault="00BF0A28">
            <w:pPr>
              <w:jc w:val="right"/>
              <w:textAlignment w:val="bottom"/>
            </w:pPr>
            <w:r>
              <w:rPr>
                <w:rFonts w:ascii="Arial" w:eastAsia="宋体" w:hAnsi="Arial" w:cs="Arial"/>
                <w:b/>
                <w:bCs/>
                <w:color w:val="262626"/>
                <w:sz w:val="18"/>
                <w:szCs w:val="18"/>
              </w:rPr>
              <w:t>4.77</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75359EC" w14:textId="77777777" w:rsidR="001B77DD" w:rsidRDefault="001B77DD">
            <w:pPr>
              <w:jc w:val="right"/>
              <w:rPr>
                <w:rFonts w:ascii="宋体"/>
              </w:rPr>
            </w:pPr>
          </w:p>
        </w:tc>
      </w:tr>
      <w:tr w:rsidR="001B77DD" w14:paraId="675359FB" w14:textId="77777777">
        <w:tc>
          <w:tcPr>
            <w:tcW w:w="0" w:type="auto"/>
            <w:gridSpan w:val="3"/>
            <w:shd w:val="clear" w:color="auto" w:fill="auto"/>
            <w:tcMar>
              <w:top w:w="40" w:type="dxa"/>
              <w:left w:w="20" w:type="dxa"/>
              <w:bottom w:w="40" w:type="dxa"/>
              <w:right w:w="20" w:type="dxa"/>
            </w:tcMar>
            <w:vAlign w:val="bottom"/>
          </w:tcPr>
          <w:p w14:paraId="675359EE" w14:textId="77777777" w:rsidR="001B77DD" w:rsidRDefault="00BF0A28">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675359EF"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59F0" w14:textId="77777777" w:rsidR="001B77DD" w:rsidRDefault="00BF0A2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59F1" w14:textId="77777777" w:rsidR="001B77DD" w:rsidRDefault="00BF0A28">
            <w:pPr>
              <w:jc w:val="right"/>
              <w:textAlignment w:val="bottom"/>
            </w:pPr>
            <w:r>
              <w:rPr>
                <w:rFonts w:ascii="Arial" w:eastAsia="宋体" w:hAnsi="Arial" w:cs="Arial"/>
                <w:b/>
                <w:bCs/>
                <w:color w:val="0068B5"/>
                <w:sz w:val="18"/>
                <w:szCs w:val="18"/>
              </w:rPr>
              <w:t>4.86</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75359F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F3"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59F4"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59F5" w14:textId="77777777" w:rsidR="001B77DD" w:rsidRDefault="00BF0A28">
            <w:pPr>
              <w:jc w:val="right"/>
              <w:textAlignment w:val="bottom"/>
            </w:pPr>
            <w:r>
              <w:rPr>
                <w:rFonts w:ascii="Arial" w:eastAsia="宋体" w:hAnsi="Arial" w:cs="Arial"/>
                <w:b/>
                <w:bCs/>
                <w:color w:val="262626"/>
                <w:sz w:val="18"/>
                <w:szCs w:val="18"/>
              </w:rPr>
              <w:t>4.94</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75359F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9F7" w14:textId="77777777" w:rsidR="001B77DD" w:rsidRDefault="001B77DD">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75359F8"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75359F9" w14:textId="77777777" w:rsidR="001B77DD" w:rsidRDefault="00BF0A28">
            <w:pPr>
              <w:jc w:val="right"/>
              <w:textAlignment w:val="bottom"/>
            </w:pPr>
            <w:r>
              <w:rPr>
                <w:rFonts w:ascii="Arial" w:eastAsia="宋体" w:hAnsi="Arial" w:cs="Arial"/>
                <w:b/>
                <w:bCs/>
                <w:color w:val="262626"/>
                <w:sz w:val="18"/>
                <w:szCs w:val="18"/>
              </w:rPr>
              <w:t>4.71</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75359FA" w14:textId="77777777" w:rsidR="001B77DD" w:rsidRDefault="001B77DD">
            <w:pPr>
              <w:jc w:val="right"/>
              <w:rPr>
                <w:rFonts w:ascii="宋体"/>
              </w:rPr>
            </w:pPr>
          </w:p>
        </w:tc>
      </w:tr>
      <w:tr w:rsidR="001B77DD" w14:paraId="67535A03" w14:textId="77777777">
        <w:trPr>
          <w:hidden/>
        </w:trPr>
        <w:tc>
          <w:tcPr>
            <w:tcW w:w="0" w:type="auto"/>
            <w:gridSpan w:val="3"/>
            <w:shd w:val="clear" w:color="auto" w:fill="auto"/>
            <w:vAlign w:val="bottom"/>
          </w:tcPr>
          <w:p w14:paraId="675359FC" w14:textId="77777777" w:rsidR="001B77DD" w:rsidRDefault="001B77DD">
            <w:pPr>
              <w:rPr>
                <w:rFonts w:ascii="宋体"/>
                <w:vanish/>
              </w:rPr>
            </w:pPr>
          </w:p>
        </w:tc>
        <w:tc>
          <w:tcPr>
            <w:tcW w:w="0" w:type="auto"/>
            <w:gridSpan w:val="3"/>
            <w:shd w:val="clear" w:color="auto" w:fill="auto"/>
            <w:vAlign w:val="bottom"/>
          </w:tcPr>
          <w:p w14:paraId="675359FD" w14:textId="77777777" w:rsidR="001B77DD" w:rsidRDefault="001B77DD">
            <w:pPr>
              <w:rPr>
                <w:rFonts w:ascii="宋体"/>
                <w:vanish/>
              </w:rPr>
            </w:pPr>
          </w:p>
        </w:tc>
        <w:tc>
          <w:tcPr>
            <w:tcW w:w="0" w:type="auto"/>
            <w:gridSpan w:val="3"/>
            <w:shd w:val="clear" w:color="auto" w:fill="auto"/>
            <w:vAlign w:val="bottom"/>
          </w:tcPr>
          <w:p w14:paraId="675359FE" w14:textId="77777777" w:rsidR="001B77DD" w:rsidRDefault="001B77DD">
            <w:pPr>
              <w:rPr>
                <w:rFonts w:ascii="宋体"/>
                <w:vanish/>
              </w:rPr>
            </w:pPr>
          </w:p>
        </w:tc>
        <w:tc>
          <w:tcPr>
            <w:tcW w:w="0" w:type="auto"/>
            <w:gridSpan w:val="3"/>
            <w:shd w:val="clear" w:color="auto" w:fill="auto"/>
            <w:vAlign w:val="bottom"/>
          </w:tcPr>
          <w:p w14:paraId="675359FF" w14:textId="77777777" w:rsidR="001B77DD" w:rsidRDefault="001B77DD">
            <w:pPr>
              <w:rPr>
                <w:rFonts w:ascii="宋体"/>
                <w:vanish/>
              </w:rPr>
            </w:pPr>
          </w:p>
        </w:tc>
        <w:tc>
          <w:tcPr>
            <w:tcW w:w="0" w:type="auto"/>
            <w:gridSpan w:val="3"/>
            <w:shd w:val="clear" w:color="auto" w:fill="auto"/>
            <w:vAlign w:val="bottom"/>
          </w:tcPr>
          <w:p w14:paraId="67535A00" w14:textId="77777777" w:rsidR="001B77DD" w:rsidRDefault="001B77DD">
            <w:pPr>
              <w:rPr>
                <w:rFonts w:ascii="宋体"/>
                <w:vanish/>
              </w:rPr>
            </w:pPr>
          </w:p>
        </w:tc>
        <w:tc>
          <w:tcPr>
            <w:tcW w:w="0" w:type="auto"/>
            <w:gridSpan w:val="3"/>
            <w:shd w:val="clear" w:color="auto" w:fill="auto"/>
            <w:vAlign w:val="bottom"/>
          </w:tcPr>
          <w:p w14:paraId="67535A01" w14:textId="77777777" w:rsidR="001B77DD" w:rsidRDefault="001B77DD">
            <w:pPr>
              <w:rPr>
                <w:rFonts w:ascii="宋体"/>
                <w:vanish/>
              </w:rPr>
            </w:pPr>
          </w:p>
        </w:tc>
        <w:tc>
          <w:tcPr>
            <w:tcW w:w="0" w:type="auto"/>
            <w:gridSpan w:val="3"/>
            <w:shd w:val="clear" w:color="auto" w:fill="auto"/>
            <w:vAlign w:val="bottom"/>
          </w:tcPr>
          <w:p w14:paraId="67535A02" w14:textId="77777777" w:rsidR="001B77DD" w:rsidRDefault="001B77DD">
            <w:pPr>
              <w:rPr>
                <w:rFonts w:ascii="宋体"/>
                <w:vanish/>
              </w:rPr>
            </w:pPr>
          </w:p>
        </w:tc>
      </w:tr>
      <w:tr w:rsidR="001B77DD" w14:paraId="67535A0B" w14:textId="77777777">
        <w:tc>
          <w:tcPr>
            <w:tcW w:w="0" w:type="auto"/>
            <w:gridSpan w:val="3"/>
            <w:shd w:val="clear" w:color="auto" w:fill="auto"/>
            <w:tcMar>
              <w:top w:w="40" w:type="dxa"/>
              <w:left w:w="20" w:type="dxa"/>
              <w:bottom w:w="40" w:type="dxa"/>
              <w:right w:w="20" w:type="dxa"/>
            </w:tcMar>
            <w:vAlign w:val="bottom"/>
          </w:tcPr>
          <w:p w14:paraId="67535A04" w14:textId="77777777" w:rsidR="001B77DD" w:rsidRDefault="00BF0A28">
            <w:pPr>
              <w:textAlignment w:val="bottom"/>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vAlign w:val="bottom"/>
          </w:tcPr>
          <w:p w14:paraId="67535A0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A0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A0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A0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A0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A0A" w14:textId="77777777" w:rsidR="001B77DD" w:rsidRDefault="001B77DD">
            <w:pPr>
              <w:rPr>
                <w:rFonts w:ascii="宋体"/>
              </w:rPr>
            </w:pPr>
          </w:p>
        </w:tc>
      </w:tr>
      <w:tr w:rsidR="001B77DD" w14:paraId="67535A16" w14:textId="77777777">
        <w:tc>
          <w:tcPr>
            <w:tcW w:w="0" w:type="auto"/>
            <w:gridSpan w:val="3"/>
            <w:shd w:val="clear" w:color="auto" w:fill="auto"/>
            <w:tcMar>
              <w:top w:w="40" w:type="dxa"/>
              <w:left w:w="155" w:type="dxa"/>
              <w:bottom w:w="40" w:type="dxa"/>
              <w:right w:w="20" w:type="dxa"/>
            </w:tcMar>
            <w:vAlign w:val="bottom"/>
          </w:tcPr>
          <w:p w14:paraId="67535A0C" w14:textId="77777777" w:rsidR="001B77DD" w:rsidRDefault="00BF0A28">
            <w:pPr>
              <w:textAlignment w:val="bottom"/>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vAlign w:val="bottom"/>
          </w:tcPr>
          <w:p w14:paraId="67535A0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0E" w14:textId="77777777" w:rsidR="001B77DD" w:rsidRDefault="00BF0A28">
            <w:pPr>
              <w:jc w:val="right"/>
              <w:textAlignment w:val="bottom"/>
            </w:pPr>
            <w:r>
              <w:rPr>
                <w:rFonts w:ascii="Arial" w:eastAsia="宋体" w:hAnsi="Arial" w:cs="Arial"/>
                <w:b/>
                <w:bCs/>
                <w:color w:val="0068B5"/>
                <w:sz w:val="18"/>
                <w:szCs w:val="18"/>
              </w:rPr>
              <w:t>4,059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A0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1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11" w14:textId="77777777" w:rsidR="001B77DD" w:rsidRDefault="00BF0A28">
            <w:pPr>
              <w:jc w:val="right"/>
              <w:textAlignment w:val="bottom"/>
            </w:pPr>
            <w:r>
              <w:rPr>
                <w:rFonts w:ascii="Arial" w:eastAsia="宋体" w:hAnsi="Arial" w:cs="Arial"/>
                <w:b/>
                <w:bCs/>
                <w:color w:val="262626"/>
                <w:sz w:val="18"/>
                <w:szCs w:val="18"/>
              </w:rPr>
              <w:t>4,199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A1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1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14" w14:textId="77777777" w:rsidR="001B77DD" w:rsidRDefault="00BF0A28">
            <w:pPr>
              <w:jc w:val="right"/>
              <w:textAlignment w:val="bottom"/>
            </w:pPr>
            <w:r>
              <w:rPr>
                <w:rFonts w:ascii="Arial" w:eastAsia="宋体" w:hAnsi="Arial" w:cs="Arial"/>
                <w:b/>
                <w:bCs/>
                <w:color w:val="262626"/>
                <w:sz w:val="18"/>
                <w:szCs w:val="18"/>
              </w:rPr>
              <w:t>4,417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A15" w14:textId="77777777" w:rsidR="001B77DD" w:rsidRDefault="001B77DD">
            <w:pPr>
              <w:jc w:val="right"/>
              <w:rPr>
                <w:rFonts w:ascii="宋体"/>
              </w:rPr>
            </w:pPr>
          </w:p>
        </w:tc>
      </w:tr>
      <w:tr w:rsidR="001B77DD" w14:paraId="67535A21" w14:textId="77777777">
        <w:tc>
          <w:tcPr>
            <w:tcW w:w="0" w:type="auto"/>
            <w:gridSpan w:val="3"/>
            <w:shd w:val="clear" w:color="auto" w:fill="auto"/>
            <w:tcMar>
              <w:top w:w="40" w:type="dxa"/>
              <w:left w:w="155" w:type="dxa"/>
              <w:bottom w:w="40" w:type="dxa"/>
              <w:right w:w="20" w:type="dxa"/>
            </w:tcMar>
            <w:vAlign w:val="bottom"/>
          </w:tcPr>
          <w:p w14:paraId="67535A17" w14:textId="77777777" w:rsidR="001B77DD" w:rsidRDefault="00BF0A28">
            <w:pPr>
              <w:textAlignment w:val="bottom"/>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vAlign w:val="bottom"/>
          </w:tcPr>
          <w:p w14:paraId="67535A18" w14:textId="77777777" w:rsidR="001B77DD" w:rsidRDefault="001B77DD">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5A19" w14:textId="77777777" w:rsidR="001B77DD" w:rsidRDefault="00BF0A28">
            <w:pPr>
              <w:jc w:val="right"/>
              <w:textAlignment w:val="bottom"/>
            </w:pPr>
            <w:r>
              <w:rPr>
                <w:rFonts w:ascii="Arial" w:eastAsia="宋体" w:hAnsi="Arial" w:cs="Arial"/>
                <w:b/>
                <w:bCs/>
                <w:color w:val="0068B5"/>
                <w:sz w:val="18"/>
                <w:szCs w:val="18"/>
              </w:rPr>
              <w:t>4,090</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5A1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1B" w14:textId="77777777" w:rsidR="001B77DD" w:rsidRDefault="001B77DD">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5A1C" w14:textId="77777777" w:rsidR="001B77DD" w:rsidRDefault="00BF0A28">
            <w:pPr>
              <w:jc w:val="right"/>
              <w:textAlignment w:val="bottom"/>
            </w:pPr>
            <w:r>
              <w:rPr>
                <w:rFonts w:ascii="Arial" w:eastAsia="宋体" w:hAnsi="Arial" w:cs="Arial"/>
                <w:b/>
                <w:bCs/>
                <w:color w:val="262626"/>
                <w:sz w:val="18"/>
                <w:szCs w:val="18"/>
              </w:rPr>
              <w:t>4,232</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5A1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1E" w14:textId="77777777" w:rsidR="001B77DD" w:rsidRDefault="001B77DD">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5A1F" w14:textId="77777777" w:rsidR="001B77DD" w:rsidRDefault="00BF0A28">
            <w:pPr>
              <w:jc w:val="right"/>
              <w:textAlignment w:val="bottom"/>
            </w:pPr>
            <w:r>
              <w:rPr>
                <w:rFonts w:ascii="Arial" w:eastAsia="宋体" w:hAnsi="Arial" w:cs="Arial"/>
                <w:b/>
                <w:bCs/>
                <w:color w:val="262626"/>
                <w:sz w:val="18"/>
                <w:szCs w:val="18"/>
              </w:rPr>
              <w:t>4,473</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5A20" w14:textId="77777777" w:rsidR="001B77DD" w:rsidRDefault="001B77DD">
            <w:pPr>
              <w:jc w:val="right"/>
              <w:rPr>
                <w:rFonts w:ascii="宋体"/>
              </w:rPr>
            </w:pPr>
          </w:p>
        </w:tc>
      </w:tr>
    </w:tbl>
    <w:p w14:paraId="67535A22" w14:textId="77777777" w:rsidR="001B77DD" w:rsidRDefault="00BF0A28">
      <w:pPr>
        <w:spacing w:after="180"/>
      </w:pPr>
      <w:r>
        <w:rPr>
          <w:rFonts w:ascii="Arial" w:eastAsia="宋体" w:hAnsi="Arial" w:cs="Arial"/>
          <w:i/>
          <w:iCs/>
          <w:color w:val="262626"/>
          <w:sz w:val="16"/>
          <w:szCs w:val="16"/>
        </w:rPr>
        <w:t>See accompanying notes.</w:t>
      </w:r>
    </w:p>
    <w:p w14:paraId="67535A23"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5"/>
        <w:gridCol w:w="36"/>
        <w:gridCol w:w="61"/>
        <w:gridCol w:w="2762"/>
        <w:gridCol w:w="36"/>
        <w:gridCol w:w="62"/>
        <w:gridCol w:w="3138"/>
        <w:gridCol w:w="36"/>
      </w:tblGrid>
      <w:tr w:rsidR="001B77DD" w14:paraId="67535A30" w14:textId="77777777">
        <w:tc>
          <w:tcPr>
            <w:tcW w:w="50" w:type="pct"/>
            <w:shd w:val="clear" w:color="auto" w:fill="auto"/>
            <w:vAlign w:val="bottom"/>
          </w:tcPr>
          <w:p w14:paraId="67535A24" w14:textId="77777777" w:rsidR="001B77DD" w:rsidRDefault="001B77DD">
            <w:pPr>
              <w:rPr>
                <w:rFonts w:ascii="宋体"/>
              </w:rPr>
            </w:pPr>
          </w:p>
        </w:tc>
        <w:tc>
          <w:tcPr>
            <w:tcW w:w="276" w:type="pct"/>
            <w:shd w:val="clear" w:color="auto" w:fill="auto"/>
            <w:vAlign w:val="bottom"/>
          </w:tcPr>
          <w:p w14:paraId="67535A25" w14:textId="77777777" w:rsidR="001B77DD" w:rsidRDefault="001B77DD">
            <w:pPr>
              <w:rPr>
                <w:rFonts w:ascii="宋体"/>
              </w:rPr>
            </w:pPr>
          </w:p>
        </w:tc>
        <w:tc>
          <w:tcPr>
            <w:tcW w:w="5" w:type="pct"/>
            <w:shd w:val="clear" w:color="auto" w:fill="auto"/>
            <w:vAlign w:val="bottom"/>
          </w:tcPr>
          <w:p w14:paraId="67535A26" w14:textId="77777777" w:rsidR="001B77DD" w:rsidRDefault="001B77DD">
            <w:pPr>
              <w:rPr>
                <w:rFonts w:ascii="宋体"/>
              </w:rPr>
            </w:pPr>
          </w:p>
        </w:tc>
        <w:tc>
          <w:tcPr>
            <w:tcW w:w="50" w:type="pct"/>
            <w:shd w:val="clear" w:color="auto" w:fill="auto"/>
            <w:vAlign w:val="bottom"/>
          </w:tcPr>
          <w:p w14:paraId="67535A27" w14:textId="77777777" w:rsidR="001B77DD" w:rsidRDefault="001B77DD">
            <w:pPr>
              <w:rPr>
                <w:rFonts w:ascii="宋体"/>
              </w:rPr>
            </w:pPr>
          </w:p>
        </w:tc>
        <w:tc>
          <w:tcPr>
            <w:tcW w:w="940" w:type="pct"/>
            <w:shd w:val="clear" w:color="auto" w:fill="auto"/>
            <w:vAlign w:val="bottom"/>
          </w:tcPr>
          <w:p w14:paraId="67535A28" w14:textId="77777777" w:rsidR="001B77DD" w:rsidRDefault="001B77DD">
            <w:pPr>
              <w:rPr>
                <w:rFonts w:ascii="宋体"/>
              </w:rPr>
            </w:pPr>
          </w:p>
        </w:tc>
        <w:tc>
          <w:tcPr>
            <w:tcW w:w="5" w:type="pct"/>
            <w:shd w:val="clear" w:color="auto" w:fill="auto"/>
            <w:vAlign w:val="bottom"/>
          </w:tcPr>
          <w:p w14:paraId="67535A29" w14:textId="77777777" w:rsidR="001B77DD" w:rsidRDefault="001B77DD">
            <w:pPr>
              <w:rPr>
                <w:rFonts w:ascii="宋体"/>
              </w:rPr>
            </w:pPr>
          </w:p>
        </w:tc>
        <w:tc>
          <w:tcPr>
            <w:tcW w:w="50" w:type="pct"/>
            <w:shd w:val="clear" w:color="auto" w:fill="auto"/>
            <w:vAlign w:val="bottom"/>
          </w:tcPr>
          <w:p w14:paraId="67535A2A" w14:textId="77777777" w:rsidR="001B77DD" w:rsidRDefault="001B77DD">
            <w:pPr>
              <w:rPr>
                <w:rFonts w:ascii="宋体"/>
              </w:rPr>
            </w:pPr>
          </w:p>
        </w:tc>
        <w:tc>
          <w:tcPr>
            <w:tcW w:w="1668" w:type="pct"/>
            <w:shd w:val="clear" w:color="auto" w:fill="auto"/>
            <w:vAlign w:val="bottom"/>
          </w:tcPr>
          <w:p w14:paraId="67535A2B" w14:textId="77777777" w:rsidR="001B77DD" w:rsidRDefault="001B77DD">
            <w:pPr>
              <w:rPr>
                <w:rFonts w:ascii="宋体"/>
              </w:rPr>
            </w:pPr>
          </w:p>
        </w:tc>
        <w:tc>
          <w:tcPr>
            <w:tcW w:w="5" w:type="pct"/>
            <w:shd w:val="clear" w:color="auto" w:fill="auto"/>
            <w:vAlign w:val="bottom"/>
          </w:tcPr>
          <w:p w14:paraId="67535A2C" w14:textId="77777777" w:rsidR="001B77DD" w:rsidRDefault="001B77DD">
            <w:pPr>
              <w:rPr>
                <w:rFonts w:ascii="宋体"/>
              </w:rPr>
            </w:pPr>
          </w:p>
        </w:tc>
        <w:tc>
          <w:tcPr>
            <w:tcW w:w="50" w:type="pct"/>
            <w:shd w:val="clear" w:color="auto" w:fill="auto"/>
            <w:vAlign w:val="bottom"/>
          </w:tcPr>
          <w:p w14:paraId="67535A2D" w14:textId="77777777" w:rsidR="001B77DD" w:rsidRDefault="001B77DD">
            <w:pPr>
              <w:rPr>
                <w:rFonts w:ascii="宋体"/>
              </w:rPr>
            </w:pPr>
          </w:p>
        </w:tc>
        <w:tc>
          <w:tcPr>
            <w:tcW w:w="1894" w:type="pct"/>
            <w:shd w:val="clear" w:color="auto" w:fill="auto"/>
            <w:vAlign w:val="bottom"/>
          </w:tcPr>
          <w:p w14:paraId="67535A2E" w14:textId="77777777" w:rsidR="001B77DD" w:rsidRDefault="001B77DD">
            <w:pPr>
              <w:rPr>
                <w:rFonts w:ascii="宋体"/>
              </w:rPr>
            </w:pPr>
          </w:p>
        </w:tc>
        <w:tc>
          <w:tcPr>
            <w:tcW w:w="5" w:type="pct"/>
            <w:shd w:val="clear" w:color="auto" w:fill="auto"/>
            <w:vAlign w:val="bottom"/>
          </w:tcPr>
          <w:p w14:paraId="67535A2F" w14:textId="77777777" w:rsidR="001B77DD" w:rsidRDefault="001B77DD">
            <w:pPr>
              <w:rPr>
                <w:rFonts w:ascii="宋体"/>
              </w:rPr>
            </w:pPr>
          </w:p>
        </w:tc>
      </w:tr>
      <w:tr w:rsidR="001B77DD" w14:paraId="67535A35"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A31"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18" wp14:editId="67538F19">
                  <wp:extent cx="304800" cy="304800"/>
                  <wp:effectExtent l="0" t="0" r="0" b="0"/>
                  <wp:docPr id="214" name="图片 27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7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A32"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5A33" w14:textId="77777777" w:rsidR="001B77DD" w:rsidRDefault="00BF0A28">
            <w:pPr>
              <w:textAlignment w:val="center"/>
            </w:pPr>
            <w:r>
              <w:rPr>
                <w:rFonts w:ascii="Arial" w:eastAsia="宋体" w:hAnsi="Arial" w:cs="Arial"/>
                <w:color w:val="262626"/>
                <w:sz w:val="16"/>
                <w:szCs w:val="16"/>
              </w:rPr>
              <w:t>Consolidated Statements of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A34" w14:textId="77777777" w:rsidR="001B77DD" w:rsidRDefault="00BF0A28">
            <w:pPr>
              <w:jc w:val="right"/>
              <w:textAlignment w:val="center"/>
            </w:pPr>
            <w:r>
              <w:rPr>
                <w:rFonts w:ascii="Arial" w:eastAsia="宋体" w:hAnsi="Arial" w:cs="Arial"/>
                <w:color w:val="262626"/>
                <w:sz w:val="16"/>
                <w:szCs w:val="16"/>
              </w:rPr>
              <w:t>72</w:t>
            </w:r>
          </w:p>
        </w:tc>
      </w:tr>
    </w:tbl>
    <w:p w14:paraId="67535A36" w14:textId="77777777" w:rsidR="001B77DD" w:rsidRDefault="00BF0A28">
      <w:r>
        <w:pict w14:anchorId="67538F1A">
          <v:rect id="_x0000_i1098" style="width:415.3pt;height:1.5pt" o:hralign="center" o:hrstd="t" o:hr="t" fillcolor="#a0a0a0" stroked="f"/>
        </w:pict>
      </w:r>
    </w:p>
    <w:p w14:paraId="67535A37" w14:textId="77777777" w:rsidR="001B77DD" w:rsidRDefault="00BF0A28">
      <w:pPr>
        <w:jc w:val="right"/>
      </w:pPr>
      <w:hyperlink r:id="rId160" w:anchor="i6c9ced68f6b24d58a3dcf326e8c3c699_16" w:history="1">
        <w:r>
          <w:rPr>
            <w:rStyle w:val="a5"/>
            <w:rFonts w:ascii="Arial" w:eastAsia="宋体" w:hAnsi="Arial" w:cs="Arial"/>
            <w:b/>
            <w:bCs/>
            <w:sz w:val="16"/>
            <w:szCs w:val="16"/>
          </w:rPr>
          <w:t>Table of Contents</w:t>
        </w:r>
      </w:hyperlink>
    </w:p>
    <w:p w14:paraId="67535A38"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5A3F" w14:textId="77777777">
        <w:tc>
          <w:tcPr>
            <w:tcW w:w="50" w:type="pct"/>
            <w:shd w:val="clear" w:color="auto" w:fill="auto"/>
            <w:vAlign w:val="bottom"/>
          </w:tcPr>
          <w:p w14:paraId="67535A39" w14:textId="77777777" w:rsidR="001B77DD" w:rsidRDefault="001B77DD">
            <w:pPr>
              <w:rPr>
                <w:rFonts w:ascii="宋体"/>
              </w:rPr>
            </w:pPr>
          </w:p>
        </w:tc>
        <w:tc>
          <w:tcPr>
            <w:tcW w:w="4870" w:type="pct"/>
            <w:shd w:val="clear" w:color="auto" w:fill="auto"/>
            <w:vAlign w:val="bottom"/>
          </w:tcPr>
          <w:p w14:paraId="67535A3A" w14:textId="77777777" w:rsidR="001B77DD" w:rsidRDefault="001B77DD">
            <w:pPr>
              <w:rPr>
                <w:rFonts w:ascii="宋体"/>
              </w:rPr>
            </w:pPr>
          </w:p>
        </w:tc>
        <w:tc>
          <w:tcPr>
            <w:tcW w:w="5" w:type="pct"/>
            <w:shd w:val="clear" w:color="auto" w:fill="auto"/>
            <w:vAlign w:val="bottom"/>
          </w:tcPr>
          <w:p w14:paraId="67535A3B" w14:textId="77777777" w:rsidR="001B77DD" w:rsidRDefault="001B77DD">
            <w:pPr>
              <w:rPr>
                <w:rFonts w:ascii="宋体"/>
              </w:rPr>
            </w:pPr>
          </w:p>
        </w:tc>
        <w:tc>
          <w:tcPr>
            <w:tcW w:w="5" w:type="pct"/>
            <w:shd w:val="clear" w:color="auto" w:fill="auto"/>
            <w:vAlign w:val="bottom"/>
          </w:tcPr>
          <w:p w14:paraId="67535A3C" w14:textId="77777777" w:rsidR="001B77DD" w:rsidRDefault="001B77DD">
            <w:pPr>
              <w:rPr>
                <w:rFonts w:ascii="宋体"/>
              </w:rPr>
            </w:pPr>
          </w:p>
        </w:tc>
        <w:tc>
          <w:tcPr>
            <w:tcW w:w="64" w:type="pct"/>
            <w:shd w:val="clear" w:color="auto" w:fill="auto"/>
            <w:vAlign w:val="bottom"/>
          </w:tcPr>
          <w:p w14:paraId="67535A3D" w14:textId="77777777" w:rsidR="001B77DD" w:rsidRDefault="001B77DD">
            <w:pPr>
              <w:rPr>
                <w:rFonts w:ascii="宋体"/>
              </w:rPr>
            </w:pPr>
          </w:p>
        </w:tc>
        <w:tc>
          <w:tcPr>
            <w:tcW w:w="5" w:type="pct"/>
            <w:shd w:val="clear" w:color="auto" w:fill="auto"/>
            <w:vAlign w:val="bottom"/>
          </w:tcPr>
          <w:p w14:paraId="67535A3E" w14:textId="77777777" w:rsidR="001B77DD" w:rsidRDefault="001B77DD">
            <w:pPr>
              <w:rPr>
                <w:rFonts w:ascii="宋体"/>
              </w:rPr>
            </w:pPr>
          </w:p>
        </w:tc>
      </w:tr>
      <w:tr w:rsidR="001B77DD" w14:paraId="67535A42" w14:textId="77777777">
        <w:tc>
          <w:tcPr>
            <w:tcW w:w="0" w:type="auto"/>
            <w:gridSpan w:val="3"/>
            <w:shd w:val="clear" w:color="auto" w:fill="004A86"/>
            <w:tcMar>
              <w:top w:w="40" w:type="dxa"/>
              <w:left w:w="20" w:type="dxa"/>
              <w:bottom w:w="40" w:type="dxa"/>
              <w:right w:w="20" w:type="dxa"/>
            </w:tcMar>
            <w:vAlign w:val="center"/>
          </w:tcPr>
          <w:p w14:paraId="67535A40" w14:textId="77777777" w:rsidR="001B77DD" w:rsidRDefault="00BF0A28">
            <w:pPr>
              <w:textAlignment w:val="center"/>
            </w:pPr>
            <w:r>
              <w:rPr>
                <w:rFonts w:ascii="Arial" w:eastAsia="宋体" w:hAnsi="Arial" w:cs="Arial"/>
                <w:color w:val="FFFFFF"/>
                <w:sz w:val="36"/>
                <w:szCs w:val="36"/>
              </w:rPr>
              <w:t>Consolidated Statements of Comprehensive Income</w:t>
            </w:r>
          </w:p>
        </w:tc>
        <w:tc>
          <w:tcPr>
            <w:tcW w:w="0" w:type="auto"/>
            <w:gridSpan w:val="3"/>
            <w:shd w:val="clear" w:color="auto" w:fill="auto"/>
            <w:tcMar>
              <w:top w:w="0" w:type="dxa"/>
              <w:left w:w="20" w:type="dxa"/>
              <w:bottom w:w="0" w:type="dxa"/>
              <w:right w:w="20" w:type="dxa"/>
            </w:tcMar>
            <w:vAlign w:val="bottom"/>
          </w:tcPr>
          <w:p w14:paraId="67535A41" w14:textId="77777777" w:rsidR="001B77DD" w:rsidRDefault="001B77DD">
            <w:pPr>
              <w:rPr>
                <w:rFonts w:ascii="宋体"/>
              </w:rPr>
            </w:pPr>
          </w:p>
        </w:tc>
      </w:tr>
      <w:tr w:rsidR="001B77DD" w14:paraId="67535A45" w14:textId="77777777">
        <w:trPr>
          <w:trHeight w:val="160"/>
        </w:trPr>
        <w:tc>
          <w:tcPr>
            <w:tcW w:w="0" w:type="auto"/>
            <w:gridSpan w:val="3"/>
            <w:shd w:val="clear" w:color="auto" w:fill="auto"/>
            <w:tcMar>
              <w:top w:w="0" w:type="dxa"/>
              <w:left w:w="20" w:type="dxa"/>
              <w:bottom w:w="0" w:type="dxa"/>
              <w:right w:w="20" w:type="dxa"/>
            </w:tcMar>
            <w:vAlign w:val="bottom"/>
          </w:tcPr>
          <w:p w14:paraId="67535A43"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5A44" w14:textId="77777777" w:rsidR="001B77DD" w:rsidRDefault="001B77DD">
            <w:pPr>
              <w:rPr>
                <w:rFonts w:ascii="宋体"/>
              </w:rPr>
            </w:pPr>
          </w:p>
        </w:tc>
      </w:tr>
    </w:tbl>
    <w:p w14:paraId="67535A46"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048"/>
        <w:gridCol w:w="38"/>
        <w:gridCol w:w="36"/>
        <w:gridCol w:w="36"/>
        <w:gridCol w:w="36"/>
        <w:gridCol w:w="121"/>
        <w:gridCol w:w="805"/>
        <w:gridCol w:w="36"/>
        <w:gridCol w:w="36"/>
        <w:gridCol w:w="36"/>
        <w:gridCol w:w="36"/>
        <w:gridCol w:w="121"/>
        <w:gridCol w:w="805"/>
        <w:gridCol w:w="36"/>
        <w:gridCol w:w="36"/>
        <w:gridCol w:w="36"/>
        <w:gridCol w:w="36"/>
        <w:gridCol w:w="121"/>
        <w:gridCol w:w="806"/>
        <w:gridCol w:w="36"/>
      </w:tblGrid>
      <w:tr w:rsidR="001B77DD" w14:paraId="67535A5C" w14:textId="77777777">
        <w:tc>
          <w:tcPr>
            <w:tcW w:w="50" w:type="pct"/>
            <w:shd w:val="clear" w:color="auto" w:fill="auto"/>
            <w:vAlign w:val="bottom"/>
          </w:tcPr>
          <w:p w14:paraId="67535A47" w14:textId="77777777" w:rsidR="001B77DD" w:rsidRDefault="001B77DD">
            <w:pPr>
              <w:rPr>
                <w:rFonts w:ascii="宋体"/>
              </w:rPr>
            </w:pPr>
          </w:p>
        </w:tc>
        <w:tc>
          <w:tcPr>
            <w:tcW w:w="3059" w:type="pct"/>
            <w:shd w:val="clear" w:color="auto" w:fill="auto"/>
            <w:vAlign w:val="bottom"/>
          </w:tcPr>
          <w:p w14:paraId="67535A48" w14:textId="77777777" w:rsidR="001B77DD" w:rsidRDefault="001B77DD">
            <w:pPr>
              <w:rPr>
                <w:rFonts w:ascii="宋体"/>
              </w:rPr>
            </w:pPr>
          </w:p>
        </w:tc>
        <w:tc>
          <w:tcPr>
            <w:tcW w:w="5" w:type="pct"/>
            <w:shd w:val="clear" w:color="auto" w:fill="auto"/>
            <w:vAlign w:val="bottom"/>
          </w:tcPr>
          <w:p w14:paraId="67535A49" w14:textId="77777777" w:rsidR="001B77DD" w:rsidRDefault="001B77DD">
            <w:pPr>
              <w:rPr>
                <w:rFonts w:ascii="宋体"/>
              </w:rPr>
            </w:pPr>
          </w:p>
        </w:tc>
        <w:tc>
          <w:tcPr>
            <w:tcW w:w="5" w:type="pct"/>
            <w:shd w:val="clear" w:color="auto" w:fill="auto"/>
            <w:vAlign w:val="bottom"/>
          </w:tcPr>
          <w:p w14:paraId="67535A4A" w14:textId="77777777" w:rsidR="001B77DD" w:rsidRDefault="001B77DD">
            <w:pPr>
              <w:rPr>
                <w:rFonts w:ascii="宋体"/>
              </w:rPr>
            </w:pPr>
          </w:p>
        </w:tc>
        <w:tc>
          <w:tcPr>
            <w:tcW w:w="24" w:type="pct"/>
            <w:shd w:val="clear" w:color="auto" w:fill="auto"/>
            <w:vAlign w:val="bottom"/>
          </w:tcPr>
          <w:p w14:paraId="67535A4B" w14:textId="77777777" w:rsidR="001B77DD" w:rsidRDefault="001B77DD">
            <w:pPr>
              <w:rPr>
                <w:rFonts w:ascii="宋体"/>
              </w:rPr>
            </w:pPr>
          </w:p>
        </w:tc>
        <w:tc>
          <w:tcPr>
            <w:tcW w:w="5" w:type="pct"/>
            <w:shd w:val="clear" w:color="auto" w:fill="auto"/>
            <w:vAlign w:val="bottom"/>
          </w:tcPr>
          <w:p w14:paraId="67535A4C" w14:textId="77777777" w:rsidR="001B77DD" w:rsidRDefault="001B77DD">
            <w:pPr>
              <w:rPr>
                <w:rFonts w:ascii="宋体"/>
              </w:rPr>
            </w:pPr>
          </w:p>
        </w:tc>
        <w:tc>
          <w:tcPr>
            <w:tcW w:w="50" w:type="pct"/>
            <w:shd w:val="clear" w:color="auto" w:fill="auto"/>
            <w:vAlign w:val="bottom"/>
          </w:tcPr>
          <w:p w14:paraId="67535A4D" w14:textId="77777777" w:rsidR="001B77DD" w:rsidRDefault="001B77DD">
            <w:pPr>
              <w:rPr>
                <w:rFonts w:ascii="宋体"/>
              </w:rPr>
            </w:pPr>
          </w:p>
        </w:tc>
        <w:tc>
          <w:tcPr>
            <w:tcW w:w="539" w:type="pct"/>
            <w:shd w:val="clear" w:color="auto" w:fill="auto"/>
            <w:vAlign w:val="bottom"/>
          </w:tcPr>
          <w:p w14:paraId="67535A4E" w14:textId="77777777" w:rsidR="001B77DD" w:rsidRDefault="001B77DD">
            <w:pPr>
              <w:rPr>
                <w:rFonts w:ascii="宋体"/>
              </w:rPr>
            </w:pPr>
          </w:p>
        </w:tc>
        <w:tc>
          <w:tcPr>
            <w:tcW w:w="5" w:type="pct"/>
            <w:shd w:val="clear" w:color="auto" w:fill="auto"/>
            <w:vAlign w:val="bottom"/>
          </w:tcPr>
          <w:p w14:paraId="67535A4F" w14:textId="77777777" w:rsidR="001B77DD" w:rsidRDefault="001B77DD">
            <w:pPr>
              <w:rPr>
                <w:rFonts w:ascii="宋体"/>
              </w:rPr>
            </w:pPr>
          </w:p>
        </w:tc>
        <w:tc>
          <w:tcPr>
            <w:tcW w:w="5" w:type="pct"/>
            <w:shd w:val="clear" w:color="auto" w:fill="auto"/>
            <w:vAlign w:val="bottom"/>
          </w:tcPr>
          <w:p w14:paraId="67535A50" w14:textId="77777777" w:rsidR="001B77DD" w:rsidRDefault="001B77DD">
            <w:pPr>
              <w:rPr>
                <w:rFonts w:ascii="宋体"/>
              </w:rPr>
            </w:pPr>
          </w:p>
        </w:tc>
        <w:tc>
          <w:tcPr>
            <w:tcW w:w="24" w:type="pct"/>
            <w:shd w:val="clear" w:color="auto" w:fill="auto"/>
            <w:vAlign w:val="bottom"/>
          </w:tcPr>
          <w:p w14:paraId="67535A51" w14:textId="77777777" w:rsidR="001B77DD" w:rsidRDefault="001B77DD">
            <w:pPr>
              <w:rPr>
                <w:rFonts w:ascii="宋体"/>
              </w:rPr>
            </w:pPr>
          </w:p>
        </w:tc>
        <w:tc>
          <w:tcPr>
            <w:tcW w:w="5" w:type="pct"/>
            <w:shd w:val="clear" w:color="auto" w:fill="auto"/>
            <w:vAlign w:val="bottom"/>
          </w:tcPr>
          <w:p w14:paraId="67535A52" w14:textId="77777777" w:rsidR="001B77DD" w:rsidRDefault="001B77DD">
            <w:pPr>
              <w:rPr>
                <w:rFonts w:ascii="宋体"/>
              </w:rPr>
            </w:pPr>
          </w:p>
        </w:tc>
        <w:tc>
          <w:tcPr>
            <w:tcW w:w="50" w:type="pct"/>
            <w:shd w:val="clear" w:color="auto" w:fill="auto"/>
            <w:vAlign w:val="bottom"/>
          </w:tcPr>
          <w:p w14:paraId="67535A53" w14:textId="77777777" w:rsidR="001B77DD" w:rsidRDefault="001B77DD">
            <w:pPr>
              <w:rPr>
                <w:rFonts w:ascii="宋体"/>
              </w:rPr>
            </w:pPr>
          </w:p>
        </w:tc>
        <w:tc>
          <w:tcPr>
            <w:tcW w:w="539" w:type="pct"/>
            <w:shd w:val="clear" w:color="auto" w:fill="auto"/>
            <w:vAlign w:val="bottom"/>
          </w:tcPr>
          <w:p w14:paraId="67535A54" w14:textId="77777777" w:rsidR="001B77DD" w:rsidRDefault="001B77DD">
            <w:pPr>
              <w:rPr>
                <w:rFonts w:ascii="宋体"/>
              </w:rPr>
            </w:pPr>
          </w:p>
        </w:tc>
        <w:tc>
          <w:tcPr>
            <w:tcW w:w="5" w:type="pct"/>
            <w:shd w:val="clear" w:color="auto" w:fill="auto"/>
            <w:vAlign w:val="bottom"/>
          </w:tcPr>
          <w:p w14:paraId="67535A55" w14:textId="77777777" w:rsidR="001B77DD" w:rsidRDefault="001B77DD">
            <w:pPr>
              <w:rPr>
                <w:rFonts w:ascii="宋体"/>
              </w:rPr>
            </w:pPr>
          </w:p>
        </w:tc>
        <w:tc>
          <w:tcPr>
            <w:tcW w:w="5" w:type="pct"/>
            <w:shd w:val="clear" w:color="auto" w:fill="auto"/>
            <w:vAlign w:val="bottom"/>
          </w:tcPr>
          <w:p w14:paraId="67535A56" w14:textId="77777777" w:rsidR="001B77DD" w:rsidRDefault="001B77DD">
            <w:pPr>
              <w:rPr>
                <w:rFonts w:ascii="宋体"/>
              </w:rPr>
            </w:pPr>
          </w:p>
        </w:tc>
        <w:tc>
          <w:tcPr>
            <w:tcW w:w="24" w:type="pct"/>
            <w:shd w:val="clear" w:color="auto" w:fill="auto"/>
            <w:vAlign w:val="bottom"/>
          </w:tcPr>
          <w:p w14:paraId="67535A57" w14:textId="77777777" w:rsidR="001B77DD" w:rsidRDefault="001B77DD">
            <w:pPr>
              <w:rPr>
                <w:rFonts w:ascii="宋体"/>
              </w:rPr>
            </w:pPr>
          </w:p>
        </w:tc>
        <w:tc>
          <w:tcPr>
            <w:tcW w:w="5" w:type="pct"/>
            <w:shd w:val="clear" w:color="auto" w:fill="auto"/>
            <w:vAlign w:val="bottom"/>
          </w:tcPr>
          <w:p w14:paraId="67535A58" w14:textId="77777777" w:rsidR="001B77DD" w:rsidRDefault="001B77DD">
            <w:pPr>
              <w:rPr>
                <w:rFonts w:ascii="宋体"/>
              </w:rPr>
            </w:pPr>
          </w:p>
        </w:tc>
        <w:tc>
          <w:tcPr>
            <w:tcW w:w="50" w:type="pct"/>
            <w:shd w:val="clear" w:color="auto" w:fill="auto"/>
            <w:vAlign w:val="bottom"/>
          </w:tcPr>
          <w:p w14:paraId="67535A59" w14:textId="77777777" w:rsidR="001B77DD" w:rsidRDefault="001B77DD">
            <w:pPr>
              <w:rPr>
                <w:rFonts w:ascii="宋体"/>
              </w:rPr>
            </w:pPr>
          </w:p>
        </w:tc>
        <w:tc>
          <w:tcPr>
            <w:tcW w:w="539" w:type="pct"/>
            <w:shd w:val="clear" w:color="auto" w:fill="auto"/>
            <w:vAlign w:val="bottom"/>
          </w:tcPr>
          <w:p w14:paraId="67535A5A" w14:textId="77777777" w:rsidR="001B77DD" w:rsidRDefault="001B77DD">
            <w:pPr>
              <w:rPr>
                <w:rFonts w:ascii="宋体"/>
              </w:rPr>
            </w:pPr>
          </w:p>
        </w:tc>
        <w:tc>
          <w:tcPr>
            <w:tcW w:w="5" w:type="pct"/>
            <w:shd w:val="clear" w:color="auto" w:fill="auto"/>
            <w:vAlign w:val="bottom"/>
          </w:tcPr>
          <w:p w14:paraId="67535A5B" w14:textId="77777777" w:rsidR="001B77DD" w:rsidRDefault="001B77DD">
            <w:pPr>
              <w:rPr>
                <w:rFonts w:ascii="宋体"/>
              </w:rPr>
            </w:pPr>
          </w:p>
        </w:tc>
      </w:tr>
      <w:tr w:rsidR="001B77DD" w14:paraId="67535A64" w14:textId="77777777">
        <w:tc>
          <w:tcPr>
            <w:tcW w:w="0" w:type="auto"/>
            <w:gridSpan w:val="3"/>
            <w:shd w:val="clear" w:color="auto" w:fill="auto"/>
            <w:tcMar>
              <w:top w:w="40" w:type="dxa"/>
              <w:left w:w="20" w:type="dxa"/>
              <w:bottom w:w="40" w:type="dxa"/>
              <w:right w:w="20" w:type="dxa"/>
            </w:tcMar>
            <w:vAlign w:val="bottom"/>
          </w:tcPr>
          <w:p w14:paraId="67535A5D"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67535A5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A5F"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5A6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A61"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5A6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A63"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5A7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A65" w14:textId="77777777" w:rsidR="001B77DD" w:rsidRDefault="00BF0A28">
            <w:pPr>
              <w:textAlignment w:val="bottom"/>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7535A6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A67"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A68" w14:textId="77777777" w:rsidR="001B77DD" w:rsidRDefault="00BF0A28">
            <w:pPr>
              <w:jc w:val="right"/>
              <w:textAlignment w:val="bottom"/>
            </w:pPr>
            <w:r>
              <w:rPr>
                <w:rFonts w:ascii="Arial" w:eastAsia="宋体" w:hAnsi="Arial" w:cs="Arial"/>
                <w:b/>
                <w:bCs/>
                <w:color w:val="0068B5"/>
                <w:sz w:val="18"/>
                <w:szCs w:val="18"/>
              </w:rPr>
              <w:t>19,868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A6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6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A6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A6C" w14:textId="77777777" w:rsidR="001B77DD" w:rsidRDefault="00BF0A28">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A6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6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A6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A70" w14:textId="77777777" w:rsidR="001B77DD" w:rsidRDefault="00BF0A28">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A71" w14:textId="77777777" w:rsidR="001B77DD" w:rsidRDefault="001B77DD">
            <w:pPr>
              <w:jc w:val="right"/>
              <w:rPr>
                <w:rFonts w:ascii="宋体"/>
              </w:rPr>
            </w:pPr>
          </w:p>
        </w:tc>
      </w:tr>
      <w:tr w:rsidR="001B77DD" w14:paraId="67535A7A" w14:textId="77777777">
        <w:tc>
          <w:tcPr>
            <w:tcW w:w="0" w:type="auto"/>
            <w:gridSpan w:val="3"/>
            <w:shd w:val="clear" w:color="auto" w:fill="auto"/>
            <w:tcMar>
              <w:top w:w="40" w:type="dxa"/>
              <w:left w:w="20" w:type="dxa"/>
              <w:bottom w:w="40" w:type="dxa"/>
              <w:right w:w="20" w:type="dxa"/>
            </w:tcMar>
            <w:vAlign w:val="bottom"/>
          </w:tcPr>
          <w:p w14:paraId="67535A73" w14:textId="77777777" w:rsidR="001B77DD" w:rsidRDefault="00BF0A28">
            <w:pPr>
              <w:textAlignment w:val="bottom"/>
            </w:pPr>
            <w:r>
              <w:rPr>
                <w:rFonts w:ascii="Arial" w:eastAsia="宋体" w:hAnsi="Arial" w:cs="Arial"/>
                <w:color w:val="262626"/>
                <w:sz w:val="18"/>
                <w:szCs w:val="18"/>
              </w:rPr>
              <w:t>Changes in other comprehensive income, net of tax:</w:t>
            </w:r>
          </w:p>
        </w:tc>
        <w:tc>
          <w:tcPr>
            <w:tcW w:w="0" w:type="auto"/>
            <w:gridSpan w:val="3"/>
            <w:shd w:val="clear" w:color="auto" w:fill="auto"/>
            <w:tcMar>
              <w:top w:w="0" w:type="dxa"/>
              <w:left w:w="20" w:type="dxa"/>
              <w:bottom w:w="0" w:type="dxa"/>
              <w:right w:w="20" w:type="dxa"/>
            </w:tcMar>
            <w:vAlign w:val="bottom"/>
          </w:tcPr>
          <w:p w14:paraId="67535A74"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A7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A76"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A7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A78"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A79" w14:textId="77777777" w:rsidR="001B77DD" w:rsidRDefault="001B77DD">
            <w:pPr>
              <w:rPr>
                <w:rFonts w:ascii="宋体"/>
              </w:rPr>
            </w:pPr>
          </w:p>
        </w:tc>
      </w:tr>
      <w:tr w:rsidR="001B77DD" w14:paraId="67535A82" w14:textId="77777777">
        <w:trPr>
          <w:hidden/>
        </w:trPr>
        <w:tc>
          <w:tcPr>
            <w:tcW w:w="0" w:type="auto"/>
            <w:gridSpan w:val="3"/>
            <w:shd w:val="clear" w:color="auto" w:fill="auto"/>
            <w:vAlign w:val="bottom"/>
          </w:tcPr>
          <w:p w14:paraId="67535A7B" w14:textId="77777777" w:rsidR="001B77DD" w:rsidRDefault="001B77DD">
            <w:pPr>
              <w:rPr>
                <w:rFonts w:ascii="宋体"/>
                <w:vanish/>
              </w:rPr>
            </w:pPr>
          </w:p>
        </w:tc>
        <w:tc>
          <w:tcPr>
            <w:tcW w:w="0" w:type="auto"/>
            <w:gridSpan w:val="3"/>
            <w:shd w:val="clear" w:color="auto" w:fill="auto"/>
            <w:vAlign w:val="bottom"/>
          </w:tcPr>
          <w:p w14:paraId="67535A7C" w14:textId="77777777" w:rsidR="001B77DD" w:rsidRDefault="001B77DD">
            <w:pPr>
              <w:rPr>
                <w:rFonts w:ascii="宋体"/>
                <w:vanish/>
              </w:rPr>
            </w:pPr>
          </w:p>
        </w:tc>
        <w:tc>
          <w:tcPr>
            <w:tcW w:w="0" w:type="auto"/>
            <w:gridSpan w:val="3"/>
            <w:shd w:val="clear" w:color="auto" w:fill="auto"/>
            <w:vAlign w:val="bottom"/>
          </w:tcPr>
          <w:p w14:paraId="67535A7D" w14:textId="77777777" w:rsidR="001B77DD" w:rsidRDefault="001B77DD">
            <w:pPr>
              <w:rPr>
                <w:rFonts w:ascii="宋体"/>
                <w:vanish/>
              </w:rPr>
            </w:pPr>
          </w:p>
        </w:tc>
        <w:tc>
          <w:tcPr>
            <w:tcW w:w="0" w:type="auto"/>
            <w:gridSpan w:val="3"/>
            <w:shd w:val="clear" w:color="auto" w:fill="auto"/>
            <w:vAlign w:val="bottom"/>
          </w:tcPr>
          <w:p w14:paraId="67535A7E" w14:textId="77777777" w:rsidR="001B77DD" w:rsidRDefault="001B77DD">
            <w:pPr>
              <w:rPr>
                <w:rFonts w:ascii="宋体"/>
                <w:vanish/>
              </w:rPr>
            </w:pPr>
          </w:p>
        </w:tc>
        <w:tc>
          <w:tcPr>
            <w:tcW w:w="0" w:type="auto"/>
            <w:gridSpan w:val="3"/>
            <w:shd w:val="clear" w:color="auto" w:fill="auto"/>
            <w:vAlign w:val="bottom"/>
          </w:tcPr>
          <w:p w14:paraId="67535A7F" w14:textId="77777777" w:rsidR="001B77DD" w:rsidRDefault="001B77DD">
            <w:pPr>
              <w:rPr>
                <w:rFonts w:ascii="宋体"/>
                <w:vanish/>
              </w:rPr>
            </w:pPr>
          </w:p>
        </w:tc>
        <w:tc>
          <w:tcPr>
            <w:tcW w:w="0" w:type="auto"/>
            <w:gridSpan w:val="3"/>
            <w:shd w:val="clear" w:color="auto" w:fill="auto"/>
            <w:vAlign w:val="bottom"/>
          </w:tcPr>
          <w:p w14:paraId="67535A80" w14:textId="77777777" w:rsidR="001B77DD" w:rsidRDefault="001B77DD">
            <w:pPr>
              <w:rPr>
                <w:rFonts w:ascii="宋体"/>
                <w:vanish/>
              </w:rPr>
            </w:pPr>
          </w:p>
        </w:tc>
        <w:tc>
          <w:tcPr>
            <w:tcW w:w="0" w:type="auto"/>
            <w:gridSpan w:val="3"/>
            <w:shd w:val="clear" w:color="auto" w:fill="auto"/>
            <w:vAlign w:val="bottom"/>
          </w:tcPr>
          <w:p w14:paraId="67535A81" w14:textId="77777777" w:rsidR="001B77DD" w:rsidRDefault="001B77DD">
            <w:pPr>
              <w:rPr>
                <w:rFonts w:ascii="宋体"/>
                <w:vanish/>
              </w:rPr>
            </w:pPr>
          </w:p>
        </w:tc>
      </w:tr>
      <w:tr w:rsidR="001B77DD" w14:paraId="67535A8A" w14:textId="77777777">
        <w:trPr>
          <w:hidden/>
        </w:trPr>
        <w:tc>
          <w:tcPr>
            <w:tcW w:w="0" w:type="auto"/>
            <w:gridSpan w:val="3"/>
            <w:shd w:val="clear" w:color="auto" w:fill="auto"/>
            <w:vAlign w:val="bottom"/>
          </w:tcPr>
          <w:p w14:paraId="67535A83" w14:textId="77777777" w:rsidR="001B77DD" w:rsidRDefault="001B77DD">
            <w:pPr>
              <w:rPr>
                <w:rFonts w:ascii="宋体"/>
                <w:vanish/>
              </w:rPr>
            </w:pPr>
          </w:p>
        </w:tc>
        <w:tc>
          <w:tcPr>
            <w:tcW w:w="0" w:type="auto"/>
            <w:gridSpan w:val="3"/>
            <w:shd w:val="clear" w:color="auto" w:fill="auto"/>
            <w:vAlign w:val="bottom"/>
          </w:tcPr>
          <w:p w14:paraId="67535A84" w14:textId="77777777" w:rsidR="001B77DD" w:rsidRDefault="001B77DD">
            <w:pPr>
              <w:rPr>
                <w:rFonts w:ascii="宋体"/>
                <w:vanish/>
              </w:rPr>
            </w:pPr>
          </w:p>
        </w:tc>
        <w:tc>
          <w:tcPr>
            <w:tcW w:w="0" w:type="auto"/>
            <w:gridSpan w:val="3"/>
            <w:shd w:val="clear" w:color="auto" w:fill="auto"/>
            <w:vAlign w:val="bottom"/>
          </w:tcPr>
          <w:p w14:paraId="67535A85" w14:textId="77777777" w:rsidR="001B77DD" w:rsidRDefault="001B77DD">
            <w:pPr>
              <w:rPr>
                <w:rFonts w:ascii="宋体"/>
                <w:vanish/>
              </w:rPr>
            </w:pPr>
          </w:p>
        </w:tc>
        <w:tc>
          <w:tcPr>
            <w:tcW w:w="0" w:type="auto"/>
            <w:gridSpan w:val="3"/>
            <w:shd w:val="clear" w:color="auto" w:fill="auto"/>
            <w:vAlign w:val="bottom"/>
          </w:tcPr>
          <w:p w14:paraId="67535A86" w14:textId="77777777" w:rsidR="001B77DD" w:rsidRDefault="001B77DD">
            <w:pPr>
              <w:rPr>
                <w:rFonts w:ascii="宋体"/>
                <w:vanish/>
              </w:rPr>
            </w:pPr>
          </w:p>
        </w:tc>
        <w:tc>
          <w:tcPr>
            <w:tcW w:w="0" w:type="auto"/>
            <w:gridSpan w:val="3"/>
            <w:shd w:val="clear" w:color="auto" w:fill="auto"/>
            <w:vAlign w:val="bottom"/>
          </w:tcPr>
          <w:p w14:paraId="67535A87" w14:textId="77777777" w:rsidR="001B77DD" w:rsidRDefault="001B77DD">
            <w:pPr>
              <w:rPr>
                <w:rFonts w:ascii="宋体"/>
                <w:vanish/>
              </w:rPr>
            </w:pPr>
          </w:p>
        </w:tc>
        <w:tc>
          <w:tcPr>
            <w:tcW w:w="0" w:type="auto"/>
            <w:gridSpan w:val="3"/>
            <w:shd w:val="clear" w:color="auto" w:fill="auto"/>
            <w:vAlign w:val="bottom"/>
          </w:tcPr>
          <w:p w14:paraId="67535A88" w14:textId="77777777" w:rsidR="001B77DD" w:rsidRDefault="001B77DD">
            <w:pPr>
              <w:rPr>
                <w:rFonts w:ascii="宋体"/>
                <w:vanish/>
              </w:rPr>
            </w:pPr>
          </w:p>
        </w:tc>
        <w:tc>
          <w:tcPr>
            <w:tcW w:w="0" w:type="auto"/>
            <w:gridSpan w:val="3"/>
            <w:shd w:val="clear" w:color="auto" w:fill="auto"/>
            <w:vAlign w:val="bottom"/>
          </w:tcPr>
          <w:p w14:paraId="67535A89" w14:textId="77777777" w:rsidR="001B77DD" w:rsidRDefault="001B77DD">
            <w:pPr>
              <w:rPr>
                <w:rFonts w:ascii="宋体"/>
                <w:vanish/>
              </w:rPr>
            </w:pPr>
          </w:p>
        </w:tc>
      </w:tr>
      <w:tr w:rsidR="001B77DD" w14:paraId="67535A95" w14:textId="77777777">
        <w:tc>
          <w:tcPr>
            <w:tcW w:w="0" w:type="auto"/>
            <w:gridSpan w:val="3"/>
            <w:shd w:val="clear" w:color="auto" w:fill="auto"/>
            <w:tcMar>
              <w:top w:w="40" w:type="dxa"/>
              <w:left w:w="155" w:type="dxa"/>
              <w:bottom w:w="40" w:type="dxa"/>
              <w:right w:w="20" w:type="dxa"/>
            </w:tcMar>
            <w:vAlign w:val="bottom"/>
          </w:tcPr>
          <w:p w14:paraId="67535A8B" w14:textId="77777777" w:rsidR="001B77DD" w:rsidRDefault="00BF0A28">
            <w:pPr>
              <w:textAlignment w:val="bottom"/>
            </w:pPr>
            <w:r>
              <w:rPr>
                <w:rFonts w:ascii="Arial" w:eastAsia="宋体" w:hAnsi="Arial" w:cs="Arial"/>
                <w:color w:val="262626"/>
                <w:sz w:val="18"/>
                <w:szCs w:val="18"/>
              </w:rPr>
              <w:t>Net unrealized holding gains (losses) on derivatives</w:t>
            </w:r>
          </w:p>
        </w:tc>
        <w:tc>
          <w:tcPr>
            <w:tcW w:w="0" w:type="auto"/>
            <w:gridSpan w:val="3"/>
            <w:shd w:val="clear" w:color="auto" w:fill="auto"/>
            <w:tcMar>
              <w:top w:w="0" w:type="dxa"/>
              <w:left w:w="20" w:type="dxa"/>
              <w:bottom w:w="0" w:type="dxa"/>
              <w:right w:w="20" w:type="dxa"/>
            </w:tcMar>
            <w:vAlign w:val="bottom"/>
          </w:tcPr>
          <w:p w14:paraId="67535A8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8D" w14:textId="77777777" w:rsidR="001B77DD" w:rsidRDefault="00BF0A28">
            <w:pPr>
              <w:jc w:val="right"/>
              <w:textAlignment w:val="bottom"/>
            </w:pPr>
            <w:r>
              <w:rPr>
                <w:rFonts w:ascii="Arial" w:eastAsia="宋体" w:hAnsi="Arial" w:cs="Arial"/>
                <w:color w:val="0068B5"/>
                <w:sz w:val="18"/>
                <w:szCs w:val="18"/>
              </w:rPr>
              <w:t>(520)</w:t>
            </w:r>
          </w:p>
        </w:tc>
        <w:tc>
          <w:tcPr>
            <w:tcW w:w="0" w:type="auto"/>
            <w:shd w:val="clear" w:color="auto" w:fill="auto"/>
            <w:tcMar>
              <w:top w:w="40" w:type="dxa"/>
              <w:left w:w="0" w:type="dxa"/>
              <w:bottom w:w="40" w:type="dxa"/>
              <w:right w:w="20" w:type="dxa"/>
            </w:tcMar>
            <w:vAlign w:val="bottom"/>
          </w:tcPr>
          <w:p w14:paraId="67535A8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8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90" w14:textId="77777777" w:rsidR="001B77DD" w:rsidRDefault="00BF0A28">
            <w:pPr>
              <w:jc w:val="right"/>
              <w:textAlignment w:val="bottom"/>
            </w:pPr>
            <w:r>
              <w:rPr>
                <w:rFonts w:ascii="Arial" w:eastAsia="宋体" w:hAnsi="Arial" w:cs="Arial"/>
                <w:color w:val="262626"/>
                <w:sz w:val="18"/>
                <w:szCs w:val="18"/>
              </w:rPr>
              <w:t>677 </w:t>
            </w:r>
          </w:p>
        </w:tc>
        <w:tc>
          <w:tcPr>
            <w:tcW w:w="0" w:type="auto"/>
            <w:shd w:val="clear" w:color="auto" w:fill="auto"/>
            <w:tcMar>
              <w:top w:w="40" w:type="dxa"/>
              <w:left w:w="0" w:type="dxa"/>
              <w:bottom w:w="40" w:type="dxa"/>
              <w:right w:w="20" w:type="dxa"/>
            </w:tcMar>
            <w:vAlign w:val="bottom"/>
          </w:tcPr>
          <w:p w14:paraId="67535A9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9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93" w14:textId="77777777" w:rsidR="001B77DD" w:rsidRDefault="00BF0A28">
            <w:pPr>
              <w:jc w:val="right"/>
              <w:textAlignment w:val="bottom"/>
            </w:pPr>
            <w:r>
              <w:rPr>
                <w:rFonts w:ascii="Arial" w:eastAsia="宋体" w:hAnsi="Arial" w:cs="Arial"/>
                <w:color w:val="262626"/>
                <w:sz w:val="18"/>
                <w:szCs w:val="18"/>
              </w:rPr>
              <w:t>177 </w:t>
            </w:r>
          </w:p>
        </w:tc>
        <w:tc>
          <w:tcPr>
            <w:tcW w:w="0" w:type="auto"/>
            <w:shd w:val="clear" w:color="auto" w:fill="auto"/>
            <w:tcMar>
              <w:top w:w="40" w:type="dxa"/>
              <w:left w:w="0" w:type="dxa"/>
              <w:bottom w:w="40" w:type="dxa"/>
              <w:right w:w="20" w:type="dxa"/>
            </w:tcMar>
            <w:vAlign w:val="bottom"/>
          </w:tcPr>
          <w:p w14:paraId="67535A94" w14:textId="77777777" w:rsidR="001B77DD" w:rsidRDefault="001B77DD">
            <w:pPr>
              <w:jc w:val="right"/>
              <w:rPr>
                <w:rFonts w:ascii="宋体"/>
              </w:rPr>
            </w:pPr>
          </w:p>
        </w:tc>
      </w:tr>
      <w:tr w:rsidR="001B77DD" w14:paraId="67535AA0" w14:textId="77777777">
        <w:tc>
          <w:tcPr>
            <w:tcW w:w="0" w:type="auto"/>
            <w:gridSpan w:val="3"/>
            <w:shd w:val="clear" w:color="auto" w:fill="auto"/>
            <w:tcMar>
              <w:top w:w="40" w:type="dxa"/>
              <w:left w:w="155" w:type="dxa"/>
              <w:bottom w:w="40" w:type="dxa"/>
              <w:right w:w="20" w:type="dxa"/>
            </w:tcMar>
            <w:vAlign w:val="bottom"/>
          </w:tcPr>
          <w:p w14:paraId="67535A96" w14:textId="77777777" w:rsidR="001B77DD" w:rsidRDefault="00BF0A28">
            <w:pPr>
              <w:textAlignment w:val="bottom"/>
            </w:pPr>
            <w:r>
              <w:rPr>
                <w:rFonts w:ascii="Arial" w:eastAsia="宋体" w:hAnsi="Arial" w:cs="Arial"/>
                <w:color w:val="262626"/>
                <w:sz w:val="18"/>
                <w:szCs w:val="18"/>
              </w:rPr>
              <w:t xml:space="preserve">Actuarial valuation and other pension </w:t>
            </w:r>
            <w:r>
              <w:rPr>
                <w:rFonts w:ascii="Arial" w:eastAsia="宋体" w:hAnsi="Arial" w:cs="Arial"/>
                <w:color w:val="262626"/>
                <w:sz w:val="18"/>
                <w:szCs w:val="18"/>
              </w:rPr>
              <w:t>benefits (expenses), net</w:t>
            </w:r>
          </w:p>
        </w:tc>
        <w:tc>
          <w:tcPr>
            <w:tcW w:w="0" w:type="auto"/>
            <w:gridSpan w:val="3"/>
            <w:shd w:val="clear" w:color="auto" w:fill="auto"/>
            <w:tcMar>
              <w:top w:w="0" w:type="dxa"/>
              <w:left w:w="20" w:type="dxa"/>
              <w:bottom w:w="0" w:type="dxa"/>
              <w:right w:w="20" w:type="dxa"/>
            </w:tcMar>
            <w:vAlign w:val="bottom"/>
          </w:tcPr>
          <w:p w14:paraId="67535A9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98" w14:textId="77777777" w:rsidR="001B77DD" w:rsidRDefault="00BF0A28">
            <w:pPr>
              <w:jc w:val="right"/>
              <w:textAlignment w:val="bottom"/>
            </w:pPr>
            <w:r>
              <w:rPr>
                <w:rFonts w:ascii="Arial" w:eastAsia="宋体" w:hAnsi="Arial" w:cs="Arial"/>
                <w:color w:val="0068B5"/>
                <w:sz w:val="18"/>
                <w:szCs w:val="18"/>
              </w:rPr>
              <w:t>451 </w:t>
            </w:r>
          </w:p>
        </w:tc>
        <w:tc>
          <w:tcPr>
            <w:tcW w:w="0" w:type="auto"/>
            <w:shd w:val="clear" w:color="auto" w:fill="auto"/>
            <w:tcMar>
              <w:top w:w="40" w:type="dxa"/>
              <w:left w:w="0" w:type="dxa"/>
              <w:bottom w:w="40" w:type="dxa"/>
              <w:right w:w="20" w:type="dxa"/>
            </w:tcMar>
            <w:vAlign w:val="bottom"/>
          </w:tcPr>
          <w:p w14:paraId="67535A9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9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9B" w14:textId="77777777" w:rsidR="001B77DD" w:rsidRDefault="00BF0A28">
            <w:pPr>
              <w:jc w:val="right"/>
              <w:textAlignment w:val="bottom"/>
            </w:pPr>
            <w:r>
              <w:rPr>
                <w:rFonts w:ascii="Arial" w:eastAsia="宋体" w:hAnsi="Arial" w:cs="Arial"/>
                <w:color w:val="262626"/>
                <w:sz w:val="18"/>
                <w:szCs w:val="18"/>
              </w:rPr>
              <w:t>(183)</w:t>
            </w:r>
          </w:p>
        </w:tc>
        <w:tc>
          <w:tcPr>
            <w:tcW w:w="0" w:type="auto"/>
            <w:shd w:val="clear" w:color="auto" w:fill="auto"/>
            <w:tcMar>
              <w:top w:w="40" w:type="dxa"/>
              <w:left w:w="0" w:type="dxa"/>
              <w:bottom w:w="40" w:type="dxa"/>
              <w:right w:w="20" w:type="dxa"/>
            </w:tcMar>
            <w:vAlign w:val="bottom"/>
          </w:tcPr>
          <w:p w14:paraId="67535A9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9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9E" w14:textId="77777777" w:rsidR="001B77DD" w:rsidRDefault="00BF0A28">
            <w:pPr>
              <w:jc w:val="right"/>
              <w:textAlignment w:val="bottom"/>
            </w:pPr>
            <w:r>
              <w:rPr>
                <w:rFonts w:ascii="Arial" w:eastAsia="宋体" w:hAnsi="Arial" w:cs="Arial"/>
                <w:color w:val="262626"/>
                <w:sz w:val="18"/>
                <w:szCs w:val="18"/>
              </w:rPr>
              <w:t>(564)</w:t>
            </w:r>
          </w:p>
        </w:tc>
        <w:tc>
          <w:tcPr>
            <w:tcW w:w="0" w:type="auto"/>
            <w:shd w:val="clear" w:color="auto" w:fill="auto"/>
            <w:tcMar>
              <w:top w:w="40" w:type="dxa"/>
              <w:left w:w="0" w:type="dxa"/>
              <w:bottom w:w="40" w:type="dxa"/>
              <w:right w:w="20" w:type="dxa"/>
            </w:tcMar>
            <w:vAlign w:val="bottom"/>
          </w:tcPr>
          <w:p w14:paraId="67535A9F" w14:textId="77777777" w:rsidR="001B77DD" w:rsidRDefault="001B77DD">
            <w:pPr>
              <w:jc w:val="right"/>
              <w:rPr>
                <w:rFonts w:ascii="宋体"/>
              </w:rPr>
            </w:pPr>
          </w:p>
        </w:tc>
      </w:tr>
      <w:tr w:rsidR="001B77DD" w14:paraId="67535AAB" w14:textId="77777777">
        <w:tc>
          <w:tcPr>
            <w:tcW w:w="0" w:type="auto"/>
            <w:gridSpan w:val="3"/>
            <w:shd w:val="clear" w:color="auto" w:fill="auto"/>
            <w:tcMar>
              <w:top w:w="40" w:type="dxa"/>
              <w:left w:w="155" w:type="dxa"/>
              <w:bottom w:w="40" w:type="dxa"/>
              <w:right w:w="20" w:type="dxa"/>
            </w:tcMar>
            <w:vAlign w:val="bottom"/>
          </w:tcPr>
          <w:p w14:paraId="67535AA1" w14:textId="77777777" w:rsidR="001B77DD" w:rsidRDefault="00BF0A28">
            <w:pPr>
              <w:textAlignment w:val="bottom"/>
            </w:pPr>
            <w:r>
              <w:rPr>
                <w:rFonts w:ascii="Arial" w:eastAsia="宋体" w:hAnsi="Arial" w:cs="Arial"/>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67535AA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A3" w14:textId="77777777" w:rsidR="001B77DD" w:rsidRDefault="00BF0A28">
            <w:pPr>
              <w:jc w:val="right"/>
              <w:textAlignment w:val="bottom"/>
            </w:pPr>
            <w:r>
              <w:rPr>
                <w:rFonts w:ascii="Arial" w:eastAsia="宋体" w:hAnsi="Arial" w:cs="Arial"/>
                <w:color w:val="0068B5"/>
                <w:sz w:val="18"/>
                <w:szCs w:val="18"/>
              </w:rPr>
              <w:t>(60)</w:t>
            </w:r>
          </w:p>
        </w:tc>
        <w:tc>
          <w:tcPr>
            <w:tcW w:w="0" w:type="auto"/>
            <w:shd w:val="clear" w:color="auto" w:fill="auto"/>
            <w:tcMar>
              <w:top w:w="40" w:type="dxa"/>
              <w:left w:w="0" w:type="dxa"/>
              <w:bottom w:w="40" w:type="dxa"/>
              <w:right w:w="20" w:type="dxa"/>
            </w:tcMar>
            <w:vAlign w:val="bottom"/>
          </w:tcPr>
          <w:p w14:paraId="67535AA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A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A6" w14:textId="77777777" w:rsidR="001B77DD" w:rsidRDefault="00BF0A28">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67535AA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A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AA9" w14:textId="77777777" w:rsidR="001B77DD" w:rsidRDefault="00BF0A28">
            <w:pPr>
              <w:jc w:val="right"/>
              <w:textAlignment w:val="bottom"/>
            </w:pPr>
            <w:r>
              <w:rPr>
                <w:rFonts w:ascii="Arial" w:eastAsia="宋体" w:hAnsi="Arial" w:cs="Arial"/>
                <w:color w:val="262626"/>
                <w:sz w:val="18"/>
                <w:szCs w:val="18"/>
              </w:rPr>
              <w:t>81 </w:t>
            </w:r>
          </w:p>
        </w:tc>
        <w:tc>
          <w:tcPr>
            <w:tcW w:w="0" w:type="auto"/>
            <w:shd w:val="clear" w:color="auto" w:fill="auto"/>
            <w:tcMar>
              <w:top w:w="40" w:type="dxa"/>
              <w:left w:w="0" w:type="dxa"/>
              <w:bottom w:w="40" w:type="dxa"/>
              <w:right w:w="20" w:type="dxa"/>
            </w:tcMar>
            <w:vAlign w:val="bottom"/>
          </w:tcPr>
          <w:p w14:paraId="67535AAA" w14:textId="77777777" w:rsidR="001B77DD" w:rsidRDefault="001B77DD">
            <w:pPr>
              <w:jc w:val="right"/>
              <w:rPr>
                <w:rFonts w:ascii="宋体"/>
              </w:rPr>
            </w:pPr>
          </w:p>
        </w:tc>
      </w:tr>
      <w:tr w:rsidR="001B77DD" w14:paraId="67535AB6" w14:textId="77777777">
        <w:tc>
          <w:tcPr>
            <w:tcW w:w="0" w:type="auto"/>
            <w:gridSpan w:val="3"/>
            <w:shd w:val="clear" w:color="auto" w:fill="auto"/>
            <w:tcMar>
              <w:top w:w="40" w:type="dxa"/>
              <w:left w:w="20" w:type="dxa"/>
              <w:bottom w:w="40" w:type="dxa"/>
              <w:right w:w="20" w:type="dxa"/>
            </w:tcMar>
            <w:vAlign w:val="bottom"/>
          </w:tcPr>
          <w:p w14:paraId="67535AAC" w14:textId="77777777" w:rsidR="001B77DD" w:rsidRDefault="00BF0A28">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7535AA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AAE" w14:textId="77777777" w:rsidR="001B77DD" w:rsidRDefault="00BF0A28">
            <w:pPr>
              <w:jc w:val="right"/>
              <w:textAlignment w:val="bottom"/>
            </w:pPr>
            <w:r>
              <w:rPr>
                <w:rFonts w:ascii="Arial" w:eastAsia="宋体" w:hAnsi="Arial" w:cs="Arial"/>
                <w:b/>
                <w:bCs/>
                <w:color w:val="0068B5"/>
                <w:sz w:val="18"/>
                <w:szCs w:val="18"/>
              </w:rPr>
              <w:t>(129)</w:t>
            </w:r>
          </w:p>
        </w:tc>
        <w:tc>
          <w:tcPr>
            <w:tcW w:w="0" w:type="auto"/>
            <w:tcBorders>
              <w:top w:val="single" w:sz="4" w:space="0" w:color="262626"/>
            </w:tcBorders>
            <w:shd w:val="clear" w:color="auto" w:fill="auto"/>
            <w:tcMar>
              <w:top w:w="40" w:type="dxa"/>
              <w:left w:w="0" w:type="dxa"/>
              <w:bottom w:w="40" w:type="dxa"/>
              <w:right w:w="20" w:type="dxa"/>
            </w:tcMar>
            <w:vAlign w:val="bottom"/>
          </w:tcPr>
          <w:p w14:paraId="67535AA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B0"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AB1" w14:textId="77777777" w:rsidR="001B77DD" w:rsidRDefault="00BF0A28">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AB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B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AB4" w14:textId="77777777" w:rsidR="001B77DD" w:rsidRDefault="00BF0A28">
            <w:pPr>
              <w:jc w:val="right"/>
              <w:textAlignment w:val="bottom"/>
            </w:pPr>
            <w:r>
              <w:rPr>
                <w:rFonts w:ascii="Arial" w:eastAsia="宋体" w:hAnsi="Arial" w:cs="Arial"/>
                <w:b/>
                <w:bCs/>
                <w:color w:val="262626"/>
                <w:sz w:val="18"/>
                <w:szCs w:val="18"/>
              </w:rPr>
              <w:t>(306)</w:t>
            </w:r>
          </w:p>
        </w:tc>
        <w:tc>
          <w:tcPr>
            <w:tcW w:w="0" w:type="auto"/>
            <w:tcBorders>
              <w:top w:val="single" w:sz="4" w:space="0" w:color="262626"/>
            </w:tcBorders>
            <w:shd w:val="clear" w:color="auto" w:fill="auto"/>
            <w:tcMar>
              <w:top w:w="40" w:type="dxa"/>
              <w:left w:w="0" w:type="dxa"/>
              <w:bottom w:w="40" w:type="dxa"/>
              <w:right w:w="20" w:type="dxa"/>
            </w:tcMar>
            <w:vAlign w:val="bottom"/>
          </w:tcPr>
          <w:p w14:paraId="67535AB5" w14:textId="77777777" w:rsidR="001B77DD" w:rsidRDefault="001B77DD">
            <w:pPr>
              <w:jc w:val="right"/>
              <w:rPr>
                <w:rFonts w:ascii="宋体"/>
              </w:rPr>
            </w:pPr>
          </w:p>
        </w:tc>
      </w:tr>
      <w:tr w:rsidR="001B77DD" w14:paraId="67535AC4" w14:textId="77777777">
        <w:tc>
          <w:tcPr>
            <w:tcW w:w="0" w:type="auto"/>
            <w:gridSpan w:val="3"/>
            <w:shd w:val="clear" w:color="auto" w:fill="auto"/>
            <w:tcMar>
              <w:top w:w="40" w:type="dxa"/>
              <w:left w:w="20" w:type="dxa"/>
              <w:bottom w:w="40" w:type="dxa"/>
              <w:right w:w="20" w:type="dxa"/>
            </w:tcMar>
            <w:vAlign w:val="bottom"/>
          </w:tcPr>
          <w:p w14:paraId="67535AB7" w14:textId="77777777" w:rsidR="001B77DD" w:rsidRDefault="00BF0A28">
            <w:pPr>
              <w:textAlignment w:val="bottom"/>
            </w:pPr>
            <w:r>
              <w:rPr>
                <w:rFonts w:ascii="Arial" w:eastAsia="宋体" w:hAnsi="Arial" w:cs="Arial"/>
                <w:b/>
                <w:bCs/>
                <w:color w:val="262626"/>
                <w:sz w:val="18"/>
                <w:szCs w:val="18"/>
              </w:rPr>
              <w:t>T</w:t>
            </w:r>
            <w:r>
              <w:rPr>
                <w:rFonts w:ascii="Arial" w:eastAsia="宋体" w:hAnsi="Arial" w:cs="Arial"/>
                <w:b/>
                <w:bCs/>
                <w:color w:val="262626"/>
                <w:sz w:val="18"/>
                <w:szCs w:val="18"/>
              </w:rPr>
              <w:t>otal comprehensive income</w:t>
            </w:r>
          </w:p>
        </w:tc>
        <w:tc>
          <w:tcPr>
            <w:tcW w:w="0" w:type="auto"/>
            <w:gridSpan w:val="3"/>
            <w:shd w:val="clear" w:color="auto" w:fill="auto"/>
            <w:tcMar>
              <w:top w:w="0" w:type="dxa"/>
              <w:left w:w="20" w:type="dxa"/>
              <w:bottom w:w="0" w:type="dxa"/>
              <w:right w:w="20" w:type="dxa"/>
            </w:tcMar>
            <w:vAlign w:val="bottom"/>
          </w:tcPr>
          <w:p w14:paraId="67535AB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5AB9"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ABA" w14:textId="77777777" w:rsidR="001B77DD" w:rsidRDefault="00BF0A28">
            <w:pPr>
              <w:jc w:val="right"/>
              <w:textAlignment w:val="bottom"/>
            </w:pPr>
            <w:r>
              <w:rPr>
                <w:rFonts w:ascii="Arial" w:eastAsia="宋体" w:hAnsi="Arial" w:cs="Arial"/>
                <w:b/>
                <w:bCs/>
                <w:color w:val="0068B5"/>
                <w:sz w:val="18"/>
                <w:szCs w:val="18"/>
              </w:rPr>
              <w:t>19,739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AB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BC"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5AB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ABE" w14:textId="77777777" w:rsidR="001B77DD" w:rsidRDefault="00BF0A28">
            <w:pPr>
              <w:jc w:val="right"/>
              <w:textAlignment w:val="bottom"/>
            </w:pPr>
            <w:r>
              <w:rPr>
                <w:rFonts w:ascii="Arial" w:eastAsia="宋体" w:hAnsi="Arial" w:cs="Arial"/>
                <w:b/>
                <w:bCs/>
                <w:color w:val="262626"/>
                <w:sz w:val="18"/>
                <w:szCs w:val="18"/>
              </w:rPr>
              <w:t>21,428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AB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AC0"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5AC1"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AC2" w14:textId="77777777" w:rsidR="001B77DD" w:rsidRDefault="00BF0A28">
            <w:pPr>
              <w:jc w:val="right"/>
              <w:textAlignment w:val="bottom"/>
            </w:pPr>
            <w:r>
              <w:rPr>
                <w:rFonts w:ascii="Arial" w:eastAsia="宋体" w:hAnsi="Arial" w:cs="Arial"/>
                <w:b/>
                <w:bCs/>
                <w:color w:val="262626"/>
                <w:sz w:val="18"/>
                <w:szCs w:val="18"/>
              </w:rPr>
              <w:t>20,742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AC3" w14:textId="77777777" w:rsidR="001B77DD" w:rsidRDefault="001B77DD">
            <w:pPr>
              <w:jc w:val="right"/>
              <w:rPr>
                <w:rFonts w:ascii="宋体"/>
              </w:rPr>
            </w:pPr>
          </w:p>
        </w:tc>
      </w:tr>
    </w:tbl>
    <w:p w14:paraId="67535AC5" w14:textId="77777777" w:rsidR="001B77DD" w:rsidRDefault="00BF0A28">
      <w:pPr>
        <w:spacing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1B77DD" w14:paraId="67535AD2" w14:textId="77777777">
        <w:tc>
          <w:tcPr>
            <w:tcW w:w="50" w:type="pct"/>
            <w:shd w:val="clear" w:color="auto" w:fill="auto"/>
            <w:vAlign w:val="bottom"/>
          </w:tcPr>
          <w:p w14:paraId="67535AC6" w14:textId="77777777" w:rsidR="001B77DD" w:rsidRDefault="001B77DD">
            <w:pPr>
              <w:rPr>
                <w:rFonts w:ascii="宋体"/>
              </w:rPr>
            </w:pPr>
          </w:p>
        </w:tc>
        <w:tc>
          <w:tcPr>
            <w:tcW w:w="276" w:type="pct"/>
            <w:shd w:val="clear" w:color="auto" w:fill="auto"/>
            <w:vAlign w:val="bottom"/>
          </w:tcPr>
          <w:p w14:paraId="67535AC7" w14:textId="77777777" w:rsidR="001B77DD" w:rsidRDefault="001B77DD">
            <w:pPr>
              <w:rPr>
                <w:rFonts w:ascii="宋体"/>
              </w:rPr>
            </w:pPr>
          </w:p>
        </w:tc>
        <w:tc>
          <w:tcPr>
            <w:tcW w:w="5" w:type="pct"/>
            <w:shd w:val="clear" w:color="auto" w:fill="auto"/>
            <w:vAlign w:val="bottom"/>
          </w:tcPr>
          <w:p w14:paraId="67535AC8" w14:textId="77777777" w:rsidR="001B77DD" w:rsidRDefault="001B77DD">
            <w:pPr>
              <w:rPr>
                <w:rFonts w:ascii="宋体"/>
              </w:rPr>
            </w:pPr>
          </w:p>
        </w:tc>
        <w:tc>
          <w:tcPr>
            <w:tcW w:w="50" w:type="pct"/>
            <w:shd w:val="clear" w:color="auto" w:fill="auto"/>
            <w:vAlign w:val="bottom"/>
          </w:tcPr>
          <w:p w14:paraId="67535AC9" w14:textId="77777777" w:rsidR="001B77DD" w:rsidRDefault="001B77DD">
            <w:pPr>
              <w:rPr>
                <w:rFonts w:ascii="宋体"/>
              </w:rPr>
            </w:pPr>
          </w:p>
        </w:tc>
        <w:tc>
          <w:tcPr>
            <w:tcW w:w="940" w:type="pct"/>
            <w:shd w:val="clear" w:color="auto" w:fill="auto"/>
            <w:vAlign w:val="bottom"/>
          </w:tcPr>
          <w:p w14:paraId="67535ACA" w14:textId="77777777" w:rsidR="001B77DD" w:rsidRDefault="001B77DD">
            <w:pPr>
              <w:rPr>
                <w:rFonts w:ascii="宋体"/>
              </w:rPr>
            </w:pPr>
          </w:p>
        </w:tc>
        <w:tc>
          <w:tcPr>
            <w:tcW w:w="5" w:type="pct"/>
            <w:shd w:val="clear" w:color="auto" w:fill="auto"/>
            <w:vAlign w:val="bottom"/>
          </w:tcPr>
          <w:p w14:paraId="67535ACB" w14:textId="77777777" w:rsidR="001B77DD" w:rsidRDefault="001B77DD">
            <w:pPr>
              <w:rPr>
                <w:rFonts w:ascii="宋体"/>
              </w:rPr>
            </w:pPr>
          </w:p>
        </w:tc>
        <w:tc>
          <w:tcPr>
            <w:tcW w:w="50" w:type="pct"/>
            <w:shd w:val="clear" w:color="auto" w:fill="auto"/>
            <w:vAlign w:val="bottom"/>
          </w:tcPr>
          <w:p w14:paraId="67535ACC" w14:textId="77777777" w:rsidR="001B77DD" w:rsidRDefault="001B77DD">
            <w:pPr>
              <w:rPr>
                <w:rFonts w:ascii="宋体"/>
              </w:rPr>
            </w:pPr>
          </w:p>
        </w:tc>
        <w:tc>
          <w:tcPr>
            <w:tcW w:w="1837" w:type="pct"/>
            <w:shd w:val="clear" w:color="auto" w:fill="auto"/>
            <w:vAlign w:val="bottom"/>
          </w:tcPr>
          <w:p w14:paraId="67535ACD" w14:textId="77777777" w:rsidR="001B77DD" w:rsidRDefault="001B77DD">
            <w:pPr>
              <w:rPr>
                <w:rFonts w:ascii="宋体"/>
              </w:rPr>
            </w:pPr>
          </w:p>
        </w:tc>
        <w:tc>
          <w:tcPr>
            <w:tcW w:w="5" w:type="pct"/>
            <w:shd w:val="clear" w:color="auto" w:fill="auto"/>
            <w:vAlign w:val="bottom"/>
          </w:tcPr>
          <w:p w14:paraId="67535ACE" w14:textId="77777777" w:rsidR="001B77DD" w:rsidRDefault="001B77DD">
            <w:pPr>
              <w:rPr>
                <w:rFonts w:ascii="宋体"/>
              </w:rPr>
            </w:pPr>
          </w:p>
        </w:tc>
        <w:tc>
          <w:tcPr>
            <w:tcW w:w="50" w:type="pct"/>
            <w:shd w:val="clear" w:color="auto" w:fill="auto"/>
            <w:vAlign w:val="bottom"/>
          </w:tcPr>
          <w:p w14:paraId="67535ACF" w14:textId="77777777" w:rsidR="001B77DD" w:rsidRDefault="001B77DD">
            <w:pPr>
              <w:rPr>
                <w:rFonts w:ascii="宋体"/>
              </w:rPr>
            </w:pPr>
          </w:p>
        </w:tc>
        <w:tc>
          <w:tcPr>
            <w:tcW w:w="1724" w:type="pct"/>
            <w:shd w:val="clear" w:color="auto" w:fill="auto"/>
            <w:vAlign w:val="bottom"/>
          </w:tcPr>
          <w:p w14:paraId="67535AD0" w14:textId="77777777" w:rsidR="001B77DD" w:rsidRDefault="001B77DD">
            <w:pPr>
              <w:rPr>
                <w:rFonts w:ascii="宋体"/>
              </w:rPr>
            </w:pPr>
          </w:p>
        </w:tc>
        <w:tc>
          <w:tcPr>
            <w:tcW w:w="5" w:type="pct"/>
            <w:shd w:val="clear" w:color="auto" w:fill="auto"/>
            <w:vAlign w:val="bottom"/>
          </w:tcPr>
          <w:p w14:paraId="67535AD1" w14:textId="77777777" w:rsidR="001B77DD" w:rsidRDefault="001B77DD">
            <w:pPr>
              <w:rPr>
                <w:rFonts w:ascii="宋体"/>
              </w:rPr>
            </w:pPr>
          </w:p>
        </w:tc>
      </w:tr>
      <w:tr w:rsidR="001B77DD" w14:paraId="67535AD7"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AD3"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1B" wp14:editId="67538F1C">
                  <wp:extent cx="304800" cy="304800"/>
                  <wp:effectExtent l="0" t="0" r="0" b="0"/>
                  <wp:docPr id="218" name="图片 27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7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AD4"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5AD5" w14:textId="77777777" w:rsidR="001B77DD" w:rsidRDefault="00BF0A28">
            <w:pPr>
              <w:textAlignment w:val="center"/>
            </w:pPr>
            <w:r>
              <w:rPr>
                <w:rFonts w:ascii="Arial" w:eastAsia="宋体" w:hAnsi="Arial" w:cs="Arial"/>
                <w:color w:val="262626"/>
                <w:sz w:val="16"/>
                <w:szCs w:val="16"/>
              </w:rPr>
              <w:t>Consolidated Statements of Comprehensive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AD6" w14:textId="77777777" w:rsidR="001B77DD" w:rsidRDefault="00BF0A28">
            <w:pPr>
              <w:jc w:val="right"/>
              <w:textAlignment w:val="center"/>
            </w:pPr>
            <w:r>
              <w:rPr>
                <w:rFonts w:ascii="Arial" w:eastAsia="宋体" w:hAnsi="Arial" w:cs="Arial"/>
                <w:color w:val="262626"/>
                <w:sz w:val="16"/>
                <w:szCs w:val="16"/>
              </w:rPr>
              <w:t>73</w:t>
            </w:r>
          </w:p>
        </w:tc>
      </w:tr>
    </w:tbl>
    <w:p w14:paraId="67535AD8" w14:textId="77777777" w:rsidR="001B77DD" w:rsidRDefault="00BF0A28">
      <w:r>
        <w:pict w14:anchorId="67538F1D">
          <v:rect id="_x0000_i1099" style="width:415.3pt;height:1.5pt" o:hralign="center" o:hrstd="t" o:hr="t" fillcolor="#a0a0a0" stroked="f"/>
        </w:pict>
      </w:r>
    </w:p>
    <w:p w14:paraId="67535AD9" w14:textId="77777777" w:rsidR="001B77DD" w:rsidRDefault="00BF0A28">
      <w:pPr>
        <w:jc w:val="right"/>
      </w:pPr>
      <w:hyperlink r:id="rId161" w:anchor="i6c9ced68f6b24d58a3dcf326e8c3c699_16" w:history="1">
        <w:r>
          <w:rPr>
            <w:rStyle w:val="a5"/>
            <w:rFonts w:ascii="Arial" w:eastAsia="宋体" w:hAnsi="Arial" w:cs="Arial"/>
            <w:b/>
            <w:bCs/>
            <w:sz w:val="16"/>
            <w:szCs w:val="16"/>
          </w:rPr>
          <w:t>Table of Contents</w:t>
        </w:r>
      </w:hyperlink>
    </w:p>
    <w:p w14:paraId="67535ADA"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5AE1" w14:textId="77777777">
        <w:tc>
          <w:tcPr>
            <w:tcW w:w="50" w:type="pct"/>
            <w:shd w:val="clear" w:color="auto" w:fill="auto"/>
            <w:vAlign w:val="bottom"/>
          </w:tcPr>
          <w:p w14:paraId="67535ADB" w14:textId="77777777" w:rsidR="001B77DD" w:rsidRDefault="001B77DD">
            <w:pPr>
              <w:rPr>
                <w:rFonts w:ascii="宋体"/>
              </w:rPr>
            </w:pPr>
          </w:p>
        </w:tc>
        <w:tc>
          <w:tcPr>
            <w:tcW w:w="4870" w:type="pct"/>
            <w:shd w:val="clear" w:color="auto" w:fill="auto"/>
            <w:vAlign w:val="bottom"/>
          </w:tcPr>
          <w:p w14:paraId="67535ADC" w14:textId="77777777" w:rsidR="001B77DD" w:rsidRDefault="001B77DD">
            <w:pPr>
              <w:rPr>
                <w:rFonts w:ascii="宋体"/>
              </w:rPr>
            </w:pPr>
          </w:p>
        </w:tc>
        <w:tc>
          <w:tcPr>
            <w:tcW w:w="5" w:type="pct"/>
            <w:shd w:val="clear" w:color="auto" w:fill="auto"/>
            <w:vAlign w:val="bottom"/>
          </w:tcPr>
          <w:p w14:paraId="67535ADD" w14:textId="77777777" w:rsidR="001B77DD" w:rsidRDefault="001B77DD">
            <w:pPr>
              <w:rPr>
                <w:rFonts w:ascii="宋体"/>
              </w:rPr>
            </w:pPr>
          </w:p>
        </w:tc>
        <w:tc>
          <w:tcPr>
            <w:tcW w:w="5" w:type="pct"/>
            <w:shd w:val="clear" w:color="auto" w:fill="auto"/>
            <w:vAlign w:val="bottom"/>
          </w:tcPr>
          <w:p w14:paraId="67535ADE" w14:textId="77777777" w:rsidR="001B77DD" w:rsidRDefault="001B77DD">
            <w:pPr>
              <w:rPr>
                <w:rFonts w:ascii="宋体"/>
              </w:rPr>
            </w:pPr>
          </w:p>
        </w:tc>
        <w:tc>
          <w:tcPr>
            <w:tcW w:w="64" w:type="pct"/>
            <w:shd w:val="clear" w:color="auto" w:fill="auto"/>
            <w:vAlign w:val="bottom"/>
          </w:tcPr>
          <w:p w14:paraId="67535ADF" w14:textId="77777777" w:rsidR="001B77DD" w:rsidRDefault="001B77DD">
            <w:pPr>
              <w:rPr>
                <w:rFonts w:ascii="宋体"/>
              </w:rPr>
            </w:pPr>
          </w:p>
        </w:tc>
        <w:tc>
          <w:tcPr>
            <w:tcW w:w="5" w:type="pct"/>
            <w:shd w:val="clear" w:color="auto" w:fill="auto"/>
            <w:vAlign w:val="bottom"/>
          </w:tcPr>
          <w:p w14:paraId="67535AE0" w14:textId="77777777" w:rsidR="001B77DD" w:rsidRDefault="001B77DD">
            <w:pPr>
              <w:rPr>
                <w:rFonts w:ascii="宋体"/>
              </w:rPr>
            </w:pPr>
          </w:p>
        </w:tc>
      </w:tr>
      <w:tr w:rsidR="001B77DD" w14:paraId="67535AE4" w14:textId="77777777">
        <w:tc>
          <w:tcPr>
            <w:tcW w:w="0" w:type="auto"/>
            <w:gridSpan w:val="3"/>
            <w:shd w:val="clear" w:color="auto" w:fill="004A86"/>
            <w:tcMar>
              <w:top w:w="40" w:type="dxa"/>
              <w:left w:w="20" w:type="dxa"/>
              <w:bottom w:w="40" w:type="dxa"/>
              <w:right w:w="20" w:type="dxa"/>
            </w:tcMar>
            <w:vAlign w:val="center"/>
          </w:tcPr>
          <w:p w14:paraId="67535AE2" w14:textId="77777777" w:rsidR="001B77DD" w:rsidRDefault="00BF0A28">
            <w:pPr>
              <w:textAlignment w:val="center"/>
            </w:pPr>
            <w:r>
              <w:rPr>
                <w:rFonts w:ascii="Arial" w:eastAsia="宋体" w:hAnsi="Arial" w:cs="Arial"/>
                <w:color w:val="FFFFFF"/>
                <w:sz w:val="36"/>
                <w:szCs w:val="36"/>
              </w:rPr>
              <w:t>Consolidated Balance Sheets</w:t>
            </w:r>
          </w:p>
        </w:tc>
        <w:tc>
          <w:tcPr>
            <w:tcW w:w="0" w:type="auto"/>
            <w:gridSpan w:val="3"/>
            <w:shd w:val="clear" w:color="auto" w:fill="auto"/>
            <w:tcMar>
              <w:top w:w="0" w:type="dxa"/>
              <w:left w:w="20" w:type="dxa"/>
              <w:bottom w:w="0" w:type="dxa"/>
              <w:right w:w="20" w:type="dxa"/>
            </w:tcMar>
            <w:vAlign w:val="bottom"/>
          </w:tcPr>
          <w:p w14:paraId="67535AE3" w14:textId="77777777" w:rsidR="001B77DD" w:rsidRDefault="001B77DD">
            <w:pPr>
              <w:rPr>
                <w:rFonts w:ascii="宋体"/>
              </w:rPr>
            </w:pPr>
          </w:p>
        </w:tc>
      </w:tr>
      <w:tr w:rsidR="001B77DD" w14:paraId="67535AE7" w14:textId="77777777">
        <w:trPr>
          <w:trHeight w:val="160"/>
        </w:trPr>
        <w:tc>
          <w:tcPr>
            <w:tcW w:w="0" w:type="auto"/>
            <w:gridSpan w:val="3"/>
            <w:shd w:val="clear" w:color="auto" w:fill="auto"/>
            <w:tcMar>
              <w:top w:w="0" w:type="dxa"/>
              <w:left w:w="20" w:type="dxa"/>
              <w:bottom w:w="0" w:type="dxa"/>
              <w:right w:w="20" w:type="dxa"/>
            </w:tcMar>
            <w:vAlign w:val="bottom"/>
          </w:tcPr>
          <w:p w14:paraId="67535AE5"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5AE6" w14:textId="77777777" w:rsidR="001B77DD" w:rsidRDefault="001B77DD">
            <w:pPr>
              <w:rPr>
                <w:rFonts w:ascii="宋体"/>
              </w:rPr>
            </w:pPr>
          </w:p>
        </w:tc>
      </w:tr>
    </w:tbl>
    <w:p w14:paraId="67535AE8"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6100"/>
        <w:gridCol w:w="40"/>
        <w:gridCol w:w="36"/>
        <w:gridCol w:w="36"/>
        <w:gridCol w:w="36"/>
        <w:gridCol w:w="121"/>
        <w:gridCol w:w="812"/>
        <w:gridCol w:w="36"/>
        <w:gridCol w:w="36"/>
        <w:gridCol w:w="36"/>
        <w:gridCol w:w="36"/>
        <w:gridCol w:w="121"/>
        <w:gridCol w:w="813"/>
        <w:gridCol w:w="36"/>
      </w:tblGrid>
      <w:tr w:rsidR="001B77DD" w14:paraId="67535AF8" w14:textId="77777777">
        <w:tc>
          <w:tcPr>
            <w:tcW w:w="50" w:type="pct"/>
            <w:shd w:val="clear" w:color="auto" w:fill="auto"/>
            <w:vAlign w:val="bottom"/>
          </w:tcPr>
          <w:p w14:paraId="67535AE9" w14:textId="77777777" w:rsidR="001B77DD" w:rsidRDefault="001B77DD">
            <w:pPr>
              <w:rPr>
                <w:rFonts w:ascii="宋体"/>
              </w:rPr>
            </w:pPr>
          </w:p>
        </w:tc>
        <w:tc>
          <w:tcPr>
            <w:tcW w:w="3688" w:type="pct"/>
            <w:shd w:val="clear" w:color="auto" w:fill="auto"/>
            <w:vAlign w:val="bottom"/>
          </w:tcPr>
          <w:p w14:paraId="67535AEA" w14:textId="77777777" w:rsidR="001B77DD" w:rsidRDefault="001B77DD">
            <w:pPr>
              <w:rPr>
                <w:rFonts w:ascii="宋体"/>
              </w:rPr>
            </w:pPr>
          </w:p>
        </w:tc>
        <w:tc>
          <w:tcPr>
            <w:tcW w:w="5" w:type="pct"/>
            <w:shd w:val="clear" w:color="auto" w:fill="auto"/>
            <w:vAlign w:val="bottom"/>
          </w:tcPr>
          <w:p w14:paraId="67535AEB" w14:textId="77777777" w:rsidR="001B77DD" w:rsidRDefault="001B77DD">
            <w:pPr>
              <w:rPr>
                <w:rFonts w:ascii="宋体"/>
              </w:rPr>
            </w:pPr>
          </w:p>
        </w:tc>
        <w:tc>
          <w:tcPr>
            <w:tcW w:w="5" w:type="pct"/>
            <w:shd w:val="clear" w:color="auto" w:fill="auto"/>
            <w:vAlign w:val="bottom"/>
          </w:tcPr>
          <w:p w14:paraId="67535AEC" w14:textId="77777777" w:rsidR="001B77DD" w:rsidRDefault="001B77DD">
            <w:pPr>
              <w:rPr>
                <w:rFonts w:ascii="宋体"/>
              </w:rPr>
            </w:pPr>
          </w:p>
        </w:tc>
        <w:tc>
          <w:tcPr>
            <w:tcW w:w="24" w:type="pct"/>
            <w:shd w:val="clear" w:color="auto" w:fill="auto"/>
            <w:vAlign w:val="bottom"/>
          </w:tcPr>
          <w:p w14:paraId="67535AED" w14:textId="77777777" w:rsidR="001B77DD" w:rsidRDefault="001B77DD">
            <w:pPr>
              <w:rPr>
                <w:rFonts w:ascii="宋体"/>
              </w:rPr>
            </w:pPr>
          </w:p>
        </w:tc>
        <w:tc>
          <w:tcPr>
            <w:tcW w:w="5" w:type="pct"/>
            <w:shd w:val="clear" w:color="auto" w:fill="auto"/>
            <w:vAlign w:val="bottom"/>
          </w:tcPr>
          <w:p w14:paraId="67535AEE" w14:textId="77777777" w:rsidR="001B77DD" w:rsidRDefault="001B77DD">
            <w:pPr>
              <w:rPr>
                <w:rFonts w:ascii="宋体"/>
              </w:rPr>
            </w:pPr>
          </w:p>
        </w:tc>
        <w:tc>
          <w:tcPr>
            <w:tcW w:w="50" w:type="pct"/>
            <w:shd w:val="clear" w:color="auto" w:fill="auto"/>
            <w:vAlign w:val="bottom"/>
          </w:tcPr>
          <w:p w14:paraId="67535AEF" w14:textId="77777777" w:rsidR="001B77DD" w:rsidRDefault="001B77DD">
            <w:pPr>
              <w:rPr>
                <w:rFonts w:ascii="宋体"/>
              </w:rPr>
            </w:pPr>
          </w:p>
        </w:tc>
        <w:tc>
          <w:tcPr>
            <w:tcW w:w="539" w:type="pct"/>
            <w:shd w:val="clear" w:color="auto" w:fill="auto"/>
            <w:vAlign w:val="bottom"/>
          </w:tcPr>
          <w:p w14:paraId="67535AF0" w14:textId="77777777" w:rsidR="001B77DD" w:rsidRDefault="001B77DD">
            <w:pPr>
              <w:rPr>
                <w:rFonts w:ascii="宋体"/>
              </w:rPr>
            </w:pPr>
          </w:p>
        </w:tc>
        <w:tc>
          <w:tcPr>
            <w:tcW w:w="5" w:type="pct"/>
            <w:shd w:val="clear" w:color="auto" w:fill="auto"/>
            <w:vAlign w:val="bottom"/>
          </w:tcPr>
          <w:p w14:paraId="67535AF1" w14:textId="77777777" w:rsidR="001B77DD" w:rsidRDefault="001B77DD">
            <w:pPr>
              <w:rPr>
                <w:rFonts w:ascii="宋体"/>
              </w:rPr>
            </w:pPr>
          </w:p>
        </w:tc>
        <w:tc>
          <w:tcPr>
            <w:tcW w:w="5" w:type="pct"/>
            <w:shd w:val="clear" w:color="auto" w:fill="auto"/>
            <w:vAlign w:val="bottom"/>
          </w:tcPr>
          <w:p w14:paraId="67535AF2" w14:textId="77777777" w:rsidR="001B77DD" w:rsidRDefault="001B77DD">
            <w:pPr>
              <w:rPr>
                <w:rFonts w:ascii="宋体"/>
              </w:rPr>
            </w:pPr>
          </w:p>
        </w:tc>
        <w:tc>
          <w:tcPr>
            <w:tcW w:w="24" w:type="pct"/>
            <w:shd w:val="clear" w:color="auto" w:fill="auto"/>
            <w:vAlign w:val="bottom"/>
          </w:tcPr>
          <w:p w14:paraId="67535AF3" w14:textId="77777777" w:rsidR="001B77DD" w:rsidRDefault="001B77DD">
            <w:pPr>
              <w:rPr>
                <w:rFonts w:ascii="宋体"/>
              </w:rPr>
            </w:pPr>
          </w:p>
        </w:tc>
        <w:tc>
          <w:tcPr>
            <w:tcW w:w="5" w:type="pct"/>
            <w:shd w:val="clear" w:color="auto" w:fill="auto"/>
            <w:vAlign w:val="bottom"/>
          </w:tcPr>
          <w:p w14:paraId="67535AF4" w14:textId="77777777" w:rsidR="001B77DD" w:rsidRDefault="001B77DD">
            <w:pPr>
              <w:rPr>
                <w:rFonts w:ascii="宋体"/>
              </w:rPr>
            </w:pPr>
          </w:p>
        </w:tc>
        <w:tc>
          <w:tcPr>
            <w:tcW w:w="50" w:type="pct"/>
            <w:shd w:val="clear" w:color="auto" w:fill="auto"/>
            <w:vAlign w:val="bottom"/>
          </w:tcPr>
          <w:p w14:paraId="67535AF5" w14:textId="77777777" w:rsidR="001B77DD" w:rsidRDefault="001B77DD">
            <w:pPr>
              <w:rPr>
                <w:rFonts w:ascii="宋体"/>
              </w:rPr>
            </w:pPr>
          </w:p>
        </w:tc>
        <w:tc>
          <w:tcPr>
            <w:tcW w:w="539" w:type="pct"/>
            <w:shd w:val="clear" w:color="auto" w:fill="auto"/>
            <w:vAlign w:val="bottom"/>
          </w:tcPr>
          <w:p w14:paraId="67535AF6" w14:textId="77777777" w:rsidR="001B77DD" w:rsidRDefault="001B77DD">
            <w:pPr>
              <w:rPr>
                <w:rFonts w:ascii="宋体"/>
              </w:rPr>
            </w:pPr>
          </w:p>
        </w:tc>
        <w:tc>
          <w:tcPr>
            <w:tcW w:w="5" w:type="pct"/>
            <w:shd w:val="clear" w:color="auto" w:fill="auto"/>
            <w:vAlign w:val="bottom"/>
          </w:tcPr>
          <w:p w14:paraId="67535AF7" w14:textId="77777777" w:rsidR="001B77DD" w:rsidRDefault="001B77DD">
            <w:pPr>
              <w:rPr>
                <w:rFonts w:ascii="宋体"/>
              </w:rPr>
            </w:pPr>
          </w:p>
        </w:tc>
      </w:tr>
      <w:tr w:rsidR="001B77DD" w14:paraId="67535AFE" w14:textId="77777777">
        <w:tc>
          <w:tcPr>
            <w:tcW w:w="0" w:type="auto"/>
            <w:gridSpan w:val="3"/>
            <w:shd w:val="clear" w:color="auto" w:fill="auto"/>
            <w:tcMar>
              <w:top w:w="40" w:type="dxa"/>
              <w:left w:w="20" w:type="dxa"/>
              <w:bottom w:w="40" w:type="dxa"/>
              <w:right w:w="20" w:type="dxa"/>
            </w:tcMar>
            <w:vAlign w:val="bottom"/>
          </w:tcPr>
          <w:p w14:paraId="67535AF9" w14:textId="77777777" w:rsidR="001B77DD" w:rsidRDefault="00BF0A28">
            <w:pPr>
              <w:textAlignment w:val="bottom"/>
            </w:pPr>
            <w:r>
              <w:rPr>
                <w:rFonts w:ascii="Arial" w:eastAsia="宋体" w:hAnsi="Arial" w:cs="Arial"/>
                <w:b/>
                <w:bCs/>
                <w:color w:val="262626"/>
                <w:sz w:val="18"/>
                <w:szCs w:val="18"/>
              </w:rPr>
              <w:t xml:space="preserve">(In Millions, Except </w:t>
            </w:r>
            <w:r>
              <w:rPr>
                <w:rFonts w:ascii="Arial" w:eastAsia="宋体" w:hAnsi="Arial" w:cs="Arial"/>
                <w:b/>
                <w:bCs/>
                <w:color w:val="262626"/>
                <w:sz w:val="18"/>
                <w:szCs w:val="18"/>
              </w:rPr>
              <w:t>Par Value)</w:t>
            </w:r>
          </w:p>
        </w:tc>
        <w:tc>
          <w:tcPr>
            <w:tcW w:w="0" w:type="auto"/>
            <w:gridSpan w:val="3"/>
            <w:shd w:val="clear" w:color="auto" w:fill="auto"/>
            <w:tcMar>
              <w:top w:w="0" w:type="dxa"/>
              <w:left w:w="20" w:type="dxa"/>
              <w:bottom w:w="0" w:type="dxa"/>
              <w:right w:w="20" w:type="dxa"/>
            </w:tcMar>
            <w:vAlign w:val="bottom"/>
          </w:tcPr>
          <w:p w14:paraId="67535AF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AFB"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5AF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AFD"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5B0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AFF" w14:textId="77777777" w:rsidR="001B77DD" w:rsidRDefault="00BF0A28">
            <w:pPr>
              <w:textAlignment w:val="bottom"/>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7535B00"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5B0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02"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5B03" w14:textId="77777777" w:rsidR="001B77DD" w:rsidRDefault="001B77DD">
            <w:pPr>
              <w:rPr>
                <w:rFonts w:ascii="宋体"/>
              </w:rPr>
            </w:pPr>
          </w:p>
        </w:tc>
      </w:tr>
      <w:tr w:rsidR="001B77DD" w14:paraId="67535B0A" w14:textId="77777777">
        <w:tc>
          <w:tcPr>
            <w:tcW w:w="0" w:type="auto"/>
            <w:gridSpan w:val="3"/>
            <w:shd w:val="clear" w:color="auto" w:fill="auto"/>
            <w:tcMar>
              <w:top w:w="40" w:type="dxa"/>
              <w:left w:w="20" w:type="dxa"/>
              <w:bottom w:w="40" w:type="dxa"/>
              <w:right w:w="20" w:type="dxa"/>
            </w:tcMar>
            <w:vAlign w:val="bottom"/>
          </w:tcPr>
          <w:p w14:paraId="67535B05" w14:textId="77777777" w:rsidR="001B77DD" w:rsidRDefault="00BF0A28">
            <w:pPr>
              <w:textAlignment w:val="bottom"/>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vAlign w:val="bottom"/>
          </w:tcPr>
          <w:p w14:paraId="67535B0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0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0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09" w14:textId="77777777" w:rsidR="001B77DD" w:rsidRDefault="001B77DD">
            <w:pPr>
              <w:rPr>
                <w:rFonts w:ascii="宋体"/>
              </w:rPr>
            </w:pPr>
          </w:p>
        </w:tc>
      </w:tr>
      <w:tr w:rsidR="001B77DD" w14:paraId="67535B14" w14:textId="77777777">
        <w:tc>
          <w:tcPr>
            <w:tcW w:w="0" w:type="auto"/>
            <w:gridSpan w:val="3"/>
            <w:shd w:val="clear" w:color="auto" w:fill="auto"/>
            <w:tcMar>
              <w:top w:w="40" w:type="dxa"/>
              <w:left w:w="155" w:type="dxa"/>
              <w:bottom w:w="40" w:type="dxa"/>
              <w:right w:w="20" w:type="dxa"/>
            </w:tcMar>
            <w:vAlign w:val="bottom"/>
          </w:tcPr>
          <w:p w14:paraId="67535B0B" w14:textId="77777777" w:rsidR="001B77DD" w:rsidRDefault="00BF0A28">
            <w:pPr>
              <w:textAlignment w:val="bottom"/>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67535B0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B0D"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5B0E" w14:textId="77777777" w:rsidR="001B77DD" w:rsidRDefault="00BF0A28">
            <w:pPr>
              <w:jc w:val="right"/>
              <w:textAlignment w:val="bottom"/>
            </w:pPr>
            <w:r>
              <w:rPr>
                <w:rFonts w:ascii="Arial" w:eastAsia="宋体" w:hAnsi="Arial" w:cs="Arial"/>
                <w:color w:val="0068B5"/>
                <w:sz w:val="18"/>
                <w:szCs w:val="18"/>
              </w:rPr>
              <w:t>4,827 </w:t>
            </w:r>
          </w:p>
        </w:tc>
        <w:tc>
          <w:tcPr>
            <w:tcW w:w="0" w:type="auto"/>
            <w:shd w:val="clear" w:color="auto" w:fill="auto"/>
            <w:tcMar>
              <w:top w:w="40" w:type="dxa"/>
              <w:left w:w="0" w:type="dxa"/>
              <w:bottom w:w="40" w:type="dxa"/>
              <w:right w:w="20" w:type="dxa"/>
            </w:tcMar>
            <w:vAlign w:val="bottom"/>
          </w:tcPr>
          <w:p w14:paraId="67535B0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1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B11"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B12" w14:textId="77777777" w:rsidR="001B77DD" w:rsidRDefault="00BF0A28">
            <w:pPr>
              <w:jc w:val="right"/>
              <w:textAlignment w:val="bottom"/>
            </w:pPr>
            <w:r>
              <w:rPr>
                <w:rFonts w:ascii="Arial" w:eastAsia="宋体" w:hAnsi="Arial" w:cs="Arial"/>
                <w:color w:val="262626"/>
                <w:sz w:val="18"/>
                <w:szCs w:val="18"/>
              </w:rPr>
              <w:t>5,865 </w:t>
            </w:r>
          </w:p>
        </w:tc>
        <w:tc>
          <w:tcPr>
            <w:tcW w:w="0" w:type="auto"/>
            <w:shd w:val="clear" w:color="auto" w:fill="auto"/>
            <w:tcMar>
              <w:top w:w="40" w:type="dxa"/>
              <w:left w:w="0" w:type="dxa"/>
              <w:bottom w:w="40" w:type="dxa"/>
              <w:right w:w="20" w:type="dxa"/>
            </w:tcMar>
            <w:vAlign w:val="bottom"/>
          </w:tcPr>
          <w:p w14:paraId="67535B13" w14:textId="77777777" w:rsidR="001B77DD" w:rsidRDefault="001B77DD">
            <w:pPr>
              <w:jc w:val="right"/>
              <w:rPr>
                <w:rFonts w:ascii="宋体"/>
              </w:rPr>
            </w:pPr>
          </w:p>
        </w:tc>
      </w:tr>
      <w:tr w:rsidR="001B77DD" w14:paraId="67535B1C" w14:textId="77777777">
        <w:tc>
          <w:tcPr>
            <w:tcW w:w="0" w:type="auto"/>
            <w:gridSpan w:val="3"/>
            <w:shd w:val="clear" w:color="auto" w:fill="auto"/>
            <w:tcMar>
              <w:top w:w="40" w:type="dxa"/>
              <w:left w:w="155" w:type="dxa"/>
              <w:bottom w:w="40" w:type="dxa"/>
              <w:right w:w="20" w:type="dxa"/>
            </w:tcMar>
            <w:vAlign w:val="bottom"/>
          </w:tcPr>
          <w:p w14:paraId="67535B15" w14:textId="77777777" w:rsidR="001B77DD" w:rsidRDefault="00BF0A28">
            <w:pPr>
              <w:textAlignment w:val="bottom"/>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67535B1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17" w14:textId="77777777" w:rsidR="001B77DD" w:rsidRDefault="00BF0A28">
            <w:pPr>
              <w:jc w:val="right"/>
              <w:textAlignment w:val="bottom"/>
            </w:pPr>
            <w:r>
              <w:rPr>
                <w:rFonts w:ascii="Arial" w:eastAsia="宋体" w:hAnsi="Arial" w:cs="Arial"/>
                <w:color w:val="0068B5"/>
                <w:sz w:val="18"/>
                <w:szCs w:val="18"/>
              </w:rPr>
              <w:t>2,103 </w:t>
            </w:r>
          </w:p>
        </w:tc>
        <w:tc>
          <w:tcPr>
            <w:tcW w:w="0" w:type="auto"/>
            <w:shd w:val="clear" w:color="auto" w:fill="auto"/>
            <w:tcMar>
              <w:top w:w="40" w:type="dxa"/>
              <w:left w:w="0" w:type="dxa"/>
              <w:bottom w:w="40" w:type="dxa"/>
              <w:right w:w="20" w:type="dxa"/>
            </w:tcMar>
            <w:vAlign w:val="bottom"/>
          </w:tcPr>
          <w:p w14:paraId="67535B1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1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1A" w14:textId="77777777" w:rsidR="001B77DD" w:rsidRDefault="00BF0A28">
            <w:pPr>
              <w:jc w:val="right"/>
              <w:textAlignment w:val="bottom"/>
            </w:pPr>
            <w:r>
              <w:rPr>
                <w:rFonts w:ascii="Arial" w:eastAsia="宋体" w:hAnsi="Arial" w:cs="Arial"/>
                <w:color w:val="262626"/>
                <w:sz w:val="18"/>
                <w:szCs w:val="18"/>
              </w:rPr>
              <w:t>2,292 </w:t>
            </w:r>
          </w:p>
        </w:tc>
        <w:tc>
          <w:tcPr>
            <w:tcW w:w="0" w:type="auto"/>
            <w:shd w:val="clear" w:color="auto" w:fill="auto"/>
            <w:tcMar>
              <w:top w:w="40" w:type="dxa"/>
              <w:left w:w="0" w:type="dxa"/>
              <w:bottom w:w="40" w:type="dxa"/>
              <w:right w:w="20" w:type="dxa"/>
            </w:tcMar>
            <w:vAlign w:val="bottom"/>
          </w:tcPr>
          <w:p w14:paraId="67535B1B" w14:textId="77777777" w:rsidR="001B77DD" w:rsidRDefault="001B77DD">
            <w:pPr>
              <w:jc w:val="right"/>
              <w:rPr>
                <w:rFonts w:ascii="宋体"/>
              </w:rPr>
            </w:pPr>
          </w:p>
        </w:tc>
      </w:tr>
      <w:tr w:rsidR="001B77DD" w14:paraId="67535B24" w14:textId="77777777">
        <w:tc>
          <w:tcPr>
            <w:tcW w:w="0" w:type="auto"/>
            <w:gridSpan w:val="3"/>
            <w:shd w:val="clear" w:color="auto" w:fill="auto"/>
            <w:tcMar>
              <w:top w:w="40" w:type="dxa"/>
              <w:left w:w="155" w:type="dxa"/>
              <w:bottom w:w="40" w:type="dxa"/>
              <w:right w:w="20" w:type="dxa"/>
            </w:tcMar>
            <w:vAlign w:val="bottom"/>
          </w:tcPr>
          <w:p w14:paraId="67535B1D" w14:textId="77777777" w:rsidR="001B77DD" w:rsidRDefault="00BF0A28">
            <w:pPr>
              <w:textAlignment w:val="bottom"/>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67535B1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1F" w14:textId="77777777" w:rsidR="001B77DD" w:rsidRDefault="00BF0A28">
            <w:pPr>
              <w:jc w:val="right"/>
              <w:textAlignment w:val="bottom"/>
            </w:pPr>
            <w:r>
              <w:rPr>
                <w:rFonts w:ascii="Arial" w:eastAsia="宋体" w:hAnsi="Arial" w:cs="Arial"/>
                <w:color w:val="0068B5"/>
                <w:sz w:val="18"/>
                <w:szCs w:val="18"/>
              </w:rPr>
              <w:t>21,483 </w:t>
            </w:r>
          </w:p>
        </w:tc>
        <w:tc>
          <w:tcPr>
            <w:tcW w:w="0" w:type="auto"/>
            <w:shd w:val="clear" w:color="auto" w:fill="auto"/>
            <w:tcMar>
              <w:top w:w="40" w:type="dxa"/>
              <w:left w:w="0" w:type="dxa"/>
              <w:bottom w:w="40" w:type="dxa"/>
              <w:right w:w="20" w:type="dxa"/>
            </w:tcMar>
            <w:vAlign w:val="bottom"/>
          </w:tcPr>
          <w:p w14:paraId="67535B2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2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22" w14:textId="77777777" w:rsidR="001B77DD" w:rsidRDefault="00BF0A28">
            <w:pPr>
              <w:jc w:val="right"/>
              <w:textAlignment w:val="bottom"/>
            </w:pPr>
            <w:r>
              <w:rPr>
                <w:rFonts w:ascii="Arial" w:eastAsia="宋体" w:hAnsi="Arial" w:cs="Arial"/>
                <w:color w:val="262626"/>
                <w:sz w:val="18"/>
                <w:szCs w:val="18"/>
              </w:rPr>
              <w:t>15,738 </w:t>
            </w:r>
          </w:p>
        </w:tc>
        <w:tc>
          <w:tcPr>
            <w:tcW w:w="0" w:type="auto"/>
            <w:shd w:val="clear" w:color="auto" w:fill="auto"/>
            <w:tcMar>
              <w:top w:w="40" w:type="dxa"/>
              <w:left w:w="0" w:type="dxa"/>
              <w:bottom w:w="40" w:type="dxa"/>
              <w:right w:w="20" w:type="dxa"/>
            </w:tcMar>
            <w:vAlign w:val="bottom"/>
          </w:tcPr>
          <w:p w14:paraId="67535B23" w14:textId="77777777" w:rsidR="001B77DD" w:rsidRDefault="001B77DD">
            <w:pPr>
              <w:jc w:val="right"/>
              <w:rPr>
                <w:rFonts w:ascii="宋体"/>
              </w:rPr>
            </w:pPr>
          </w:p>
        </w:tc>
      </w:tr>
      <w:tr w:rsidR="001B77DD" w14:paraId="67535B2C" w14:textId="77777777">
        <w:tc>
          <w:tcPr>
            <w:tcW w:w="0" w:type="auto"/>
            <w:gridSpan w:val="3"/>
            <w:shd w:val="clear" w:color="auto" w:fill="auto"/>
            <w:tcMar>
              <w:top w:w="40" w:type="dxa"/>
              <w:left w:w="155" w:type="dxa"/>
              <w:bottom w:w="40" w:type="dxa"/>
              <w:right w:w="20" w:type="dxa"/>
            </w:tcMar>
            <w:vAlign w:val="bottom"/>
          </w:tcPr>
          <w:p w14:paraId="67535B25" w14:textId="77777777" w:rsidR="001B77DD" w:rsidRDefault="00BF0A28">
            <w:pPr>
              <w:textAlignment w:val="bottom"/>
            </w:pPr>
            <w:r>
              <w:rPr>
                <w:rFonts w:ascii="Arial" w:eastAsia="宋体" w:hAnsi="Arial" w:cs="Arial"/>
                <w:color w:val="262626"/>
                <w:sz w:val="18"/>
                <w:szCs w:val="18"/>
              </w:rPr>
              <w:t xml:space="preserve">Accounts receivable, net of allowance for </w:t>
            </w:r>
            <w:r>
              <w:rPr>
                <w:rFonts w:ascii="Arial" w:eastAsia="宋体" w:hAnsi="Arial" w:cs="Arial"/>
                <w:color w:val="262626"/>
                <w:sz w:val="18"/>
                <w:szCs w:val="18"/>
              </w:rPr>
              <w:t>doubtful accounts</w:t>
            </w:r>
          </w:p>
        </w:tc>
        <w:tc>
          <w:tcPr>
            <w:tcW w:w="0" w:type="auto"/>
            <w:gridSpan w:val="3"/>
            <w:shd w:val="clear" w:color="auto" w:fill="auto"/>
            <w:tcMar>
              <w:top w:w="0" w:type="dxa"/>
              <w:left w:w="20" w:type="dxa"/>
              <w:bottom w:w="0" w:type="dxa"/>
              <w:right w:w="20" w:type="dxa"/>
            </w:tcMar>
            <w:vAlign w:val="bottom"/>
          </w:tcPr>
          <w:p w14:paraId="67535B2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27" w14:textId="77777777" w:rsidR="001B77DD" w:rsidRDefault="00BF0A28">
            <w:pPr>
              <w:jc w:val="right"/>
              <w:textAlignment w:val="bottom"/>
            </w:pPr>
            <w:r>
              <w:rPr>
                <w:rFonts w:ascii="Arial" w:eastAsia="宋体" w:hAnsi="Arial" w:cs="Arial"/>
                <w:color w:val="0068B5"/>
                <w:sz w:val="18"/>
                <w:szCs w:val="18"/>
              </w:rPr>
              <w:t>9,457 </w:t>
            </w:r>
          </w:p>
        </w:tc>
        <w:tc>
          <w:tcPr>
            <w:tcW w:w="0" w:type="auto"/>
            <w:shd w:val="clear" w:color="auto" w:fill="auto"/>
            <w:tcMar>
              <w:top w:w="40" w:type="dxa"/>
              <w:left w:w="0" w:type="dxa"/>
              <w:bottom w:w="40" w:type="dxa"/>
              <w:right w:w="20" w:type="dxa"/>
            </w:tcMar>
            <w:vAlign w:val="bottom"/>
          </w:tcPr>
          <w:p w14:paraId="67535B2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2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2A" w14:textId="77777777" w:rsidR="001B77DD" w:rsidRDefault="00BF0A28">
            <w:pPr>
              <w:jc w:val="right"/>
              <w:textAlignment w:val="bottom"/>
            </w:pPr>
            <w:r>
              <w:rPr>
                <w:rFonts w:ascii="Arial" w:eastAsia="宋体" w:hAnsi="Arial" w:cs="Arial"/>
                <w:color w:val="262626"/>
                <w:sz w:val="18"/>
                <w:szCs w:val="18"/>
              </w:rPr>
              <w:t>6,782 </w:t>
            </w:r>
          </w:p>
        </w:tc>
        <w:tc>
          <w:tcPr>
            <w:tcW w:w="0" w:type="auto"/>
            <w:shd w:val="clear" w:color="auto" w:fill="auto"/>
            <w:tcMar>
              <w:top w:w="40" w:type="dxa"/>
              <w:left w:w="0" w:type="dxa"/>
              <w:bottom w:w="40" w:type="dxa"/>
              <w:right w:w="20" w:type="dxa"/>
            </w:tcMar>
            <w:vAlign w:val="bottom"/>
          </w:tcPr>
          <w:p w14:paraId="67535B2B" w14:textId="77777777" w:rsidR="001B77DD" w:rsidRDefault="001B77DD">
            <w:pPr>
              <w:jc w:val="right"/>
              <w:rPr>
                <w:rFonts w:ascii="宋体"/>
              </w:rPr>
            </w:pPr>
          </w:p>
        </w:tc>
      </w:tr>
      <w:tr w:rsidR="001B77DD" w14:paraId="67535B34" w14:textId="77777777">
        <w:tc>
          <w:tcPr>
            <w:tcW w:w="0" w:type="auto"/>
            <w:gridSpan w:val="3"/>
            <w:shd w:val="clear" w:color="auto" w:fill="auto"/>
            <w:tcMar>
              <w:top w:w="40" w:type="dxa"/>
              <w:left w:w="155" w:type="dxa"/>
              <w:bottom w:w="40" w:type="dxa"/>
              <w:right w:w="20" w:type="dxa"/>
            </w:tcMar>
            <w:vAlign w:val="bottom"/>
          </w:tcPr>
          <w:p w14:paraId="67535B2D" w14:textId="77777777" w:rsidR="001B77DD" w:rsidRDefault="00BF0A28">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67535B2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2F" w14:textId="77777777" w:rsidR="001B77DD" w:rsidRDefault="00BF0A28">
            <w:pPr>
              <w:jc w:val="right"/>
              <w:textAlignment w:val="bottom"/>
            </w:pPr>
            <w:r>
              <w:rPr>
                <w:rFonts w:ascii="Arial" w:eastAsia="宋体" w:hAnsi="Arial" w:cs="Arial"/>
                <w:color w:val="0068B5"/>
                <w:sz w:val="18"/>
                <w:szCs w:val="18"/>
              </w:rPr>
              <w:t>10,776 </w:t>
            </w:r>
          </w:p>
        </w:tc>
        <w:tc>
          <w:tcPr>
            <w:tcW w:w="0" w:type="auto"/>
            <w:shd w:val="clear" w:color="auto" w:fill="auto"/>
            <w:tcMar>
              <w:top w:w="40" w:type="dxa"/>
              <w:left w:w="0" w:type="dxa"/>
              <w:bottom w:w="40" w:type="dxa"/>
              <w:right w:w="20" w:type="dxa"/>
            </w:tcMar>
            <w:vAlign w:val="bottom"/>
          </w:tcPr>
          <w:p w14:paraId="67535B3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3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32" w14:textId="77777777" w:rsidR="001B77DD" w:rsidRDefault="00BF0A28">
            <w:pPr>
              <w:jc w:val="right"/>
              <w:textAlignment w:val="bottom"/>
            </w:pPr>
            <w:r>
              <w:rPr>
                <w:rFonts w:ascii="Arial" w:eastAsia="宋体" w:hAnsi="Arial" w:cs="Arial"/>
                <w:color w:val="262626"/>
                <w:sz w:val="18"/>
                <w:szCs w:val="18"/>
              </w:rPr>
              <w:t>8,427 </w:t>
            </w:r>
          </w:p>
        </w:tc>
        <w:tc>
          <w:tcPr>
            <w:tcW w:w="0" w:type="auto"/>
            <w:shd w:val="clear" w:color="auto" w:fill="auto"/>
            <w:tcMar>
              <w:top w:w="40" w:type="dxa"/>
              <w:left w:w="0" w:type="dxa"/>
              <w:bottom w:w="40" w:type="dxa"/>
              <w:right w:w="20" w:type="dxa"/>
            </w:tcMar>
            <w:vAlign w:val="bottom"/>
          </w:tcPr>
          <w:p w14:paraId="67535B33" w14:textId="77777777" w:rsidR="001B77DD" w:rsidRDefault="001B77DD">
            <w:pPr>
              <w:jc w:val="right"/>
              <w:rPr>
                <w:rFonts w:ascii="宋体"/>
              </w:rPr>
            </w:pPr>
          </w:p>
        </w:tc>
      </w:tr>
      <w:tr w:rsidR="001B77DD" w14:paraId="67535B3A" w14:textId="77777777">
        <w:trPr>
          <w:hidden/>
        </w:trPr>
        <w:tc>
          <w:tcPr>
            <w:tcW w:w="0" w:type="auto"/>
            <w:gridSpan w:val="3"/>
            <w:shd w:val="clear" w:color="auto" w:fill="auto"/>
            <w:vAlign w:val="bottom"/>
          </w:tcPr>
          <w:p w14:paraId="67535B35" w14:textId="77777777" w:rsidR="001B77DD" w:rsidRDefault="001B77DD">
            <w:pPr>
              <w:rPr>
                <w:rFonts w:ascii="宋体"/>
                <w:vanish/>
              </w:rPr>
            </w:pPr>
          </w:p>
        </w:tc>
        <w:tc>
          <w:tcPr>
            <w:tcW w:w="0" w:type="auto"/>
            <w:gridSpan w:val="3"/>
            <w:shd w:val="clear" w:color="auto" w:fill="auto"/>
            <w:vAlign w:val="bottom"/>
          </w:tcPr>
          <w:p w14:paraId="67535B36" w14:textId="77777777" w:rsidR="001B77DD" w:rsidRDefault="001B77DD">
            <w:pPr>
              <w:rPr>
                <w:rFonts w:ascii="宋体"/>
                <w:vanish/>
              </w:rPr>
            </w:pPr>
          </w:p>
        </w:tc>
        <w:tc>
          <w:tcPr>
            <w:tcW w:w="0" w:type="auto"/>
            <w:gridSpan w:val="3"/>
            <w:shd w:val="clear" w:color="auto" w:fill="auto"/>
            <w:vAlign w:val="bottom"/>
          </w:tcPr>
          <w:p w14:paraId="67535B37" w14:textId="77777777" w:rsidR="001B77DD" w:rsidRDefault="001B77DD">
            <w:pPr>
              <w:rPr>
                <w:rFonts w:ascii="宋体"/>
                <w:vanish/>
              </w:rPr>
            </w:pPr>
          </w:p>
        </w:tc>
        <w:tc>
          <w:tcPr>
            <w:tcW w:w="0" w:type="auto"/>
            <w:gridSpan w:val="3"/>
            <w:shd w:val="clear" w:color="auto" w:fill="auto"/>
            <w:vAlign w:val="bottom"/>
          </w:tcPr>
          <w:p w14:paraId="67535B38" w14:textId="77777777" w:rsidR="001B77DD" w:rsidRDefault="001B77DD">
            <w:pPr>
              <w:rPr>
                <w:rFonts w:ascii="宋体"/>
                <w:vanish/>
              </w:rPr>
            </w:pPr>
          </w:p>
        </w:tc>
        <w:tc>
          <w:tcPr>
            <w:tcW w:w="0" w:type="auto"/>
            <w:gridSpan w:val="3"/>
            <w:shd w:val="clear" w:color="auto" w:fill="auto"/>
            <w:vAlign w:val="bottom"/>
          </w:tcPr>
          <w:p w14:paraId="67535B39" w14:textId="77777777" w:rsidR="001B77DD" w:rsidRDefault="001B77DD">
            <w:pPr>
              <w:rPr>
                <w:rFonts w:ascii="宋体"/>
                <w:vanish/>
              </w:rPr>
            </w:pPr>
          </w:p>
        </w:tc>
      </w:tr>
      <w:tr w:rsidR="001B77DD" w14:paraId="67535B42" w14:textId="77777777">
        <w:tc>
          <w:tcPr>
            <w:tcW w:w="0" w:type="auto"/>
            <w:gridSpan w:val="3"/>
            <w:shd w:val="clear" w:color="auto" w:fill="auto"/>
            <w:tcMar>
              <w:top w:w="40" w:type="dxa"/>
              <w:left w:w="155" w:type="dxa"/>
              <w:bottom w:w="40" w:type="dxa"/>
              <w:right w:w="20" w:type="dxa"/>
            </w:tcMar>
            <w:vAlign w:val="bottom"/>
          </w:tcPr>
          <w:p w14:paraId="67535B3B" w14:textId="77777777" w:rsidR="001B77DD" w:rsidRDefault="00BF0A28">
            <w:pPr>
              <w:textAlignment w:val="bottom"/>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vAlign w:val="bottom"/>
          </w:tcPr>
          <w:p w14:paraId="67535B3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3D" w14:textId="77777777" w:rsidR="001B77DD" w:rsidRDefault="00BF0A28">
            <w:pPr>
              <w:jc w:val="right"/>
              <w:textAlignment w:val="bottom"/>
            </w:pPr>
            <w:r>
              <w:rPr>
                <w:rFonts w:ascii="Arial" w:eastAsia="宋体" w:hAnsi="Arial" w:cs="Arial"/>
                <w:color w:val="0068B5"/>
                <w:sz w:val="18"/>
                <w:szCs w:val="18"/>
              </w:rPr>
              <w:t>6,942 </w:t>
            </w:r>
          </w:p>
        </w:tc>
        <w:tc>
          <w:tcPr>
            <w:tcW w:w="0" w:type="auto"/>
            <w:shd w:val="clear" w:color="auto" w:fill="auto"/>
            <w:tcMar>
              <w:top w:w="40" w:type="dxa"/>
              <w:left w:w="0" w:type="dxa"/>
              <w:bottom w:w="40" w:type="dxa"/>
              <w:right w:w="20" w:type="dxa"/>
            </w:tcMar>
            <w:vAlign w:val="bottom"/>
          </w:tcPr>
          <w:p w14:paraId="67535B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3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40" w14:textId="77777777" w:rsidR="001B77DD" w:rsidRDefault="00BF0A28">
            <w:pPr>
              <w:jc w:val="right"/>
              <w:textAlignment w:val="bottom"/>
            </w:pPr>
            <w:r>
              <w:rPr>
                <w:rFonts w:ascii="Arial" w:eastAsia="宋体" w:hAnsi="Arial" w:cs="Arial"/>
                <w:color w:val="262626"/>
                <w:sz w:val="18"/>
                <w:szCs w:val="18"/>
              </w:rPr>
              <w:t>5,400 </w:t>
            </w:r>
          </w:p>
        </w:tc>
        <w:tc>
          <w:tcPr>
            <w:tcW w:w="0" w:type="auto"/>
            <w:shd w:val="clear" w:color="auto" w:fill="auto"/>
            <w:tcMar>
              <w:top w:w="40" w:type="dxa"/>
              <w:left w:w="0" w:type="dxa"/>
              <w:bottom w:w="40" w:type="dxa"/>
              <w:right w:w="20" w:type="dxa"/>
            </w:tcMar>
            <w:vAlign w:val="bottom"/>
          </w:tcPr>
          <w:p w14:paraId="67535B41" w14:textId="77777777" w:rsidR="001B77DD" w:rsidRDefault="001B77DD">
            <w:pPr>
              <w:jc w:val="right"/>
              <w:rPr>
                <w:rFonts w:ascii="宋体"/>
              </w:rPr>
            </w:pPr>
          </w:p>
        </w:tc>
      </w:tr>
      <w:tr w:rsidR="001B77DD" w14:paraId="67535B4A" w14:textId="77777777">
        <w:tc>
          <w:tcPr>
            <w:tcW w:w="0" w:type="auto"/>
            <w:gridSpan w:val="3"/>
            <w:shd w:val="clear" w:color="auto" w:fill="auto"/>
            <w:tcMar>
              <w:top w:w="40" w:type="dxa"/>
              <w:left w:w="155" w:type="dxa"/>
              <w:bottom w:w="40" w:type="dxa"/>
              <w:right w:w="20" w:type="dxa"/>
            </w:tcMar>
            <w:vAlign w:val="bottom"/>
          </w:tcPr>
          <w:p w14:paraId="67535B43" w14:textId="77777777" w:rsidR="001B77DD" w:rsidRDefault="00BF0A28">
            <w:pPr>
              <w:textAlignment w:val="bottom"/>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67535B4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45" w14:textId="77777777" w:rsidR="001B77DD" w:rsidRDefault="00BF0A28">
            <w:pPr>
              <w:jc w:val="right"/>
              <w:textAlignment w:val="bottom"/>
            </w:pPr>
            <w:r>
              <w:rPr>
                <w:rFonts w:ascii="Arial" w:eastAsia="宋体" w:hAnsi="Arial" w:cs="Arial"/>
                <w:color w:val="0068B5"/>
                <w:sz w:val="18"/>
                <w:szCs w:val="18"/>
              </w:rPr>
              <w:t>2,130 </w:t>
            </w:r>
          </w:p>
        </w:tc>
        <w:tc>
          <w:tcPr>
            <w:tcW w:w="0" w:type="auto"/>
            <w:shd w:val="clear" w:color="auto" w:fill="auto"/>
            <w:tcMar>
              <w:top w:w="40" w:type="dxa"/>
              <w:left w:w="0" w:type="dxa"/>
              <w:bottom w:w="40" w:type="dxa"/>
              <w:right w:w="20" w:type="dxa"/>
            </w:tcMar>
            <w:vAlign w:val="bottom"/>
          </w:tcPr>
          <w:p w14:paraId="67535B4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4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48" w14:textId="77777777" w:rsidR="001B77DD" w:rsidRDefault="00BF0A28">
            <w:pPr>
              <w:jc w:val="right"/>
              <w:textAlignment w:val="bottom"/>
            </w:pPr>
            <w:r>
              <w:rPr>
                <w:rFonts w:ascii="Arial" w:eastAsia="宋体" w:hAnsi="Arial" w:cs="Arial"/>
                <w:color w:val="262626"/>
                <w:sz w:val="18"/>
                <w:szCs w:val="18"/>
              </w:rPr>
              <w:t>2,745 </w:t>
            </w:r>
          </w:p>
        </w:tc>
        <w:tc>
          <w:tcPr>
            <w:tcW w:w="0" w:type="auto"/>
            <w:shd w:val="clear" w:color="auto" w:fill="auto"/>
            <w:tcMar>
              <w:top w:w="40" w:type="dxa"/>
              <w:left w:w="0" w:type="dxa"/>
              <w:bottom w:w="40" w:type="dxa"/>
              <w:right w:w="20" w:type="dxa"/>
            </w:tcMar>
            <w:vAlign w:val="bottom"/>
          </w:tcPr>
          <w:p w14:paraId="67535B49" w14:textId="77777777" w:rsidR="001B77DD" w:rsidRDefault="001B77DD">
            <w:pPr>
              <w:jc w:val="right"/>
              <w:rPr>
                <w:rFonts w:ascii="宋体"/>
              </w:rPr>
            </w:pPr>
          </w:p>
        </w:tc>
      </w:tr>
      <w:tr w:rsidR="001B77DD" w14:paraId="67535B52" w14:textId="77777777">
        <w:tc>
          <w:tcPr>
            <w:tcW w:w="0" w:type="auto"/>
            <w:gridSpan w:val="3"/>
            <w:shd w:val="clear" w:color="auto" w:fill="auto"/>
            <w:tcMar>
              <w:top w:w="40" w:type="dxa"/>
              <w:left w:w="20" w:type="dxa"/>
              <w:bottom w:w="40" w:type="dxa"/>
              <w:right w:w="20" w:type="dxa"/>
            </w:tcMar>
            <w:vAlign w:val="bottom"/>
          </w:tcPr>
          <w:p w14:paraId="67535B4B" w14:textId="77777777" w:rsidR="001B77DD" w:rsidRDefault="00BF0A28">
            <w:pPr>
              <w:textAlignment w:val="bottom"/>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vAlign w:val="bottom"/>
          </w:tcPr>
          <w:p w14:paraId="67535B4C"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B4D" w14:textId="77777777" w:rsidR="001B77DD" w:rsidRDefault="00BF0A28">
            <w:pPr>
              <w:jc w:val="right"/>
              <w:textAlignment w:val="bottom"/>
            </w:pPr>
            <w:r>
              <w:rPr>
                <w:rFonts w:ascii="Arial" w:eastAsia="宋体" w:hAnsi="Arial" w:cs="Arial"/>
                <w:b/>
                <w:bCs/>
                <w:color w:val="0068B5"/>
                <w:sz w:val="18"/>
                <w:szCs w:val="18"/>
              </w:rPr>
              <w:t>57,718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B4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4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B50" w14:textId="77777777" w:rsidR="001B77DD" w:rsidRDefault="00BF0A28">
            <w:pPr>
              <w:jc w:val="right"/>
              <w:textAlignment w:val="bottom"/>
            </w:pPr>
            <w:r>
              <w:rPr>
                <w:rFonts w:ascii="Arial" w:eastAsia="宋体" w:hAnsi="Arial" w:cs="Arial"/>
                <w:b/>
                <w:bCs/>
                <w:color w:val="262626"/>
                <w:sz w:val="18"/>
                <w:szCs w:val="18"/>
              </w:rPr>
              <w:t>47,249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B51" w14:textId="77777777" w:rsidR="001B77DD" w:rsidRDefault="001B77DD">
            <w:pPr>
              <w:jc w:val="right"/>
              <w:rPr>
                <w:rFonts w:ascii="宋体"/>
              </w:rPr>
            </w:pPr>
          </w:p>
        </w:tc>
      </w:tr>
      <w:tr w:rsidR="001B77DD" w14:paraId="67535B58" w14:textId="77777777">
        <w:trPr>
          <w:trHeight w:val="180"/>
        </w:trPr>
        <w:tc>
          <w:tcPr>
            <w:tcW w:w="0" w:type="auto"/>
            <w:gridSpan w:val="3"/>
            <w:shd w:val="clear" w:color="auto" w:fill="auto"/>
            <w:tcMar>
              <w:top w:w="0" w:type="dxa"/>
              <w:left w:w="20" w:type="dxa"/>
              <w:bottom w:w="0" w:type="dxa"/>
              <w:right w:w="20" w:type="dxa"/>
            </w:tcMar>
            <w:vAlign w:val="bottom"/>
          </w:tcPr>
          <w:p w14:paraId="67535B5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5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5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5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57" w14:textId="77777777" w:rsidR="001B77DD" w:rsidRDefault="001B77DD">
            <w:pPr>
              <w:rPr>
                <w:rFonts w:ascii="宋体"/>
              </w:rPr>
            </w:pPr>
          </w:p>
        </w:tc>
      </w:tr>
      <w:tr w:rsidR="001B77DD" w14:paraId="67535B60" w14:textId="77777777">
        <w:tc>
          <w:tcPr>
            <w:tcW w:w="0" w:type="auto"/>
            <w:gridSpan w:val="3"/>
            <w:shd w:val="clear" w:color="auto" w:fill="auto"/>
            <w:tcMar>
              <w:top w:w="40" w:type="dxa"/>
              <w:left w:w="20" w:type="dxa"/>
              <w:bottom w:w="40" w:type="dxa"/>
              <w:right w:w="20" w:type="dxa"/>
            </w:tcMar>
            <w:vAlign w:val="bottom"/>
          </w:tcPr>
          <w:p w14:paraId="67535B59" w14:textId="77777777" w:rsidR="001B77DD" w:rsidRDefault="00BF0A28">
            <w:pPr>
              <w:textAlignment w:val="bottom"/>
            </w:pPr>
            <w:r>
              <w:rPr>
                <w:rFonts w:ascii="Arial" w:eastAsia="宋体" w:hAnsi="Arial" w:cs="Arial"/>
                <w:b/>
                <w:bCs/>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67535B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5B" w14:textId="77777777" w:rsidR="001B77DD" w:rsidRDefault="00BF0A28">
            <w:pPr>
              <w:jc w:val="right"/>
              <w:textAlignment w:val="bottom"/>
            </w:pPr>
            <w:r>
              <w:rPr>
                <w:rFonts w:ascii="Arial" w:eastAsia="宋体" w:hAnsi="Arial" w:cs="Arial"/>
                <w:b/>
                <w:bCs/>
                <w:color w:val="0068B5"/>
                <w:sz w:val="18"/>
                <w:szCs w:val="18"/>
              </w:rPr>
              <w:t>63,245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5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5E" w14:textId="77777777" w:rsidR="001B77DD" w:rsidRDefault="00BF0A28">
            <w:pPr>
              <w:jc w:val="right"/>
              <w:textAlignment w:val="bottom"/>
            </w:pPr>
            <w:r>
              <w:rPr>
                <w:rFonts w:ascii="Arial" w:eastAsia="宋体" w:hAnsi="Arial" w:cs="Arial"/>
                <w:b/>
                <w:bCs/>
                <w:color w:val="262626"/>
                <w:sz w:val="18"/>
                <w:szCs w:val="18"/>
              </w:rPr>
              <w:t>56,584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5F" w14:textId="77777777" w:rsidR="001B77DD" w:rsidRDefault="001B77DD">
            <w:pPr>
              <w:jc w:val="right"/>
              <w:rPr>
                <w:rFonts w:ascii="宋体"/>
              </w:rPr>
            </w:pPr>
          </w:p>
        </w:tc>
      </w:tr>
      <w:tr w:rsidR="001B77DD" w14:paraId="67535B68" w14:textId="77777777">
        <w:tc>
          <w:tcPr>
            <w:tcW w:w="0" w:type="auto"/>
            <w:gridSpan w:val="3"/>
            <w:shd w:val="clear" w:color="auto" w:fill="auto"/>
            <w:tcMar>
              <w:top w:w="40" w:type="dxa"/>
              <w:left w:w="20" w:type="dxa"/>
              <w:bottom w:w="40" w:type="dxa"/>
              <w:right w:w="20" w:type="dxa"/>
            </w:tcMar>
            <w:vAlign w:val="bottom"/>
          </w:tcPr>
          <w:p w14:paraId="67535B61" w14:textId="77777777" w:rsidR="001B77DD" w:rsidRDefault="00BF0A28">
            <w:pPr>
              <w:textAlignment w:val="bottom"/>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vAlign w:val="bottom"/>
          </w:tcPr>
          <w:p w14:paraId="67535B6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63" w14:textId="77777777" w:rsidR="001B77DD" w:rsidRDefault="00BF0A28">
            <w:pPr>
              <w:jc w:val="right"/>
              <w:textAlignment w:val="bottom"/>
            </w:pPr>
            <w:r>
              <w:rPr>
                <w:rFonts w:ascii="Arial" w:eastAsia="宋体" w:hAnsi="Arial" w:cs="Arial"/>
                <w:b/>
                <w:bCs/>
                <w:color w:val="0068B5"/>
                <w:sz w:val="18"/>
                <w:szCs w:val="18"/>
              </w:rPr>
              <w:t>6,298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6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6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66" w14:textId="77777777" w:rsidR="001B77DD" w:rsidRDefault="00BF0A28">
            <w:pPr>
              <w:jc w:val="right"/>
              <w:textAlignment w:val="bottom"/>
            </w:pPr>
            <w:r>
              <w:rPr>
                <w:rFonts w:ascii="Arial" w:eastAsia="宋体" w:hAnsi="Arial" w:cs="Arial"/>
                <w:b/>
                <w:bCs/>
                <w:color w:val="262626"/>
                <w:sz w:val="18"/>
                <w:szCs w:val="18"/>
              </w:rPr>
              <w:t>5,152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67" w14:textId="77777777" w:rsidR="001B77DD" w:rsidRDefault="001B77DD">
            <w:pPr>
              <w:jc w:val="right"/>
              <w:rPr>
                <w:rFonts w:ascii="宋体"/>
              </w:rPr>
            </w:pPr>
          </w:p>
        </w:tc>
      </w:tr>
      <w:tr w:rsidR="001B77DD" w14:paraId="67535B70" w14:textId="77777777">
        <w:tc>
          <w:tcPr>
            <w:tcW w:w="0" w:type="auto"/>
            <w:gridSpan w:val="3"/>
            <w:shd w:val="clear" w:color="auto" w:fill="auto"/>
            <w:tcMar>
              <w:top w:w="40" w:type="dxa"/>
              <w:left w:w="20" w:type="dxa"/>
              <w:bottom w:w="40" w:type="dxa"/>
              <w:right w:w="20" w:type="dxa"/>
            </w:tcMar>
            <w:vAlign w:val="bottom"/>
          </w:tcPr>
          <w:p w14:paraId="67535B69" w14:textId="77777777" w:rsidR="001B77DD" w:rsidRDefault="00BF0A28">
            <w:pPr>
              <w:textAlignment w:val="bottom"/>
            </w:pPr>
            <w:r>
              <w:rPr>
                <w:rFonts w:ascii="Arial" w:eastAsia="宋体" w:hAnsi="Arial" w:cs="Arial"/>
                <w:b/>
                <w:bCs/>
                <w:color w:val="262626"/>
                <w:sz w:val="18"/>
                <w:szCs w:val="18"/>
              </w:rPr>
              <w:t>Other long-term investments</w:t>
            </w:r>
          </w:p>
        </w:tc>
        <w:tc>
          <w:tcPr>
            <w:tcW w:w="0" w:type="auto"/>
            <w:gridSpan w:val="3"/>
            <w:shd w:val="clear" w:color="auto" w:fill="auto"/>
            <w:tcMar>
              <w:top w:w="0" w:type="dxa"/>
              <w:left w:w="20" w:type="dxa"/>
              <w:bottom w:w="0" w:type="dxa"/>
              <w:right w:w="20" w:type="dxa"/>
            </w:tcMar>
            <w:vAlign w:val="bottom"/>
          </w:tcPr>
          <w:p w14:paraId="67535B6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6B" w14:textId="77777777" w:rsidR="001B77DD" w:rsidRDefault="00BF0A28">
            <w:pPr>
              <w:jc w:val="right"/>
              <w:textAlignment w:val="bottom"/>
            </w:pPr>
            <w:r>
              <w:rPr>
                <w:rFonts w:ascii="Arial" w:eastAsia="宋体" w:hAnsi="Arial" w:cs="Arial"/>
                <w:b/>
                <w:bCs/>
                <w:color w:val="0068B5"/>
                <w:sz w:val="18"/>
                <w:szCs w:val="18"/>
              </w:rPr>
              <w:t>840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6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6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6E" w14:textId="77777777" w:rsidR="001B77DD" w:rsidRDefault="00BF0A28">
            <w:pPr>
              <w:jc w:val="right"/>
              <w:textAlignment w:val="bottom"/>
            </w:pPr>
            <w:r>
              <w:rPr>
                <w:rFonts w:ascii="Arial" w:eastAsia="宋体" w:hAnsi="Arial" w:cs="Arial"/>
                <w:b/>
                <w:bCs/>
                <w:color w:val="262626"/>
                <w:sz w:val="18"/>
                <w:szCs w:val="18"/>
              </w:rPr>
              <w:t>2,192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6F" w14:textId="77777777" w:rsidR="001B77DD" w:rsidRDefault="001B77DD">
            <w:pPr>
              <w:jc w:val="right"/>
              <w:rPr>
                <w:rFonts w:ascii="宋体"/>
              </w:rPr>
            </w:pPr>
          </w:p>
        </w:tc>
      </w:tr>
      <w:tr w:rsidR="001B77DD" w14:paraId="67535B78" w14:textId="77777777">
        <w:tc>
          <w:tcPr>
            <w:tcW w:w="0" w:type="auto"/>
            <w:gridSpan w:val="3"/>
            <w:shd w:val="clear" w:color="auto" w:fill="auto"/>
            <w:tcMar>
              <w:top w:w="40" w:type="dxa"/>
              <w:left w:w="20" w:type="dxa"/>
              <w:bottom w:w="40" w:type="dxa"/>
              <w:right w:w="20" w:type="dxa"/>
            </w:tcMar>
            <w:vAlign w:val="bottom"/>
          </w:tcPr>
          <w:p w14:paraId="67535B71" w14:textId="77777777" w:rsidR="001B77DD" w:rsidRDefault="00BF0A28">
            <w:pPr>
              <w:textAlignment w:val="bottom"/>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vAlign w:val="bottom"/>
          </w:tcPr>
          <w:p w14:paraId="67535B7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73" w14:textId="77777777" w:rsidR="001B77DD" w:rsidRDefault="00BF0A28">
            <w:pPr>
              <w:jc w:val="right"/>
              <w:textAlignment w:val="bottom"/>
            </w:pPr>
            <w:r>
              <w:rPr>
                <w:rFonts w:ascii="Arial" w:eastAsia="宋体" w:hAnsi="Arial" w:cs="Arial"/>
                <w:b/>
                <w:bCs/>
                <w:color w:val="0068B5"/>
                <w:sz w:val="18"/>
                <w:szCs w:val="18"/>
              </w:rPr>
              <w:t>26,963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7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7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76" w14:textId="77777777" w:rsidR="001B77DD" w:rsidRDefault="00BF0A28">
            <w:pPr>
              <w:jc w:val="right"/>
              <w:textAlignment w:val="bottom"/>
            </w:pPr>
            <w:r>
              <w:rPr>
                <w:rFonts w:ascii="Arial" w:eastAsia="宋体" w:hAnsi="Arial" w:cs="Arial"/>
                <w:b/>
                <w:bCs/>
                <w:color w:val="262626"/>
                <w:sz w:val="18"/>
                <w:szCs w:val="18"/>
              </w:rPr>
              <w:t>26,971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77" w14:textId="77777777" w:rsidR="001B77DD" w:rsidRDefault="001B77DD">
            <w:pPr>
              <w:jc w:val="right"/>
              <w:rPr>
                <w:rFonts w:ascii="宋体"/>
              </w:rPr>
            </w:pPr>
          </w:p>
        </w:tc>
      </w:tr>
      <w:tr w:rsidR="001B77DD" w14:paraId="67535B80" w14:textId="77777777">
        <w:tc>
          <w:tcPr>
            <w:tcW w:w="0" w:type="auto"/>
            <w:gridSpan w:val="3"/>
            <w:shd w:val="clear" w:color="auto" w:fill="auto"/>
            <w:tcMar>
              <w:top w:w="40" w:type="dxa"/>
              <w:left w:w="20" w:type="dxa"/>
              <w:bottom w:w="40" w:type="dxa"/>
              <w:right w:w="20" w:type="dxa"/>
            </w:tcMar>
            <w:vAlign w:val="bottom"/>
          </w:tcPr>
          <w:p w14:paraId="67535B79" w14:textId="77777777" w:rsidR="001B77DD" w:rsidRDefault="00BF0A28">
            <w:pPr>
              <w:textAlignment w:val="bottom"/>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vAlign w:val="bottom"/>
          </w:tcPr>
          <w:p w14:paraId="67535B7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7B" w14:textId="77777777" w:rsidR="001B77DD" w:rsidRDefault="00BF0A28">
            <w:pPr>
              <w:jc w:val="right"/>
              <w:textAlignment w:val="bottom"/>
            </w:pPr>
            <w:r>
              <w:rPr>
                <w:rFonts w:ascii="Arial" w:eastAsia="宋体" w:hAnsi="Arial" w:cs="Arial"/>
                <w:b/>
                <w:bCs/>
                <w:color w:val="0068B5"/>
                <w:sz w:val="18"/>
                <w:szCs w:val="18"/>
              </w:rPr>
              <w:t>7,270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7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7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7E" w14:textId="77777777" w:rsidR="001B77DD" w:rsidRDefault="00BF0A28">
            <w:pPr>
              <w:jc w:val="right"/>
              <w:textAlignment w:val="bottom"/>
            </w:pPr>
            <w:r>
              <w:rPr>
                <w:rFonts w:ascii="Arial" w:eastAsia="宋体" w:hAnsi="Arial" w:cs="Arial"/>
                <w:b/>
                <w:bCs/>
                <w:color w:val="262626"/>
                <w:sz w:val="18"/>
                <w:szCs w:val="18"/>
              </w:rPr>
              <w:t>9,026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7F" w14:textId="77777777" w:rsidR="001B77DD" w:rsidRDefault="001B77DD">
            <w:pPr>
              <w:jc w:val="right"/>
              <w:rPr>
                <w:rFonts w:ascii="宋体"/>
              </w:rPr>
            </w:pPr>
          </w:p>
        </w:tc>
      </w:tr>
      <w:tr w:rsidR="001B77DD" w14:paraId="67535B88" w14:textId="77777777">
        <w:tc>
          <w:tcPr>
            <w:tcW w:w="0" w:type="auto"/>
            <w:gridSpan w:val="3"/>
            <w:shd w:val="clear" w:color="auto" w:fill="auto"/>
            <w:tcMar>
              <w:top w:w="40" w:type="dxa"/>
              <w:left w:w="20" w:type="dxa"/>
              <w:bottom w:w="40" w:type="dxa"/>
              <w:right w:w="20" w:type="dxa"/>
            </w:tcMar>
            <w:vAlign w:val="bottom"/>
          </w:tcPr>
          <w:p w14:paraId="67535B81" w14:textId="77777777" w:rsidR="001B77DD" w:rsidRDefault="00BF0A28">
            <w:pPr>
              <w:textAlignment w:val="bottom"/>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67535B8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83" w14:textId="77777777" w:rsidR="001B77DD" w:rsidRDefault="00BF0A28">
            <w:pPr>
              <w:jc w:val="right"/>
              <w:textAlignment w:val="bottom"/>
            </w:pPr>
            <w:r>
              <w:rPr>
                <w:rFonts w:ascii="Arial" w:eastAsia="宋体" w:hAnsi="Arial" w:cs="Arial"/>
                <w:b/>
                <w:bCs/>
                <w:color w:val="0068B5"/>
                <w:sz w:val="18"/>
                <w:szCs w:val="18"/>
              </w:rPr>
              <w:t>6,072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8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8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86" w14:textId="77777777" w:rsidR="001B77DD" w:rsidRDefault="00BF0A28">
            <w:pPr>
              <w:jc w:val="right"/>
              <w:textAlignment w:val="bottom"/>
            </w:pPr>
            <w:r>
              <w:rPr>
                <w:rFonts w:ascii="Arial" w:eastAsia="宋体" w:hAnsi="Arial" w:cs="Arial"/>
                <w:b/>
                <w:bCs/>
                <w:color w:val="262626"/>
                <w:sz w:val="18"/>
                <w:szCs w:val="18"/>
              </w:rPr>
              <w:t>5,917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87" w14:textId="77777777" w:rsidR="001B77DD" w:rsidRDefault="001B77DD">
            <w:pPr>
              <w:jc w:val="right"/>
              <w:rPr>
                <w:rFonts w:ascii="宋体"/>
              </w:rPr>
            </w:pPr>
          </w:p>
        </w:tc>
      </w:tr>
      <w:tr w:rsidR="001B77DD" w14:paraId="67535B92" w14:textId="77777777">
        <w:tc>
          <w:tcPr>
            <w:tcW w:w="0" w:type="auto"/>
            <w:gridSpan w:val="3"/>
            <w:shd w:val="clear" w:color="auto" w:fill="auto"/>
            <w:tcMar>
              <w:top w:w="40" w:type="dxa"/>
              <w:left w:w="35" w:type="dxa"/>
              <w:bottom w:w="40" w:type="dxa"/>
              <w:right w:w="20" w:type="dxa"/>
            </w:tcMar>
            <w:vAlign w:val="bottom"/>
          </w:tcPr>
          <w:p w14:paraId="67535B89" w14:textId="77777777" w:rsidR="001B77DD" w:rsidRDefault="00BF0A28">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67535B8A"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B8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B8C" w14:textId="77777777" w:rsidR="001B77DD" w:rsidRDefault="00BF0A28">
            <w:pPr>
              <w:jc w:val="right"/>
              <w:textAlignment w:val="bottom"/>
            </w:pPr>
            <w:r>
              <w:rPr>
                <w:rFonts w:ascii="Arial" w:eastAsia="宋体" w:hAnsi="Arial" w:cs="Arial"/>
                <w:b/>
                <w:bCs/>
                <w:color w:val="0068B5"/>
                <w:sz w:val="18"/>
                <w:szCs w:val="18"/>
              </w:rPr>
              <w:t>168,406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B8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8E"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B8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B90" w14:textId="77777777" w:rsidR="001B77DD" w:rsidRDefault="00BF0A28">
            <w:pPr>
              <w:jc w:val="right"/>
              <w:textAlignment w:val="bottom"/>
            </w:pPr>
            <w:r>
              <w:rPr>
                <w:rFonts w:ascii="Arial" w:eastAsia="宋体" w:hAnsi="Arial" w:cs="Arial"/>
                <w:b/>
                <w:bCs/>
                <w:color w:val="262626"/>
                <w:sz w:val="18"/>
                <w:szCs w:val="18"/>
              </w:rPr>
              <w:t>153,091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B91" w14:textId="77777777" w:rsidR="001B77DD" w:rsidRDefault="001B77DD">
            <w:pPr>
              <w:jc w:val="right"/>
              <w:rPr>
                <w:rFonts w:ascii="宋体"/>
              </w:rPr>
            </w:pPr>
          </w:p>
        </w:tc>
      </w:tr>
      <w:tr w:rsidR="001B77DD" w14:paraId="67535B98" w14:textId="77777777">
        <w:trPr>
          <w:trHeight w:val="180"/>
        </w:trPr>
        <w:tc>
          <w:tcPr>
            <w:tcW w:w="0" w:type="auto"/>
            <w:gridSpan w:val="3"/>
            <w:shd w:val="clear" w:color="auto" w:fill="auto"/>
            <w:tcMar>
              <w:top w:w="0" w:type="dxa"/>
              <w:left w:w="20" w:type="dxa"/>
              <w:bottom w:w="0" w:type="dxa"/>
              <w:right w:w="20" w:type="dxa"/>
            </w:tcMar>
            <w:vAlign w:val="bottom"/>
          </w:tcPr>
          <w:p w14:paraId="67535B9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94"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B9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96"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B97" w14:textId="77777777" w:rsidR="001B77DD" w:rsidRDefault="001B77DD">
            <w:pPr>
              <w:rPr>
                <w:rFonts w:ascii="宋体"/>
              </w:rPr>
            </w:pPr>
          </w:p>
        </w:tc>
      </w:tr>
      <w:tr w:rsidR="001B77DD" w14:paraId="67535B9E" w14:textId="77777777">
        <w:tc>
          <w:tcPr>
            <w:tcW w:w="0" w:type="auto"/>
            <w:gridSpan w:val="3"/>
            <w:shd w:val="clear" w:color="auto" w:fill="auto"/>
            <w:tcMar>
              <w:top w:w="40" w:type="dxa"/>
              <w:left w:w="20" w:type="dxa"/>
              <w:bottom w:w="40" w:type="dxa"/>
              <w:right w:w="20" w:type="dxa"/>
            </w:tcMar>
            <w:vAlign w:val="bottom"/>
          </w:tcPr>
          <w:p w14:paraId="67535B99" w14:textId="77777777" w:rsidR="001B77DD" w:rsidRDefault="00BF0A28">
            <w:pPr>
              <w:textAlignment w:val="bottom"/>
            </w:pPr>
            <w:r>
              <w:rPr>
                <w:rFonts w:ascii="Arial" w:eastAsia="宋体" w:hAnsi="Arial" w:cs="Arial"/>
                <w:b/>
                <w:bCs/>
                <w:color w:val="262626"/>
                <w:sz w:val="18"/>
                <w:szCs w:val="18"/>
              </w:rPr>
              <w:t>Liabilities and stockholders' equity</w:t>
            </w:r>
          </w:p>
        </w:tc>
        <w:tc>
          <w:tcPr>
            <w:tcW w:w="0" w:type="auto"/>
            <w:gridSpan w:val="3"/>
            <w:shd w:val="clear" w:color="auto" w:fill="auto"/>
            <w:tcMar>
              <w:top w:w="0" w:type="dxa"/>
              <w:left w:w="20" w:type="dxa"/>
              <w:bottom w:w="0" w:type="dxa"/>
              <w:right w:w="20" w:type="dxa"/>
            </w:tcMar>
            <w:vAlign w:val="bottom"/>
          </w:tcPr>
          <w:p w14:paraId="67535B9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9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9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9D" w14:textId="77777777" w:rsidR="001B77DD" w:rsidRDefault="001B77DD">
            <w:pPr>
              <w:rPr>
                <w:rFonts w:ascii="宋体"/>
              </w:rPr>
            </w:pPr>
          </w:p>
        </w:tc>
      </w:tr>
      <w:tr w:rsidR="001B77DD" w14:paraId="67535BA4" w14:textId="77777777">
        <w:tc>
          <w:tcPr>
            <w:tcW w:w="0" w:type="auto"/>
            <w:gridSpan w:val="3"/>
            <w:shd w:val="clear" w:color="auto" w:fill="auto"/>
            <w:tcMar>
              <w:top w:w="40" w:type="dxa"/>
              <w:left w:w="20" w:type="dxa"/>
              <w:bottom w:w="40" w:type="dxa"/>
              <w:right w:w="20" w:type="dxa"/>
            </w:tcMar>
            <w:vAlign w:val="bottom"/>
          </w:tcPr>
          <w:p w14:paraId="67535B9F" w14:textId="77777777" w:rsidR="001B77DD" w:rsidRDefault="00BF0A28">
            <w:pPr>
              <w:textAlignment w:val="bottom"/>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67535BA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A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A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A3" w14:textId="77777777" w:rsidR="001B77DD" w:rsidRDefault="001B77DD">
            <w:pPr>
              <w:rPr>
                <w:rFonts w:ascii="宋体"/>
              </w:rPr>
            </w:pPr>
          </w:p>
        </w:tc>
      </w:tr>
      <w:tr w:rsidR="001B77DD" w14:paraId="67535BAE" w14:textId="77777777">
        <w:tc>
          <w:tcPr>
            <w:tcW w:w="0" w:type="auto"/>
            <w:gridSpan w:val="3"/>
            <w:shd w:val="clear" w:color="auto" w:fill="auto"/>
            <w:tcMar>
              <w:top w:w="40" w:type="dxa"/>
              <w:left w:w="155" w:type="dxa"/>
              <w:bottom w:w="40" w:type="dxa"/>
              <w:right w:w="20" w:type="dxa"/>
            </w:tcMar>
            <w:vAlign w:val="bottom"/>
          </w:tcPr>
          <w:p w14:paraId="67535BA5" w14:textId="77777777" w:rsidR="001B77DD" w:rsidRDefault="00BF0A28">
            <w:pPr>
              <w:textAlignment w:val="bottom"/>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vAlign w:val="bottom"/>
          </w:tcPr>
          <w:p w14:paraId="67535BA6"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BA7"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5BA8" w14:textId="77777777" w:rsidR="001B77DD" w:rsidRDefault="00BF0A28">
            <w:pPr>
              <w:jc w:val="right"/>
              <w:textAlignment w:val="bottom"/>
            </w:pPr>
            <w:r>
              <w:rPr>
                <w:rFonts w:ascii="Arial" w:eastAsia="宋体" w:hAnsi="Arial" w:cs="Arial"/>
                <w:color w:val="0068B5"/>
                <w:sz w:val="18"/>
                <w:szCs w:val="18"/>
              </w:rPr>
              <w:t>4,591 </w:t>
            </w:r>
          </w:p>
        </w:tc>
        <w:tc>
          <w:tcPr>
            <w:tcW w:w="0" w:type="auto"/>
            <w:shd w:val="clear" w:color="auto" w:fill="auto"/>
            <w:tcMar>
              <w:top w:w="40" w:type="dxa"/>
              <w:left w:w="0" w:type="dxa"/>
              <w:bottom w:w="40" w:type="dxa"/>
              <w:right w:w="20" w:type="dxa"/>
            </w:tcMar>
            <w:vAlign w:val="bottom"/>
          </w:tcPr>
          <w:p w14:paraId="67535BA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AA"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BAB"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BAC" w14:textId="77777777" w:rsidR="001B77DD" w:rsidRDefault="00BF0A28">
            <w:pPr>
              <w:jc w:val="right"/>
              <w:textAlignment w:val="bottom"/>
            </w:pPr>
            <w:r>
              <w:rPr>
                <w:rFonts w:ascii="Arial" w:eastAsia="宋体" w:hAnsi="Arial" w:cs="Arial"/>
                <w:color w:val="262626"/>
                <w:sz w:val="18"/>
                <w:szCs w:val="18"/>
              </w:rPr>
              <w:t>2,504 </w:t>
            </w:r>
          </w:p>
        </w:tc>
        <w:tc>
          <w:tcPr>
            <w:tcW w:w="0" w:type="auto"/>
            <w:shd w:val="clear" w:color="auto" w:fill="auto"/>
            <w:tcMar>
              <w:top w:w="40" w:type="dxa"/>
              <w:left w:w="0" w:type="dxa"/>
              <w:bottom w:w="40" w:type="dxa"/>
              <w:right w:w="20" w:type="dxa"/>
            </w:tcMar>
            <w:vAlign w:val="bottom"/>
          </w:tcPr>
          <w:p w14:paraId="67535BAD" w14:textId="77777777" w:rsidR="001B77DD" w:rsidRDefault="001B77DD">
            <w:pPr>
              <w:jc w:val="right"/>
              <w:rPr>
                <w:rFonts w:ascii="宋体"/>
              </w:rPr>
            </w:pPr>
          </w:p>
        </w:tc>
      </w:tr>
      <w:tr w:rsidR="001B77DD" w14:paraId="67535BB6" w14:textId="77777777">
        <w:tc>
          <w:tcPr>
            <w:tcW w:w="0" w:type="auto"/>
            <w:gridSpan w:val="3"/>
            <w:shd w:val="clear" w:color="auto" w:fill="auto"/>
            <w:tcMar>
              <w:top w:w="40" w:type="dxa"/>
              <w:left w:w="155" w:type="dxa"/>
              <w:bottom w:w="40" w:type="dxa"/>
              <w:right w:w="20" w:type="dxa"/>
            </w:tcMar>
            <w:vAlign w:val="bottom"/>
          </w:tcPr>
          <w:p w14:paraId="67535BAF" w14:textId="77777777" w:rsidR="001B77DD" w:rsidRDefault="00BF0A28">
            <w:pPr>
              <w:textAlignment w:val="bottom"/>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67535BB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B1" w14:textId="77777777" w:rsidR="001B77DD" w:rsidRDefault="00BF0A28">
            <w:pPr>
              <w:jc w:val="right"/>
              <w:textAlignment w:val="bottom"/>
            </w:pPr>
            <w:r>
              <w:rPr>
                <w:rFonts w:ascii="Arial" w:eastAsia="宋体" w:hAnsi="Arial" w:cs="Arial"/>
                <w:color w:val="0068B5"/>
                <w:sz w:val="18"/>
                <w:szCs w:val="18"/>
              </w:rPr>
              <w:t>5,747 </w:t>
            </w:r>
          </w:p>
        </w:tc>
        <w:tc>
          <w:tcPr>
            <w:tcW w:w="0" w:type="auto"/>
            <w:shd w:val="clear" w:color="auto" w:fill="auto"/>
            <w:tcMar>
              <w:top w:w="40" w:type="dxa"/>
              <w:left w:w="0" w:type="dxa"/>
              <w:bottom w:w="40" w:type="dxa"/>
              <w:right w:w="20" w:type="dxa"/>
            </w:tcMar>
            <w:vAlign w:val="bottom"/>
          </w:tcPr>
          <w:p w14:paraId="67535BB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B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B4" w14:textId="77777777" w:rsidR="001B77DD" w:rsidRDefault="00BF0A28">
            <w:pPr>
              <w:jc w:val="right"/>
              <w:textAlignment w:val="bottom"/>
            </w:pPr>
            <w:r>
              <w:rPr>
                <w:rFonts w:ascii="Arial" w:eastAsia="宋体" w:hAnsi="Arial" w:cs="Arial"/>
                <w:color w:val="262626"/>
                <w:sz w:val="18"/>
                <w:szCs w:val="18"/>
              </w:rPr>
              <w:t>5,581 </w:t>
            </w:r>
          </w:p>
        </w:tc>
        <w:tc>
          <w:tcPr>
            <w:tcW w:w="0" w:type="auto"/>
            <w:shd w:val="clear" w:color="auto" w:fill="auto"/>
            <w:tcMar>
              <w:top w:w="40" w:type="dxa"/>
              <w:left w:w="0" w:type="dxa"/>
              <w:bottom w:w="40" w:type="dxa"/>
              <w:right w:w="20" w:type="dxa"/>
            </w:tcMar>
            <w:vAlign w:val="bottom"/>
          </w:tcPr>
          <w:p w14:paraId="67535BB5" w14:textId="77777777" w:rsidR="001B77DD" w:rsidRDefault="001B77DD">
            <w:pPr>
              <w:jc w:val="right"/>
              <w:rPr>
                <w:rFonts w:ascii="宋体"/>
              </w:rPr>
            </w:pPr>
          </w:p>
        </w:tc>
      </w:tr>
      <w:tr w:rsidR="001B77DD" w14:paraId="67535BBE" w14:textId="77777777">
        <w:tc>
          <w:tcPr>
            <w:tcW w:w="0" w:type="auto"/>
            <w:gridSpan w:val="3"/>
            <w:shd w:val="clear" w:color="auto" w:fill="auto"/>
            <w:tcMar>
              <w:top w:w="40" w:type="dxa"/>
              <w:left w:w="155" w:type="dxa"/>
              <w:bottom w:w="40" w:type="dxa"/>
              <w:right w:w="20" w:type="dxa"/>
            </w:tcMar>
            <w:vAlign w:val="bottom"/>
          </w:tcPr>
          <w:p w14:paraId="67535BB7" w14:textId="77777777" w:rsidR="001B77DD" w:rsidRDefault="00BF0A28">
            <w:pPr>
              <w:textAlignment w:val="bottom"/>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67535BB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B9" w14:textId="77777777" w:rsidR="001B77DD" w:rsidRDefault="00BF0A28">
            <w:pPr>
              <w:jc w:val="right"/>
              <w:textAlignment w:val="bottom"/>
            </w:pPr>
            <w:r>
              <w:rPr>
                <w:rFonts w:ascii="Arial" w:eastAsia="宋体" w:hAnsi="Arial" w:cs="Arial"/>
                <w:color w:val="0068B5"/>
                <w:sz w:val="18"/>
                <w:szCs w:val="18"/>
              </w:rPr>
              <w:t>4,535 </w:t>
            </w:r>
          </w:p>
        </w:tc>
        <w:tc>
          <w:tcPr>
            <w:tcW w:w="0" w:type="auto"/>
            <w:shd w:val="clear" w:color="auto" w:fill="auto"/>
            <w:tcMar>
              <w:top w:w="40" w:type="dxa"/>
              <w:left w:w="0" w:type="dxa"/>
              <w:bottom w:w="40" w:type="dxa"/>
              <w:right w:w="20" w:type="dxa"/>
            </w:tcMar>
            <w:vAlign w:val="bottom"/>
          </w:tcPr>
          <w:p w14:paraId="67535BB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B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BC" w14:textId="77777777" w:rsidR="001B77DD" w:rsidRDefault="00BF0A28">
            <w:pPr>
              <w:jc w:val="right"/>
              <w:textAlignment w:val="bottom"/>
            </w:pPr>
            <w:r>
              <w:rPr>
                <w:rFonts w:ascii="Arial" w:eastAsia="宋体" w:hAnsi="Arial" w:cs="Arial"/>
                <w:color w:val="262626"/>
                <w:sz w:val="18"/>
                <w:szCs w:val="18"/>
              </w:rPr>
              <w:t>3,999 </w:t>
            </w:r>
          </w:p>
        </w:tc>
        <w:tc>
          <w:tcPr>
            <w:tcW w:w="0" w:type="auto"/>
            <w:shd w:val="clear" w:color="auto" w:fill="auto"/>
            <w:tcMar>
              <w:top w:w="40" w:type="dxa"/>
              <w:left w:w="0" w:type="dxa"/>
              <w:bottom w:w="40" w:type="dxa"/>
              <w:right w:w="20" w:type="dxa"/>
            </w:tcMar>
            <w:vAlign w:val="bottom"/>
          </w:tcPr>
          <w:p w14:paraId="67535BBD" w14:textId="77777777" w:rsidR="001B77DD" w:rsidRDefault="001B77DD">
            <w:pPr>
              <w:jc w:val="right"/>
              <w:rPr>
                <w:rFonts w:ascii="宋体"/>
              </w:rPr>
            </w:pPr>
          </w:p>
        </w:tc>
      </w:tr>
      <w:tr w:rsidR="001B77DD" w14:paraId="67535BC4" w14:textId="77777777">
        <w:trPr>
          <w:hidden/>
        </w:trPr>
        <w:tc>
          <w:tcPr>
            <w:tcW w:w="0" w:type="auto"/>
            <w:gridSpan w:val="3"/>
            <w:shd w:val="clear" w:color="auto" w:fill="auto"/>
            <w:vAlign w:val="bottom"/>
          </w:tcPr>
          <w:p w14:paraId="67535BBF" w14:textId="77777777" w:rsidR="001B77DD" w:rsidRDefault="001B77DD">
            <w:pPr>
              <w:rPr>
                <w:rFonts w:ascii="宋体"/>
                <w:vanish/>
              </w:rPr>
            </w:pPr>
          </w:p>
        </w:tc>
        <w:tc>
          <w:tcPr>
            <w:tcW w:w="0" w:type="auto"/>
            <w:gridSpan w:val="3"/>
            <w:shd w:val="clear" w:color="auto" w:fill="auto"/>
            <w:vAlign w:val="bottom"/>
          </w:tcPr>
          <w:p w14:paraId="67535BC0" w14:textId="77777777" w:rsidR="001B77DD" w:rsidRDefault="001B77DD">
            <w:pPr>
              <w:rPr>
                <w:rFonts w:ascii="宋体"/>
                <w:vanish/>
              </w:rPr>
            </w:pPr>
          </w:p>
        </w:tc>
        <w:tc>
          <w:tcPr>
            <w:tcW w:w="0" w:type="auto"/>
            <w:gridSpan w:val="3"/>
            <w:shd w:val="clear" w:color="auto" w:fill="auto"/>
            <w:vAlign w:val="bottom"/>
          </w:tcPr>
          <w:p w14:paraId="67535BC1" w14:textId="77777777" w:rsidR="001B77DD" w:rsidRDefault="001B77DD">
            <w:pPr>
              <w:rPr>
                <w:rFonts w:ascii="宋体"/>
                <w:vanish/>
              </w:rPr>
            </w:pPr>
          </w:p>
        </w:tc>
        <w:tc>
          <w:tcPr>
            <w:tcW w:w="0" w:type="auto"/>
            <w:gridSpan w:val="3"/>
            <w:shd w:val="clear" w:color="auto" w:fill="auto"/>
            <w:vAlign w:val="bottom"/>
          </w:tcPr>
          <w:p w14:paraId="67535BC2" w14:textId="77777777" w:rsidR="001B77DD" w:rsidRDefault="001B77DD">
            <w:pPr>
              <w:rPr>
                <w:rFonts w:ascii="宋体"/>
                <w:vanish/>
              </w:rPr>
            </w:pPr>
          </w:p>
        </w:tc>
        <w:tc>
          <w:tcPr>
            <w:tcW w:w="0" w:type="auto"/>
            <w:gridSpan w:val="3"/>
            <w:shd w:val="clear" w:color="auto" w:fill="auto"/>
            <w:vAlign w:val="bottom"/>
          </w:tcPr>
          <w:p w14:paraId="67535BC3" w14:textId="77777777" w:rsidR="001B77DD" w:rsidRDefault="001B77DD">
            <w:pPr>
              <w:rPr>
                <w:rFonts w:ascii="宋体"/>
                <w:vanish/>
              </w:rPr>
            </w:pPr>
          </w:p>
        </w:tc>
      </w:tr>
      <w:tr w:rsidR="001B77DD" w14:paraId="67535BCA" w14:textId="77777777">
        <w:trPr>
          <w:hidden/>
        </w:trPr>
        <w:tc>
          <w:tcPr>
            <w:tcW w:w="0" w:type="auto"/>
            <w:gridSpan w:val="3"/>
            <w:shd w:val="clear" w:color="auto" w:fill="auto"/>
            <w:vAlign w:val="bottom"/>
          </w:tcPr>
          <w:p w14:paraId="67535BC5" w14:textId="77777777" w:rsidR="001B77DD" w:rsidRDefault="001B77DD">
            <w:pPr>
              <w:rPr>
                <w:rFonts w:ascii="宋体"/>
                <w:vanish/>
              </w:rPr>
            </w:pPr>
          </w:p>
        </w:tc>
        <w:tc>
          <w:tcPr>
            <w:tcW w:w="0" w:type="auto"/>
            <w:gridSpan w:val="3"/>
            <w:shd w:val="clear" w:color="auto" w:fill="auto"/>
            <w:vAlign w:val="bottom"/>
          </w:tcPr>
          <w:p w14:paraId="67535BC6" w14:textId="77777777" w:rsidR="001B77DD" w:rsidRDefault="001B77DD">
            <w:pPr>
              <w:rPr>
                <w:rFonts w:ascii="宋体"/>
                <w:vanish/>
              </w:rPr>
            </w:pPr>
          </w:p>
        </w:tc>
        <w:tc>
          <w:tcPr>
            <w:tcW w:w="0" w:type="auto"/>
            <w:gridSpan w:val="3"/>
            <w:shd w:val="clear" w:color="auto" w:fill="auto"/>
            <w:vAlign w:val="bottom"/>
          </w:tcPr>
          <w:p w14:paraId="67535BC7" w14:textId="77777777" w:rsidR="001B77DD" w:rsidRDefault="001B77DD">
            <w:pPr>
              <w:rPr>
                <w:rFonts w:ascii="宋体"/>
                <w:vanish/>
              </w:rPr>
            </w:pPr>
          </w:p>
        </w:tc>
        <w:tc>
          <w:tcPr>
            <w:tcW w:w="0" w:type="auto"/>
            <w:gridSpan w:val="3"/>
            <w:shd w:val="clear" w:color="auto" w:fill="auto"/>
            <w:vAlign w:val="bottom"/>
          </w:tcPr>
          <w:p w14:paraId="67535BC8" w14:textId="77777777" w:rsidR="001B77DD" w:rsidRDefault="001B77DD">
            <w:pPr>
              <w:rPr>
                <w:rFonts w:ascii="宋体"/>
                <w:vanish/>
              </w:rPr>
            </w:pPr>
          </w:p>
        </w:tc>
        <w:tc>
          <w:tcPr>
            <w:tcW w:w="0" w:type="auto"/>
            <w:gridSpan w:val="3"/>
            <w:shd w:val="clear" w:color="auto" w:fill="auto"/>
            <w:vAlign w:val="bottom"/>
          </w:tcPr>
          <w:p w14:paraId="67535BC9" w14:textId="77777777" w:rsidR="001B77DD" w:rsidRDefault="001B77DD">
            <w:pPr>
              <w:rPr>
                <w:rFonts w:ascii="宋体"/>
                <w:vanish/>
              </w:rPr>
            </w:pPr>
          </w:p>
        </w:tc>
      </w:tr>
      <w:tr w:rsidR="001B77DD" w14:paraId="67535BD0" w14:textId="77777777">
        <w:trPr>
          <w:hidden/>
        </w:trPr>
        <w:tc>
          <w:tcPr>
            <w:tcW w:w="0" w:type="auto"/>
            <w:gridSpan w:val="3"/>
            <w:shd w:val="clear" w:color="auto" w:fill="auto"/>
            <w:vAlign w:val="bottom"/>
          </w:tcPr>
          <w:p w14:paraId="67535BCB" w14:textId="77777777" w:rsidR="001B77DD" w:rsidRDefault="001B77DD">
            <w:pPr>
              <w:rPr>
                <w:rFonts w:ascii="宋体"/>
                <w:vanish/>
              </w:rPr>
            </w:pPr>
          </w:p>
        </w:tc>
        <w:tc>
          <w:tcPr>
            <w:tcW w:w="0" w:type="auto"/>
            <w:gridSpan w:val="3"/>
            <w:shd w:val="clear" w:color="auto" w:fill="auto"/>
            <w:vAlign w:val="bottom"/>
          </w:tcPr>
          <w:p w14:paraId="67535BCC" w14:textId="77777777" w:rsidR="001B77DD" w:rsidRDefault="001B77DD">
            <w:pPr>
              <w:rPr>
                <w:rFonts w:ascii="宋体"/>
                <w:vanish/>
              </w:rPr>
            </w:pPr>
          </w:p>
        </w:tc>
        <w:tc>
          <w:tcPr>
            <w:tcW w:w="0" w:type="auto"/>
            <w:gridSpan w:val="3"/>
            <w:shd w:val="clear" w:color="auto" w:fill="auto"/>
            <w:vAlign w:val="bottom"/>
          </w:tcPr>
          <w:p w14:paraId="67535BCD" w14:textId="77777777" w:rsidR="001B77DD" w:rsidRDefault="001B77DD">
            <w:pPr>
              <w:rPr>
                <w:rFonts w:ascii="宋体"/>
                <w:vanish/>
              </w:rPr>
            </w:pPr>
          </w:p>
        </w:tc>
        <w:tc>
          <w:tcPr>
            <w:tcW w:w="0" w:type="auto"/>
            <w:gridSpan w:val="3"/>
            <w:shd w:val="clear" w:color="auto" w:fill="auto"/>
            <w:vAlign w:val="bottom"/>
          </w:tcPr>
          <w:p w14:paraId="67535BCE" w14:textId="77777777" w:rsidR="001B77DD" w:rsidRDefault="001B77DD">
            <w:pPr>
              <w:rPr>
                <w:rFonts w:ascii="宋体"/>
                <w:vanish/>
              </w:rPr>
            </w:pPr>
          </w:p>
        </w:tc>
        <w:tc>
          <w:tcPr>
            <w:tcW w:w="0" w:type="auto"/>
            <w:gridSpan w:val="3"/>
            <w:shd w:val="clear" w:color="auto" w:fill="auto"/>
            <w:vAlign w:val="bottom"/>
          </w:tcPr>
          <w:p w14:paraId="67535BCF" w14:textId="77777777" w:rsidR="001B77DD" w:rsidRDefault="001B77DD">
            <w:pPr>
              <w:rPr>
                <w:rFonts w:ascii="宋体"/>
                <w:vanish/>
              </w:rPr>
            </w:pPr>
          </w:p>
        </w:tc>
      </w:tr>
      <w:tr w:rsidR="001B77DD" w14:paraId="67535BD8" w14:textId="77777777">
        <w:tc>
          <w:tcPr>
            <w:tcW w:w="0" w:type="auto"/>
            <w:gridSpan w:val="3"/>
            <w:shd w:val="clear" w:color="auto" w:fill="auto"/>
            <w:tcMar>
              <w:top w:w="40" w:type="dxa"/>
              <w:left w:w="155" w:type="dxa"/>
              <w:bottom w:w="40" w:type="dxa"/>
              <w:right w:w="20" w:type="dxa"/>
            </w:tcMar>
            <w:vAlign w:val="bottom"/>
          </w:tcPr>
          <w:p w14:paraId="67535BD1" w14:textId="77777777" w:rsidR="001B77DD" w:rsidRDefault="00BF0A28">
            <w:pPr>
              <w:textAlignment w:val="bottom"/>
            </w:pPr>
            <w:r>
              <w:rPr>
                <w:rFonts w:ascii="Arial" w:eastAsia="宋体" w:hAnsi="Arial" w:cs="Arial"/>
                <w:color w:val="262626"/>
                <w:sz w:val="18"/>
                <w:szCs w:val="18"/>
              </w:rPr>
              <w:t xml:space="preserve">Other accrued </w:t>
            </w: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7535BD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D3" w14:textId="77777777" w:rsidR="001B77DD" w:rsidRDefault="00BF0A28">
            <w:pPr>
              <w:jc w:val="right"/>
              <w:textAlignment w:val="bottom"/>
            </w:pPr>
            <w:r>
              <w:rPr>
                <w:rFonts w:ascii="Arial" w:eastAsia="宋体" w:hAnsi="Arial" w:cs="Arial"/>
                <w:color w:val="0068B5"/>
                <w:sz w:val="18"/>
                <w:szCs w:val="18"/>
              </w:rPr>
              <w:t>12,589 </w:t>
            </w:r>
          </w:p>
        </w:tc>
        <w:tc>
          <w:tcPr>
            <w:tcW w:w="0" w:type="auto"/>
            <w:shd w:val="clear" w:color="auto" w:fill="auto"/>
            <w:tcMar>
              <w:top w:w="40" w:type="dxa"/>
              <w:left w:w="0" w:type="dxa"/>
              <w:bottom w:w="40" w:type="dxa"/>
              <w:right w:w="20" w:type="dxa"/>
            </w:tcMar>
            <w:vAlign w:val="bottom"/>
          </w:tcPr>
          <w:p w14:paraId="67535BD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D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D6" w14:textId="77777777" w:rsidR="001B77DD" w:rsidRDefault="00BF0A28">
            <w:pPr>
              <w:jc w:val="right"/>
              <w:textAlignment w:val="bottom"/>
            </w:pPr>
            <w:r>
              <w:rPr>
                <w:rFonts w:ascii="Arial" w:eastAsia="宋体" w:hAnsi="Arial" w:cs="Arial"/>
                <w:color w:val="262626"/>
                <w:sz w:val="18"/>
                <w:szCs w:val="18"/>
              </w:rPr>
              <w:t>12,670 </w:t>
            </w:r>
          </w:p>
        </w:tc>
        <w:tc>
          <w:tcPr>
            <w:tcW w:w="0" w:type="auto"/>
            <w:shd w:val="clear" w:color="auto" w:fill="auto"/>
            <w:tcMar>
              <w:top w:w="40" w:type="dxa"/>
              <w:left w:w="0" w:type="dxa"/>
              <w:bottom w:w="40" w:type="dxa"/>
              <w:right w:w="20" w:type="dxa"/>
            </w:tcMar>
            <w:vAlign w:val="bottom"/>
          </w:tcPr>
          <w:p w14:paraId="67535BD7" w14:textId="77777777" w:rsidR="001B77DD" w:rsidRDefault="001B77DD">
            <w:pPr>
              <w:jc w:val="right"/>
              <w:rPr>
                <w:rFonts w:ascii="宋体"/>
              </w:rPr>
            </w:pPr>
          </w:p>
        </w:tc>
      </w:tr>
      <w:tr w:rsidR="001B77DD" w14:paraId="67535BE0" w14:textId="77777777">
        <w:tc>
          <w:tcPr>
            <w:tcW w:w="0" w:type="auto"/>
            <w:gridSpan w:val="3"/>
            <w:shd w:val="clear" w:color="auto" w:fill="auto"/>
            <w:tcMar>
              <w:top w:w="40" w:type="dxa"/>
              <w:left w:w="20" w:type="dxa"/>
              <w:bottom w:w="40" w:type="dxa"/>
              <w:right w:w="20" w:type="dxa"/>
            </w:tcMar>
            <w:vAlign w:val="bottom"/>
          </w:tcPr>
          <w:p w14:paraId="67535BD9" w14:textId="77777777" w:rsidR="001B77DD" w:rsidRDefault="00BF0A28">
            <w:pPr>
              <w:textAlignment w:val="bottom"/>
            </w:pPr>
            <w:r>
              <w:rPr>
                <w:rFonts w:ascii="Arial" w:eastAsia="宋体" w:hAnsi="Arial" w:cs="Arial"/>
                <w:b/>
                <w:bCs/>
                <w:color w:val="262626"/>
                <w:sz w:val="18"/>
                <w:szCs w:val="18"/>
              </w:rPr>
              <w:t>Total current liabilities</w:t>
            </w:r>
          </w:p>
        </w:tc>
        <w:tc>
          <w:tcPr>
            <w:tcW w:w="0" w:type="auto"/>
            <w:gridSpan w:val="3"/>
            <w:shd w:val="clear" w:color="auto" w:fill="auto"/>
            <w:tcMar>
              <w:top w:w="0" w:type="dxa"/>
              <w:left w:w="20" w:type="dxa"/>
              <w:bottom w:w="0" w:type="dxa"/>
              <w:right w:w="20" w:type="dxa"/>
            </w:tcMar>
            <w:vAlign w:val="bottom"/>
          </w:tcPr>
          <w:p w14:paraId="67535BDA"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BDB" w14:textId="77777777" w:rsidR="001B77DD" w:rsidRDefault="00BF0A28">
            <w:pPr>
              <w:jc w:val="right"/>
              <w:textAlignment w:val="bottom"/>
            </w:pPr>
            <w:r>
              <w:rPr>
                <w:rFonts w:ascii="Arial" w:eastAsia="宋体" w:hAnsi="Arial" w:cs="Arial"/>
                <w:b/>
                <w:bCs/>
                <w:color w:val="0068B5"/>
                <w:sz w:val="18"/>
                <w:szCs w:val="18"/>
              </w:rPr>
              <w:t>27,462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BD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D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BDE" w14:textId="77777777" w:rsidR="001B77DD" w:rsidRDefault="00BF0A28">
            <w:pPr>
              <w:jc w:val="right"/>
              <w:textAlignment w:val="bottom"/>
            </w:pPr>
            <w:r>
              <w:rPr>
                <w:rFonts w:ascii="Arial" w:eastAsia="宋体" w:hAnsi="Arial" w:cs="Arial"/>
                <w:b/>
                <w:bCs/>
                <w:color w:val="262626"/>
                <w:sz w:val="18"/>
                <w:szCs w:val="18"/>
              </w:rPr>
              <w:t>24,754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BDF" w14:textId="77777777" w:rsidR="001B77DD" w:rsidRDefault="001B77DD">
            <w:pPr>
              <w:jc w:val="right"/>
              <w:rPr>
                <w:rFonts w:ascii="宋体"/>
              </w:rPr>
            </w:pPr>
          </w:p>
        </w:tc>
      </w:tr>
      <w:tr w:rsidR="001B77DD" w14:paraId="67535BE6" w14:textId="77777777">
        <w:trPr>
          <w:trHeight w:val="180"/>
        </w:trPr>
        <w:tc>
          <w:tcPr>
            <w:tcW w:w="0" w:type="auto"/>
            <w:gridSpan w:val="3"/>
            <w:shd w:val="clear" w:color="auto" w:fill="auto"/>
            <w:tcMar>
              <w:top w:w="0" w:type="dxa"/>
              <w:left w:w="20" w:type="dxa"/>
              <w:bottom w:w="0" w:type="dxa"/>
              <w:right w:w="20" w:type="dxa"/>
            </w:tcMar>
            <w:vAlign w:val="bottom"/>
          </w:tcPr>
          <w:p w14:paraId="67535BE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E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E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E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BE5" w14:textId="77777777" w:rsidR="001B77DD" w:rsidRDefault="001B77DD">
            <w:pPr>
              <w:rPr>
                <w:rFonts w:ascii="宋体"/>
              </w:rPr>
            </w:pPr>
          </w:p>
        </w:tc>
      </w:tr>
      <w:tr w:rsidR="001B77DD" w14:paraId="67535BEE" w14:textId="77777777">
        <w:tc>
          <w:tcPr>
            <w:tcW w:w="0" w:type="auto"/>
            <w:gridSpan w:val="3"/>
            <w:shd w:val="clear" w:color="auto" w:fill="auto"/>
            <w:tcMar>
              <w:top w:w="40" w:type="dxa"/>
              <w:left w:w="20" w:type="dxa"/>
              <w:bottom w:w="40" w:type="dxa"/>
              <w:right w:w="20" w:type="dxa"/>
            </w:tcMar>
            <w:vAlign w:val="bottom"/>
          </w:tcPr>
          <w:p w14:paraId="67535BE7" w14:textId="77777777" w:rsidR="001B77DD" w:rsidRDefault="00BF0A28">
            <w:pPr>
              <w:textAlignment w:val="bottom"/>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vAlign w:val="bottom"/>
          </w:tcPr>
          <w:p w14:paraId="67535BE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E9" w14:textId="77777777" w:rsidR="001B77DD" w:rsidRDefault="00BF0A28">
            <w:pPr>
              <w:jc w:val="right"/>
              <w:textAlignment w:val="bottom"/>
            </w:pPr>
            <w:r>
              <w:rPr>
                <w:rFonts w:ascii="Arial" w:eastAsia="宋体" w:hAnsi="Arial" w:cs="Arial"/>
                <w:b/>
                <w:bCs/>
                <w:color w:val="0068B5"/>
                <w:sz w:val="18"/>
                <w:szCs w:val="18"/>
              </w:rPr>
              <w:t>33,510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EC" w14:textId="77777777" w:rsidR="001B77DD" w:rsidRDefault="00BF0A28">
            <w:pPr>
              <w:jc w:val="right"/>
              <w:textAlignment w:val="bottom"/>
            </w:pPr>
            <w:r>
              <w:rPr>
                <w:rFonts w:ascii="Arial" w:eastAsia="宋体" w:hAnsi="Arial" w:cs="Arial"/>
                <w:b/>
                <w:bCs/>
                <w:color w:val="262626"/>
                <w:sz w:val="18"/>
                <w:szCs w:val="18"/>
              </w:rPr>
              <w:t>33,897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ED" w14:textId="77777777" w:rsidR="001B77DD" w:rsidRDefault="001B77DD">
            <w:pPr>
              <w:jc w:val="right"/>
              <w:rPr>
                <w:rFonts w:ascii="宋体"/>
              </w:rPr>
            </w:pPr>
          </w:p>
        </w:tc>
      </w:tr>
      <w:tr w:rsidR="001B77DD" w14:paraId="67535BF6" w14:textId="77777777">
        <w:tc>
          <w:tcPr>
            <w:tcW w:w="0" w:type="auto"/>
            <w:gridSpan w:val="3"/>
            <w:shd w:val="clear" w:color="auto" w:fill="auto"/>
            <w:tcMar>
              <w:top w:w="40" w:type="dxa"/>
              <w:left w:w="20" w:type="dxa"/>
              <w:bottom w:w="40" w:type="dxa"/>
              <w:right w:w="20" w:type="dxa"/>
            </w:tcMar>
            <w:vAlign w:val="bottom"/>
          </w:tcPr>
          <w:p w14:paraId="67535BEF" w14:textId="77777777" w:rsidR="001B77DD" w:rsidRDefault="00BF0A28">
            <w:pPr>
              <w:textAlignment w:val="bottom"/>
            </w:pPr>
            <w:r>
              <w:rPr>
                <w:rFonts w:ascii="Arial" w:eastAsia="宋体" w:hAnsi="Arial" w:cs="Arial"/>
                <w:b/>
                <w:bCs/>
                <w:color w:val="262626"/>
                <w:sz w:val="18"/>
                <w:szCs w:val="18"/>
              </w:rPr>
              <w:t>Contract liabilities</w:t>
            </w:r>
          </w:p>
        </w:tc>
        <w:tc>
          <w:tcPr>
            <w:tcW w:w="0" w:type="auto"/>
            <w:gridSpan w:val="3"/>
            <w:shd w:val="clear" w:color="auto" w:fill="auto"/>
            <w:tcMar>
              <w:top w:w="0" w:type="dxa"/>
              <w:left w:w="20" w:type="dxa"/>
              <w:bottom w:w="0" w:type="dxa"/>
              <w:right w:w="20" w:type="dxa"/>
            </w:tcMar>
            <w:vAlign w:val="bottom"/>
          </w:tcPr>
          <w:p w14:paraId="67535BF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F1" w14:textId="77777777" w:rsidR="001B77DD" w:rsidRDefault="00BF0A28">
            <w:pPr>
              <w:jc w:val="right"/>
              <w:textAlignment w:val="bottom"/>
            </w:pPr>
            <w:r>
              <w:rPr>
                <w:rFonts w:ascii="Arial" w:eastAsia="宋体" w:hAnsi="Arial" w:cs="Arial"/>
                <w:b/>
                <w:bCs/>
                <w:color w:val="0068B5"/>
                <w:sz w:val="18"/>
                <w:szCs w:val="18"/>
              </w:rPr>
              <w:t>185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F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F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F4" w14:textId="77777777" w:rsidR="001B77DD" w:rsidRDefault="00BF0A28">
            <w:pPr>
              <w:jc w:val="right"/>
              <w:textAlignment w:val="bottom"/>
            </w:pPr>
            <w:r>
              <w:rPr>
                <w:rFonts w:ascii="Arial" w:eastAsia="宋体" w:hAnsi="Arial" w:cs="Arial"/>
                <w:b/>
                <w:bCs/>
                <w:color w:val="262626"/>
                <w:sz w:val="18"/>
                <w:szCs w:val="18"/>
              </w:rPr>
              <w:t>1,367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F5" w14:textId="77777777" w:rsidR="001B77DD" w:rsidRDefault="001B77DD">
            <w:pPr>
              <w:jc w:val="right"/>
              <w:rPr>
                <w:rFonts w:ascii="宋体"/>
              </w:rPr>
            </w:pPr>
          </w:p>
        </w:tc>
      </w:tr>
      <w:tr w:rsidR="001B77DD" w14:paraId="67535BFE" w14:textId="77777777">
        <w:tc>
          <w:tcPr>
            <w:tcW w:w="0" w:type="auto"/>
            <w:gridSpan w:val="3"/>
            <w:shd w:val="clear" w:color="auto" w:fill="auto"/>
            <w:tcMar>
              <w:top w:w="40" w:type="dxa"/>
              <w:left w:w="20" w:type="dxa"/>
              <w:bottom w:w="40" w:type="dxa"/>
              <w:right w:w="20" w:type="dxa"/>
            </w:tcMar>
            <w:vAlign w:val="bottom"/>
          </w:tcPr>
          <w:p w14:paraId="67535BF7" w14:textId="77777777" w:rsidR="001B77DD" w:rsidRDefault="00BF0A28">
            <w:pPr>
              <w:textAlignment w:val="bottom"/>
            </w:pPr>
            <w:r>
              <w:rPr>
                <w:rFonts w:ascii="Arial" w:eastAsia="宋体" w:hAnsi="Arial" w:cs="Arial"/>
                <w:b/>
                <w:bCs/>
                <w:color w:val="262626"/>
                <w:sz w:val="18"/>
                <w:szCs w:val="18"/>
              </w:rPr>
              <w:t>Income taxes payable</w:t>
            </w:r>
          </w:p>
        </w:tc>
        <w:tc>
          <w:tcPr>
            <w:tcW w:w="0" w:type="auto"/>
            <w:gridSpan w:val="3"/>
            <w:shd w:val="clear" w:color="auto" w:fill="auto"/>
            <w:tcMar>
              <w:top w:w="0" w:type="dxa"/>
              <w:left w:w="20" w:type="dxa"/>
              <w:bottom w:w="0" w:type="dxa"/>
              <w:right w:w="20" w:type="dxa"/>
            </w:tcMar>
            <w:vAlign w:val="bottom"/>
          </w:tcPr>
          <w:p w14:paraId="67535BF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F9" w14:textId="77777777" w:rsidR="001B77DD" w:rsidRDefault="00BF0A28">
            <w:pPr>
              <w:jc w:val="right"/>
              <w:textAlignment w:val="bottom"/>
            </w:pPr>
            <w:r>
              <w:rPr>
                <w:rFonts w:ascii="Arial" w:eastAsia="宋体" w:hAnsi="Arial" w:cs="Arial"/>
                <w:b/>
                <w:bCs/>
                <w:color w:val="0068B5"/>
                <w:sz w:val="18"/>
                <w:szCs w:val="18"/>
              </w:rPr>
              <w:t>4,305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BF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BF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BFC" w14:textId="77777777" w:rsidR="001B77DD" w:rsidRDefault="00BF0A28">
            <w:pPr>
              <w:jc w:val="right"/>
              <w:textAlignment w:val="bottom"/>
            </w:pPr>
            <w:r>
              <w:rPr>
                <w:rFonts w:ascii="Arial" w:eastAsia="宋体" w:hAnsi="Arial" w:cs="Arial"/>
                <w:b/>
                <w:bCs/>
                <w:color w:val="262626"/>
                <w:sz w:val="18"/>
                <w:szCs w:val="18"/>
              </w:rPr>
              <w:t>4,578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BFD" w14:textId="77777777" w:rsidR="001B77DD" w:rsidRDefault="001B77DD">
            <w:pPr>
              <w:jc w:val="right"/>
              <w:rPr>
                <w:rFonts w:ascii="宋体"/>
              </w:rPr>
            </w:pPr>
          </w:p>
        </w:tc>
      </w:tr>
      <w:tr w:rsidR="001B77DD" w14:paraId="67535C06" w14:textId="77777777">
        <w:tc>
          <w:tcPr>
            <w:tcW w:w="0" w:type="auto"/>
            <w:gridSpan w:val="3"/>
            <w:shd w:val="clear" w:color="auto" w:fill="auto"/>
            <w:tcMar>
              <w:top w:w="40" w:type="dxa"/>
              <w:left w:w="20" w:type="dxa"/>
              <w:bottom w:w="40" w:type="dxa"/>
              <w:right w:w="20" w:type="dxa"/>
            </w:tcMar>
            <w:vAlign w:val="bottom"/>
          </w:tcPr>
          <w:p w14:paraId="67535BFF" w14:textId="77777777" w:rsidR="001B77DD" w:rsidRDefault="00BF0A28">
            <w:pPr>
              <w:textAlignment w:val="bottom"/>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vAlign w:val="bottom"/>
          </w:tcPr>
          <w:p w14:paraId="67535C0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01" w14:textId="77777777" w:rsidR="001B77DD" w:rsidRDefault="00BF0A28">
            <w:pPr>
              <w:jc w:val="right"/>
              <w:textAlignment w:val="bottom"/>
            </w:pPr>
            <w:r>
              <w:rPr>
                <w:rFonts w:ascii="Arial" w:eastAsia="宋体" w:hAnsi="Arial" w:cs="Arial"/>
                <w:b/>
                <w:bCs/>
                <w:color w:val="0068B5"/>
                <w:sz w:val="18"/>
                <w:szCs w:val="18"/>
              </w:rPr>
              <w:t>2,667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C0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0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04" w14:textId="77777777" w:rsidR="001B77DD" w:rsidRDefault="00BF0A28">
            <w:pPr>
              <w:jc w:val="right"/>
              <w:textAlignment w:val="bottom"/>
            </w:pPr>
            <w:r>
              <w:rPr>
                <w:rFonts w:ascii="Arial" w:eastAsia="宋体" w:hAnsi="Arial" w:cs="Arial"/>
                <w:b/>
                <w:bCs/>
                <w:color w:val="262626"/>
                <w:sz w:val="18"/>
                <w:szCs w:val="18"/>
              </w:rPr>
              <w:t>3,843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C05" w14:textId="77777777" w:rsidR="001B77DD" w:rsidRDefault="001B77DD">
            <w:pPr>
              <w:jc w:val="right"/>
              <w:rPr>
                <w:rFonts w:ascii="宋体"/>
              </w:rPr>
            </w:pPr>
          </w:p>
        </w:tc>
      </w:tr>
      <w:tr w:rsidR="001B77DD" w14:paraId="67535C0E" w14:textId="77777777">
        <w:tc>
          <w:tcPr>
            <w:tcW w:w="0" w:type="auto"/>
            <w:gridSpan w:val="3"/>
            <w:shd w:val="clear" w:color="auto" w:fill="auto"/>
            <w:tcMar>
              <w:top w:w="40" w:type="dxa"/>
              <w:left w:w="20" w:type="dxa"/>
              <w:bottom w:w="40" w:type="dxa"/>
              <w:right w:w="20" w:type="dxa"/>
            </w:tcMar>
            <w:vAlign w:val="bottom"/>
          </w:tcPr>
          <w:p w14:paraId="67535C07" w14:textId="77777777" w:rsidR="001B77DD" w:rsidRDefault="00BF0A28">
            <w:pPr>
              <w:textAlignment w:val="bottom"/>
            </w:pPr>
            <w:r>
              <w:rPr>
                <w:rFonts w:ascii="Arial" w:eastAsia="宋体" w:hAnsi="Arial" w:cs="Arial"/>
                <w:b/>
                <w:bCs/>
                <w:color w:val="262626"/>
                <w:sz w:val="18"/>
                <w:szCs w:val="18"/>
              </w:rPr>
              <w:t xml:space="preserve">Other long-term </w:t>
            </w: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7535C0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09" w14:textId="77777777" w:rsidR="001B77DD" w:rsidRDefault="00BF0A28">
            <w:pPr>
              <w:jc w:val="right"/>
              <w:textAlignment w:val="bottom"/>
            </w:pPr>
            <w:r>
              <w:rPr>
                <w:rFonts w:ascii="Arial" w:eastAsia="宋体" w:hAnsi="Arial" w:cs="Arial"/>
                <w:b/>
                <w:bCs/>
                <w:color w:val="0068B5"/>
                <w:sz w:val="18"/>
                <w:szCs w:val="18"/>
              </w:rPr>
              <w:t>4,886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C0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0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0C" w14:textId="77777777" w:rsidR="001B77DD" w:rsidRDefault="00BF0A28">
            <w:pPr>
              <w:jc w:val="right"/>
              <w:textAlignment w:val="bottom"/>
            </w:pPr>
            <w:r>
              <w:rPr>
                <w:rFonts w:ascii="Arial" w:eastAsia="宋体" w:hAnsi="Arial" w:cs="Arial"/>
                <w:b/>
                <w:bCs/>
                <w:color w:val="262626"/>
                <w:sz w:val="18"/>
                <w:szCs w:val="18"/>
              </w:rPr>
              <w:t>3,614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C0D" w14:textId="77777777" w:rsidR="001B77DD" w:rsidRDefault="001B77DD">
            <w:pPr>
              <w:jc w:val="right"/>
              <w:rPr>
                <w:rFonts w:ascii="宋体"/>
              </w:rPr>
            </w:pPr>
          </w:p>
        </w:tc>
      </w:tr>
      <w:tr w:rsidR="001B77DD" w14:paraId="67535C14" w14:textId="77777777">
        <w:tc>
          <w:tcPr>
            <w:tcW w:w="0" w:type="auto"/>
            <w:gridSpan w:val="3"/>
            <w:shd w:val="clear" w:color="auto" w:fill="auto"/>
            <w:tcMar>
              <w:top w:w="40" w:type="dxa"/>
              <w:left w:w="20" w:type="dxa"/>
              <w:bottom w:w="40" w:type="dxa"/>
              <w:right w:w="20" w:type="dxa"/>
            </w:tcMar>
            <w:vAlign w:val="bottom"/>
          </w:tcPr>
          <w:p w14:paraId="67535C0F" w14:textId="77777777" w:rsidR="001B77DD" w:rsidRDefault="00BF0A28">
            <w:pPr>
              <w:textAlignment w:val="bottom"/>
            </w:pPr>
            <w:r>
              <w:rPr>
                <w:rFonts w:ascii="Arial" w:eastAsia="宋体" w:hAnsi="Arial" w:cs="Arial"/>
                <w:b/>
                <w:bCs/>
                <w:color w:val="262626"/>
                <w:sz w:val="18"/>
                <w:szCs w:val="18"/>
              </w:rPr>
              <w:t>Commitments and Contingencies (Note 19)</w:t>
            </w:r>
          </w:p>
        </w:tc>
        <w:tc>
          <w:tcPr>
            <w:tcW w:w="0" w:type="auto"/>
            <w:gridSpan w:val="3"/>
            <w:shd w:val="clear" w:color="auto" w:fill="auto"/>
            <w:tcMar>
              <w:top w:w="0" w:type="dxa"/>
              <w:left w:w="20" w:type="dxa"/>
              <w:bottom w:w="0" w:type="dxa"/>
              <w:right w:w="20" w:type="dxa"/>
            </w:tcMar>
            <w:vAlign w:val="bottom"/>
          </w:tcPr>
          <w:p w14:paraId="67535C1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1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1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13" w14:textId="77777777" w:rsidR="001B77DD" w:rsidRDefault="001B77DD">
            <w:pPr>
              <w:rPr>
                <w:rFonts w:ascii="宋体"/>
              </w:rPr>
            </w:pPr>
          </w:p>
        </w:tc>
      </w:tr>
      <w:tr w:rsidR="001B77DD" w14:paraId="67535C1A" w14:textId="77777777">
        <w:trPr>
          <w:hidden/>
        </w:trPr>
        <w:tc>
          <w:tcPr>
            <w:tcW w:w="0" w:type="auto"/>
            <w:gridSpan w:val="3"/>
            <w:shd w:val="clear" w:color="auto" w:fill="auto"/>
            <w:vAlign w:val="bottom"/>
          </w:tcPr>
          <w:p w14:paraId="67535C15" w14:textId="77777777" w:rsidR="001B77DD" w:rsidRDefault="001B77DD">
            <w:pPr>
              <w:rPr>
                <w:rFonts w:ascii="宋体"/>
                <w:vanish/>
              </w:rPr>
            </w:pPr>
          </w:p>
        </w:tc>
        <w:tc>
          <w:tcPr>
            <w:tcW w:w="0" w:type="auto"/>
            <w:gridSpan w:val="3"/>
            <w:shd w:val="clear" w:color="auto" w:fill="auto"/>
            <w:vAlign w:val="bottom"/>
          </w:tcPr>
          <w:p w14:paraId="67535C16" w14:textId="77777777" w:rsidR="001B77DD" w:rsidRDefault="001B77DD">
            <w:pPr>
              <w:rPr>
                <w:rFonts w:ascii="宋体"/>
                <w:vanish/>
              </w:rPr>
            </w:pPr>
          </w:p>
        </w:tc>
        <w:tc>
          <w:tcPr>
            <w:tcW w:w="0" w:type="auto"/>
            <w:gridSpan w:val="3"/>
            <w:shd w:val="clear" w:color="auto" w:fill="auto"/>
            <w:vAlign w:val="bottom"/>
          </w:tcPr>
          <w:p w14:paraId="67535C17" w14:textId="77777777" w:rsidR="001B77DD" w:rsidRDefault="001B77DD">
            <w:pPr>
              <w:rPr>
                <w:rFonts w:ascii="宋体"/>
                <w:vanish/>
              </w:rPr>
            </w:pPr>
          </w:p>
        </w:tc>
        <w:tc>
          <w:tcPr>
            <w:tcW w:w="0" w:type="auto"/>
            <w:gridSpan w:val="3"/>
            <w:shd w:val="clear" w:color="auto" w:fill="auto"/>
            <w:vAlign w:val="bottom"/>
          </w:tcPr>
          <w:p w14:paraId="67535C18" w14:textId="77777777" w:rsidR="001B77DD" w:rsidRDefault="001B77DD">
            <w:pPr>
              <w:rPr>
                <w:rFonts w:ascii="宋体"/>
                <w:vanish/>
              </w:rPr>
            </w:pPr>
          </w:p>
        </w:tc>
        <w:tc>
          <w:tcPr>
            <w:tcW w:w="0" w:type="auto"/>
            <w:gridSpan w:val="3"/>
            <w:shd w:val="clear" w:color="auto" w:fill="auto"/>
            <w:vAlign w:val="bottom"/>
          </w:tcPr>
          <w:p w14:paraId="67535C19" w14:textId="77777777" w:rsidR="001B77DD" w:rsidRDefault="001B77DD">
            <w:pPr>
              <w:rPr>
                <w:rFonts w:ascii="宋体"/>
                <w:vanish/>
              </w:rPr>
            </w:pPr>
          </w:p>
        </w:tc>
      </w:tr>
      <w:tr w:rsidR="001B77DD" w14:paraId="67535C20" w14:textId="77777777">
        <w:tc>
          <w:tcPr>
            <w:tcW w:w="0" w:type="auto"/>
            <w:gridSpan w:val="3"/>
            <w:shd w:val="clear" w:color="auto" w:fill="auto"/>
            <w:tcMar>
              <w:top w:w="40" w:type="dxa"/>
              <w:left w:w="20" w:type="dxa"/>
              <w:bottom w:w="40" w:type="dxa"/>
              <w:right w:w="20" w:type="dxa"/>
            </w:tcMar>
            <w:vAlign w:val="bottom"/>
          </w:tcPr>
          <w:p w14:paraId="67535C1B" w14:textId="77777777" w:rsidR="001B77DD" w:rsidRDefault="00BF0A28">
            <w:pPr>
              <w:textAlignment w:val="bottom"/>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67535C1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1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1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1F" w14:textId="77777777" w:rsidR="001B77DD" w:rsidRDefault="001B77DD">
            <w:pPr>
              <w:rPr>
                <w:rFonts w:ascii="宋体"/>
              </w:rPr>
            </w:pPr>
          </w:p>
        </w:tc>
      </w:tr>
      <w:tr w:rsidR="001B77DD" w14:paraId="67535C28" w14:textId="77777777">
        <w:tc>
          <w:tcPr>
            <w:tcW w:w="0" w:type="auto"/>
            <w:gridSpan w:val="3"/>
            <w:shd w:val="clear" w:color="auto" w:fill="auto"/>
            <w:tcMar>
              <w:top w:w="40" w:type="dxa"/>
              <w:left w:w="155" w:type="dxa"/>
              <w:bottom w:w="40" w:type="dxa"/>
              <w:right w:w="20" w:type="dxa"/>
            </w:tcMar>
            <w:vAlign w:val="bottom"/>
          </w:tcPr>
          <w:p w14:paraId="67535C21" w14:textId="77777777" w:rsidR="001B77DD" w:rsidRDefault="00BF0A28">
            <w:pPr>
              <w:textAlignment w:val="bottom"/>
            </w:pPr>
            <w:r>
              <w:rPr>
                <w:rFonts w:ascii="Arial" w:eastAsia="宋体" w:hAnsi="Arial" w:cs="Arial"/>
                <w:color w:val="262626"/>
                <w:sz w:val="18"/>
                <w:szCs w:val="18"/>
              </w:rPr>
              <w:t>Preferred stock, $0.001 par value, 50 shares authorized; none issued</w:t>
            </w:r>
          </w:p>
        </w:tc>
        <w:tc>
          <w:tcPr>
            <w:tcW w:w="0" w:type="auto"/>
            <w:gridSpan w:val="3"/>
            <w:shd w:val="clear" w:color="auto" w:fill="auto"/>
            <w:tcMar>
              <w:top w:w="0" w:type="dxa"/>
              <w:left w:w="20" w:type="dxa"/>
              <w:bottom w:w="0" w:type="dxa"/>
              <w:right w:w="20" w:type="dxa"/>
            </w:tcMar>
            <w:vAlign w:val="bottom"/>
          </w:tcPr>
          <w:p w14:paraId="67535C2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23"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5C2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2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26"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C27" w14:textId="77777777" w:rsidR="001B77DD" w:rsidRDefault="001B77DD">
            <w:pPr>
              <w:jc w:val="right"/>
              <w:rPr>
                <w:rFonts w:ascii="宋体"/>
              </w:rPr>
            </w:pPr>
          </w:p>
        </w:tc>
      </w:tr>
      <w:tr w:rsidR="001B77DD" w14:paraId="67535C30" w14:textId="77777777">
        <w:tc>
          <w:tcPr>
            <w:tcW w:w="0" w:type="auto"/>
            <w:gridSpan w:val="3"/>
            <w:shd w:val="clear" w:color="auto" w:fill="auto"/>
            <w:tcMar>
              <w:top w:w="40" w:type="dxa"/>
              <w:left w:w="140" w:type="dxa"/>
              <w:bottom w:w="40" w:type="dxa"/>
              <w:right w:w="20" w:type="dxa"/>
            </w:tcMar>
            <w:vAlign w:val="bottom"/>
          </w:tcPr>
          <w:p w14:paraId="67535C29" w14:textId="77777777" w:rsidR="001B77DD" w:rsidRDefault="00BF0A28">
            <w:pPr>
              <w:textAlignment w:val="bottom"/>
            </w:pPr>
            <w:r>
              <w:rPr>
                <w:rFonts w:ascii="Arial" w:eastAsia="宋体" w:hAnsi="Arial" w:cs="Arial"/>
                <w:color w:val="262626"/>
                <w:sz w:val="18"/>
                <w:szCs w:val="18"/>
              </w:rPr>
              <w:t xml:space="preserve">Common stock, $0.001 par value, 10,000 shares </w:t>
            </w:r>
            <w:r>
              <w:rPr>
                <w:rFonts w:ascii="Arial" w:eastAsia="宋体" w:hAnsi="Arial" w:cs="Arial"/>
                <w:color w:val="262626"/>
                <w:sz w:val="18"/>
                <w:szCs w:val="18"/>
              </w:rPr>
              <w:t>authorized; 4,070 shares issued and outstanding (4,062 issued and outstanding in 2020) and capital in excess of par value</w:t>
            </w:r>
          </w:p>
        </w:tc>
        <w:tc>
          <w:tcPr>
            <w:tcW w:w="0" w:type="auto"/>
            <w:gridSpan w:val="3"/>
            <w:shd w:val="clear" w:color="auto" w:fill="auto"/>
            <w:tcMar>
              <w:top w:w="0" w:type="dxa"/>
              <w:left w:w="20" w:type="dxa"/>
              <w:bottom w:w="0" w:type="dxa"/>
              <w:right w:w="20" w:type="dxa"/>
            </w:tcMar>
            <w:vAlign w:val="bottom"/>
          </w:tcPr>
          <w:p w14:paraId="67535C2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2B" w14:textId="77777777" w:rsidR="001B77DD" w:rsidRDefault="00BF0A28">
            <w:pPr>
              <w:jc w:val="right"/>
              <w:textAlignment w:val="bottom"/>
            </w:pPr>
            <w:r>
              <w:rPr>
                <w:rFonts w:ascii="Arial" w:eastAsia="宋体" w:hAnsi="Arial" w:cs="Arial"/>
                <w:color w:val="0068B5"/>
                <w:sz w:val="18"/>
                <w:szCs w:val="18"/>
              </w:rPr>
              <w:t>28,006 </w:t>
            </w:r>
          </w:p>
        </w:tc>
        <w:tc>
          <w:tcPr>
            <w:tcW w:w="0" w:type="auto"/>
            <w:shd w:val="clear" w:color="auto" w:fill="auto"/>
            <w:tcMar>
              <w:top w:w="40" w:type="dxa"/>
              <w:left w:w="0" w:type="dxa"/>
              <w:bottom w:w="40" w:type="dxa"/>
              <w:right w:w="20" w:type="dxa"/>
            </w:tcMar>
            <w:vAlign w:val="bottom"/>
          </w:tcPr>
          <w:p w14:paraId="67535C2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2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2E" w14:textId="77777777" w:rsidR="001B77DD" w:rsidRDefault="00BF0A28">
            <w:pPr>
              <w:jc w:val="right"/>
              <w:textAlignment w:val="bottom"/>
            </w:pPr>
            <w:r>
              <w:rPr>
                <w:rFonts w:ascii="Arial" w:eastAsia="宋体" w:hAnsi="Arial" w:cs="Arial"/>
                <w:color w:val="262626"/>
                <w:sz w:val="18"/>
                <w:szCs w:val="18"/>
              </w:rPr>
              <w:t>25,556 </w:t>
            </w:r>
          </w:p>
        </w:tc>
        <w:tc>
          <w:tcPr>
            <w:tcW w:w="0" w:type="auto"/>
            <w:shd w:val="clear" w:color="auto" w:fill="auto"/>
            <w:tcMar>
              <w:top w:w="40" w:type="dxa"/>
              <w:left w:w="0" w:type="dxa"/>
              <w:bottom w:w="40" w:type="dxa"/>
              <w:right w:w="20" w:type="dxa"/>
            </w:tcMar>
            <w:vAlign w:val="bottom"/>
          </w:tcPr>
          <w:p w14:paraId="67535C2F" w14:textId="77777777" w:rsidR="001B77DD" w:rsidRDefault="001B77DD">
            <w:pPr>
              <w:jc w:val="right"/>
              <w:rPr>
                <w:rFonts w:ascii="宋体"/>
              </w:rPr>
            </w:pPr>
          </w:p>
        </w:tc>
      </w:tr>
      <w:tr w:rsidR="001B77DD" w14:paraId="67535C38" w14:textId="77777777">
        <w:tc>
          <w:tcPr>
            <w:tcW w:w="0" w:type="auto"/>
            <w:gridSpan w:val="3"/>
            <w:shd w:val="clear" w:color="auto" w:fill="auto"/>
            <w:tcMar>
              <w:top w:w="40" w:type="dxa"/>
              <w:left w:w="155" w:type="dxa"/>
              <w:bottom w:w="40" w:type="dxa"/>
              <w:right w:w="20" w:type="dxa"/>
            </w:tcMar>
            <w:vAlign w:val="bottom"/>
          </w:tcPr>
          <w:p w14:paraId="67535C31" w14:textId="77777777" w:rsidR="001B77DD" w:rsidRDefault="00BF0A28">
            <w:pPr>
              <w:textAlignment w:val="bottom"/>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67535C3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33" w14:textId="77777777" w:rsidR="001B77DD" w:rsidRDefault="00BF0A28">
            <w:pPr>
              <w:jc w:val="right"/>
              <w:textAlignment w:val="bottom"/>
            </w:pPr>
            <w:r>
              <w:rPr>
                <w:rFonts w:ascii="Arial" w:eastAsia="宋体" w:hAnsi="Arial" w:cs="Arial"/>
                <w:color w:val="0068B5"/>
                <w:sz w:val="18"/>
                <w:szCs w:val="18"/>
              </w:rPr>
              <w:t>(880)</w:t>
            </w:r>
          </w:p>
        </w:tc>
        <w:tc>
          <w:tcPr>
            <w:tcW w:w="0" w:type="auto"/>
            <w:shd w:val="clear" w:color="auto" w:fill="auto"/>
            <w:tcMar>
              <w:top w:w="40" w:type="dxa"/>
              <w:left w:w="0" w:type="dxa"/>
              <w:bottom w:w="40" w:type="dxa"/>
              <w:right w:w="20" w:type="dxa"/>
            </w:tcMar>
            <w:vAlign w:val="bottom"/>
          </w:tcPr>
          <w:p w14:paraId="67535C3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3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36" w14:textId="77777777" w:rsidR="001B77DD" w:rsidRDefault="00BF0A28">
            <w:pPr>
              <w:jc w:val="right"/>
              <w:textAlignment w:val="bottom"/>
            </w:pPr>
            <w:r>
              <w:rPr>
                <w:rFonts w:ascii="Arial" w:eastAsia="宋体" w:hAnsi="Arial" w:cs="Arial"/>
                <w:color w:val="262626"/>
                <w:sz w:val="18"/>
                <w:szCs w:val="18"/>
              </w:rPr>
              <w:t>(751)</w:t>
            </w:r>
          </w:p>
        </w:tc>
        <w:tc>
          <w:tcPr>
            <w:tcW w:w="0" w:type="auto"/>
            <w:shd w:val="clear" w:color="auto" w:fill="auto"/>
            <w:tcMar>
              <w:top w:w="40" w:type="dxa"/>
              <w:left w:w="0" w:type="dxa"/>
              <w:bottom w:w="40" w:type="dxa"/>
              <w:right w:w="20" w:type="dxa"/>
            </w:tcMar>
            <w:vAlign w:val="bottom"/>
          </w:tcPr>
          <w:p w14:paraId="67535C37" w14:textId="77777777" w:rsidR="001B77DD" w:rsidRDefault="001B77DD">
            <w:pPr>
              <w:jc w:val="right"/>
              <w:rPr>
                <w:rFonts w:ascii="宋体"/>
              </w:rPr>
            </w:pPr>
          </w:p>
        </w:tc>
      </w:tr>
      <w:tr w:rsidR="001B77DD" w14:paraId="67535C40" w14:textId="77777777">
        <w:tc>
          <w:tcPr>
            <w:tcW w:w="0" w:type="auto"/>
            <w:gridSpan w:val="3"/>
            <w:shd w:val="clear" w:color="auto" w:fill="auto"/>
            <w:tcMar>
              <w:top w:w="40" w:type="dxa"/>
              <w:left w:w="155" w:type="dxa"/>
              <w:bottom w:w="40" w:type="dxa"/>
              <w:right w:w="20" w:type="dxa"/>
            </w:tcMar>
            <w:vAlign w:val="bottom"/>
          </w:tcPr>
          <w:p w14:paraId="67535C39" w14:textId="77777777" w:rsidR="001B77DD" w:rsidRDefault="00BF0A28">
            <w:pPr>
              <w:textAlignment w:val="bottom"/>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vAlign w:val="bottom"/>
          </w:tcPr>
          <w:p w14:paraId="67535C3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3B" w14:textId="77777777" w:rsidR="001B77DD" w:rsidRDefault="00BF0A28">
            <w:pPr>
              <w:jc w:val="right"/>
              <w:textAlignment w:val="bottom"/>
            </w:pPr>
            <w:r>
              <w:rPr>
                <w:rFonts w:ascii="Arial" w:eastAsia="宋体" w:hAnsi="Arial" w:cs="Arial"/>
                <w:color w:val="0068B5"/>
                <w:sz w:val="18"/>
                <w:szCs w:val="18"/>
              </w:rPr>
              <w:t>68,265 </w:t>
            </w:r>
          </w:p>
        </w:tc>
        <w:tc>
          <w:tcPr>
            <w:tcW w:w="0" w:type="auto"/>
            <w:shd w:val="clear" w:color="auto" w:fill="auto"/>
            <w:tcMar>
              <w:top w:w="40" w:type="dxa"/>
              <w:left w:w="0" w:type="dxa"/>
              <w:bottom w:w="40" w:type="dxa"/>
              <w:right w:w="20" w:type="dxa"/>
            </w:tcMar>
            <w:vAlign w:val="bottom"/>
          </w:tcPr>
          <w:p w14:paraId="67535C3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3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3E" w14:textId="77777777" w:rsidR="001B77DD" w:rsidRDefault="00BF0A28">
            <w:pPr>
              <w:jc w:val="right"/>
              <w:textAlignment w:val="bottom"/>
            </w:pPr>
            <w:r>
              <w:rPr>
                <w:rFonts w:ascii="Arial" w:eastAsia="宋体" w:hAnsi="Arial" w:cs="Arial"/>
                <w:color w:val="262626"/>
                <w:sz w:val="18"/>
                <w:szCs w:val="18"/>
              </w:rPr>
              <w:t>56,233 </w:t>
            </w:r>
          </w:p>
        </w:tc>
        <w:tc>
          <w:tcPr>
            <w:tcW w:w="0" w:type="auto"/>
            <w:shd w:val="clear" w:color="auto" w:fill="auto"/>
            <w:tcMar>
              <w:top w:w="40" w:type="dxa"/>
              <w:left w:w="0" w:type="dxa"/>
              <w:bottom w:w="40" w:type="dxa"/>
              <w:right w:w="20" w:type="dxa"/>
            </w:tcMar>
            <w:vAlign w:val="bottom"/>
          </w:tcPr>
          <w:p w14:paraId="67535C3F" w14:textId="77777777" w:rsidR="001B77DD" w:rsidRDefault="001B77DD">
            <w:pPr>
              <w:jc w:val="right"/>
              <w:rPr>
                <w:rFonts w:ascii="宋体"/>
              </w:rPr>
            </w:pPr>
          </w:p>
        </w:tc>
      </w:tr>
      <w:tr w:rsidR="001B77DD" w14:paraId="67535C48" w14:textId="77777777">
        <w:tc>
          <w:tcPr>
            <w:tcW w:w="0" w:type="auto"/>
            <w:gridSpan w:val="3"/>
            <w:shd w:val="clear" w:color="auto" w:fill="auto"/>
            <w:tcMar>
              <w:top w:w="40" w:type="dxa"/>
              <w:left w:w="20" w:type="dxa"/>
              <w:bottom w:w="40" w:type="dxa"/>
              <w:right w:w="20" w:type="dxa"/>
            </w:tcMar>
            <w:vAlign w:val="bottom"/>
          </w:tcPr>
          <w:p w14:paraId="67535C41" w14:textId="77777777" w:rsidR="001B77DD" w:rsidRDefault="00BF0A28">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67535C4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C43" w14:textId="77777777" w:rsidR="001B77DD" w:rsidRDefault="00BF0A28">
            <w:pPr>
              <w:jc w:val="right"/>
              <w:textAlignment w:val="bottom"/>
            </w:pPr>
            <w:r>
              <w:rPr>
                <w:rFonts w:ascii="Arial" w:eastAsia="宋体" w:hAnsi="Arial" w:cs="Arial"/>
                <w:b/>
                <w:bCs/>
                <w:color w:val="0068B5"/>
                <w:sz w:val="18"/>
                <w:szCs w:val="18"/>
              </w:rPr>
              <w:t>95,391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C4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4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C46" w14:textId="77777777" w:rsidR="001B77DD" w:rsidRDefault="00BF0A28">
            <w:pPr>
              <w:jc w:val="right"/>
              <w:textAlignment w:val="bottom"/>
            </w:pPr>
            <w:r>
              <w:rPr>
                <w:rFonts w:ascii="Arial" w:eastAsia="宋体" w:hAnsi="Arial" w:cs="Arial"/>
                <w:b/>
                <w:bCs/>
                <w:color w:val="262626"/>
                <w:sz w:val="18"/>
                <w:szCs w:val="18"/>
              </w:rPr>
              <w:t>81,038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C47" w14:textId="77777777" w:rsidR="001B77DD" w:rsidRDefault="001B77DD">
            <w:pPr>
              <w:jc w:val="right"/>
              <w:rPr>
                <w:rFonts w:ascii="宋体"/>
              </w:rPr>
            </w:pPr>
          </w:p>
        </w:tc>
      </w:tr>
      <w:tr w:rsidR="001B77DD" w14:paraId="67535C52" w14:textId="77777777">
        <w:tc>
          <w:tcPr>
            <w:tcW w:w="0" w:type="auto"/>
            <w:gridSpan w:val="3"/>
            <w:shd w:val="clear" w:color="auto" w:fill="auto"/>
            <w:tcMar>
              <w:top w:w="40" w:type="dxa"/>
              <w:left w:w="35" w:type="dxa"/>
              <w:bottom w:w="40" w:type="dxa"/>
              <w:right w:w="20" w:type="dxa"/>
            </w:tcMar>
            <w:vAlign w:val="bottom"/>
          </w:tcPr>
          <w:p w14:paraId="67535C49" w14:textId="77777777" w:rsidR="001B77DD" w:rsidRDefault="00BF0A28">
            <w:pPr>
              <w:textAlignment w:val="bottom"/>
            </w:pPr>
            <w:r>
              <w:rPr>
                <w:rFonts w:ascii="Arial" w:eastAsia="宋体" w:hAnsi="Arial" w:cs="Arial"/>
                <w:b/>
                <w:bCs/>
                <w:color w:val="262626"/>
                <w:sz w:val="18"/>
                <w:szCs w:val="18"/>
              </w:rPr>
              <w:t>Total liabilities and stockholders' equity</w:t>
            </w:r>
          </w:p>
        </w:tc>
        <w:tc>
          <w:tcPr>
            <w:tcW w:w="0" w:type="auto"/>
            <w:gridSpan w:val="3"/>
            <w:shd w:val="clear" w:color="auto" w:fill="auto"/>
            <w:tcMar>
              <w:top w:w="0" w:type="dxa"/>
              <w:left w:w="20" w:type="dxa"/>
              <w:bottom w:w="0" w:type="dxa"/>
              <w:right w:w="20" w:type="dxa"/>
            </w:tcMar>
            <w:vAlign w:val="bottom"/>
          </w:tcPr>
          <w:p w14:paraId="67535C4A"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5C4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C4C" w14:textId="77777777" w:rsidR="001B77DD" w:rsidRDefault="00BF0A28">
            <w:pPr>
              <w:jc w:val="right"/>
              <w:textAlignment w:val="bottom"/>
            </w:pPr>
            <w:r>
              <w:rPr>
                <w:rFonts w:ascii="Arial" w:eastAsia="宋体" w:hAnsi="Arial" w:cs="Arial"/>
                <w:b/>
                <w:bCs/>
                <w:color w:val="0068B5"/>
                <w:sz w:val="18"/>
                <w:szCs w:val="18"/>
              </w:rPr>
              <w:t>168,406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C4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4E"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5C4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5C50" w14:textId="77777777" w:rsidR="001B77DD" w:rsidRDefault="00BF0A28">
            <w:pPr>
              <w:jc w:val="right"/>
              <w:textAlignment w:val="bottom"/>
            </w:pPr>
            <w:r>
              <w:rPr>
                <w:rFonts w:ascii="Arial" w:eastAsia="宋体" w:hAnsi="Arial" w:cs="Arial"/>
                <w:b/>
                <w:bCs/>
                <w:color w:val="262626"/>
                <w:sz w:val="18"/>
                <w:szCs w:val="18"/>
              </w:rPr>
              <w:t>153,091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5C51" w14:textId="77777777" w:rsidR="001B77DD" w:rsidRDefault="001B77DD">
            <w:pPr>
              <w:jc w:val="right"/>
              <w:rPr>
                <w:rFonts w:ascii="宋体"/>
              </w:rPr>
            </w:pPr>
          </w:p>
        </w:tc>
      </w:tr>
    </w:tbl>
    <w:p w14:paraId="67535C53" w14:textId="77777777" w:rsidR="001B77DD" w:rsidRDefault="00BF0A28">
      <w:pPr>
        <w:spacing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1B77DD" w14:paraId="67535C60" w14:textId="77777777">
        <w:tc>
          <w:tcPr>
            <w:tcW w:w="50" w:type="pct"/>
            <w:shd w:val="clear" w:color="auto" w:fill="auto"/>
            <w:vAlign w:val="bottom"/>
          </w:tcPr>
          <w:p w14:paraId="67535C54" w14:textId="77777777" w:rsidR="001B77DD" w:rsidRDefault="001B77DD">
            <w:pPr>
              <w:rPr>
                <w:rFonts w:ascii="宋体"/>
              </w:rPr>
            </w:pPr>
          </w:p>
        </w:tc>
        <w:tc>
          <w:tcPr>
            <w:tcW w:w="276" w:type="pct"/>
            <w:shd w:val="clear" w:color="auto" w:fill="auto"/>
            <w:vAlign w:val="bottom"/>
          </w:tcPr>
          <w:p w14:paraId="67535C55" w14:textId="77777777" w:rsidR="001B77DD" w:rsidRDefault="001B77DD">
            <w:pPr>
              <w:rPr>
                <w:rFonts w:ascii="宋体"/>
              </w:rPr>
            </w:pPr>
          </w:p>
        </w:tc>
        <w:tc>
          <w:tcPr>
            <w:tcW w:w="5" w:type="pct"/>
            <w:shd w:val="clear" w:color="auto" w:fill="auto"/>
            <w:vAlign w:val="bottom"/>
          </w:tcPr>
          <w:p w14:paraId="67535C56" w14:textId="77777777" w:rsidR="001B77DD" w:rsidRDefault="001B77DD">
            <w:pPr>
              <w:rPr>
                <w:rFonts w:ascii="宋体"/>
              </w:rPr>
            </w:pPr>
          </w:p>
        </w:tc>
        <w:tc>
          <w:tcPr>
            <w:tcW w:w="50" w:type="pct"/>
            <w:shd w:val="clear" w:color="auto" w:fill="auto"/>
            <w:vAlign w:val="bottom"/>
          </w:tcPr>
          <w:p w14:paraId="67535C57" w14:textId="77777777" w:rsidR="001B77DD" w:rsidRDefault="001B77DD">
            <w:pPr>
              <w:rPr>
                <w:rFonts w:ascii="宋体"/>
              </w:rPr>
            </w:pPr>
          </w:p>
        </w:tc>
        <w:tc>
          <w:tcPr>
            <w:tcW w:w="940" w:type="pct"/>
            <w:shd w:val="clear" w:color="auto" w:fill="auto"/>
            <w:vAlign w:val="bottom"/>
          </w:tcPr>
          <w:p w14:paraId="67535C58" w14:textId="77777777" w:rsidR="001B77DD" w:rsidRDefault="001B77DD">
            <w:pPr>
              <w:rPr>
                <w:rFonts w:ascii="宋体"/>
              </w:rPr>
            </w:pPr>
          </w:p>
        </w:tc>
        <w:tc>
          <w:tcPr>
            <w:tcW w:w="5" w:type="pct"/>
            <w:shd w:val="clear" w:color="auto" w:fill="auto"/>
            <w:vAlign w:val="bottom"/>
          </w:tcPr>
          <w:p w14:paraId="67535C59" w14:textId="77777777" w:rsidR="001B77DD" w:rsidRDefault="001B77DD">
            <w:pPr>
              <w:rPr>
                <w:rFonts w:ascii="宋体"/>
              </w:rPr>
            </w:pPr>
          </w:p>
        </w:tc>
        <w:tc>
          <w:tcPr>
            <w:tcW w:w="50" w:type="pct"/>
            <w:shd w:val="clear" w:color="auto" w:fill="auto"/>
            <w:vAlign w:val="bottom"/>
          </w:tcPr>
          <w:p w14:paraId="67535C5A" w14:textId="77777777" w:rsidR="001B77DD" w:rsidRDefault="001B77DD">
            <w:pPr>
              <w:rPr>
                <w:rFonts w:ascii="宋体"/>
              </w:rPr>
            </w:pPr>
          </w:p>
        </w:tc>
        <w:tc>
          <w:tcPr>
            <w:tcW w:w="1837" w:type="pct"/>
            <w:shd w:val="clear" w:color="auto" w:fill="auto"/>
            <w:vAlign w:val="bottom"/>
          </w:tcPr>
          <w:p w14:paraId="67535C5B" w14:textId="77777777" w:rsidR="001B77DD" w:rsidRDefault="001B77DD">
            <w:pPr>
              <w:rPr>
                <w:rFonts w:ascii="宋体"/>
              </w:rPr>
            </w:pPr>
          </w:p>
        </w:tc>
        <w:tc>
          <w:tcPr>
            <w:tcW w:w="5" w:type="pct"/>
            <w:shd w:val="clear" w:color="auto" w:fill="auto"/>
            <w:vAlign w:val="bottom"/>
          </w:tcPr>
          <w:p w14:paraId="67535C5C" w14:textId="77777777" w:rsidR="001B77DD" w:rsidRDefault="001B77DD">
            <w:pPr>
              <w:rPr>
                <w:rFonts w:ascii="宋体"/>
              </w:rPr>
            </w:pPr>
          </w:p>
        </w:tc>
        <w:tc>
          <w:tcPr>
            <w:tcW w:w="50" w:type="pct"/>
            <w:shd w:val="clear" w:color="auto" w:fill="auto"/>
            <w:vAlign w:val="bottom"/>
          </w:tcPr>
          <w:p w14:paraId="67535C5D" w14:textId="77777777" w:rsidR="001B77DD" w:rsidRDefault="001B77DD">
            <w:pPr>
              <w:rPr>
                <w:rFonts w:ascii="宋体"/>
              </w:rPr>
            </w:pPr>
          </w:p>
        </w:tc>
        <w:tc>
          <w:tcPr>
            <w:tcW w:w="1724" w:type="pct"/>
            <w:shd w:val="clear" w:color="auto" w:fill="auto"/>
            <w:vAlign w:val="bottom"/>
          </w:tcPr>
          <w:p w14:paraId="67535C5E" w14:textId="77777777" w:rsidR="001B77DD" w:rsidRDefault="001B77DD">
            <w:pPr>
              <w:rPr>
                <w:rFonts w:ascii="宋体"/>
              </w:rPr>
            </w:pPr>
          </w:p>
        </w:tc>
        <w:tc>
          <w:tcPr>
            <w:tcW w:w="5" w:type="pct"/>
            <w:shd w:val="clear" w:color="auto" w:fill="auto"/>
            <w:vAlign w:val="bottom"/>
          </w:tcPr>
          <w:p w14:paraId="67535C5F" w14:textId="77777777" w:rsidR="001B77DD" w:rsidRDefault="001B77DD">
            <w:pPr>
              <w:rPr>
                <w:rFonts w:ascii="宋体"/>
              </w:rPr>
            </w:pPr>
          </w:p>
        </w:tc>
      </w:tr>
      <w:tr w:rsidR="001B77DD" w14:paraId="67535C65"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C61"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1E" wp14:editId="67538F1F">
                  <wp:extent cx="304800" cy="304800"/>
                  <wp:effectExtent l="0" t="0" r="0" b="0"/>
                  <wp:docPr id="202" name="图片 27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7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C62"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5C63" w14:textId="77777777" w:rsidR="001B77DD" w:rsidRDefault="00BF0A28">
            <w:pPr>
              <w:textAlignment w:val="center"/>
            </w:pPr>
            <w:r>
              <w:rPr>
                <w:rFonts w:ascii="Arial" w:eastAsia="宋体" w:hAnsi="Arial" w:cs="Arial"/>
                <w:color w:val="262626"/>
                <w:sz w:val="16"/>
                <w:szCs w:val="16"/>
              </w:rPr>
              <w:t>Consolidated Balance Sheets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C64" w14:textId="77777777" w:rsidR="001B77DD" w:rsidRDefault="00BF0A28">
            <w:pPr>
              <w:jc w:val="right"/>
              <w:textAlignment w:val="center"/>
            </w:pPr>
            <w:r>
              <w:rPr>
                <w:rFonts w:ascii="Arial" w:eastAsia="宋体" w:hAnsi="Arial" w:cs="Arial"/>
                <w:color w:val="262626"/>
                <w:sz w:val="16"/>
                <w:szCs w:val="16"/>
              </w:rPr>
              <w:t>74</w:t>
            </w:r>
          </w:p>
        </w:tc>
      </w:tr>
    </w:tbl>
    <w:p w14:paraId="67535C66" w14:textId="77777777" w:rsidR="001B77DD" w:rsidRDefault="00BF0A28">
      <w:r>
        <w:pict w14:anchorId="67538F20">
          <v:rect id="_x0000_i1100" style="width:415.3pt;height:1.5pt" o:hralign="center" o:hrstd="t" o:hr="t" fillcolor="#a0a0a0" stroked="f"/>
        </w:pict>
      </w:r>
    </w:p>
    <w:p w14:paraId="67535C67" w14:textId="77777777" w:rsidR="001B77DD" w:rsidRDefault="00BF0A28">
      <w:pPr>
        <w:jc w:val="right"/>
      </w:pPr>
      <w:hyperlink r:id="rId162" w:anchor="i6c9ced68f6b24d58a3dcf326e8c3c699_16" w:history="1">
        <w:r>
          <w:rPr>
            <w:rStyle w:val="a5"/>
            <w:rFonts w:ascii="Arial" w:eastAsia="宋体" w:hAnsi="Arial" w:cs="Arial"/>
            <w:b/>
            <w:bCs/>
            <w:sz w:val="16"/>
            <w:szCs w:val="16"/>
          </w:rPr>
          <w:t>Table of Contents</w:t>
        </w:r>
      </w:hyperlink>
    </w:p>
    <w:p w14:paraId="67535C68"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5C6F" w14:textId="77777777">
        <w:tc>
          <w:tcPr>
            <w:tcW w:w="50" w:type="pct"/>
            <w:shd w:val="clear" w:color="auto" w:fill="auto"/>
            <w:vAlign w:val="bottom"/>
          </w:tcPr>
          <w:p w14:paraId="67535C69" w14:textId="77777777" w:rsidR="001B77DD" w:rsidRDefault="001B77DD">
            <w:pPr>
              <w:rPr>
                <w:rFonts w:ascii="宋体"/>
              </w:rPr>
            </w:pPr>
          </w:p>
        </w:tc>
        <w:tc>
          <w:tcPr>
            <w:tcW w:w="4870" w:type="pct"/>
            <w:shd w:val="clear" w:color="auto" w:fill="auto"/>
            <w:vAlign w:val="bottom"/>
          </w:tcPr>
          <w:p w14:paraId="67535C6A" w14:textId="77777777" w:rsidR="001B77DD" w:rsidRDefault="001B77DD">
            <w:pPr>
              <w:rPr>
                <w:rFonts w:ascii="宋体"/>
              </w:rPr>
            </w:pPr>
          </w:p>
        </w:tc>
        <w:tc>
          <w:tcPr>
            <w:tcW w:w="5" w:type="pct"/>
            <w:shd w:val="clear" w:color="auto" w:fill="auto"/>
            <w:vAlign w:val="bottom"/>
          </w:tcPr>
          <w:p w14:paraId="67535C6B" w14:textId="77777777" w:rsidR="001B77DD" w:rsidRDefault="001B77DD">
            <w:pPr>
              <w:rPr>
                <w:rFonts w:ascii="宋体"/>
              </w:rPr>
            </w:pPr>
          </w:p>
        </w:tc>
        <w:tc>
          <w:tcPr>
            <w:tcW w:w="5" w:type="pct"/>
            <w:shd w:val="clear" w:color="auto" w:fill="auto"/>
            <w:vAlign w:val="bottom"/>
          </w:tcPr>
          <w:p w14:paraId="67535C6C" w14:textId="77777777" w:rsidR="001B77DD" w:rsidRDefault="001B77DD">
            <w:pPr>
              <w:rPr>
                <w:rFonts w:ascii="宋体"/>
              </w:rPr>
            </w:pPr>
          </w:p>
        </w:tc>
        <w:tc>
          <w:tcPr>
            <w:tcW w:w="64" w:type="pct"/>
            <w:shd w:val="clear" w:color="auto" w:fill="auto"/>
            <w:vAlign w:val="bottom"/>
          </w:tcPr>
          <w:p w14:paraId="67535C6D" w14:textId="77777777" w:rsidR="001B77DD" w:rsidRDefault="001B77DD">
            <w:pPr>
              <w:rPr>
                <w:rFonts w:ascii="宋体"/>
              </w:rPr>
            </w:pPr>
          </w:p>
        </w:tc>
        <w:tc>
          <w:tcPr>
            <w:tcW w:w="5" w:type="pct"/>
            <w:shd w:val="clear" w:color="auto" w:fill="auto"/>
            <w:vAlign w:val="bottom"/>
          </w:tcPr>
          <w:p w14:paraId="67535C6E" w14:textId="77777777" w:rsidR="001B77DD" w:rsidRDefault="001B77DD">
            <w:pPr>
              <w:rPr>
                <w:rFonts w:ascii="宋体"/>
              </w:rPr>
            </w:pPr>
          </w:p>
        </w:tc>
      </w:tr>
      <w:tr w:rsidR="001B77DD" w14:paraId="67535C72" w14:textId="77777777">
        <w:tc>
          <w:tcPr>
            <w:tcW w:w="0" w:type="auto"/>
            <w:gridSpan w:val="3"/>
            <w:shd w:val="clear" w:color="auto" w:fill="004A86"/>
            <w:tcMar>
              <w:top w:w="40" w:type="dxa"/>
              <w:left w:w="20" w:type="dxa"/>
              <w:bottom w:w="40" w:type="dxa"/>
              <w:right w:w="20" w:type="dxa"/>
            </w:tcMar>
            <w:vAlign w:val="center"/>
          </w:tcPr>
          <w:p w14:paraId="67535C70" w14:textId="77777777" w:rsidR="001B77DD" w:rsidRDefault="00BF0A28">
            <w:pPr>
              <w:textAlignment w:val="center"/>
            </w:pPr>
            <w:r>
              <w:rPr>
                <w:rFonts w:ascii="Arial" w:eastAsia="宋体" w:hAnsi="Arial" w:cs="Arial"/>
                <w:color w:val="FFFFFF"/>
                <w:sz w:val="36"/>
                <w:szCs w:val="36"/>
              </w:rPr>
              <w:t>Consolidated Statements of Cash Flows</w:t>
            </w:r>
          </w:p>
        </w:tc>
        <w:tc>
          <w:tcPr>
            <w:tcW w:w="0" w:type="auto"/>
            <w:gridSpan w:val="3"/>
            <w:shd w:val="clear" w:color="auto" w:fill="auto"/>
            <w:tcMar>
              <w:top w:w="0" w:type="dxa"/>
              <w:left w:w="20" w:type="dxa"/>
              <w:bottom w:w="0" w:type="dxa"/>
              <w:right w:w="20" w:type="dxa"/>
            </w:tcMar>
            <w:vAlign w:val="bottom"/>
          </w:tcPr>
          <w:p w14:paraId="67535C71" w14:textId="77777777" w:rsidR="001B77DD" w:rsidRDefault="001B77DD">
            <w:pPr>
              <w:rPr>
                <w:rFonts w:ascii="宋体"/>
              </w:rPr>
            </w:pPr>
          </w:p>
        </w:tc>
      </w:tr>
      <w:tr w:rsidR="001B77DD" w14:paraId="67535C75" w14:textId="77777777">
        <w:trPr>
          <w:trHeight w:val="160"/>
        </w:trPr>
        <w:tc>
          <w:tcPr>
            <w:tcW w:w="0" w:type="auto"/>
            <w:gridSpan w:val="3"/>
            <w:shd w:val="clear" w:color="auto" w:fill="auto"/>
            <w:tcMar>
              <w:top w:w="0" w:type="dxa"/>
              <w:left w:w="20" w:type="dxa"/>
              <w:bottom w:w="0" w:type="dxa"/>
              <w:right w:w="20" w:type="dxa"/>
            </w:tcMar>
            <w:vAlign w:val="bottom"/>
          </w:tcPr>
          <w:p w14:paraId="67535C73"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5C74" w14:textId="77777777" w:rsidR="001B77DD" w:rsidRDefault="001B77DD">
            <w:pPr>
              <w:rPr>
                <w:rFonts w:ascii="宋体"/>
              </w:rPr>
            </w:pPr>
          </w:p>
        </w:tc>
      </w:tr>
    </w:tbl>
    <w:p w14:paraId="67535C76"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5043"/>
        <w:gridCol w:w="41"/>
        <w:gridCol w:w="36"/>
        <w:gridCol w:w="36"/>
        <w:gridCol w:w="36"/>
        <w:gridCol w:w="122"/>
        <w:gridCol w:w="803"/>
        <w:gridCol w:w="36"/>
        <w:gridCol w:w="36"/>
        <w:gridCol w:w="36"/>
        <w:gridCol w:w="36"/>
        <w:gridCol w:w="122"/>
        <w:gridCol w:w="804"/>
        <w:gridCol w:w="36"/>
        <w:gridCol w:w="36"/>
        <w:gridCol w:w="36"/>
        <w:gridCol w:w="36"/>
        <w:gridCol w:w="122"/>
        <w:gridCol w:w="805"/>
        <w:gridCol w:w="36"/>
      </w:tblGrid>
      <w:tr w:rsidR="001B77DD" w14:paraId="67535C8C" w14:textId="77777777">
        <w:tc>
          <w:tcPr>
            <w:tcW w:w="50" w:type="pct"/>
            <w:shd w:val="clear" w:color="auto" w:fill="auto"/>
            <w:vAlign w:val="bottom"/>
          </w:tcPr>
          <w:p w14:paraId="67535C77" w14:textId="77777777" w:rsidR="001B77DD" w:rsidRDefault="001B77DD">
            <w:pPr>
              <w:rPr>
                <w:rFonts w:ascii="宋体"/>
              </w:rPr>
            </w:pPr>
          </w:p>
        </w:tc>
        <w:tc>
          <w:tcPr>
            <w:tcW w:w="3059" w:type="pct"/>
            <w:shd w:val="clear" w:color="auto" w:fill="auto"/>
            <w:vAlign w:val="bottom"/>
          </w:tcPr>
          <w:p w14:paraId="67535C78" w14:textId="77777777" w:rsidR="001B77DD" w:rsidRDefault="001B77DD">
            <w:pPr>
              <w:rPr>
                <w:rFonts w:ascii="宋体"/>
              </w:rPr>
            </w:pPr>
          </w:p>
        </w:tc>
        <w:tc>
          <w:tcPr>
            <w:tcW w:w="5" w:type="pct"/>
            <w:shd w:val="clear" w:color="auto" w:fill="auto"/>
            <w:vAlign w:val="bottom"/>
          </w:tcPr>
          <w:p w14:paraId="67535C79" w14:textId="77777777" w:rsidR="001B77DD" w:rsidRDefault="001B77DD">
            <w:pPr>
              <w:rPr>
                <w:rFonts w:ascii="宋体"/>
              </w:rPr>
            </w:pPr>
          </w:p>
        </w:tc>
        <w:tc>
          <w:tcPr>
            <w:tcW w:w="5" w:type="pct"/>
            <w:shd w:val="clear" w:color="auto" w:fill="auto"/>
            <w:vAlign w:val="bottom"/>
          </w:tcPr>
          <w:p w14:paraId="67535C7A" w14:textId="77777777" w:rsidR="001B77DD" w:rsidRDefault="001B77DD">
            <w:pPr>
              <w:rPr>
                <w:rFonts w:ascii="宋体"/>
              </w:rPr>
            </w:pPr>
          </w:p>
        </w:tc>
        <w:tc>
          <w:tcPr>
            <w:tcW w:w="24" w:type="pct"/>
            <w:shd w:val="clear" w:color="auto" w:fill="auto"/>
            <w:vAlign w:val="bottom"/>
          </w:tcPr>
          <w:p w14:paraId="67535C7B" w14:textId="77777777" w:rsidR="001B77DD" w:rsidRDefault="001B77DD">
            <w:pPr>
              <w:rPr>
                <w:rFonts w:ascii="宋体"/>
              </w:rPr>
            </w:pPr>
          </w:p>
        </w:tc>
        <w:tc>
          <w:tcPr>
            <w:tcW w:w="5" w:type="pct"/>
            <w:shd w:val="clear" w:color="auto" w:fill="auto"/>
            <w:vAlign w:val="bottom"/>
          </w:tcPr>
          <w:p w14:paraId="67535C7C" w14:textId="77777777" w:rsidR="001B77DD" w:rsidRDefault="001B77DD">
            <w:pPr>
              <w:rPr>
                <w:rFonts w:ascii="宋体"/>
              </w:rPr>
            </w:pPr>
          </w:p>
        </w:tc>
        <w:tc>
          <w:tcPr>
            <w:tcW w:w="50" w:type="pct"/>
            <w:shd w:val="clear" w:color="auto" w:fill="auto"/>
            <w:vAlign w:val="bottom"/>
          </w:tcPr>
          <w:p w14:paraId="67535C7D" w14:textId="77777777" w:rsidR="001B77DD" w:rsidRDefault="001B77DD">
            <w:pPr>
              <w:rPr>
                <w:rFonts w:ascii="宋体"/>
              </w:rPr>
            </w:pPr>
          </w:p>
        </w:tc>
        <w:tc>
          <w:tcPr>
            <w:tcW w:w="539" w:type="pct"/>
            <w:shd w:val="clear" w:color="auto" w:fill="auto"/>
            <w:vAlign w:val="bottom"/>
          </w:tcPr>
          <w:p w14:paraId="67535C7E" w14:textId="77777777" w:rsidR="001B77DD" w:rsidRDefault="001B77DD">
            <w:pPr>
              <w:rPr>
                <w:rFonts w:ascii="宋体"/>
              </w:rPr>
            </w:pPr>
          </w:p>
        </w:tc>
        <w:tc>
          <w:tcPr>
            <w:tcW w:w="5" w:type="pct"/>
            <w:shd w:val="clear" w:color="auto" w:fill="auto"/>
            <w:vAlign w:val="bottom"/>
          </w:tcPr>
          <w:p w14:paraId="67535C7F" w14:textId="77777777" w:rsidR="001B77DD" w:rsidRDefault="001B77DD">
            <w:pPr>
              <w:rPr>
                <w:rFonts w:ascii="宋体"/>
              </w:rPr>
            </w:pPr>
          </w:p>
        </w:tc>
        <w:tc>
          <w:tcPr>
            <w:tcW w:w="5" w:type="pct"/>
            <w:shd w:val="clear" w:color="auto" w:fill="auto"/>
            <w:vAlign w:val="bottom"/>
          </w:tcPr>
          <w:p w14:paraId="67535C80" w14:textId="77777777" w:rsidR="001B77DD" w:rsidRDefault="001B77DD">
            <w:pPr>
              <w:rPr>
                <w:rFonts w:ascii="宋体"/>
              </w:rPr>
            </w:pPr>
          </w:p>
        </w:tc>
        <w:tc>
          <w:tcPr>
            <w:tcW w:w="24" w:type="pct"/>
            <w:shd w:val="clear" w:color="auto" w:fill="auto"/>
            <w:vAlign w:val="bottom"/>
          </w:tcPr>
          <w:p w14:paraId="67535C81" w14:textId="77777777" w:rsidR="001B77DD" w:rsidRDefault="001B77DD">
            <w:pPr>
              <w:rPr>
                <w:rFonts w:ascii="宋体"/>
              </w:rPr>
            </w:pPr>
          </w:p>
        </w:tc>
        <w:tc>
          <w:tcPr>
            <w:tcW w:w="5" w:type="pct"/>
            <w:shd w:val="clear" w:color="auto" w:fill="auto"/>
            <w:vAlign w:val="bottom"/>
          </w:tcPr>
          <w:p w14:paraId="67535C82" w14:textId="77777777" w:rsidR="001B77DD" w:rsidRDefault="001B77DD">
            <w:pPr>
              <w:rPr>
                <w:rFonts w:ascii="宋体"/>
              </w:rPr>
            </w:pPr>
          </w:p>
        </w:tc>
        <w:tc>
          <w:tcPr>
            <w:tcW w:w="50" w:type="pct"/>
            <w:shd w:val="clear" w:color="auto" w:fill="auto"/>
            <w:vAlign w:val="bottom"/>
          </w:tcPr>
          <w:p w14:paraId="67535C83" w14:textId="77777777" w:rsidR="001B77DD" w:rsidRDefault="001B77DD">
            <w:pPr>
              <w:rPr>
                <w:rFonts w:ascii="宋体"/>
              </w:rPr>
            </w:pPr>
          </w:p>
        </w:tc>
        <w:tc>
          <w:tcPr>
            <w:tcW w:w="539" w:type="pct"/>
            <w:shd w:val="clear" w:color="auto" w:fill="auto"/>
            <w:vAlign w:val="bottom"/>
          </w:tcPr>
          <w:p w14:paraId="67535C84" w14:textId="77777777" w:rsidR="001B77DD" w:rsidRDefault="001B77DD">
            <w:pPr>
              <w:rPr>
                <w:rFonts w:ascii="宋体"/>
              </w:rPr>
            </w:pPr>
          </w:p>
        </w:tc>
        <w:tc>
          <w:tcPr>
            <w:tcW w:w="5" w:type="pct"/>
            <w:shd w:val="clear" w:color="auto" w:fill="auto"/>
            <w:vAlign w:val="bottom"/>
          </w:tcPr>
          <w:p w14:paraId="67535C85" w14:textId="77777777" w:rsidR="001B77DD" w:rsidRDefault="001B77DD">
            <w:pPr>
              <w:rPr>
                <w:rFonts w:ascii="宋体"/>
              </w:rPr>
            </w:pPr>
          </w:p>
        </w:tc>
        <w:tc>
          <w:tcPr>
            <w:tcW w:w="5" w:type="pct"/>
            <w:shd w:val="clear" w:color="auto" w:fill="auto"/>
            <w:vAlign w:val="bottom"/>
          </w:tcPr>
          <w:p w14:paraId="67535C86" w14:textId="77777777" w:rsidR="001B77DD" w:rsidRDefault="001B77DD">
            <w:pPr>
              <w:rPr>
                <w:rFonts w:ascii="宋体"/>
              </w:rPr>
            </w:pPr>
          </w:p>
        </w:tc>
        <w:tc>
          <w:tcPr>
            <w:tcW w:w="24" w:type="pct"/>
            <w:shd w:val="clear" w:color="auto" w:fill="auto"/>
            <w:vAlign w:val="bottom"/>
          </w:tcPr>
          <w:p w14:paraId="67535C87" w14:textId="77777777" w:rsidR="001B77DD" w:rsidRDefault="001B77DD">
            <w:pPr>
              <w:rPr>
                <w:rFonts w:ascii="宋体"/>
              </w:rPr>
            </w:pPr>
          </w:p>
        </w:tc>
        <w:tc>
          <w:tcPr>
            <w:tcW w:w="5" w:type="pct"/>
            <w:shd w:val="clear" w:color="auto" w:fill="auto"/>
            <w:vAlign w:val="bottom"/>
          </w:tcPr>
          <w:p w14:paraId="67535C88" w14:textId="77777777" w:rsidR="001B77DD" w:rsidRDefault="001B77DD">
            <w:pPr>
              <w:rPr>
                <w:rFonts w:ascii="宋体"/>
              </w:rPr>
            </w:pPr>
          </w:p>
        </w:tc>
        <w:tc>
          <w:tcPr>
            <w:tcW w:w="50" w:type="pct"/>
            <w:shd w:val="clear" w:color="auto" w:fill="auto"/>
            <w:vAlign w:val="bottom"/>
          </w:tcPr>
          <w:p w14:paraId="67535C89" w14:textId="77777777" w:rsidR="001B77DD" w:rsidRDefault="001B77DD">
            <w:pPr>
              <w:rPr>
                <w:rFonts w:ascii="宋体"/>
              </w:rPr>
            </w:pPr>
          </w:p>
        </w:tc>
        <w:tc>
          <w:tcPr>
            <w:tcW w:w="539" w:type="pct"/>
            <w:shd w:val="clear" w:color="auto" w:fill="auto"/>
            <w:vAlign w:val="bottom"/>
          </w:tcPr>
          <w:p w14:paraId="67535C8A" w14:textId="77777777" w:rsidR="001B77DD" w:rsidRDefault="001B77DD">
            <w:pPr>
              <w:rPr>
                <w:rFonts w:ascii="宋体"/>
              </w:rPr>
            </w:pPr>
          </w:p>
        </w:tc>
        <w:tc>
          <w:tcPr>
            <w:tcW w:w="5" w:type="pct"/>
            <w:shd w:val="clear" w:color="auto" w:fill="auto"/>
            <w:vAlign w:val="bottom"/>
          </w:tcPr>
          <w:p w14:paraId="67535C8B" w14:textId="77777777" w:rsidR="001B77DD" w:rsidRDefault="001B77DD">
            <w:pPr>
              <w:rPr>
                <w:rFonts w:ascii="宋体"/>
              </w:rPr>
            </w:pPr>
          </w:p>
        </w:tc>
      </w:tr>
      <w:tr w:rsidR="001B77DD" w14:paraId="67535C94" w14:textId="77777777">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5C8D"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67535C8E" w14:textId="77777777" w:rsidR="001B77DD" w:rsidRDefault="001B77DD">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5C8F"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5C90" w14:textId="77777777" w:rsidR="001B77DD" w:rsidRDefault="001B77DD">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5C91"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5C92" w14:textId="77777777" w:rsidR="001B77DD" w:rsidRDefault="001B77DD">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5C93"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5CA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C95" w14:textId="77777777" w:rsidR="001B77DD" w:rsidRDefault="00BF0A28">
            <w:pPr>
              <w:textAlignment w:val="bottom"/>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vAlign w:val="bottom"/>
          </w:tcPr>
          <w:p w14:paraId="67535C9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C97"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C98" w14:textId="77777777" w:rsidR="001B77DD" w:rsidRDefault="00BF0A28">
            <w:pPr>
              <w:jc w:val="right"/>
              <w:textAlignment w:val="bottom"/>
            </w:pPr>
            <w:r>
              <w:rPr>
                <w:rFonts w:ascii="Arial" w:eastAsia="宋体" w:hAnsi="Arial" w:cs="Arial"/>
                <w:b/>
                <w:bCs/>
                <w:color w:val="0068B5"/>
                <w:sz w:val="18"/>
                <w:szCs w:val="18"/>
              </w:rPr>
              <w:t>5,865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C9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9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C9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C9C" w14:textId="77777777" w:rsidR="001B77DD" w:rsidRDefault="00BF0A28">
            <w:pPr>
              <w:jc w:val="right"/>
              <w:textAlignment w:val="bottom"/>
            </w:pPr>
            <w:r>
              <w:rPr>
                <w:rFonts w:ascii="Arial" w:eastAsia="宋体" w:hAnsi="Arial" w:cs="Arial"/>
                <w:b/>
                <w:bCs/>
                <w:color w:val="262626"/>
                <w:sz w:val="18"/>
                <w:szCs w:val="18"/>
              </w:rPr>
              <w:t>4,194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C9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9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C9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CA0" w14:textId="77777777" w:rsidR="001B77DD" w:rsidRDefault="00BF0A28">
            <w:pPr>
              <w:jc w:val="right"/>
              <w:textAlignment w:val="bottom"/>
            </w:pPr>
            <w:r>
              <w:rPr>
                <w:rFonts w:ascii="Arial" w:eastAsia="宋体" w:hAnsi="Arial" w:cs="Arial"/>
                <w:b/>
                <w:bCs/>
                <w:color w:val="262626"/>
                <w:sz w:val="18"/>
                <w:szCs w:val="18"/>
              </w:rPr>
              <w:t>3,019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CA1" w14:textId="77777777" w:rsidR="001B77DD" w:rsidRDefault="001B77DD">
            <w:pPr>
              <w:jc w:val="right"/>
              <w:rPr>
                <w:rFonts w:ascii="宋体"/>
              </w:rPr>
            </w:pPr>
          </w:p>
        </w:tc>
      </w:tr>
      <w:tr w:rsidR="001B77DD" w14:paraId="67535CAA" w14:textId="77777777">
        <w:tc>
          <w:tcPr>
            <w:tcW w:w="0" w:type="auto"/>
            <w:gridSpan w:val="3"/>
            <w:shd w:val="clear" w:color="auto" w:fill="auto"/>
            <w:tcMar>
              <w:top w:w="40" w:type="dxa"/>
              <w:left w:w="20" w:type="dxa"/>
              <w:bottom w:w="40" w:type="dxa"/>
              <w:right w:w="20" w:type="dxa"/>
            </w:tcMar>
            <w:vAlign w:val="bottom"/>
          </w:tcPr>
          <w:p w14:paraId="67535CA3" w14:textId="77777777" w:rsidR="001B77DD" w:rsidRDefault="00BF0A28">
            <w:pPr>
              <w:textAlignment w:val="bottom"/>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vAlign w:val="bottom"/>
          </w:tcPr>
          <w:p w14:paraId="67535CA4"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CA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A6"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CA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A8"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CA9" w14:textId="77777777" w:rsidR="001B77DD" w:rsidRDefault="001B77DD">
            <w:pPr>
              <w:rPr>
                <w:rFonts w:ascii="宋体"/>
              </w:rPr>
            </w:pPr>
          </w:p>
        </w:tc>
      </w:tr>
      <w:tr w:rsidR="001B77DD" w14:paraId="67535CB5" w14:textId="77777777">
        <w:tc>
          <w:tcPr>
            <w:tcW w:w="0" w:type="auto"/>
            <w:gridSpan w:val="3"/>
            <w:shd w:val="clear" w:color="auto" w:fill="auto"/>
            <w:tcMar>
              <w:top w:w="40" w:type="dxa"/>
              <w:left w:w="140" w:type="dxa"/>
              <w:bottom w:w="40" w:type="dxa"/>
              <w:right w:w="20" w:type="dxa"/>
            </w:tcMar>
            <w:vAlign w:val="bottom"/>
          </w:tcPr>
          <w:p w14:paraId="67535CAB" w14:textId="77777777" w:rsidR="001B77DD" w:rsidRDefault="00BF0A2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7535CA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AD" w14:textId="77777777" w:rsidR="001B77DD" w:rsidRDefault="00BF0A28">
            <w:pPr>
              <w:jc w:val="right"/>
              <w:textAlignment w:val="bottom"/>
            </w:pPr>
            <w:r>
              <w:rPr>
                <w:rFonts w:ascii="Arial" w:eastAsia="宋体" w:hAnsi="Arial" w:cs="Arial"/>
                <w:color w:val="0068B5"/>
                <w:sz w:val="18"/>
                <w:szCs w:val="18"/>
              </w:rPr>
              <w:t>19,868 </w:t>
            </w:r>
          </w:p>
        </w:tc>
        <w:tc>
          <w:tcPr>
            <w:tcW w:w="0" w:type="auto"/>
            <w:shd w:val="clear" w:color="auto" w:fill="auto"/>
            <w:tcMar>
              <w:top w:w="40" w:type="dxa"/>
              <w:left w:w="0" w:type="dxa"/>
              <w:bottom w:w="40" w:type="dxa"/>
              <w:right w:w="20" w:type="dxa"/>
            </w:tcMar>
            <w:vAlign w:val="bottom"/>
          </w:tcPr>
          <w:p w14:paraId="67535CA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A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B0" w14:textId="77777777" w:rsidR="001B77DD" w:rsidRDefault="00BF0A28">
            <w:pPr>
              <w:jc w:val="right"/>
              <w:textAlignment w:val="bottom"/>
            </w:pPr>
            <w:r>
              <w:rPr>
                <w:rFonts w:ascii="Arial" w:eastAsia="宋体" w:hAnsi="Arial" w:cs="Arial"/>
                <w:color w:val="262626"/>
                <w:sz w:val="18"/>
                <w:szCs w:val="18"/>
              </w:rPr>
              <w:t>20,899 </w:t>
            </w:r>
          </w:p>
        </w:tc>
        <w:tc>
          <w:tcPr>
            <w:tcW w:w="0" w:type="auto"/>
            <w:shd w:val="clear" w:color="auto" w:fill="auto"/>
            <w:tcMar>
              <w:top w:w="40" w:type="dxa"/>
              <w:left w:w="0" w:type="dxa"/>
              <w:bottom w:w="40" w:type="dxa"/>
              <w:right w:w="20" w:type="dxa"/>
            </w:tcMar>
            <w:vAlign w:val="bottom"/>
          </w:tcPr>
          <w:p w14:paraId="67535CB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B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B3" w14:textId="77777777" w:rsidR="001B77DD" w:rsidRDefault="00BF0A28">
            <w:pPr>
              <w:jc w:val="right"/>
              <w:textAlignment w:val="bottom"/>
            </w:pPr>
            <w:r>
              <w:rPr>
                <w:rFonts w:ascii="Arial" w:eastAsia="宋体" w:hAnsi="Arial" w:cs="Arial"/>
                <w:color w:val="262626"/>
                <w:sz w:val="18"/>
                <w:szCs w:val="18"/>
              </w:rPr>
              <w:t>21,048 </w:t>
            </w:r>
          </w:p>
        </w:tc>
        <w:tc>
          <w:tcPr>
            <w:tcW w:w="0" w:type="auto"/>
            <w:shd w:val="clear" w:color="auto" w:fill="auto"/>
            <w:tcMar>
              <w:top w:w="40" w:type="dxa"/>
              <w:left w:w="0" w:type="dxa"/>
              <w:bottom w:w="40" w:type="dxa"/>
              <w:right w:w="20" w:type="dxa"/>
            </w:tcMar>
            <w:vAlign w:val="bottom"/>
          </w:tcPr>
          <w:p w14:paraId="67535CB4" w14:textId="77777777" w:rsidR="001B77DD" w:rsidRDefault="001B77DD">
            <w:pPr>
              <w:jc w:val="right"/>
              <w:rPr>
                <w:rFonts w:ascii="宋体"/>
              </w:rPr>
            </w:pPr>
          </w:p>
        </w:tc>
      </w:tr>
      <w:tr w:rsidR="001B77DD" w14:paraId="67535CBD" w14:textId="77777777">
        <w:tc>
          <w:tcPr>
            <w:tcW w:w="0" w:type="auto"/>
            <w:gridSpan w:val="3"/>
            <w:shd w:val="clear" w:color="auto" w:fill="auto"/>
            <w:tcMar>
              <w:top w:w="40" w:type="dxa"/>
              <w:left w:w="140" w:type="dxa"/>
              <w:bottom w:w="40" w:type="dxa"/>
              <w:right w:w="20" w:type="dxa"/>
            </w:tcMar>
            <w:vAlign w:val="bottom"/>
          </w:tcPr>
          <w:p w14:paraId="67535CB6" w14:textId="77777777" w:rsidR="001B77DD" w:rsidRDefault="00BF0A28">
            <w:pPr>
              <w:textAlignment w:val="bottom"/>
            </w:pPr>
            <w:r>
              <w:rPr>
                <w:rFonts w:ascii="Arial" w:eastAsia="宋体" w:hAnsi="Arial" w:cs="Arial"/>
                <w:color w:val="262626"/>
                <w:sz w:val="18"/>
                <w:szCs w:val="18"/>
              </w:rPr>
              <w:t>Adjustments to reconcile net income to net cash provided by operating activities:</w:t>
            </w:r>
          </w:p>
        </w:tc>
        <w:tc>
          <w:tcPr>
            <w:tcW w:w="0" w:type="auto"/>
            <w:gridSpan w:val="3"/>
            <w:shd w:val="clear" w:color="auto" w:fill="auto"/>
            <w:tcMar>
              <w:top w:w="0" w:type="dxa"/>
              <w:left w:w="20" w:type="dxa"/>
              <w:bottom w:w="0" w:type="dxa"/>
              <w:right w:w="20" w:type="dxa"/>
            </w:tcMar>
            <w:vAlign w:val="bottom"/>
          </w:tcPr>
          <w:p w14:paraId="67535CB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B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B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B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B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CBC" w14:textId="77777777" w:rsidR="001B77DD" w:rsidRDefault="001B77DD">
            <w:pPr>
              <w:rPr>
                <w:rFonts w:ascii="宋体"/>
              </w:rPr>
            </w:pPr>
          </w:p>
        </w:tc>
      </w:tr>
      <w:tr w:rsidR="001B77DD" w14:paraId="67535CC8" w14:textId="77777777">
        <w:tc>
          <w:tcPr>
            <w:tcW w:w="0" w:type="auto"/>
            <w:gridSpan w:val="3"/>
            <w:shd w:val="clear" w:color="auto" w:fill="auto"/>
            <w:tcMar>
              <w:top w:w="40" w:type="dxa"/>
              <w:left w:w="260" w:type="dxa"/>
              <w:bottom w:w="40" w:type="dxa"/>
              <w:right w:w="20" w:type="dxa"/>
            </w:tcMar>
            <w:vAlign w:val="bottom"/>
          </w:tcPr>
          <w:p w14:paraId="67535CBE" w14:textId="77777777" w:rsidR="001B77DD" w:rsidRDefault="00BF0A28">
            <w:pPr>
              <w:textAlignment w:val="bottom"/>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vAlign w:val="bottom"/>
          </w:tcPr>
          <w:p w14:paraId="67535CB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C0" w14:textId="77777777" w:rsidR="001B77DD" w:rsidRDefault="00BF0A28">
            <w:pPr>
              <w:jc w:val="right"/>
              <w:textAlignment w:val="bottom"/>
            </w:pPr>
            <w:r>
              <w:rPr>
                <w:rFonts w:ascii="Arial" w:eastAsia="宋体" w:hAnsi="Arial" w:cs="Arial"/>
                <w:color w:val="0068B5"/>
                <w:sz w:val="18"/>
                <w:szCs w:val="18"/>
              </w:rPr>
              <w:t>9,953 </w:t>
            </w:r>
          </w:p>
        </w:tc>
        <w:tc>
          <w:tcPr>
            <w:tcW w:w="0" w:type="auto"/>
            <w:shd w:val="clear" w:color="auto" w:fill="auto"/>
            <w:tcMar>
              <w:top w:w="40" w:type="dxa"/>
              <w:left w:w="0" w:type="dxa"/>
              <w:bottom w:w="40" w:type="dxa"/>
              <w:right w:w="20" w:type="dxa"/>
            </w:tcMar>
            <w:vAlign w:val="bottom"/>
          </w:tcPr>
          <w:p w14:paraId="67535CC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C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C3" w14:textId="77777777" w:rsidR="001B77DD" w:rsidRDefault="00BF0A28">
            <w:pPr>
              <w:jc w:val="right"/>
              <w:textAlignment w:val="bottom"/>
            </w:pPr>
            <w:r>
              <w:rPr>
                <w:rFonts w:ascii="Arial" w:eastAsia="宋体" w:hAnsi="Arial" w:cs="Arial"/>
                <w:color w:val="262626"/>
                <w:sz w:val="18"/>
                <w:szCs w:val="18"/>
              </w:rPr>
              <w:t>10,482 </w:t>
            </w:r>
          </w:p>
        </w:tc>
        <w:tc>
          <w:tcPr>
            <w:tcW w:w="0" w:type="auto"/>
            <w:shd w:val="clear" w:color="auto" w:fill="auto"/>
            <w:tcMar>
              <w:top w:w="40" w:type="dxa"/>
              <w:left w:w="0" w:type="dxa"/>
              <w:bottom w:w="40" w:type="dxa"/>
              <w:right w:w="20" w:type="dxa"/>
            </w:tcMar>
            <w:vAlign w:val="bottom"/>
          </w:tcPr>
          <w:p w14:paraId="67535CC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C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C6" w14:textId="77777777" w:rsidR="001B77DD" w:rsidRDefault="00BF0A28">
            <w:pPr>
              <w:jc w:val="right"/>
              <w:textAlignment w:val="bottom"/>
            </w:pPr>
            <w:r>
              <w:rPr>
                <w:rFonts w:ascii="Arial" w:eastAsia="宋体" w:hAnsi="Arial" w:cs="Arial"/>
                <w:color w:val="262626"/>
                <w:sz w:val="18"/>
                <w:szCs w:val="18"/>
              </w:rPr>
              <w:t>9,204 </w:t>
            </w:r>
          </w:p>
        </w:tc>
        <w:tc>
          <w:tcPr>
            <w:tcW w:w="0" w:type="auto"/>
            <w:shd w:val="clear" w:color="auto" w:fill="auto"/>
            <w:tcMar>
              <w:top w:w="40" w:type="dxa"/>
              <w:left w:w="0" w:type="dxa"/>
              <w:bottom w:w="40" w:type="dxa"/>
              <w:right w:w="20" w:type="dxa"/>
            </w:tcMar>
            <w:vAlign w:val="bottom"/>
          </w:tcPr>
          <w:p w14:paraId="67535CC7" w14:textId="77777777" w:rsidR="001B77DD" w:rsidRDefault="001B77DD">
            <w:pPr>
              <w:jc w:val="right"/>
              <w:rPr>
                <w:rFonts w:ascii="宋体"/>
              </w:rPr>
            </w:pPr>
          </w:p>
        </w:tc>
      </w:tr>
      <w:tr w:rsidR="001B77DD" w14:paraId="67535CD3" w14:textId="77777777">
        <w:tc>
          <w:tcPr>
            <w:tcW w:w="0" w:type="auto"/>
            <w:gridSpan w:val="3"/>
            <w:shd w:val="clear" w:color="auto" w:fill="auto"/>
            <w:tcMar>
              <w:top w:w="40" w:type="dxa"/>
              <w:left w:w="260" w:type="dxa"/>
              <w:bottom w:w="40" w:type="dxa"/>
              <w:right w:w="20" w:type="dxa"/>
            </w:tcMar>
            <w:vAlign w:val="bottom"/>
          </w:tcPr>
          <w:p w14:paraId="67535CC9" w14:textId="77777777" w:rsidR="001B77DD" w:rsidRDefault="00BF0A2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7535CC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CB" w14:textId="77777777" w:rsidR="001B77DD" w:rsidRDefault="00BF0A28">
            <w:pPr>
              <w:jc w:val="right"/>
              <w:textAlignment w:val="bottom"/>
            </w:pPr>
            <w:r>
              <w:rPr>
                <w:rFonts w:ascii="Arial" w:eastAsia="宋体" w:hAnsi="Arial" w:cs="Arial"/>
                <w:color w:val="0068B5"/>
                <w:sz w:val="18"/>
                <w:szCs w:val="18"/>
              </w:rPr>
              <w:t>2,036 </w:t>
            </w:r>
          </w:p>
        </w:tc>
        <w:tc>
          <w:tcPr>
            <w:tcW w:w="0" w:type="auto"/>
            <w:shd w:val="clear" w:color="auto" w:fill="auto"/>
            <w:tcMar>
              <w:top w:w="40" w:type="dxa"/>
              <w:left w:w="0" w:type="dxa"/>
              <w:bottom w:w="40" w:type="dxa"/>
              <w:right w:w="20" w:type="dxa"/>
            </w:tcMar>
            <w:vAlign w:val="bottom"/>
          </w:tcPr>
          <w:p w14:paraId="67535CC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C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CE" w14:textId="77777777" w:rsidR="001B77DD" w:rsidRDefault="00BF0A28">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67535CC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D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D1" w14:textId="77777777" w:rsidR="001B77DD" w:rsidRDefault="00BF0A28">
            <w:pPr>
              <w:jc w:val="right"/>
              <w:textAlignment w:val="bottom"/>
            </w:pPr>
            <w:r>
              <w:rPr>
                <w:rFonts w:ascii="Arial" w:eastAsia="宋体" w:hAnsi="Arial" w:cs="Arial"/>
                <w:color w:val="262626"/>
                <w:sz w:val="18"/>
                <w:szCs w:val="18"/>
              </w:rPr>
              <w:t>1,705 </w:t>
            </w:r>
          </w:p>
        </w:tc>
        <w:tc>
          <w:tcPr>
            <w:tcW w:w="0" w:type="auto"/>
            <w:shd w:val="clear" w:color="auto" w:fill="auto"/>
            <w:tcMar>
              <w:top w:w="40" w:type="dxa"/>
              <w:left w:w="0" w:type="dxa"/>
              <w:bottom w:w="40" w:type="dxa"/>
              <w:right w:w="20" w:type="dxa"/>
            </w:tcMar>
            <w:vAlign w:val="bottom"/>
          </w:tcPr>
          <w:p w14:paraId="67535CD2" w14:textId="77777777" w:rsidR="001B77DD" w:rsidRDefault="001B77DD">
            <w:pPr>
              <w:jc w:val="right"/>
              <w:rPr>
                <w:rFonts w:ascii="宋体"/>
              </w:rPr>
            </w:pPr>
          </w:p>
        </w:tc>
      </w:tr>
      <w:tr w:rsidR="001B77DD" w14:paraId="67535CDB" w14:textId="77777777">
        <w:trPr>
          <w:hidden/>
        </w:trPr>
        <w:tc>
          <w:tcPr>
            <w:tcW w:w="0" w:type="auto"/>
            <w:gridSpan w:val="3"/>
            <w:shd w:val="clear" w:color="auto" w:fill="auto"/>
            <w:vAlign w:val="bottom"/>
          </w:tcPr>
          <w:p w14:paraId="67535CD4" w14:textId="77777777" w:rsidR="001B77DD" w:rsidRDefault="001B77DD">
            <w:pPr>
              <w:rPr>
                <w:rFonts w:ascii="宋体"/>
                <w:vanish/>
              </w:rPr>
            </w:pPr>
          </w:p>
        </w:tc>
        <w:tc>
          <w:tcPr>
            <w:tcW w:w="0" w:type="auto"/>
            <w:gridSpan w:val="3"/>
            <w:shd w:val="clear" w:color="auto" w:fill="auto"/>
            <w:vAlign w:val="bottom"/>
          </w:tcPr>
          <w:p w14:paraId="67535CD5" w14:textId="77777777" w:rsidR="001B77DD" w:rsidRDefault="001B77DD">
            <w:pPr>
              <w:rPr>
                <w:rFonts w:ascii="宋体"/>
                <w:vanish/>
              </w:rPr>
            </w:pPr>
          </w:p>
        </w:tc>
        <w:tc>
          <w:tcPr>
            <w:tcW w:w="0" w:type="auto"/>
            <w:gridSpan w:val="3"/>
            <w:shd w:val="clear" w:color="auto" w:fill="auto"/>
            <w:vAlign w:val="bottom"/>
          </w:tcPr>
          <w:p w14:paraId="67535CD6" w14:textId="77777777" w:rsidR="001B77DD" w:rsidRDefault="001B77DD">
            <w:pPr>
              <w:rPr>
                <w:rFonts w:ascii="宋体"/>
                <w:vanish/>
              </w:rPr>
            </w:pPr>
          </w:p>
        </w:tc>
        <w:tc>
          <w:tcPr>
            <w:tcW w:w="0" w:type="auto"/>
            <w:gridSpan w:val="3"/>
            <w:shd w:val="clear" w:color="auto" w:fill="auto"/>
            <w:vAlign w:val="bottom"/>
          </w:tcPr>
          <w:p w14:paraId="67535CD7" w14:textId="77777777" w:rsidR="001B77DD" w:rsidRDefault="001B77DD">
            <w:pPr>
              <w:rPr>
                <w:rFonts w:ascii="宋体"/>
                <w:vanish/>
              </w:rPr>
            </w:pPr>
          </w:p>
        </w:tc>
        <w:tc>
          <w:tcPr>
            <w:tcW w:w="0" w:type="auto"/>
            <w:gridSpan w:val="3"/>
            <w:shd w:val="clear" w:color="auto" w:fill="auto"/>
            <w:vAlign w:val="bottom"/>
          </w:tcPr>
          <w:p w14:paraId="67535CD8" w14:textId="77777777" w:rsidR="001B77DD" w:rsidRDefault="001B77DD">
            <w:pPr>
              <w:rPr>
                <w:rFonts w:ascii="宋体"/>
                <w:vanish/>
              </w:rPr>
            </w:pPr>
          </w:p>
        </w:tc>
        <w:tc>
          <w:tcPr>
            <w:tcW w:w="0" w:type="auto"/>
            <w:gridSpan w:val="3"/>
            <w:shd w:val="clear" w:color="auto" w:fill="auto"/>
            <w:vAlign w:val="bottom"/>
          </w:tcPr>
          <w:p w14:paraId="67535CD9" w14:textId="77777777" w:rsidR="001B77DD" w:rsidRDefault="001B77DD">
            <w:pPr>
              <w:rPr>
                <w:rFonts w:ascii="宋体"/>
                <w:vanish/>
              </w:rPr>
            </w:pPr>
          </w:p>
        </w:tc>
        <w:tc>
          <w:tcPr>
            <w:tcW w:w="0" w:type="auto"/>
            <w:gridSpan w:val="3"/>
            <w:shd w:val="clear" w:color="auto" w:fill="auto"/>
            <w:vAlign w:val="bottom"/>
          </w:tcPr>
          <w:p w14:paraId="67535CDA" w14:textId="77777777" w:rsidR="001B77DD" w:rsidRDefault="001B77DD">
            <w:pPr>
              <w:rPr>
                <w:rFonts w:ascii="宋体"/>
                <w:vanish/>
              </w:rPr>
            </w:pPr>
          </w:p>
        </w:tc>
      </w:tr>
      <w:tr w:rsidR="001B77DD" w14:paraId="67535CE6" w14:textId="77777777">
        <w:tc>
          <w:tcPr>
            <w:tcW w:w="0" w:type="auto"/>
            <w:gridSpan w:val="3"/>
            <w:shd w:val="clear" w:color="auto" w:fill="auto"/>
            <w:tcMar>
              <w:top w:w="40" w:type="dxa"/>
              <w:left w:w="260" w:type="dxa"/>
              <w:bottom w:w="40" w:type="dxa"/>
              <w:right w:w="20" w:type="dxa"/>
            </w:tcMar>
            <w:vAlign w:val="bottom"/>
          </w:tcPr>
          <w:p w14:paraId="67535CDC" w14:textId="77777777" w:rsidR="001B77DD" w:rsidRDefault="00BF0A28">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7535CD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DE" w14:textId="77777777" w:rsidR="001B77DD" w:rsidRDefault="00BF0A28">
            <w:pPr>
              <w:jc w:val="right"/>
              <w:textAlignment w:val="bottom"/>
            </w:pPr>
            <w:r>
              <w:rPr>
                <w:rFonts w:ascii="Arial" w:eastAsia="宋体" w:hAnsi="Arial" w:cs="Arial"/>
                <w:color w:val="0068B5"/>
                <w:sz w:val="18"/>
                <w:szCs w:val="18"/>
              </w:rPr>
              <w:t>2,626 </w:t>
            </w:r>
          </w:p>
        </w:tc>
        <w:tc>
          <w:tcPr>
            <w:tcW w:w="0" w:type="auto"/>
            <w:shd w:val="clear" w:color="auto" w:fill="auto"/>
            <w:tcMar>
              <w:top w:w="40" w:type="dxa"/>
              <w:left w:w="0" w:type="dxa"/>
              <w:bottom w:w="40" w:type="dxa"/>
              <w:right w:w="20" w:type="dxa"/>
            </w:tcMar>
            <w:vAlign w:val="bottom"/>
          </w:tcPr>
          <w:p w14:paraId="67535CD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E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E1" w14:textId="77777777" w:rsidR="001B77DD" w:rsidRDefault="00BF0A28">
            <w:pPr>
              <w:jc w:val="right"/>
              <w:textAlignment w:val="bottom"/>
            </w:pPr>
            <w:r>
              <w:rPr>
                <w:rFonts w:ascii="Arial" w:eastAsia="宋体" w:hAnsi="Arial" w:cs="Arial"/>
                <w:color w:val="262626"/>
                <w:sz w:val="18"/>
                <w:szCs w:val="18"/>
              </w:rPr>
              <w:t>198 </w:t>
            </w:r>
          </w:p>
        </w:tc>
        <w:tc>
          <w:tcPr>
            <w:tcW w:w="0" w:type="auto"/>
            <w:shd w:val="clear" w:color="auto" w:fill="auto"/>
            <w:tcMar>
              <w:top w:w="40" w:type="dxa"/>
              <w:left w:w="0" w:type="dxa"/>
              <w:bottom w:w="40" w:type="dxa"/>
              <w:right w:w="20" w:type="dxa"/>
            </w:tcMar>
            <w:vAlign w:val="bottom"/>
          </w:tcPr>
          <w:p w14:paraId="67535C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E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E4" w14:textId="77777777" w:rsidR="001B77DD" w:rsidRDefault="00BF0A28">
            <w:pPr>
              <w:jc w:val="right"/>
              <w:textAlignment w:val="bottom"/>
            </w:pPr>
            <w:r>
              <w:rPr>
                <w:rFonts w:ascii="Arial" w:eastAsia="宋体" w:hAnsi="Arial" w:cs="Arial"/>
                <w:color w:val="262626"/>
                <w:sz w:val="18"/>
                <w:szCs w:val="18"/>
              </w:rPr>
              <w:t>393 </w:t>
            </w:r>
          </w:p>
        </w:tc>
        <w:tc>
          <w:tcPr>
            <w:tcW w:w="0" w:type="auto"/>
            <w:shd w:val="clear" w:color="auto" w:fill="auto"/>
            <w:tcMar>
              <w:top w:w="40" w:type="dxa"/>
              <w:left w:w="0" w:type="dxa"/>
              <w:bottom w:w="40" w:type="dxa"/>
              <w:right w:w="20" w:type="dxa"/>
            </w:tcMar>
            <w:vAlign w:val="bottom"/>
          </w:tcPr>
          <w:p w14:paraId="67535CE5" w14:textId="77777777" w:rsidR="001B77DD" w:rsidRDefault="001B77DD">
            <w:pPr>
              <w:jc w:val="right"/>
              <w:rPr>
                <w:rFonts w:ascii="宋体"/>
              </w:rPr>
            </w:pPr>
          </w:p>
        </w:tc>
      </w:tr>
      <w:tr w:rsidR="001B77DD" w14:paraId="67535CF1" w14:textId="77777777">
        <w:tc>
          <w:tcPr>
            <w:tcW w:w="0" w:type="auto"/>
            <w:gridSpan w:val="3"/>
            <w:shd w:val="clear" w:color="auto" w:fill="auto"/>
            <w:tcMar>
              <w:top w:w="40" w:type="dxa"/>
              <w:left w:w="260" w:type="dxa"/>
              <w:bottom w:w="40" w:type="dxa"/>
              <w:right w:w="20" w:type="dxa"/>
            </w:tcMar>
            <w:vAlign w:val="bottom"/>
          </w:tcPr>
          <w:p w14:paraId="67535CE7" w14:textId="77777777" w:rsidR="001B77DD" w:rsidRDefault="00BF0A28">
            <w:pPr>
              <w:textAlignment w:val="bottom"/>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vAlign w:val="bottom"/>
          </w:tcPr>
          <w:p w14:paraId="67535CE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E9" w14:textId="77777777" w:rsidR="001B77DD" w:rsidRDefault="00BF0A28">
            <w:pPr>
              <w:jc w:val="right"/>
              <w:textAlignment w:val="bottom"/>
            </w:pPr>
            <w:r>
              <w:rPr>
                <w:rFonts w:ascii="Arial" w:eastAsia="宋体" w:hAnsi="Arial" w:cs="Arial"/>
                <w:color w:val="0068B5"/>
                <w:sz w:val="18"/>
                <w:szCs w:val="18"/>
              </w:rPr>
              <w:t>1,839 </w:t>
            </w:r>
          </w:p>
        </w:tc>
        <w:tc>
          <w:tcPr>
            <w:tcW w:w="0" w:type="auto"/>
            <w:shd w:val="clear" w:color="auto" w:fill="auto"/>
            <w:tcMar>
              <w:top w:w="40" w:type="dxa"/>
              <w:left w:w="0" w:type="dxa"/>
              <w:bottom w:w="40" w:type="dxa"/>
              <w:right w:w="20" w:type="dxa"/>
            </w:tcMar>
            <w:vAlign w:val="bottom"/>
          </w:tcPr>
          <w:p w14:paraId="67535C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EC" w14:textId="77777777" w:rsidR="001B77DD" w:rsidRDefault="00BF0A28">
            <w:pPr>
              <w:jc w:val="right"/>
              <w:textAlignment w:val="bottom"/>
            </w:pPr>
            <w:r>
              <w:rPr>
                <w:rFonts w:ascii="Arial" w:eastAsia="宋体" w:hAnsi="Arial" w:cs="Arial"/>
                <w:color w:val="262626"/>
                <w:sz w:val="18"/>
                <w:szCs w:val="18"/>
              </w:rPr>
              <w:t>1,757 </w:t>
            </w:r>
          </w:p>
        </w:tc>
        <w:tc>
          <w:tcPr>
            <w:tcW w:w="0" w:type="auto"/>
            <w:shd w:val="clear" w:color="auto" w:fill="auto"/>
            <w:tcMar>
              <w:top w:w="40" w:type="dxa"/>
              <w:left w:w="0" w:type="dxa"/>
              <w:bottom w:w="40" w:type="dxa"/>
              <w:right w:w="20" w:type="dxa"/>
            </w:tcMar>
            <w:vAlign w:val="bottom"/>
          </w:tcPr>
          <w:p w14:paraId="67535CE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E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EF" w14:textId="77777777" w:rsidR="001B77DD" w:rsidRDefault="00BF0A28">
            <w:pPr>
              <w:jc w:val="right"/>
              <w:textAlignment w:val="bottom"/>
            </w:pPr>
            <w:r>
              <w:rPr>
                <w:rFonts w:ascii="Arial" w:eastAsia="宋体" w:hAnsi="Arial" w:cs="Arial"/>
                <w:color w:val="262626"/>
                <w:sz w:val="18"/>
                <w:szCs w:val="18"/>
              </w:rPr>
              <w:t>1,622 </w:t>
            </w:r>
          </w:p>
        </w:tc>
        <w:tc>
          <w:tcPr>
            <w:tcW w:w="0" w:type="auto"/>
            <w:shd w:val="clear" w:color="auto" w:fill="auto"/>
            <w:tcMar>
              <w:top w:w="40" w:type="dxa"/>
              <w:left w:w="0" w:type="dxa"/>
              <w:bottom w:w="40" w:type="dxa"/>
              <w:right w:w="20" w:type="dxa"/>
            </w:tcMar>
            <w:vAlign w:val="bottom"/>
          </w:tcPr>
          <w:p w14:paraId="67535CF0" w14:textId="77777777" w:rsidR="001B77DD" w:rsidRDefault="001B77DD">
            <w:pPr>
              <w:jc w:val="right"/>
              <w:rPr>
                <w:rFonts w:ascii="宋体"/>
              </w:rPr>
            </w:pPr>
          </w:p>
        </w:tc>
      </w:tr>
      <w:tr w:rsidR="001B77DD" w14:paraId="67535CFC" w14:textId="77777777">
        <w:tc>
          <w:tcPr>
            <w:tcW w:w="0" w:type="auto"/>
            <w:gridSpan w:val="3"/>
            <w:shd w:val="clear" w:color="auto" w:fill="auto"/>
            <w:tcMar>
              <w:top w:w="40" w:type="dxa"/>
              <w:left w:w="260" w:type="dxa"/>
              <w:bottom w:w="40" w:type="dxa"/>
              <w:right w:w="20" w:type="dxa"/>
            </w:tcMar>
            <w:vAlign w:val="bottom"/>
          </w:tcPr>
          <w:p w14:paraId="67535CF2" w14:textId="77777777" w:rsidR="001B77DD" w:rsidRDefault="00BF0A28">
            <w:pPr>
              <w:textAlignment w:val="bottom"/>
            </w:pPr>
            <w:r>
              <w:rPr>
                <w:rFonts w:ascii="Arial" w:eastAsia="宋体" w:hAnsi="Arial" w:cs="Arial"/>
                <w:color w:val="262626"/>
                <w:sz w:val="18"/>
                <w:szCs w:val="18"/>
              </w:rPr>
              <w:t xml:space="preserve">(Gains) losses on equity </w:t>
            </w:r>
            <w:r>
              <w:rPr>
                <w:rFonts w:ascii="Arial" w:eastAsia="宋体" w:hAnsi="Arial" w:cs="Arial"/>
                <w:color w:val="262626"/>
                <w:sz w:val="18"/>
                <w:szCs w:val="18"/>
              </w:rPr>
              <w:t>investments, net</w:t>
            </w:r>
          </w:p>
        </w:tc>
        <w:tc>
          <w:tcPr>
            <w:tcW w:w="0" w:type="auto"/>
            <w:gridSpan w:val="3"/>
            <w:shd w:val="clear" w:color="auto" w:fill="auto"/>
            <w:tcMar>
              <w:top w:w="0" w:type="dxa"/>
              <w:left w:w="20" w:type="dxa"/>
              <w:bottom w:w="0" w:type="dxa"/>
              <w:right w:w="20" w:type="dxa"/>
            </w:tcMar>
            <w:vAlign w:val="bottom"/>
          </w:tcPr>
          <w:p w14:paraId="67535CF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F4" w14:textId="77777777" w:rsidR="001B77DD" w:rsidRDefault="00BF0A28">
            <w:pPr>
              <w:jc w:val="right"/>
              <w:textAlignment w:val="bottom"/>
            </w:pPr>
            <w:r>
              <w:rPr>
                <w:rFonts w:ascii="Arial" w:eastAsia="宋体" w:hAnsi="Arial" w:cs="Arial"/>
                <w:color w:val="0068B5"/>
                <w:sz w:val="18"/>
                <w:szCs w:val="18"/>
              </w:rPr>
              <w:t>(1,458)</w:t>
            </w:r>
          </w:p>
        </w:tc>
        <w:tc>
          <w:tcPr>
            <w:tcW w:w="0" w:type="auto"/>
            <w:shd w:val="clear" w:color="auto" w:fill="auto"/>
            <w:tcMar>
              <w:top w:w="40" w:type="dxa"/>
              <w:left w:w="0" w:type="dxa"/>
              <w:bottom w:w="40" w:type="dxa"/>
              <w:right w:w="20" w:type="dxa"/>
            </w:tcMar>
            <w:vAlign w:val="bottom"/>
          </w:tcPr>
          <w:p w14:paraId="67535CF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F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F7" w14:textId="77777777" w:rsidR="001B77DD" w:rsidRDefault="00BF0A28">
            <w:pPr>
              <w:jc w:val="right"/>
              <w:textAlignment w:val="bottom"/>
            </w:pPr>
            <w:r>
              <w:rPr>
                <w:rFonts w:ascii="Arial" w:eastAsia="宋体" w:hAnsi="Arial" w:cs="Arial"/>
                <w:color w:val="262626"/>
                <w:sz w:val="18"/>
                <w:szCs w:val="18"/>
              </w:rPr>
              <w:t>(1,757)</w:t>
            </w:r>
          </w:p>
        </w:tc>
        <w:tc>
          <w:tcPr>
            <w:tcW w:w="0" w:type="auto"/>
            <w:shd w:val="clear" w:color="auto" w:fill="auto"/>
            <w:tcMar>
              <w:top w:w="40" w:type="dxa"/>
              <w:left w:w="0" w:type="dxa"/>
              <w:bottom w:w="40" w:type="dxa"/>
              <w:right w:w="20" w:type="dxa"/>
            </w:tcMar>
            <w:vAlign w:val="bottom"/>
          </w:tcPr>
          <w:p w14:paraId="67535CF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CF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CFA" w14:textId="77777777" w:rsidR="001B77DD" w:rsidRDefault="00BF0A28">
            <w:pPr>
              <w:jc w:val="right"/>
              <w:textAlignment w:val="bottom"/>
            </w:pPr>
            <w:r>
              <w:rPr>
                <w:rFonts w:ascii="Arial" w:eastAsia="宋体" w:hAnsi="Arial" w:cs="Arial"/>
                <w:color w:val="262626"/>
                <w:sz w:val="18"/>
                <w:szCs w:val="18"/>
              </w:rPr>
              <w:t>(892)</w:t>
            </w:r>
          </w:p>
        </w:tc>
        <w:tc>
          <w:tcPr>
            <w:tcW w:w="0" w:type="auto"/>
            <w:shd w:val="clear" w:color="auto" w:fill="auto"/>
            <w:tcMar>
              <w:top w:w="40" w:type="dxa"/>
              <w:left w:w="0" w:type="dxa"/>
              <w:bottom w:w="40" w:type="dxa"/>
              <w:right w:w="20" w:type="dxa"/>
            </w:tcMar>
            <w:vAlign w:val="bottom"/>
          </w:tcPr>
          <w:p w14:paraId="67535CFB" w14:textId="77777777" w:rsidR="001B77DD" w:rsidRDefault="001B77DD">
            <w:pPr>
              <w:jc w:val="right"/>
              <w:rPr>
                <w:rFonts w:ascii="宋体"/>
              </w:rPr>
            </w:pPr>
          </w:p>
        </w:tc>
      </w:tr>
      <w:tr w:rsidR="001B77DD" w14:paraId="67535D04" w14:textId="77777777">
        <w:trPr>
          <w:hidden/>
        </w:trPr>
        <w:tc>
          <w:tcPr>
            <w:tcW w:w="0" w:type="auto"/>
            <w:gridSpan w:val="3"/>
            <w:shd w:val="clear" w:color="auto" w:fill="auto"/>
            <w:vAlign w:val="bottom"/>
          </w:tcPr>
          <w:p w14:paraId="67535CFD" w14:textId="77777777" w:rsidR="001B77DD" w:rsidRDefault="001B77DD">
            <w:pPr>
              <w:rPr>
                <w:rFonts w:ascii="宋体"/>
                <w:vanish/>
              </w:rPr>
            </w:pPr>
          </w:p>
        </w:tc>
        <w:tc>
          <w:tcPr>
            <w:tcW w:w="0" w:type="auto"/>
            <w:gridSpan w:val="3"/>
            <w:shd w:val="clear" w:color="auto" w:fill="auto"/>
            <w:vAlign w:val="bottom"/>
          </w:tcPr>
          <w:p w14:paraId="67535CFE" w14:textId="77777777" w:rsidR="001B77DD" w:rsidRDefault="001B77DD">
            <w:pPr>
              <w:rPr>
                <w:rFonts w:ascii="宋体"/>
                <w:vanish/>
              </w:rPr>
            </w:pPr>
          </w:p>
        </w:tc>
        <w:tc>
          <w:tcPr>
            <w:tcW w:w="0" w:type="auto"/>
            <w:gridSpan w:val="3"/>
            <w:shd w:val="clear" w:color="auto" w:fill="auto"/>
            <w:vAlign w:val="bottom"/>
          </w:tcPr>
          <w:p w14:paraId="67535CFF" w14:textId="77777777" w:rsidR="001B77DD" w:rsidRDefault="001B77DD">
            <w:pPr>
              <w:rPr>
                <w:rFonts w:ascii="宋体"/>
                <w:vanish/>
              </w:rPr>
            </w:pPr>
          </w:p>
        </w:tc>
        <w:tc>
          <w:tcPr>
            <w:tcW w:w="0" w:type="auto"/>
            <w:gridSpan w:val="3"/>
            <w:shd w:val="clear" w:color="auto" w:fill="auto"/>
            <w:vAlign w:val="bottom"/>
          </w:tcPr>
          <w:p w14:paraId="67535D00" w14:textId="77777777" w:rsidR="001B77DD" w:rsidRDefault="001B77DD">
            <w:pPr>
              <w:rPr>
                <w:rFonts w:ascii="宋体"/>
                <w:vanish/>
              </w:rPr>
            </w:pPr>
          </w:p>
        </w:tc>
        <w:tc>
          <w:tcPr>
            <w:tcW w:w="0" w:type="auto"/>
            <w:gridSpan w:val="3"/>
            <w:shd w:val="clear" w:color="auto" w:fill="auto"/>
            <w:vAlign w:val="bottom"/>
          </w:tcPr>
          <w:p w14:paraId="67535D01" w14:textId="77777777" w:rsidR="001B77DD" w:rsidRDefault="001B77DD">
            <w:pPr>
              <w:rPr>
                <w:rFonts w:ascii="宋体"/>
                <w:vanish/>
              </w:rPr>
            </w:pPr>
          </w:p>
        </w:tc>
        <w:tc>
          <w:tcPr>
            <w:tcW w:w="0" w:type="auto"/>
            <w:gridSpan w:val="3"/>
            <w:shd w:val="clear" w:color="auto" w:fill="auto"/>
            <w:vAlign w:val="bottom"/>
          </w:tcPr>
          <w:p w14:paraId="67535D02" w14:textId="77777777" w:rsidR="001B77DD" w:rsidRDefault="001B77DD">
            <w:pPr>
              <w:rPr>
                <w:rFonts w:ascii="宋体"/>
                <w:vanish/>
              </w:rPr>
            </w:pPr>
          </w:p>
        </w:tc>
        <w:tc>
          <w:tcPr>
            <w:tcW w:w="0" w:type="auto"/>
            <w:gridSpan w:val="3"/>
            <w:shd w:val="clear" w:color="auto" w:fill="auto"/>
            <w:vAlign w:val="bottom"/>
          </w:tcPr>
          <w:p w14:paraId="67535D03" w14:textId="77777777" w:rsidR="001B77DD" w:rsidRDefault="001B77DD">
            <w:pPr>
              <w:rPr>
                <w:rFonts w:ascii="宋体"/>
                <w:vanish/>
              </w:rPr>
            </w:pPr>
          </w:p>
        </w:tc>
      </w:tr>
      <w:tr w:rsidR="001B77DD" w14:paraId="67535D0C" w14:textId="77777777">
        <w:trPr>
          <w:hidden/>
        </w:trPr>
        <w:tc>
          <w:tcPr>
            <w:tcW w:w="0" w:type="auto"/>
            <w:gridSpan w:val="3"/>
            <w:shd w:val="clear" w:color="auto" w:fill="auto"/>
            <w:vAlign w:val="bottom"/>
          </w:tcPr>
          <w:p w14:paraId="67535D05" w14:textId="77777777" w:rsidR="001B77DD" w:rsidRDefault="001B77DD">
            <w:pPr>
              <w:rPr>
                <w:rFonts w:ascii="宋体"/>
                <w:vanish/>
              </w:rPr>
            </w:pPr>
          </w:p>
        </w:tc>
        <w:tc>
          <w:tcPr>
            <w:tcW w:w="0" w:type="auto"/>
            <w:gridSpan w:val="3"/>
            <w:shd w:val="clear" w:color="auto" w:fill="auto"/>
            <w:vAlign w:val="bottom"/>
          </w:tcPr>
          <w:p w14:paraId="67535D06" w14:textId="77777777" w:rsidR="001B77DD" w:rsidRDefault="001B77DD">
            <w:pPr>
              <w:rPr>
                <w:rFonts w:ascii="宋体"/>
                <w:vanish/>
              </w:rPr>
            </w:pPr>
          </w:p>
        </w:tc>
        <w:tc>
          <w:tcPr>
            <w:tcW w:w="0" w:type="auto"/>
            <w:gridSpan w:val="3"/>
            <w:shd w:val="clear" w:color="auto" w:fill="auto"/>
            <w:vAlign w:val="bottom"/>
          </w:tcPr>
          <w:p w14:paraId="67535D07" w14:textId="77777777" w:rsidR="001B77DD" w:rsidRDefault="001B77DD">
            <w:pPr>
              <w:rPr>
                <w:rFonts w:ascii="宋体"/>
                <w:vanish/>
              </w:rPr>
            </w:pPr>
          </w:p>
        </w:tc>
        <w:tc>
          <w:tcPr>
            <w:tcW w:w="0" w:type="auto"/>
            <w:gridSpan w:val="3"/>
            <w:shd w:val="clear" w:color="auto" w:fill="auto"/>
            <w:vAlign w:val="bottom"/>
          </w:tcPr>
          <w:p w14:paraId="67535D08" w14:textId="77777777" w:rsidR="001B77DD" w:rsidRDefault="001B77DD">
            <w:pPr>
              <w:rPr>
                <w:rFonts w:ascii="宋体"/>
                <w:vanish/>
              </w:rPr>
            </w:pPr>
          </w:p>
        </w:tc>
        <w:tc>
          <w:tcPr>
            <w:tcW w:w="0" w:type="auto"/>
            <w:gridSpan w:val="3"/>
            <w:shd w:val="clear" w:color="auto" w:fill="auto"/>
            <w:vAlign w:val="bottom"/>
          </w:tcPr>
          <w:p w14:paraId="67535D09" w14:textId="77777777" w:rsidR="001B77DD" w:rsidRDefault="001B77DD">
            <w:pPr>
              <w:rPr>
                <w:rFonts w:ascii="宋体"/>
                <w:vanish/>
              </w:rPr>
            </w:pPr>
          </w:p>
        </w:tc>
        <w:tc>
          <w:tcPr>
            <w:tcW w:w="0" w:type="auto"/>
            <w:gridSpan w:val="3"/>
            <w:shd w:val="clear" w:color="auto" w:fill="auto"/>
            <w:vAlign w:val="bottom"/>
          </w:tcPr>
          <w:p w14:paraId="67535D0A" w14:textId="77777777" w:rsidR="001B77DD" w:rsidRDefault="001B77DD">
            <w:pPr>
              <w:rPr>
                <w:rFonts w:ascii="宋体"/>
                <w:vanish/>
              </w:rPr>
            </w:pPr>
          </w:p>
        </w:tc>
        <w:tc>
          <w:tcPr>
            <w:tcW w:w="0" w:type="auto"/>
            <w:gridSpan w:val="3"/>
            <w:shd w:val="clear" w:color="auto" w:fill="auto"/>
            <w:vAlign w:val="bottom"/>
          </w:tcPr>
          <w:p w14:paraId="67535D0B" w14:textId="77777777" w:rsidR="001B77DD" w:rsidRDefault="001B77DD">
            <w:pPr>
              <w:rPr>
                <w:rFonts w:ascii="宋体"/>
                <w:vanish/>
              </w:rPr>
            </w:pPr>
          </w:p>
        </w:tc>
      </w:tr>
      <w:tr w:rsidR="001B77DD" w14:paraId="67535D14" w14:textId="77777777">
        <w:trPr>
          <w:hidden/>
        </w:trPr>
        <w:tc>
          <w:tcPr>
            <w:tcW w:w="0" w:type="auto"/>
            <w:gridSpan w:val="3"/>
            <w:shd w:val="clear" w:color="auto" w:fill="auto"/>
            <w:vAlign w:val="bottom"/>
          </w:tcPr>
          <w:p w14:paraId="67535D0D" w14:textId="77777777" w:rsidR="001B77DD" w:rsidRDefault="001B77DD">
            <w:pPr>
              <w:rPr>
                <w:rFonts w:ascii="宋体"/>
                <w:vanish/>
              </w:rPr>
            </w:pPr>
          </w:p>
        </w:tc>
        <w:tc>
          <w:tcPr>
            <w:tcW w:w="0" w:type="auto"/>
            <w:gridSpan w:val="3"/>
            <w:shd w:val="clear" w:color="auto" w:fill="auto"/>
            <w:vAlign w:val="bottom"/>
          </w:tcPr>
          <w:p w14:paraId="67535D0E" w14:textId="77777777" w:rsidR="001B77DD" w:rsidRDefault="001B77DD">
            <w:pPr>
              <w:rPr>
                <w:rFonts w:ascii="宋体"/>
                <w:vanish/>
              </w:rPr>
            </w:pPr>
          </w:p>
        </w:tc>
        <w:tc>
          <w:tcPr>
            <w:tcW w:w="0" w:type="auto"/>
            <w:gridSpan w:val="3"/>
            <w:shd w:val="clear" w:color="auto" w:fill="auto"/>
            <w:vAlign w:val="bottom"/>
          </w:tcPr>
          <w:p w14:paraId="67535D0F" w14:textId="77777777" w:rsidR="001B77DD" w:rsidRDefault="001B77DD">
            <w:pPr>
              <w:rPr>
                <w:rFonts w:ascii="宋体"/>
                <w:vanish/>
              </w:rPr>
            </w:pPr>
          </w:p>
        </w:tc>
        <w:tc>
          <w:tcPr>
            <w:tcW w:w="0" w:type="auto"/>
            <w:gridSpan w:val="3"/>
            <w:shd w:val="clear" w:color="auto" w:fill="auto"/>
            <w:vAlign w:val="bottom"/>
          </w:tcPr>
          <w:p w14:paraId="67535D10" w14:textId="77777777" w:rsidR="001B77DD" w:rsidRDefault="001B77DD">
            <w:pPr>
              <w:rPr>
                <w:rFonts w:ascii="宋体"/>
                <w:vanish/>
              </w:rPr>
            </w:pPr>
          </w:p>
        </w:tc>
        <w:tc>
          <w:tcPr>
            <w:tcW w:w="0" w:type="auto"/>
            <w:gridSpan w:val="3"/>
            <w:shd w:val="clear" w:color="auto" w:fill="auto"/>
            <w:vAlign w:val="bottom"/>
          </w:tcPr>
          <w:p w14:paraId="67535D11" w14:textId="77777777" w:rsidR="001B77DD" w:rsidRDefault="001B77DD">
            <w:pPr>
              <w:rPr>
                <w:rFonts w:ascii="宋体"/>
                <w:vanish/>
              </w:rPr>
            </w:pPr>
          </w:p>
        </w:tc>
        <w:tc>
          <w:tcPr>
            <w:tcW w:w="0" w:type="auto"/>
            <w:gridSpan w:val="3"/>
            <w:shd w:val="clear" w:color="auto" w:fill="auto"/>
            <w:vAlign w:val="bottom"/>
          </w:tcPr>
          <w:p w14:paraId="67535D12" w14:textId="77777777" w:rsidR="001B77DD" w:rsidRDefault="001B77DD">
            <w:pPr>
              <w:rPr>
                <w:rFonts w:ascii="宋体"/>
                <w:vanish/>
              </w:rPr>
            </w:pPr>
          </w:p>
        </w:tc>
        <w:tc>
          <w:tcPr>
            <w:tcW w:w="0" w:type="auto"/>
            <w:gridSpan w:val="3"/>
            <w:shd w:val="clear" w:color="auto" w:fill="auto"/>
            <w:vAlign w:val="bottom"/>
          </w:tcPr>
          <w:p w14:paraId="67535D13" w14:textId="77777777" w:rsidR="001B77DD" w:rsidRDefault="001B77DD">
            <w:pPr>
              <w:rPr>
                <w:rFonts w:ascii="宋体"/>
                <w:vanish/>
              </w:rPr>
            </w:pPr>
          </w:p>
        </w:tc>
      </w:tr>
      <w:tr w:rsidR="001B77DD" w14:paraId="67535D1C" w14:textId="77777777">
        <w:tc>
          <w:tcPr>
            <w:tcW w:w="0" w:type="auto"/>
            <w:gridSpan w:val="3"/>
            <w:shd w:val="clear" w:color="auto" w:fill="auto"/>
            <w:tcMar>
              <w:top w:w="40" w:type="dxa"/>
              <w:left w:w="260" w:type="dxa"/>
              <w:bottom w:w="40" w:type="dxa"/>
              <w:right w:w="20" w:type="dxa"/>
            </w:tcMar>
            <w:vAlign w:val="bottom"/>
          </w:tcPr>
          <w:p w14:paraId="67535D15" w14:textId="77777777" w:rsidR="001B77DD" w:rsidRDefault="00BF0A28">
            <w:pPr>
              <w:textAlignment w:val="bottom"/>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vAlign w:val="bottom"/>
          </w:tcPr>
          <w:p w14:paraId="67535D1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D1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D1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D1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D1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D1B" w14:textId="77777777" w:rsidR="001B77DD" w:rsidRDefault="001B77DD">
            <w:pPr>
              <w:rPr>
                <w:rFonts w:ascii="宋体"/>
              </w:rPr>
            </w:pPr>
          </w:p>
        </w:tc>
      </w:tr>
      <w:tr w:rsidR="001B77DD" w14:paraId="67535D27" w14:textId="77777777">
        <w:tc>
          <w:tcPr>
            <w:tcW w:w="0" w:type="auto"/>
            <w:gridSpan w:val="3"/>
            <w:shd w:val="clear" w:color="auto" w:fill="auto"/>
            <w:tcMar>
              <w:top w:w="40" w:type="dxa"/>
              <w:left w:w="365" w:type="dxa"/>
              <w:bottom w:w="40" w:type="dxa"/>
              <w:right w:w="20" w:type="dxa"/>
            </w:tcMar>
            <w:vAlign w:val="bottom"/>
          </w:tcPr>
          <w:p w14:paraId="67535D1D" w14:textId="77777777" w:rsidR="001B77DD" w:rsidRDefault="00BF0A28">
            <w:pPr>
              <w:textAlignment w:val="bottom"/>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67535D1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1F" w14:textId="77777777" w:rsidR="001B77DD" w:rsidRDefault="00BF0A28">
            <w:pPr>
              <w:jc w:val="right"/>
              <w:textAlignment w:val="bottom"/>
            </w:pPr>
            <w:r>
              <w:rPr>
                <w:rFonts w:ascii="Arial" w:eastAsia="宋体" w:hAnsi="Arial" w:cs="Arial"/>
                <w:color w:val="0068B5"/>
                <w:sz w:val="18"/>
                <w:szCs w:val="18"/>
              </w:rPr>
              <w:t>(2,674)</w:t>
            </w:r>
          </w:p>
        </w:tc>
        <w:tc>
          <w:tcPr>
            <w:tcW w:w="0" w:type="auto"/>
            <w:shd w:val="clear" w:color="auto" w:fill="auto"/>
            <w:tcMar>
              <w:top w:w="40" w:type="dxa"/>
              <w:left w:w="0" w:type="dxa"/>
              <w:bottom w:w="40" w:type="dxa"/>
              <w:right w:w="20" w:type="dxa"/>
            </w:tcMar>
            <w:vAlign w:val="bottom"/>
          </w:tcPr>
          <w:p w14:paraId="67535D2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2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22" w14:textId="77777777" w:rsidR="001B77DD" w:rsidRDefault="00BF0A28">
            <w:pPr>
              <w:jc w:val="right"/>
              <w:textAlignment w:val="bottom"/>
            </w:pPr>
            <w:r>
              <w:rPr>
                <w:rFonts w:ascii="Arial" w:eastAsia="宋体" w:hAnsi="Arial" w:cs="Arial"/>
                <w:color w:val="262626"/>
                <w:sz w:val="18"/>
                <w:szCs w:val="18"/>
              </w:rPr>
              <w:t>883 </w:t>
            </w:r>
          </w:p>
        </w:tc>
        <w:tc>
          <w:tcPr>
            <w:tcW w:w="0" w:type="auto"/>
            <w:shd w:val="clear" w:color="auto" w:fill="auto"/>
            <w:tcMar>
              <w:top w:w="40" w:type="dxa"/>
              <w:left w:w="0" w:type="dxa"/>
              <w:bottom w:w="40" w:type="dxa"/>
              <w:right w:w="20" w:type="dxa"/>
            </w:tcMar>
            <w:vAlign w:val="bottom"/>
          </w:tcPr>
          <w:p w14:paraId="67535D2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2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25" w14:textId="77777777" w:rsidR="001B77DD" w:rsidRDefault="00BF0A28">
            <w:pPr>
              <w:jc w:val="right"/>
              <w:textAlignment w:val="bottom"/>
            </w:pPr>
            <w:r>
              <w:rPr>
                <w:rFonts w:ascii="Arial" w:eastAsia="宋体" w:hAnsi="Arial" w:cs="Arial"/>
                <w:color w:val="262626"/>
                <w:sz w:val="18"/>
                <w:szCs w:val="18"/>
              </w:rPr>
              <w:t>(935)</w:t>
            </w:r>
          </w:p>
        </w:tc>
        <w:tc>
          <w:tcPr>
            <w:tcW w:w="0" w:type="auto"/>
            <w:shd w:val="clear" w:color="auto" w:fill="auto"/>
            <w:tcMar>
              <w:top w:w="40" w:type="dxa"/>
              <w:left w:w="0" w:type="dxa"/>
              <w:bottom w:w="40" w:type="dxa"/>
              <w:right w:w="20" w:type="dxa"/>
            </w:tcMar>
            <w:vAlign w:val="bottom"/>
          </w:tcPr>
          <w:p w14:paraId="67535D26" w14:textId="77777777" w:rsidR="001B77DD" w:rsidRDefault="001B77DD">
            <w:pPr>
              <w:jc w:val="right"/>
              <w:rPr>
                <w:rFonts w:ascii="宋体"/>
              </w:rPr>
            </w:pPr>
          </w:p>
        </w:tc>
      </w:tr>
      <w:tr w:rsidR="001B77DD" w14:paraId="67535D32" w14:textId="77777777">
        <w:tc>
          <w:tcPr>
            <w:tcW w:w="0" w:type="auto"/>
            <w:gridSpan w:val="3"/>
            <w:shd w:val="clear" w:color="auto" w:fill="auto"/>
            <w:tcMar>
              <w:top w:w="40" w:type="dxa"/>
              <w:left w:w="365" w:type="dxa"/>
              <w:bottom w:w="40" w:type="dxa"/>
              <w:right w:w="20" w:type="dxa"/>
            </w:tcMar>
            <w:vAlign w:val="bottom"/>
          </w:tcPr>
          <w:p w14:paraId="67535D28" w14:textId="77777777" w:rsidR="001B77DD" w:rsidRDefault="00BF0A28">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67535D2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2A" w14:textId="77777777" w:rsidR="001B77DD" w:rsidRDefault="00BF0A28">
            <w:pPr>
              <w:jc w:val="right"/>
              <w:textAlignment w:val="bottom"/>
            </w:pPr>
            <w:r>
              <w:rPr>
                <w:rFonts w:ascii="Arial" w:eastAsia="宋体" w:hAnsi="Arial" w:cs="Arial"/>
                <w:color w:val="0068B5"/>
                <w:sz w:val="18"/>
                <w:szCs w:val="18"/>
              </w:rPr>
              <w:t>(2,339)</w:t>
            </w:r>
          </w:p>
        </w:tc>
        <w:tc>
          <w:tcPr>
            <w:tcW w:w="0" w:type="auto"/>
            <w:shd w:val="clear" w:color="auto" w:fill="auto"/>
            <w:tcMar>
              <w:top w:w="40" w:type="dxa"/>
              <w:left w:w="0" w:type="dxa"/>
              <w:bottom w:w="40" w:type="dxa"/>
              <w:right w:w="20" w:type="dxa"/>
            </w:tcMar>
            <w:vAlign w:val="bottom"/>
          </w:tcPr>
          <w:p w14:paraId="67535D2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2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2D" w14:textId="77777777" w:rsidR="001B77DD" w:rsidRDefault="00BF0A28">
            <w:pPr>
              <w:jc w:val="right"/>
              <w:textAlignment w:val="bottom"/>
            </w:pPr>
            <w:r>
              <w:rPr>
                <w:rFonts w:ascii="Arial" w:eastAsia="宋体" w:hAnsi="Arial" w:cs="Arial"/>
                <w:color w:val="262626"/>
                <w:sz w:val="18"/>
                <w:szCs w:val="18"/>
              </w:rPr>
              <w:t>(687)</w:t>
            </w:r>
          </w:p>
        </w:tc>
        <w:tc>
          <w:tcPr>
            <w:tcW w:w="0" w:type="auto"/>
            <w:shd w:val="clear" w:color="auto" w:fill="auto"/>
            <w:tcMar>
              <w:top w:w="40" w:type="dxa"/>
              <w:left w:w="0" w:type="dxa"/>
              <w:bottom w:w="40" w:type="dxa"/>
              <w:right w:w="20" w:type="dxa"/>
            </w:tcMar>
            <w:vAlign w:val="bottom"/>
          </w:tcPr>
          <w:p w14:paraId="67535D2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2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30" w14:textId="77777777" w:rsidR="001B77DD" w:rsidRDefault="00BF0A28">
            <w:pPr>
              <w:jc w:val="right"/>
              <w:textAlignment w:val="bottom"/>
            </w:pPr>
            <w:r>
              <w:rPr>
                <w:rFonts w:ascii="Arial" w:eastAsia="宋体" w:hAnsi="Arial" w:cs="Arial"/>
                <w:color w:val="262626"/>
                <w:sz w:val="18"/>
                <w:szCs w:val="18"/>
              </w:rPr>
              <w:t>(1,481)</w:t>
            </w:r>
          </w:p>
        </w:tc>
        <w:tc>
          <w:tcPr>
            <w:tcW w:w="0" w:type="auto"/>
            <w:shd w:val="clear" w:color="auto" w:fill="auto"/>
            <w:tcMar>
              <w:top w:w="40" w:type="dxa"/>
              <w:left w:w="0" w:type="dxa"/>
              <w:bottom w:w="40" w:type="dxa"/>
              <w:right w:w="20" w:type="dxa"/>
            </w:tcMar>
            <w:vAlign w:val="bottom"/>
          </w:tcPr>
          <w:p w14:paraId="67535D31" w14:textId="77777777" w:rsidR="001B77DD" w:rsidRDefault="001B77DD">
            <w:pPr>
              <w:jc w:val="right"/>
              <w:rPr>
                <w:rFonts w:ascii="宋体"/>
              </w:rPr>
            </w:pPr>
          </w:p>
        </w:tc>
      </w:tr>
      <w:tr w:rsidR="001B77DD" w14:paraId="67535D3D" w14:textId="77777777">
        <w:tc>
          <w:tcPr>
            <w:tcW w:w="0" w:type="auto"/>
            <w:gridSpan w:val="3"/>
            <w:shd w:val="clear" w:color="auto" w:fill="auto"/>
            <w:tcMar>
              <w:top w:w="40" w:type="dxa"/>
              <w:left w:w="365" w:type="dxa"/>
              <w:bottom w:w="40" w:type="dxa"/>
              <w:right w:w="20" w:type="dxa"/>
            </w:tcMar>
            <w:vAlign w:val="bottom"/>
          </w:tcPr>
          <w:p w14:paraId="67535D33" w14:textId="77777777" w:rsidR="001B77DD" w:rsidRDefault="00BF0A28">
            <w:pPr>
              <w:textAlignment w:val="bottom"/>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67535D3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35" w14:textId="77777777" w:rsidR="001B77DD" w:rsidRDefault="00BF0A28">
            <w:pPr>
              <w:jc w:val="right"/>
              <w:textAlignment w:val="bottom"/>
            </w:pPr>
            <w:r>
              <w:rPr>
                <w:rFonts w:ascii="Arial" w:eastAsia="宋体" w:hAnsi="Arial" w:cs="Arial"/>
                <w:color w:val="0068B5"/>
                <w:sz w:val="18"/>
                <w:szCs w:val="18"/>
              </w:rPr>
              <w:t>1,190 </w:t>
            </w:r>
          </w:p>
        </w:tc>
        <w:tc>
          <w:tcPr>
            <w:tcW w:w="0" w:type="auto"/>
            <w:shd w:val="clear" w:color="auto" w:fill="auto"/>
            <w:tcMar>
              <w:top w:w="40" w:type="dxa"/>
              <w:left w:w="0" w:type="dxa"/>
              <w:bottom w:w="40" w:type="dxa"/>
              <w:right w:w="20" w:type="dxa"/>
            </w:tcMar>
            <w:vAlign w:val="bottom"/>
          </w:tcPr>
          <w:p w14:paraId="67535D3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3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38" w14:textId="77777777" w:rsidR="001B77DD" w:rsidRDefault="00BF0A28">
            <w:pPr>
              <w:jc w:val="right"/>
              <w:textAlignment w:val="bottom"/>
            </w:pPr>
            <w:r>
              <w:rPr>
                <w:rFonts w:ascii="Arial" w:eastAsia="宋体" w:hAnsi="Arial" w:cs="Arial"/>
                <w:color w:val="262626"/>
                <w:sz w:val="18"/>
                <w:szCs w:val="18"/>
              </w:rPr>
              <w:t>405 </w:t>
            </w:r>
          </w:p>
        </w:tc>
        <w:tc>
          <w:tcPr>
            <w:tcW w:w="0" w:type="auto"/>
            <w:shd w:val="clear" w:color="auto" w:fill="auto"/>
            <w:tcMar>
              <w:top w:w="40" w:type="dxa"/>
              <w:left w:w="0" w:type="dxa"/>
              <w:bottom w:w="40" w:type="dxa"/>
              <w:right w:w="20" w:type="dxa"/>
            </w:tcMar>
            <w:vAlign w:val="bottom"/>
          </w:tcPr>
          <w:p w14:paraId="67535D3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3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3B" w14:textId="77777777" w:rsidR="001B77DD" w:rsidRDefault="00BF0A28">
            <w:pPr>
              <w:jc w:val="right"/>
              <w:textAlignment w:val="bottom"/>
            </w:pPr>
            <w:r>
              <w:rPr>
                <w:rFonts w:ascii="Arial" w:eastAsia="宋体" w:hAnsi="Arial" w:cs="Arial"/>
                <w:color w:val="262626"/>
                <w:sz w:val="18"/>
                <w:szCs w:val="18"/>
              </w:rPr>
              <w:t>696 </w:t>
            </w:r>
          </w:p>
        </w:tc>
        <w:tc>
          <w:tcPr>
            <w:tcW w:w="0" w:type="auto"/>
            <w:shd w:val="clear" w:color="auto" w:fill="auto"/>
            <w:tcMar>
              <w:top w:w="40" w:type="dxa"/>
              <w:left w:w="0" w:type="dxa"/>
              <w:bottom w:w="40" w:type="dxa"/>
              <w:right w:w="20" w:type="dxa"/>
            </w:tcMar>
            <w:vAlign w:val="bottom"/>
          </w:tcPr>
          <w:p w14:paraId="67535D3C" w14:textId="77777777" w:rsidR="001B77DD" w:rsidRDefault="001B77DD">
            <w:pPr>
              <w:jc w:val="right"/>
              <w:rPr>
                <w:rFonts w:ascii="宋体"/>
              </w:rPr>
            </w:pPr>
          </w:p>
        </w:tc>
      </w:tr>
      <w:tr w:rsidR="001B77DD" w14:paraId="67535D48" w14:textId="77777777">
        <w:tc>
          <w:tcPr>
            <w:tcW w:w="0" w:type="auto"/>
            <w:gridSpan w:val="3"/>
            <w:shd w:val="clear" w:color="auto" w:fill="auto"/>
            <w:tcMar>
              <w:top w:w="40" w:type="dxa"/>
              <w:left w:w="365" w:type="dxa"/>
              <w:bottom w:w="40" w:type="dxa"/>
              <w:right w:w="20" w:type="dxa"/>
            </w:tcMar>
            <w:vAlign w:val="bottom"/>
          </w:tcPr>
          <w:p w14:paraId="67535D3E" w14:textId="77777777" w:rsidR="001B77DD" w:rsidRDefault="00BF0A28">
            <w:pPr>
              <w:textAlignment w:val="bottom"/>
            </w:pPr>
            <w:r>
              <w:rPr>
                <w:rFonts w:ascii="Arial" w:eastAsia="宋体" w:hAnsi="Arial" w:cs="Arial"/>
                <w:color w:val="262626"/>
                <w:sz w:val="18"/>
                <w:szCs w:val="18"/>
              </w:rPr>
              <w:t xml:space="preserve">Accrued </w:t>
            </w:r>
            <w:r>
              <w:rPr>
                <w:rFonts w:ascii="Arial" w:eastAsia="宋体" w:hAnsi="Arial" w:cs="Arial"/>
                <w:color w:val="262626"/>
                <w:sz w:val="18"/>
                <w:szCs w:val="18"/>
              </w:rPr>
              <w:t>compensation and benefits</w:t>
            </w:r>
          </w:p>
        </w:tc>
        <w:tc>
          <w:tcPr>
            <w:tcW w:w="0" w:type="auto"/>
            <w:gridSpan w:val="3"/>
            <w:shd w:val="clear" w:color="auto" w:fill="auto"/>
            <w:tcMar>
              <w:top w:w="0" w:type="dxa"/>
              <w:left w:w="20" w:type="dxa"/>
              <w:bottom w:w="0" w:type="dxa"/>
              <w:right w:w="20" w:type="dxa"/>
            </w:tcMar>
            <w:vAlign w:val="bottom"/>
          </w:tcPr>
          <w:p w14:paraId="67535D3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40" w14:textId="77777777" w:rsidR="001B77DD" w:rsidRDefault="00BF0A28">
            <w:pPr>
              <w:jc w:val="right"/>
              <w:textAlignment w:val="bottom"/>
            </w:pPr>
            <w:r>
              <w:rPr>
                <w:rFonts w:ascii="Arial" w:eastAsia="宋体" w:hAnsi="Arial" w:cs="Arial"/>
                <w:color w:val="0068B5"/>
                <w:sz w:val="18"/>
                <w:szCs w:val="18"/>
              </w:rPr>
              <w:t>515 </w:t>
            </w:r>
          </w:p>
        </w:tc>
        <w:tc>
          <w:tcPr>
            <w:tcW w:w="0" w:type="auto"/>
            <w:shd w:val="clear" w:color="auto" w:fill="auto"/>
            <w:tcMar>
              <w:top w:w="40" w:type="dxa"/>
              <w:left w:w="0" w:type="dxa"/>
              <w:bottom w:w="40" w:type="dxa"/>
              <w:right w:w="20" w:type="dxa"/>
            </w:tcMar>
            <w:vAlign w:val="bottom"/>
          </w:tcPr>
          <w:p w14:paraId="67535D4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4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43" w14:textId="77777777" w:rsidR="001B77DD" w:rsidRDefault="00BF0A28">
            <w:pPr>
              <w:jc w:val="right"/>
              <w:textAlignment w:val="bottom"/>
            </w:pPr>
            <w:r>
              <w:rPr>
                <w:rFonts w:ascii="Arial" w:eastAsia="宋体" w:hAnsi="Arial" w:cs="Arial"/>
                <w:color w:val="262626"/>
                <w:sz w:val="18"/>
                <w:szCs w:val="18"/>
              </w:rPr>
              <w:t>348 </w:t>
            </w:r>
          </w:p>
        </w:tc>
        <w:tc>
          <w:tcPr>
            <w:tcW w:w="0" w:type="auto"/>
            <w:shd w:val="clear" w:color="auto" w:fill="auto"/>
            <w:tcMar>
              <w:top w:w="40" w:type="dxa"/>
              <w:left w:w="0" w:type="dxa"/>
              <w:bottom w:w="40" w:type="dxa"/>
              <w:right w:w="20" w:type="dxa"/>
            </w:tcMar>
            <w:vAlign w:val="bottom"/>
          </w:tcPr>
          <w:p w14:paraId="67535D4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4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46" w14:textId="77777777" w:rsidR="001B77DD" w:rsidRDefault="00BF0A28">
            <w:pPr>
              <w:jc w:val="right"/>
              <w:textAlignment w:val="bottom"/>
            </w:pPr>
            <w:r>
              <w:rPr>
                <w:rFonts w:ascii="Arial" w:eastAsia="宋体" w:hAnsi="Arial" w:cs="Arial"/>
                <w:color w:val="262626"/>
                <w:sz w:val="18"/>
                <w:szCs w:val="18"/>
              </w:rPr>
              <w:t>(260)</w:t>
            </w:r>
          </w:p>
        </w:tc>
        <w:tc>
          <w:tcPr>
            <w:tcW w:w="0" w:type="auto"/>
            <w:shd w:val="clear" w:color="auto" w:fill="auto"/>
            <w:tcMar>
              <w:top w:w="40" w:type="dxa"/>
              <w:left w:w="0" w:type="dxa"/>
              <w:bottom w:w="40" w:type="dxa"/>
              <w:right w:w="20" w:type="dxa"/>
            </w:tcMar>
            <w:vAlign w:val="bottom"/>
          </w:tcPr>
          <w:p w14:paraId="67535D47" w14:textId="77777777" w:rsidR="001B77DD" w:rsidRDefault="001B77DD">
            <w:pPr>
              <w:jc w:val="right"/>
              <w:rPr>
                <w:rFonts w:ascii="宋体"/>
              </w:rPr>
            </w:pPr>
          </w:p>
        </w:tc>
      </w:tr>
      <w:tr w:rsidR="001B77DD" w14:paraId="67535D53" w14:textId="77777777">
        <w:tc>
          <w:tcPr>
            <w:tcW w:w="0" w:type="auto"/>
            <w:gridSpan w:val="3"/>
            <w:shd w:val="clear" w:color="auto" w:fill="auto"/>
            <w:tcMar>
              <w:top w:w="40" w:type="dxa"/>
              <w:left w:w="365" w:type="dxa"/>
              <w:bottom w:w="40" w:type="dxa"/>
              <w:right w:w="20" w:type="dxa"/>
            </w:tcMar>
            <w:vAlign w:val="bottom"/>
          </w:tcPr>
          <w:p w14:paraId="67535D49" w14:textId="77777777" w:rsidR="001B77DD" w:rsidRDefault="00BF0A28">
            <w:pPr>
              <w:textAlignment w:val="bottom"/>
            </w:pPr>
            <w:r>
              <w:rPr>
                <w:rFonts w:ascii="Arial" w:eastAsia="宋体" w:hAnsi="Arial" w:cs="Arial"/>
                <w:color w:val="262626"/>
                <w:sz w:val="18"/>
                <w:szCs w:val="18"/>
              </w:rPr>
              <w:t>Prepaid customer supply agreements</w:t>
            </w:r>
          </w:p>
        </w:tc>
        <w:tc>
          <w:tcPr>
            <w:tcW w:w="0" w:type="auto"/>
            <w:gridSpan w:val="3"/>
            <w:shd w:val="clear" w:color="auto" w:fill="auto"/>
            <w:tcMar>
              <w:top w:w="0" w:type="dxa"/>
              <w:left w:w="20" w:type="dxa"/>
              <w:bottom w:w="0" w:type="dxa"/>
              <w:right w:w="20" w:type="dxa"/>
            </w:tcMar>
            <w:vAlign w:val="bottom"/>
          </w:tcPr>
          <w:p w14:paraId="67535D4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4B" w14:textId="77777777" w:rsidR="001B77DD" w:rsidRDefault="00BF0A28">
            <w:pPr>
              <w:jc w:val="right"/>
              <w:textAlignment w:val="bottom"/>
            </w:pPr>
            <w:r>
              <w:rPr>
                <w:rFonts w:ascii="Arial" w:eastAsia="宋体" w:hAnsi="Arial" w:cs="Arial"/>
                <w:color w:val="0068B5"/>
                <w:sz w:val="18"/>
                <w:szCs w:val="18"/>
              </w:rPr>
              <w:t>(1,583)</w:t>
            </w:r>
          </w:p>
        </w:tc>
        <w:tc>
          <w:tcPr>
            <w:tcW w:w="0" w:type="auto"/>
            <w:shd w:val="clear" w:color="auto" w:fill="auto"/>
            <w:tcMar>
              <w:top w:w="40" w:type="dxa"/>
              <w:left w:w="0" w:type="dxa"/>
              <w:bottom w:w="40" w:type="dxa"/>
              <w:right w:w="20" w:type="dxa"/>
            </w:tcMar>
            <w:vAlign w:val="bottom"/>
          </w:tcPr>
          <w:p w14:paraId="67535D4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4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4E" w14:textId="77777777" w:rsidR="001B77DD" w:rsidRDefault="00BF0A28">
            <w:pPr>
              <w:jc w:val="right"/>
              <w:textAlignment w:val="bottom"/>
            </w:pPr>
            <w:r>
              <w:rPr>
                <w:rFonts w:ascii="Arial" w:eastAsia="宋体" w:hAnsi="Arial" w:cs="Arial"/>
                <w:color w:val="262626"/>
                <w:sz w:val="18"/>
                <w:szCs w:val="18"/>
              </w:rPr>
              <w:t>(181)</w:t>
            </w:r>
          </w:p>
        </w:tc>
        <w:tc>
          <w:tcPr>
            <w:tcW w:w="0" w:type="auto"/>
            <w:shd w:val="clear" w:color="auto" w:fill="auto"/>
            <w:tcMar>
              <w:top w:w="40" w:type="dxa"/>
              <w:left w:w="0" w:type="dxa"/>
              <w:bottom w:w="40" w:type="dxa"/>
              <w:right w:w="20" w:type="dxa"/>
            </w:tcMar>
            <w:vAlign w:val="bottom"/>
          </w:tcPr>
          <w:p w14:paraId="67535D4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5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51" w14:textId="77777777" w:rsidR="001B77DD" w:rsidRDefault="00BF0A28">
            <w:pPr>
              <w:jc w:val="right"/>
              <w:textAlignment w:val="bottom"/>
            </w:pPr>
            <w:r>
              <w:rPr>
                <w:rFonts w:ascii="Arial" w:eastAsia="宋体" w:hAnsi="Arial" w:cs="Arial"/>
                <w:color w:val="262626"/>
                <w:sz w:val="18"/>
                <w:szCs w:val="18"/>
              </w:rPr>
              <w:t>(782)</w:t>
            </w:r>
          </w:p>
        </w:tc>
        <w:tc>
          <w:tcPr>
            <w:tcW w:w="0" w:type="auto"/>
            <w:shd w:val="clear" w:color="auto" w:fill="auto"/>
            <w:tcMar>
              <w:top w:w="40" w:type="dxa"/>
              <w:left w:w="0" w:type="dxa"/>
              <w:bottom w:w="40" w:type="dxa"/>
              <w:right w:w="20" w:type="dxa"/>
            </w:tcMar>
            <w:vAlign w:val="bottom"/>
          </w:tcPr>
          <w:p w14:paraId="67535D52" w14:textId="77777777" w:rsidR="001B77DD" w:rsidRDefault="001B77DD">
            <w:pPr>
              <w:jc w:val="right"/>
              <w:rPr>
                <w:rFonts w:ascii="宋体"/>
              </w:rPr>
            </w:pPr>
          </w:p>
        </w:tc>
      </w:tr>
      <w:tr w:rsidR="001B77DD" w14:paraId="67535D5E" w14:textId="77777777">
        <w:tc>
          <w:tcPr>
            <w:tcW w:w="0" w:type="auto"/>
            <w:gridSpan w:val="3"/>
            <w:shd w:val="clear" w:color="auto" w:fill="auto"/>
            <w:tcMar>
              <w:top w:w="40" w:type="dxa"/>
              <w:left w:w="365" w:type="dxa"/>
              <w:bottom w:w="40" w:type="dxa"/>
              <w:right w:w="20" w:type="dxa"/>
            </w:tcMar>
            <w:vAlign w:val="bottom"/>
          </w:tcPr>
          <w:p w14:paraId="67535D54" w14:textId="77777777" w:rsidR="001B77DD" w:rsidRDefault="00BF0A28">
            <w:pPr>
              <w:textAlignment w:val="bottom"/>
            </w:pPr>
            <w:r>
              <w:rPr>
                <w:rFonts w:ascii="Arial" w:eastAsia="宋体" w:hAnsi="Arial" w:cs="Arial"/>
                <w:color w:val="262626"/>
                <w:sz w:val="18"/>
                <w:szCs w:val="18"/>
              </w:rPr>
              <w:t>Income taxes</w:t>
            </w:r>
          </w:p>
        </w:tc>
        <w:tc>
          <w:tcPr>
            <w:tcW w:w="0" w:type="auto"/>
            <w:gridSpan w:val="3"/>
            <w:shd w:val="clear" w:color="auto" w:fill="auto"/>
            <w:tcMar>
              <w:top w:w="0" w:type="dxa"/>
              <w:left w:w="20" w:type="dxa"/>
              <w:bottom w:w="0" w:type="dxa"/>
              <w:right w:w="20" w:type="dxa"/>
            </w:tcMar>
            <w:vAlign w:val="bottom"/>
          </w:tcPr>
          <w:p w14:paraId="67535D5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56" w14:textId="77777777" w:rsidR="001B77DD" w:rsidRDefault="00BF0A28">
            <w:pPr>
              <w:jc w:val="right"/>
              <w:textAlignment w:val="bottom"/>
            </w:pPr>
            <w:r>
              <w:rPr>
                <w:rFonts w:ascii="Arial" w:eastAsia="宋体" w:hAnsi="Arial" w:cs="Arial"/>
                <w:color w:val="0068B5"/>
                <w:sz w:val="18"/>
                <w:szCs w:val="18"/>
              </w:rPr>
              <w:t>(441)</w:t>
            </w:r>
          </w:p>
        </w:tc>
        <w:tc>
          <w:tcPr>
            <w:tcW w:w="0" w:type="auto"/>
            <w:shd w:val="clear" w:color="auto" w:fill="auto"/>
            <w:tcMar>
              <w:top w:w="40" w:type="dxa"/>
              <w:left w:w="0" w:type="dxa"/>
              <w:bottom w:w="40" w:type="dxa"/>
              <w:right w:w="20" w:type="dxa"/>
            </w:tcMar>
            <w:vAlign w:val="bottom"/>
          </w:tcPr>
          <w:p w14:paraId="67535D5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5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59" w14:textId="77777777" w:rsidR="001B77DD" w:rsidRDefault="00BF0A28">
            <w:pPr>
              <w:jc w:val="right"/>
              <w:textAlignment w:val="bottom"/>
            </w:pPr>
            <w:r>
              <w:rPr>
                <w:rFonts w:ascii="Arial" w:eastAsia="宋体" w:hAnsi="Arial" w:cs="Arial"/>
                <w:color w:val="262626"/>
                <w:sz w:val="18"/>
                <w:szCs w:val="18"/>
              </w:rPr>
              <w:t>1,620 </w:t>
            </w:r>
          </w:p>
        </w:tc>
        <w:tc>
          <w:tcPr>
            <w:tcW w:w="0" w:type="auto"/>
            <w:shd w:val="clear" w:color="auto" w:fill="auto"/>
            <w:tcMar>
              <w:top w:w="40" w:type="dxa"/>
              <w:left w:w="0" w:type="dxa"/>
              <w:bottom w:w="40" w:type="dxa"/>
              <w:right w:w="20" w:type="dxa"/>
            </w:tcMar>
            <w:vAlign w:val="bottom"/>
          </w:tcPr>
          <w:p w14:paraId="67535D5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5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5C" w14:textId="77777777" w:rsidR="001B77DD" w:rsidRDefault="00BF0A28">
            <w:pPr>
              <w:jc w:val="right"/>
              <w:textAlignment w:val="bottom"/>
            </w:pPr>
            <w:r>
              <w:rPr>
                <w:rFonts w:ascii="Arial" w:eastAsia="宋体" w:hAnsi="Arial" w:cs="Arial"/>
                <w:color w:val="262626"/>
                <w:sz w:val="18"/>
                <w:szCs w:val="18"/>
              </w:rPr>
              <w:t>885 </w:t>
            </w:r>
          </w:p>
        </w:tc>
        <w:tc>
          <w:tcPr>
            <w:tcW w:w="0" w:type="auto"/>
            <w:shd w:val="clear" w:color="auto" w:fill="auto"/>
            <w:tcMar>
              <w:top w:w="40" w:type="dxa"/>
              <w:left w:w="0" w:type="dxa"/>
              <w:bottom w:w="40" w:type="dxa"/>
              <w:right w:w="20" w:type="dxa"/>
            </w:tcMar>
            <w:vAlign w:val="bottom"/>
          </w:tcPr>
          <w:p w14:paraId="67535D5D" w14:textId="77777777" w:rsidR="001B77DD" w:rsidRDefault="001B77DD">
            <w:pPr>
              <w:jc w:val="right"/>
              <w:rPr>
                <w:rFonts w:ascii="宋体"/>
              </w:rPr>
            </w:pPr>
          </w:p>
        </w:tc>
      </w:tr>
      <w:tr w:rsidR="001B77DD" w14:paraId="67535D69" w14:textId="77777777">
        <w:tc>
          <w:tcPr>
            <w:tcW w:w="0" w:type="auto"/>
            <w:gridSpan w:val="3"/>
            <w:shd w:val="clear" w:color="auto" w:fill="auto"/>
            <w:tcMar>
              <w:top w:w="40" w:type="dxa"/>
              <w:left w:w="365" w:type="dxa"/>
              <w:bottom w:w="40" w:type="dxa"/>
              <w:right w:w="20" w:type="dxa"/>
            </w:tcMar>
            <w:vAlign w:val="bottom"/>
          </w:tcPr>
          <w:p w14:paraId="67535D5F" w14:textId="77777777" w:rsidR="001B77DD" w:rsidRDefault="00BF0A28">
            <w:pPr>
              <w:textAlignment w:val="bottom"/>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vAlign w:val="bottom"/>
          </w:tcPr>
          <w:p w14:paraId="67535D6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61" w14:textId="77777777" w:rsidR="001B77DD" w:rsidRDefault="00BF0A28">
            <w:pPr>
              <w:jc w:val="right"/>
              <w:textAlignment w:val="bottom"/>
            </w:pPr>
            <w:r>
              <w:rPr>
                <w:rFonts w:ascii="Arial" w:eastAsia="宋体" w:hAnsi="Arial" w:cs="Arial"/>
                <w:color w:val="0068B5"/>
                <w:sz w:val="18"/>
                <w:szCs w:val="18"/>
              </w:rPr>
              <w:t>459 </w:t>
            </w:r>
          </w:p>
        </w:tc>
        <w:tc>
          <w:tcPr>
            <w:tcW w:w="0" w:type="auto"/>
            <w:shd w:val="clear" w:color="auto" w:fill="auto"/>
            <w:tcMar>
              <w:top w:w="40" w:type="dxa"/>
              <w:left w:w="0" w:type="dxa"/>
              <w:bottom w:w="40" w:type="dxa"/>
              <w:right w:w="20" w:type="dxa"/>
            </w:tcMar>
            <w:vAlign w:val="bottom"/>
          </w:tcPr>
          <w:p w14:paraId="67535D6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6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64" w14:textId="77777777" w:rsidR="001B77DD" w:rsidRDefault="00BF0A28">
            <w:pPr>
              <w:jc w:val="right"/>
              <w:textAlignment w:val="bottom"/>
            </w:pPr>
            <w:r>
              <w:rPr>
                <w:rFonts w:ascii="Arial" w:eastAsia="宋体" w:hAnsi="Arial" w:cs="Arial"/>
                <w:color w:val="262626"/>
                <w:sz w:val="18"/>
                <w:szCs w:val="18"/>
              </w:rPr>
              <w:t>(437)</w:t>
            </w:r>
          </w:p>
        </w:tc>
        <w:tc>
          <w:tcPr>
            <w:tcW w:w="0" w:type="auto"/>
            <w:shd w:val="clear" w:color="auto" w:fill="auto"/>
            <w:tcMar>
              <w:top w:w="40" w:type="dxa"/>
              <w:left w:w="0" w:type="dxa"/>
              <w:bottom w:w="40" w:type="dxa"/>
              <w:right w:w="20" w:type="dxa"/>
            </w:tcMar>
            <w:vAlign w:val="bottom"/>
          </w:tcPr>
          <w:p w14:paraId="67535D6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6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67" w14:textId="77777777" w:rsidR="001B77DD" w:rsidRDefault="00BF0A28">
            <w:pPr>
              <w:jc w:val="right"/>
              <w:textAlignment w:val="bottom"/>
            </w:pPr>
            <w:r>
              <w:rPr>
                <w:rFonts w:ascii="Arial" w:eastAsia="宋体" w:hAnsi="Arial" w:cs="Arial"/>
                <w:color w:val="262626"/>
                <w:sz w:val="18"/>
                <w:szCs w:val="18"/>
              </w:rPr>
              <w:t>1,942 </w:t>
            </w:r>
          </w:p>
        </w:tc>
        <w:tc>
          <w:tcPr>
            <w:tcW w:w="0" w:type="auto"/>
            <w:shd w:val="clear" w:color="auto" w:fill="auto"/>
            <w:tcMar>
              <w:top w:w="40" w:type="dxa"/>
              <w:left w:w="0" w:type="dxa"/>
              <w:bottom w:w="40" w:type="dxa"/>
              <w:right w:w="20" w:type="dxa"/>
            </w:tcMar>
            <w:vAlign w:val="bottom"/>
          </w:tcPr>
          <w:p w14:paraId="67535D68" w14:textId="77777777" w:rsidR="001B77DD" w:rsidRDefault="001B77DD">
            <w:pPr>
              <w:jc w:val="right"/>
              <w:rPr>
                <w:rFonts w:ascii="宋体"/>
              </w:rPr>
            </w:pPr>
          </w:p>
        </w:tc>
      </w:tr>
      <w:tr w:rsidR="001B77DD" w14:paraId="67535D74" w14:textId="77777777">
        <w:tc>
          <w:tcPr>
            <w:tcW w:w="0" w:type="auto"/>
            <w:gridSpan w:val="3"/>
            <w:shd w:val="clear" w:color="auto" w:fill="auto"/>
            <w:tcMar>
              <w:top w:w="40" w:type="dxa"/>
              <w:left w:w="155" w:type="dxa"/>
              <w:bottom w:w="40" w:type="dxa"/>
              <w:right w:w="20" w:type="dxa"/>
            </w:tcMar>
            <w:vAlign w:val="bottom"/>
          </w:tcPr>
          <w:p w14:paraId="67535D6A" w14:textId="77777777" w:rsidR="001B77DD" w:rsidRDefault="00BF0A28">
            <w:pPr>
              <w:textAlignment w:val="bottom"/>
            </w:pPr>
            <w:r>
              <w:rPr>
                <w:rFonts w:ascii="Arial" w:eastAsia="宋体" w:hAnsi="Arial" w:cs="Arial"/>
                <w:color w:val="262626"/>
                <w:sz w:val="18"/>
                <w:szCs w:val="18"/>
              </w:rPr>
              <w:t>Total adjustments</w:t>
            </w:r>
          </w:p>
        </w:tc>
        <w:tc>
          <w:tcPr>
            <w:tcW w:w="0" w:type="auto"/>
            <w:gridSpan w:val="3"/>
            <w:shd w:val="clear" w:color="auto" w:fill="auto"/>
            <w:tcMar>
              <w:top w:w="0" w:type="dxa"/>
              <w:left w:w="20" w:type="dxa"/>
              <w:bottom w:w="0" w:type="dxa"/>
              <w:right w:w="20" w:type="dxa"/>
            </w:tcMar>
            <w:vAlign w:val="bottom"/>
          </w:tcPr>
          <w:p w14:paraId="67535D6B"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D6C" w14:textId="77777777" w:rsidR="001B77DD" w:rsidRDefault="00BF0A28">
            <w:pPr>
              <w:jc w:val="right"/>
              <w:textAlignment w:val="bottom"/>
            </w:pPr>
            <w:r>
              <w:rPr>
                <w:rFonts w:ascii="Arial" w:eastAsia="宋体" w:hAnsi="Arial" w:cs="Arial"/>
                <w:color w:val="0068B5"/>
                <w:sz w:val="18"/>
                <w:szCs w:val="18"/>
              </w:rPr>
              <w:t>10,123 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D6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6E"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D6F" w14:textId="77777777" w:rsidR="001B77DD" w:rsidRDefault="00BF0A28">
            <w:pPr>
              <w:jc w:val="right"/>
              <w:textAlignment w:val="bottom"/>
            </w:pPr>
            <w:r>
              <w:rPr>
                <w:rFonts w:ascii="Arial" w:eastAsia="宋体" w:hAnsi="Arial" w:cs="Arial"/>
                <w:color w:val="262626"/>
                <w:sz w:val="18"/>
                <w:szCs w:val="18"/>
              </w:rPr>
              <w:t>14,485 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D7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71"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D72" w14:textId="77777777" w:rsidR="001B77DD" w:rsidRDefault="00BF0A28">
            <w:pPr>
              <w:jc w:val="right"/>
              <w:textAlignment w:val="bottom"/>
            </w:pPr>
            <w:r>
              <w:rPr>
                <w:rFonts w:ascii="Arial" w:eastAsia="宋体" w:hAnsi="Arial" w:cs="Arial"/>
                <w:color w:val="262626"/>
                <w:sz w:val="18"/>
                <w:szCs w:val="18"/>
              </w:rPr>
              <w:t>12,097 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D73" w14:textId="77777777" w:rsidR="001B77DD" w:rsidRDefault="001B77DD">
            <w:pPr>
              <w:jc w:val="right"/>
              <w:rPr>
                <w:rFonts w:ascii="宋体"/>
              </w:rPr>
            </w:pPr>
          </w:p>
        </w:tc>
      </w:tr>
      <w:tr w:rsidR="001B77DD" w14:paraId="67535D7F" w14:textId="77777777">
        <w:tc>
          <w:tcPr>
            <w:tcW w:w="0" w:type="auto"/>
            <w:gridSpan w:val="3"/>
            <w:shd w:val="clear" w:color="auto" w:fill="auto"/>
            <w:tcMar>
              <w:top w:w="40" w:type="dxa"/>
              <w:left w:w="20" w:type="dxa"/>
              <w:bottom w:w="40" w:type="dxa"/>
              <w:right w:w="20" w:type="dxa"/>
            </w:tcMar>
            <w:vAlign w:val="bottom"/>
          </w:tcPr>
          <w:p w14:paraId="67535D75" w14:textId="77777777" w:rsidR="001B77DD" w:rsidRDefault="00BF0A28">
            <w:pPr>
              <w:textAlignment w:val="bottom"/>
            </w:pPr>
            <w:r>
              <w:rPr>
                <w:rFonts w:ascii="Arial" w:eastAsia="宋体" w:hAnsi="Arial" w:cs="Arial"/>
                <w:b/>
                <w:bCs/>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67535D76"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D77" w14:textId="77777777" w:rsidR="001B77DD" w:rsidRDefault="00BF0A28">
            <w:pPr>
              <w:jc w:val="right"/>
              <w:textAlignment w:val="bottom"/>
            </w:pPr>
            <w:r>
              <w:rPr>
                <w:rFonts w:ascii="Arial" w:eastAsia="宋体" w:hAnsi="Arial" w:cs="Arial"/>
                <w:b/>
                <w:bCs/>
                <w:color w:val="0068B5"/>
                <w:sz w:val="18"/>
                <w:szCs w:val="18"/>
              </w:rPr>
              <w:t>29,991</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D7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79"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D7A" w14:textId="77777777" w:rsidR="001B77DD" w:rsidRDefault="00BF0A28">
            <w:pPr>
              <w:jc w:val="right"/>
              <w:textAlignment w:val="bottom"/>
            </w:pPr>
            <w:r>
              <w:rPr>
                <w:rFonts w:ascii="Arial" w:eastAsia="宋体" w:hAnsi="Arial" w:cs="Arial"/>
                <w:b/>
                <w:bCs/>
                <w:color w:val="262626"/>
                <w:sz w:val="18"/>
                <w:szCs w:val="18"/>
              </w:rPr>
              <w:t>35,384</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D7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7C"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D7D" w14:textId="77777777" w:rsidR="001B77DD" w:rsidRDefault="00BF0A28">
            <w:pPr>
              <w:jc w:val="right"/>
              <w:textAlignment w:val="bottom"/>
            </w:pPr>
            <w:r>
              <w:rPr>
                <w:rFonts w:ascii="Arial" w:eastAsia="宋体" w:hAnsi="Arial" w:cs="Arial"/>
                <w:b/>
                <w:bCs/>
                <w:color w:val="262626"/>
                <w:sz w:val="18"/>
                <w:szCs w:val="18"/>
              </w:rPr>
              <w:t>33,145</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D7E" w14:textId="77777777" w:rsidR="001B77DD" w:rsidRDefault="001B77DD">
            <w:pPr>
              <w:jc w:val="right"/>
              <w:rPr>
                <w:rFonts w:ascii="宋体"/>
              </w:rPr>
            </w:pPr>
          </w:p>
        </w:tc>
      </w:tr>
      <w:tr w:rsidR="001B77DD" w14:paraId="67535D87" w14:textId="77777777">
        <w:tc>
          <w:tcPr>
            <w:tcW w:w="0" w:type="auto"/>
            <w:gridSpan w:val="3"/>
            <w:shd w:val="clear" w:color="auto" w:fill="auto"/>
            <w:tcMar>
              <w:top w:w="40" w:type="dxa"/>
              <w:left w:w="20" w:type="dxa"/>
              <w:bottom w:w="40" w:type="dxa"/>
              <w:right w:w="20" w:type="dxa"/>
            </w:tcMar>
            <w:vAlign w:val="bottom"/>
          </w:tcPr>
          <w:p w14:paraId="67535D80" w14:textId="77777777" w:rsidR="001B77DD" w:rsidRDefault="00BF0A28">
            <w:pPr>
              <w:textAlignment w:val="bottom"/>
            </w:pPr>
            <w:r>
              <w:rPr>
                <w:rFonts w:ascii="Arial" w:eastAsia="宋体" w:hAnsi="Arial" w:cs="Arial"/>
                <w:color w:val="262626"/>
                <w:sz w:val="18"/>
                <w:szCs w:val="18"/>
              </w:rPr>
              <w:t>Cash flows provided by (used for) investing activities:</w:t>
            </w:r>
          </w:p>
        </w:tc>
        <w:tc>
          <w:tcPr>
            <w:tcW w:w="0" w:type="auto"/>
            <w:gridSpan w:val="3"/>
            <w:shd w:val="clear" w:color="auto" w:fill="auto"/>
            <w:tcMar>
              <w:top w:w="0" w:type="dxa"/>
              <w:left w:w="20" w:type="dxa"/>
              <w:bottom w:w="0" w:type="dxa"/>
              <w:right w:w="20" w:type="dxa"/>
            </w:tcMar>
            <w:vAlign w:val="bottom"/>
          </w:tcPr>
          <w:p w14:paraId="67535D81"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D8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D83"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D8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D85"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D86" w14:textId="77777777" w:rsidR="001B77DD" w:rsidRDefault="001B77DD">
            <w:pPr>
              <w:rPr>
                <w:rFonts w:ascii="宋体"/>
              </w:rPr>
            </w:pPr>
          </w:p>
        </w:tc>
      </w:tr>
      <w:tr w:rsidR="001B77DD" w14:paraId="67535D92" w14:textId="77777777">
        <w:tc>
          <w:tcPr>
            <w:tcW w:w="0" w:type="auto"/>
            <w:gridSpan w:val="3"/>
            <w:shd w:val="clear" w:color="auto" w:fill="auto"/>
            <w:tcMar>
              <w:top w:w="40" w:type="dxa"/>
              <w:left w:w="155" w:type="dxa"/>
              <w:bottom w:w="40" w:type="dxa"/>
              <w:right w:w="20" w:type="dxa"/>
            </w:tcMar>
            <w:vAlign w:val="bottom"/>
          </w:tcPr>
          <w:p w14:paraId="67535D88" w14:textId="77777777" w:rsidR="001B77DD" w:rsidRDefault="00BF0A28">
            <w:pPr>
              <w:textAlignment w:val="bottom"/>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67535D8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8A" w14:textId="77777777" w:rsidR="001B77DD" w:rsidRDefault="00BF0A28">
            <w:pPr>
              <w:jc w:val="right"/>
              <w:textAlignment w:val="bottom"/>
            </w:pPr>
            <w:r>
              <w:rPr>
                <w:rFonts w:ascii="Arial" w:eastAsia="宋体" w:hAnsi="Arial" w:cs="Arial"/>
                <w:color w:val="0068B5"/>
                <w:sz w:val="18"/>
                <w:szCs w:val="18"/>
              </w:rPr>
              <w:t>(18,733)</w:t>
            </w:r>
          </w:p>
        </w:tc>
        <w:tc>
          <w:tcPr>
            <w:tcW w:w="0" w:type="auto"/>
            <w:shd w:val="clear" w:color="auto" w:fill="auto"/>
            <w:tcMar>
              <w:top w:w="40" w:type="dxa"/>
              <w:left w:w="0" w:type="dxa"/>
              <w:bottom w:w="40" w:type="dxa"/>
              <w:right w:w="20" w:type="dxa"/>
            </w:tcMar>
            <w:vAlign w:val="bottom"/>
          </w:tcPr>
          <w:p w14:paraId="67535D8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8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8D" w14:textId="77777777" w:rsidR="001B77DD" w:rsidRDefault="00BF0A28">
            <w:pPr>
              <w:jc w:val="right"/>
              <w:textAlignment w:val="bottom"/>
            </w:pPr>
            <w:r>
              <w:rPr>
                <w:rFonts w:ascii="Arial" w:eastAsia="宋体" w:hAnsi="Arial" w:cs="Arial"/>
                <w:color w:val="262626"/>
                <w:sz w:val="18"/>
                <w:szCs w:val="18"/>
              </w:rPr>
              <w:t>(14,259)</w:t>
            </w:r>
          </w:p>
        </w:tc>
        <w:tc>
          <w:tcPr>
            <w:tcW w:w="0" w:type="auto"/>
            <w:shd w:val="clear" w:color="auto" w:fill="auto"/>
            <w:tcMar>
              <w:top w:w="40" w:type="dxa"/>
              <w:left w:w="0" w:type="dxa"/>
              <w:bottom w:w="40" w:type="dxa"/>
              <w:right w:w="20" w:type="dxa"/>
            </w:tcMar>
            <w:vAlign w:val="bottom"/>
          </w:tcPr>
          <w:p w14:paraId="67535D8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8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90" w14:textId="77777777" w:rsidR="001B77DD" w:rsidRDefault="00BF0A28">
            <w:pPr>
              <w:jc w:val="right"/>
              <w:textAlignment w:val="bottom"/>
            </w:pPr>
            <w:r>
              <w:rPr>
                <w:rFonts w:ascii="Arial" w:eastAsia="宋体" w:hAnsi="Arial" w:cs="Arial"/>
                <w:color w:val="262626"/>
                <w:sz w:val="18"/>
                <w:szCs w:val="18"/>
              </w:rPr>
              <w:t>(16,213)</w:t>
            </w:r>
          </w:p>
        </w:tc>
        <w:tc>
          <w:tcPr>
            <w:tcW w:w="0" w:type="auto"/>
            <w:shd w:val="clear" w:color="auto" w:fill="auto"/>
            <w:tcMar>
              <w:top w:w="40" w:type="dxa"/>
              <w:left w:w="0" w:type="dxa"/>
              <w:bottom w:w="40" w:type="dxa"/>
              <w:right w:w="20" w:type="dxa"/>
            </w:tcMar>
            <w:vAlign w:val="bottom"/>
          </w:tcPr>
          <w:p w14:paraId="67535D91" w14:textId="77777777" w:rsidR="001B77DD" w:rsidRDefault="001B77DD">
            <w:pPr>
              <w:jc w:val="right"/>
              <w:rPr>
                <w:rFonts w:ascii="宋体"/>
              </w:rPr>
            </w:pPr>
          </w:p>
        </w:tc>
      </w:tr>
      <w:tr w:rsidR="001B77DD" w14:paraId="67535D9D" w14:textId="77777777">
        <w:tc>
          <w:tcPr>
            <w:tcW w:w="0" w:type="auto"/>
            <w:gridSpan w:val="3"/>
            <w:shd w:val="clear" w:color="auto" w:fill="auto"/>
            <w:tcMar>
              <w:top w:w="40" w:type="dxa"/>
              <w:left w:w="155" w:type="dxa"/>
              <w:bottom w:w="40" w:type="dxa"/>
              <w:right w:w="20" w:type="dxa"/>
            </w:tcMar>
            <w:vAlign w:val="bottom"/>
          </w:tcPr>
          <w:p w14:paraId="67535D93" w14:textId="77777777" w:rsidR="001B77DD" w:rsidRDefault="00BF0A28">
            <w:pPr>
              <w:textAlignment w:val="bottom"/>
            </w:pPr>
            <w:r>
              <w:rPr>
                <w:rFonts w:ascii="Arial" w:eastAsia="宋体" w:hAnsi="Arial" w:cs="Arial"/>
                <w:color w:val="262626"/>
                <w:sz w:val="18"/>
                <w:szCs w:val="18"/>
              </w:rPr>
              <w:t xml:space="preserve">Additions to held for sale NAND </w:t>
            </w:r>
            <w:r>
              <w:rPr>
                <w:rFonts w:ascii="Arial" w:eastAsia="宋体" w:hAnsi="Arial" w:cs="Arial"/>
                <w:color w:val="262626"/>
                <w:sz w:val="18"/>
                <w:szCs w:val="18"/>
              </w:rPr>
              <w:t>property, plant and equipment</w:t>
            </w:r>
          </w:p>
        </w:tc>
        <w:tc>
          <w:tcPr>
            <w:tcW w:w="0" w:type="auto"/>
            <w:gridSpan w:val="3"/>
            <w:shd w:val="clear" w:color="auto" w:fill="auto"/>
            <w:tcMar>
              <w:top w:w="0" w:type="dxa"/>
              <w:left w:w="20" w:type="dxa"/>
              <w:bottom w:w="0" w:type="dxa"/>
              <w:right w:w="20" w:type="dxa"/>
            </w:tcMar>
            <w:vAlign w:val="bottom"/>
          </w:tcPr>
          <w:p w14:paraId="67535D9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95" w14:textId="77777777" w:rsidR="001B77DD" w:rsidRDefault="00BF0A28">
            <w:pPr>
              <w:jc w:val="right"/>
              <w:textAlignment w:val="bottom"/>
            </w:pPr>
            <w:r>
              <w:rPr>
                <w:rFonts w:ascii="Arial" w:eastAsia="宋体" w:hAnsi="Arial" w:cs="Arial"/>
                <w:color w:val="0068B5"/>
                <w:sz w:val="18"/>
                <w:szCs w:val="18"/>
              </w:rPr>
              <w:t>(1,596)</w:t>
            </w:r>
          </w:p>
        </w:tc>
        <w:tc>
          <w:tcPr>
            <w:tcW w:w="0" w:type="auto"/>
            <w:shd w:val="clear" w:color="auto" w:fill="auto"/>
            <w:tcMar>
              <w:top w:w="40" w:type="dxa"/>
              <w:left w:w="0" w:type="dxa"/>
              <w:bottom w:w="40" w:type="dxa"/>
              <w:right w:w="20" w:type="dxa"/>
            </w:tcMar>
            <w:vAlign w:val="bottom"/>
          </w:tcPr>
          <w:p w14:paraId="67535D9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9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98" w14:textId="77777777" w:rsidR="001B77DD" w:rsidRDefault="00BF0A28">
            <w:pPr>
              <w:jc w:val="right"/>
              <w:textAlignment w:val="bottom"/>
            </w:pPr>
            <w:r>
              <w:rPr>
                <w:rFonts w:ascii="Arial" w:eastAsia="宋体" w:hAnsi="Arial" w:cs="Arial"/>
                <w:color w:val="262626"/>
                <w:sz w:val="18"/>
                <w:szCs w:val="18"/>
              </w:rPr>
              <w:t>(194)</w:t>
            </w:r>
          </w:p>
        </w:tc>
        <w:tc>
          <w:tcPr>
            <w:tcW w:w="0" w:type="auto"/>
            <w:shd w:val="clear" w:color="auto" w:fill="auto"/>
            <w:tcMar>
              <w:top w:w="40" w:type="dxa"/>
              <w:left w:w="0" w:type="dxa"/>
              <w:bottom w:w="40" w:type="dxa"/>
              <w:right w:w="20" w:type="dxa"/>
            </w:tcMar>
            <w:vAlign w:val="bottom"/>
          </w:tcPr>
          <w:p w14:paraId="67535D9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9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9B"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D9C" w14:textId="77777777" w:rsidR="001B77DD" w:rsidRDefault="001B77DD">
            <w:pPr>
              <w:jc w:val="right"/>
              <w:rPr>
                <w:rFonts w:ascii="宋体"/>
              </w:rPr>
            </w:pPr>
          </w:p>
        </w:tc>
      </w:tr>
      <w:tr w:rsidR="001B77DD" w14:paraId="67535DA8" w14:textId="77777777">
        <w:tc>
          <w:tcPr>
            <w:tcW w:w="0" w:type="auto"/>
            <w:gridSpan w:val="3"/>
            <w:shd w:val="clear" w:color="auto" w:fill="auto"/>
            <w:tcMar>
              <w:top w:w="40" w:type="dxa"/>
              <w:left w:w="155" w:type="dxa"/>
              <w:bottom w:w="40" w:type="dxa"/>
              <w:right w:w="20" w:type="dxa"/>
            </w:tcMar>
            <w:vAlign w:val="bottom"/>
          </w:tcPr>
          <w:p w14:paraId="67535D9E" w14:textId="77777777" w:rsidR="001B77DD" w:rsidRDefault="00BF0A28">
            <w:pPr>
              <w:textAlignment w:val="bottom"/>
            </w:pPr>
            <w:r>
              <w:rPr>
                <w:rFonts w:ascii="Arial" w:eastAsia="宋体" w:hAnsi="Arial" w:cs="Arial"/>
                <w:color w:val="262626"/>
                <w:sz w:val="18"/>
                <w:szCs w:val="18"/>
              </w:rPr>
              <w:t>Acquisitions, net of cash acquired</w:t>
            </w:r>
          </w:p>
        </w:tc>
        <w:tc>
          <w:tcPr>
            <w:tcW w:w="0" w:type="auto"/>
            <w:gridSpan w:val="3"/>
            <w:shd w:val="clear" w:color="auto" w:fill="auto"/>
            <w:tcMar>
              <w:top w:w="0" w:type="dxa"/>
              <w:left w:w="20" w:type="dxa"/>
              <w:bottom w:w="0" w:type="dxa"/>
              <w:right w:w="20" w:type="dxa"/>
            </w:tcMar>
            <w:vAlign w:val="bottom"/>
          </w:tcPr>
          <w:p w14:paraId="67535D9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A0" w14:textId="77777777" w:rsidR="001B77DD" w:rsidRDefault="00BF0A28">
            <w:pPr>
              <w:jc w:val="right"/>
              <w:textAlignment w:val="bottom"/>
            </w:pPr>
            <w:r>
              <w:rPr>
                <w:rFonts w:ascii="Arial" w:eastAsia="宋体" w:hAnsi="Arial" w:cs="Arial"/>
                <w:color w:val="0068B5"/>
                <w:sz w:val="18"/>
                <w:szCs w:val="18"/>
              </w:rPr>
              <w:t>(209)</w:t>
            </w:r>
          </w:p>
        </w:tc>
        <w:tc>
          <w:tcPr>
            <w:tcW w:w="0" w:type="auto"/>
            <w:shd w:val="clear" w:color="auto" w:fill="auto"/>
            <w:tcMar>
              <w:top w:w="40" w:type="dxa"/>
              <w:left w:w="0" w:type="dxa"/>
              <w:bottom w:w="40" w:type="dxa"/>
              <w:right w:w="20" w:type="dxa"/>
            </w:tcMar>
            <w:vAlign w:val="bottom"/>
          </w:tcPr>
          <w:p w14:paraId="67535DA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A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A3" w14:textId="77777777" w:rsidR="001B77DD" w:rsidRDefault="00BF0A28">
            <w:pPr>
              <w:jc w:val="right"/>
              <w:textAlignment w:val="bottom"/>
            </w:pPr>
            <w:r>
              <w:rPr>
                <w:rFonts w:ascii="Arial" w:eastAsia="宋体" w:hAnsi="Arial" w:cs="Arial"/>
                <w:color w:val="262626"/>
                <w:sz w:val="18"/>
                <w:szCs w:val="18"/>
              </w:rPr>
              <w:t>(837)</w:t>
            </w:r>
          </w:p>
        </w:tc>
        <w:tc>
          <w:tcPr>
            <w:tcW w:w="0" w:type="auto"/>
            <w:shd w:val="clear" w:color="auto" w:fill="auto"/>
            <w:tcMar>
              <w:top w:w="40" w:type="dxa"/>
              <w:left w:w="0" w:type="dxa"/>
              <w:bottom w:w="40" w:type="dxa"/>
              <w:right w:w="20" w:type="dxa"/>
            </w:tcMar>
            <w:vAlign w:val="bottom"/>
          </w:tcPr>
          <w:p w14:paraId="67535DA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A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A6" w14:textId="77777777" w:rsidR="001B77DD" w:rsidRDefault="00BF0A28">
            <w:pPr>
              <w:jc w:val="right"/>
              <w:textAlignment w:val="bottom"/>
            </w:pPr>
            <w:r>
              <w:rPr>
                <w:rFonts w:ascii="Arial" w:eastAsia="宋体" w:hAnsi="Arial" w:cs="Arial"/>
                <w:color w:val="262626"/>
                <w:sz w:val="18"/>
                <w:szCs w:val="18"/>
              </w:rPr>
              <w:t>(1,958)</w:t>
            </w:r>
          </w:p>
        </w:tc>
        <w:tc>
          <w:tcPr>
            <w:tcW w:w="0" w:type="auto"/>
            <w:shd w:val="clear" w:color="auto" w:fill="auto"/>
            <w:tcMar>
              <w:top w:w="40" w:type="dxa"/>
              <w:left w:w="0" w:type="dxa"/>
              <w:bottom w:w="40" w:type="dxa"/>
              <w:right w:w="20" w:type="dxa"/>
            </w:tcMar>
            <w:vAlign w:val="bottom"/>
          </w:tcPr>
          <w:p w14:paraId="67535DA7" w14:textId="77777777" w:rsidR="001B77DD" w:rsidRDefault="001B77DD">
            <w:pPr>
              <w:jc w:val="right"/>
              <w:rPr>
                <w:rFonts w:ascii="宋体"/>
              </w:rPr>
            </w:pPr>
          </w:p>
        </w:tc>
      </w:tr>
      <w:tr w:rsidR="001B77DD" w14:paraId="67535DB3" w14:textId="77777777">
        <w:tc>
          <w:tcPr>
            <w:tcW w:w="0" w:type="auto"/>
            <w:gridSpan w:val="3"/>
            <w:shd w:val="clear" w:color="auto" w:fill="auto"/>
            <w:tcMar>
              <w:top w:w="40" w:type="dxa"/>
              <w:left w:w="155" w:type="dxa"/>
              <w:bottom w:w="40" w:type="dxa"/>
              <w:right w:w="20" w:type="dxa"/>
            </w:tcMar>
            <w:vAlign w:val="bottom"/>
          </w:tcPr>
          <w:p w14:paraId="67535DA9" w14:textId="77777777" w:rsidR="001B77DD" w:rsidRDefault="00BF0A28">
            <w:pPr>
              <w:textAlignment w:val="bottom"/>
            </w:pPr>
            <w:r>
              <w:rPr>
                <w:rFonts w:ascii="Arial" w:eastAsia="宋体" w:hAnsi="Arial" w:cs="Arial"/>
                <w:color w:val="262626"/>
                <w:sz w:val="18"/>
                <w:szCs w:val="18"/>
              </w:rPr>
              <w:t>Purchases of available-for-sale debt investments</w:t>
            </w:r>
          </w:p>
        </w:tc>
        <w:tc>
          <w:tcPr>
            <w:tcW w:w="0" w:type="auto"/>
            <w:gridSpan w:val="3"/>
            <w:shd w:val="clear" w:color="auto" w:fill="auto"/>
            <w:tcMar>
              <w:top w:w="0" w:type="dxa"/>
              <w:left w:w="20" w:type="dxa"/>
              <w:bottom w:w="0" w:type="dxa"/>
              <w:right w:w="20" w:type="dxa"/>
            </w:tcMar>
            <w:vAlign w:val="bottom"/>
          </w:tcPr>
          <w:p w14:paraId="67535DA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AB" w14:textId="77777777" w:rsidR="001B77DD" w:rsidRDefault="00BF0A28">
            <w:pPr>
              <w:jc w:val="right"/>
              <w:textAlignment w:val="bottom"/>
            </w:pPr>
            <w:r>
              <w:rPr>
                <w:rFonts w:ascii="Arial" w:eastAsia="宋体" w:hAnsi="Arial" w:cs="Arial"/>
                <w:color w:val="0068B5"/>
                <w:sz w:val="18"/>
                <w:szCs w:val="18"/>
              </w:rPr>
              <w:t>(5,051)</w:t>
            </w:r>
          </w:p>
        </w:tc>
        <w:tc>
          <w:tcPr>
            <w:tcW w:w="0" w:type="auto"/>
            <w:shd w:val="clear" w:color="auto" w:fill="auto"/>
            <w:tcMar>
              <w:top w:w="40" w:type="dxa"/>
              <w:left w:w="0" w:type="dxa"/>
              <w:bottom w:w="40" w:type="dxa"/>
              <w:right w:w="20" w:type="dxa"/>
            </w:tcMar>
            <w:vAlign w:val="bottom"/>
          </w:tcPr>
          <w:p w14:paraId="67535DA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A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AE" w14:textId="77777777" w:rsidR="001B77DD" w:rsidRDefault="00BF0A28">
            <w:pPr>
              <w:jc w:val="right"/>
              <w:textAlignment w:val="bottom"/>
            </w:pPr>
            <w:r>
              <w:rPr>
                <w:rFonts w:ascii="Arial" w:eastAsia="宋体" w:hAnsi="Arial" w:cs="Arial"/>
                <w:color w:val="262626"/>
                <w:sz w:val="18"/>
                <w:szCs w:val="18"/>
              </w:rPr>
              <w:t>(6,862)</w:t>
            </w:r>
          </w:p>
        </w:tc>
        <w:tc>
          <w:tcPr>
            <w:tcW w:w="0" w:type="auto"/>
            <w:shd w:val="clear" w:color="auto" w:fill="auto"/>
            <w:tcMar>
              <w:top w:w="40" w:type="dxa"/>
              <w:left w:w="0" w:type="dxa"/>
              <w:bottom w:w="40" w:type="dxa"/>
              <w:right w:w="20" w:type="dxa"/>
            </w:tcMar>
            <w:vAlign w:val="bottom"/>
          </w:tcPr>
          <w:p w14:paraId="67535DA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B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B1" w14:textId="77777777" w:rsidR="001B77DD" w:rsidRDefault="00BF0A28">
            <w:pPr>
              <w:jc w:val="right"/>
              <w:textAlignment w:val="bottom"/>
            </w:pPr>
            <w:r>
              <w:rPr>
                <w:rFonts w:ascii="Arial" w:eastAsia="宋体" w:hAnsi="Arial" w:cs="Arial"/>
                <w:color w:val="262626"/>
                <w:sz w:val="18"/>
                <w:szCs w:val="18"/>
              </w:rPr>
              <w:t>(2,268)</w:t>
            </w:r>
          </w:p>
        </w:tc>
        <w:tc>
          <w:tcPr>
            <w:tcW w:w="0" w:type="auto"/>
            <w:shd w:val="clear" w:color="auto" w:fill="auto"/>
            <w:tcMar>
              <w:top w:w="40" w:type="dxa"/>
              <w:left w:w="0" w:type="dxa"/>
              <w:bottom w:w="40" w:type="dxa"/>
              <w:right w:w="20" w:type="dxa"/>
            </w:tcMar>
            <w:vAlign w:val="bottom"/>
          </w:tcPr>
          <w:p w14:paraId="67535DB2" w14:textId="77777777" w:rsidR="001B77DD" w:rsidRDefault="001B77DD">
            <w:pPr>
              <w:jc w:val="right"/>
              <w:rPr>
                <w:rFonts w:ascii="宋体"/>
              </w:rPr>
            </w:pPr>
          </w:p>
        </w:tc>
      </w:tr>
      <w:tr w:rsidR="001B77DD" w14:paraId="67535DBB" w14:textId="77777777">
        <w:trPr>
          <w:hidden/>
        </w:trPr>
        <w:tc>
          <w:tcPr>
            <w:tcW w:w="0" w:type="auto"/>
            <w:gridSpan w:val="3"/>
            <w:shd w:val="clear" w:color="auto" w:fill="auto"/>
            <w:vAlign w:val="bottom"/>
          </w:tcPr>
          <w:p w14:paraId="67535DB4" w14:textId="77777777" w:rsidR="001B77DD" w:rsidRDefault="001B77DD">
            <w:pPr>
              <w:rPr>
                <w:rFonts w:ascii="宋体"/>
                <w:vanish/>
              </w:rPr>
            </w:pPr>
          </w:p>
        </w:tc>
        <w:tc>
          <w:tcPr>
            <w:tcW w:w="0" w:type="auto"/>
            <w:gridSpan w:val="3"/>
            <w:shd w:val="clear" w:color="auto" w:fill="auto"/>
            <w:vAlign w:val="bottom"/>
          </w:tcPr>
          <w:p w14:paraId="67535DB5" w14:textId="77777777" w:rsidR="001B77DD" w:rsidRDefault="001B77DD">
            <w:pPr>
              <w:rPr>
                <w:rFonts w:ascii="宋体"/>
                <w:vanish/>
              </w:rPr>
            </w:pPr>
          </w:p>
        </w:tc>
        <w:tc>
          <w:tcPr>
            <w:tcW w:w="0" w:type="auto"/>
            <w:gridSpan w:val="3"/>
            <w:shd w:val="clear" w:color="auto" w:fill="auto"/>
            <w:vAlign w:val="bottom"/>
          </w:tcPr>
          <w:p w14:paraId="67535DB6" w14:textId="77777777" w:rsidR="001B77DD" w:rsidRDefault="001B77DD">
            <w:pPr>
              <w:rPr>
                <w:rFonts w:ascii="宋体"/>
                <w:vanish/>
              </w:rPr>
            </w:pPr>
          </w:p>
        </w:tc>
        <w:tc>
          <w:tcPr>
            <w:tcW w:w="0" w:type="auto"/>
            <w:gridSpan w:val="3"/>
            <w:shd w:val="clear" w:color="auto" w:fill="auto"/>
            <w:vAlign w:val="bottom"/>
          </w:tcPr>
          <w:p w14:paraId="67535DB7" w14:textId="77777777" w:rsidR="001B77DD" w:rsidRDefault="001B77DD">
            <w:pPr>
              <w:rPr>
                <w:rFonts w:ascii="宋体"/>
                <w:vanish/>
              </w:rPr>
            </w:pPr>
          </w:p>
        </w:tc>
        <w:tc>
          <w:tcPr>
            <w:tcW w:w="0" w:type="auto"/>
            <w:gridSpan w:val="3"/>
            <w:shd w:val="clear" w:color="auto" w:fill="auto"/>
            <w:vAlign w:val="bottom"/>
          </w:tcPr>
          <w:p w14:paraId="67535DB8" w14:textId="77777777" w:rsidR="001B77DD" w:rsidRDefault="001B77DD">
            <w:pPr>
              <w:rPr>
                <w:rFonts w:ascii="宋体"/>
                <w:vanish/>
              </w:rPr>
            </w:pPr>
          </w:p>
        </w:tc>
        <w:tc>
          <w:tcPr>
            <w:tcW w:w="0" w:type="auto"/>
            <w:gridSpan w:val="3"/>
            <w:shd w:val="clear" w:color="auto" w:fill="auto"/>
            <w:vAlign w:val="bottom"/>
          </w:tcPr>
          <w:p w14:paraId="67535DB9" w14:textId="77777777" w:rsidR="001B77DD" w:rsidRDefault="001B77DD">
            <w:pPr>
              <w:rPr>
                <w:rFonts w:ascii="宋体"/>
                <w:vanish/>
              </w:rPr>
            </w:pPr>
          </w:p>
        </w:tc>
        <w:tc>
          <w:tcPr>
            <w:tcW w:w="0" w:type="auto"/>
            <w:gridSpan w:val="3"/>
            <w:shd w:val="clear" w:color="auto" w:fill="auto"/>
            <w:vAlign w:val="bottom"/>
          </w:tcPr>
          <w:p w14:paraId="67535DBA" w14:textId="77777777" w:rsidR="001B77DD" w:rsidRDefault="001B77DD">
            <w:pPr>
              <w:rPr>
                <w:rFonts w:ascii="宋体"/>
                <w:vanish/>
              </w:rPr>
            </w:pPr>
          </w:p>
        </w:tc>
      </w:tr>
      <w:tr w:rsidR="001B77DD" w14:paraId="67535DC6" w14:textId="77777777">
        <w:tc>
          <w:tcPr>
            <w:tcW w:w="0" w:type="auto"/>
            <w:gridSpan w:val="3"/>
            <w:shd w:val="clear" w:color="auto" w:fill="auto"/>
            <w:tcMar>
              <w:top w:w="40" w:type="dxa"/>
              <w:left w:w="155" w:type="dxa"/>
              <w:bottom w:w="40" w:type="dxa"/>
              <w:right w:w="20" w:type="dxa"/>
            </w:tcMar>
            <w:vAlign w:val="bottom"/>
          </w:tcPr>
          <w:p w14:paraId="67535DBC" w14:textId="77777777" w:rsidR="001B77DD" w:rsidRDefault="00BF0A28">
            <w:pPr>
              <w:textAlignment w:val="bottom"/>
            </w:pPr>
            <w:r>
              <w:rPr>
                <w:rFonts w:ascii="Arial" w:eastAsia="宋体" w:hAnsi="Arial" w:cs="Arial"/>
                <w:color w:val="262626"/>
                <w:sz w:val="18"/>
                <w:szCs w:val="18"/>
              </w:rPr>
              <w:t xml:space="preserve">Maturities and sales of </w:t>
            </w:r>
            <w:r>
              <w:rPr>
                <w:rFonts w:ascii="Arial" w:eastAsia="宋体" w:hAnsi="Arial" w:cs="Arial"/>
                <w:color w:val="262626"/>
                <w:sz w:val="18"/>
                <w:szCs w:val="18"/>
              </w:rPr>
              <w:t>available-for-sale debt investments</w:t>
            </w:r>
          </w:p>
        </w:tc>
        <w:tc>
          <w:tcPr>
            <w:tcW w:w="0" w:type="auto"/>
            <w:gridSpan w:val="3"/>
            <w:shd w:val="clear" w:color="auto" w:fill="auto"/>
            <w:tcMar>
              <w:top w:w="0" w:type="dxa"/>
              <w:left w:w="20" w:type="dxa"/>
              <w:bottom w:w="0" w:type="dxa"/>
              <w:right w:w="20" w:type="dxa"/>
            </w:tcMar>
            <w:vAlign w:val="bottom"/>
          </w:tcPr>
          <w:p w14:paraId="67535DB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BE" w14:textId="77777777" w:rsidR="001B77DD" w:rsidRDefault="00BF0A28">
            <w:pPr>
              <w:jc w:val="right"/>
              <w:textAlignment w:val="bottom"/>
            </w:pPr>
            <w:r>
              <w:rPr>
                <w:rFonts w:ascii="Arial" w:eastAsia="宋体" w:hAnsi="Arial" w:cs="Arial"/>
                <w:color w:val="0068B5"/>
                <w:sz w:val="18"/>
                <w:szCs w:val="18"/>
              </w:rPr>
              <w:t>6,467 </w:t>
            </w:r>
          </w:p>
        </w:tc>
        <w:tc>
          <w:tcPr>
            <w:tcW w:w="0" w:type="auto"/>
            <w:shd w:val="clear" w:color="auto" w:fill="auto"/>
            <w:tcMar>
              <w:top w:w="40" w:type="dxa"/>
              <w:left w:w="0" w:type="dxa"/>
              <w:bottom w:w="40" w:type="dxa"/>
              <w:right w:w="20" w:type="dxa"/>
            </w:tcMar>
            <w:vAlign w:val="bottom"/>
          </w:tcPr>
          <w:p w14:paraId="67535DB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C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C1" w14:textId="77777777" w:rsidR="001B77DD" w:rsidRDefault="00BF0A28">
            <w:pPr>
              <w:jc w:val="right"/>
              <w:textAlignment w:val="bottom"/>
            </w:pPr>
            <w:r>
              <w:rPr>
                <w:rFonts w:ascii="Arial" w:eastAsia="宋体" w:hAnsi="Arial" w:cs="Arial"/>
                <w:color w:val="262626"/>
                <w:sz w:val="18"/>
                <w:szCs w:val="18"/>
              </w:rPr>
              <w:t>6,781 </w:t>
            </w:r>
          </w:p>
        </w:tc>
        <w:tc>
          <w:tcPr>
            <w:tcW w:w="0" w:type="auto"/>
            <w:shd w:val="clear" w:color="auto" w:fill="auto"/>
            <w:tcMar>
              <w:top w:w="40" w:type="dxa"/>
              <w:left w:w="0" w:type="dxa"/>
              <w:bottom w:w="40" w:type="dxa"/>
              <w:right w:w="20" w:type="dxa"/>
            </w:tcMar>
            <w:vAlign w:val="bottom"/>
          </w:tcPr>
          <w:p w14:paraId="67535DC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C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C4" w14:textId="77777777" w:rsidR="001B77DD" w:rsidRDefault="00BF0A28">
            <w:pPr>
              <w:jc w:val="right"/>
              <w:textAlignment w:val="bottom"/>
            </w:pPr>
            <w:r>
              <w:rPr>
                <w:rFonts w:ascii="Arial" w:eastAsia="宋体" w:hAnsi="Arial" w:cs="Arial"/>
                <w:color w:val="262626"/>
                <w:sz w:val="18"/>
                <w:szCs w:val="18"/>
              </w:rPr>
              <w:t>4,226 </w:t>
            </w:r>
          </w:p>
        </w:tc>
        <w:tc>
          <w:tcPr>
            <w:tcW w:w="0" w:type="auto"/>
            <w:shd w:val="clear" w:color="auto" w:fill="auto"/>
            <w:tcMar>
              <w:top w:w="40" w:type="dxa"/>
              <w:left w:w="0" w:type="dxa"/>
              <w:bottom w:w="40" w:type="dxa"/>
              <w:right w:w="20" w:type="dxa"/>
            </w:tcMar>
            <w:vAlign w:val="bottom"/>
          </w:tcPr>
          <w:p w14:paraId="67535DC5" w14:textId="77777777" w:rsidR="001B77DD" w:rsidRDefault="001B77DD">
            <w:pPr>
              <w:jc w:val="right"/>
              <w:rPr>
                <w:rFonts w:ascii="宋体"/>
              </w:rPr>
            </w:pPr>
          </w:p>
        </w:tc>
      </w:tr>
      <w:tr w:rsidR="001B77DD" w14:paraId="67535DD1" w14:textId="77777777">
        <w:tc>
          <w:tcPr>
            <w:tcW w:w="0" w:type="auto"/>
            <w:gridSpan w:val="3"/>
            <w:shd w:val="clear" w:color="auto" w:fill="auto"/>
            <w:tcMar>
              <w:top w:w="40" w:type="dxa"/>
              <w:left w:w="155" w:type="dxa"/>
              <w:bottom w:w="40" w:type="dxa"/>
              <w:right w:w="20" w:type="dxa"/>
            </w:tcMar>
            <w:vAlign w:val="bottom"/>
          </w:tcPr>
          <w:p w14:paraId="67535DC7" w14:textId="77777777" w:rsidR="001B77DD" w:rsidRDefault="00BF0A28">
            <w:pPr>
              <w:textAlignment w:val="bottom"/>
            </w:pPr>
            <w:r>
              <w:rPr>
                <w:rFonts w:ascii="Arial" w:eastAsia="宋体" w:hAnsi="Arial" w:cs="Arial"/>
                <w:color w:val="262626"/>
                <w:sz w:val="18"/>
                <w:szCs w:val="18"/>
              </w:rPr>
              <w:t>Purchases of trading assets</w:t>
            </w:r>
          </w:p>
        </w:tc>
        <w:tc>
          <w:tcPr>
            <w:tcW w:w="0" w:type="auto"/>
            <w:gridSpan w:val="3"/>
            <w:shd w:val="clear" w:color="auto" w:fill="auto"/>
            <w:tcMar>
              <w:top w:w="0" w:type="dxa"/>
              <w:left w:w="20" w:type="dxa"/>
              <w:bottom w:w="0" w:type="dxa"/>
              <w:right w:w="20" w:type="dxa"/>
            </w:tcMar>
            <w:vAlign w:val="bottom"/>
          </w:tcPr>
          <w:p w14:paraId="67535DC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C9" w14:textId="77777777" w:rsidR="001B77DD" w:rsidRDefault="00BF0A28">
            <w:pPr>
              <w:jc w:val="right"/>
              <w:textAlignment w:val="bottom"/>
            </w:pPr>
            <w:r>
              <w:rPr>
                <w:rFonts w:ascii="Arial" w:eastAsia="宋体" w:hAnsi="Arial" w:cs="Arial"/>
                <w:color w:val="0068B5"/>
                <w:sz w:val="18"/>
                <w:szCs w:val="18"/>
              </w:rPr>
              <w:t>(35,503)</w:t>
            </w:r>
          </w:p>
        </w:tc>
        <w:tc>
          <w:tcPr>
            <w:tcW w:w="0" w:type="auto"/>
            <w:shd w:val="clear" w:color="auto" w:fill="auto"/>
            <w:tcMar>
              <w:top w:w="40" w:type="dxa"/>
              <w:left w:w="0" w:type="dxa"/>
              <w:bottom w:w="40" w:type="dxa"/>
              <w:right w:w="20" w:type="dxa"/>
            </w:tcMar>
            <w:vAlign w:val="bottom"/>
          </w:tcPr>
          <w:p w14:paraId="67535DC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CC" w14:textId="77777777" w:rsidR="001B77DD" w:rsidRDefault="00BF0A28">
            <w:pPr>
              <w:jc w:val="right"/>
              <w:textAlignment w:val="bottom"/>
            </w:pPr>
            <w:r>
              <w:rPr>
                <w:rFonts w:ascii="Arial" w:eastAsia="宋体" w:hAnsi="Arial" w:cs="Arial"/>
                <w:color w:val="262626"/>
                <w:sz w:val="18"/>
                <w:szCs w:val="18"/>
              </w:rPr>
              <w:t>(22,377)</w:t>
            </w:r>
          </w:p>
        </w:tc>
        <w:tc>
          <w:tcPr>
            <w:tcW w:w="0" w:type="auto"/>
            <w:shd w:val="clear" w:color="auto" w:fill="auto"/>
            <w:tcMar>
              <w:top w:w="40" w:type="dxa"/>
              <w:left w:w="0" w:type="dxa"/>
              <w:bottom w:w="40" w:type="dxa"/>
              <w:right w:w="20" w:type="dxa"/>
            </w:tcMar>
            <w:vAlign w:val="bottom"/>
          </w:tcPr>
          <w:p w14:paraId="67535D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C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CF" w14:textId="77777777" w:rsidR="001B77DD" w:rsidRDefault="00BF0A28">
            <w:pPr>
              <w:jc w:val="right"/>
              <w:textAlignment w:val="bottom"/>
            </w:pPr>
            <w:r>
              <w:rPr>
                <w:rFonts w:ascii="Arial" w:eastAsia="宋体" w:hAnsi="Arial" w:cs="Arial"/>
                <w:color w:val="262626"/>
                <w:sz w:val="18"/>
                <w:szCs w:val="18"/>
              </w:rPr>
              <w:t>(9,162)</w:t>
            </w:r>
          </w:p>
        </w:tc>
        <w:tc>
          <w:tcPr>
            <w:tcW w:w="0" w:type="auto"/>
            <w:shd w:val="clear" w:color="auto" w:fill="auto"/>
            <w:tcMar>
              <w:top w:w="40" w:type="dxa"/>
              <w:left w:w="0" w:type="dxa"/>
              <w:bottom w:w="40" w:type="dxa"/>
              <w:right w:w="20" w:type="dxa"/>
            </w:tcMar>
            <w:vAlign w:val="bottom"/>
          </w:tcPr>
          <w:p w14:paraId="67535DD0" w14:textId="77777777" w:rsidR="001B77DD" w:rsidRDefault="001B77DD">
            <w:pPr>
              <w:jc w:val="right"/>
              <w:rPr>
                <w:rFonts w:ascii="宋体"/>
              </w:rPr>
            </w:pPr>
          </w:p>
        </w:tc>
      </w:tr>
      <w:tr w:rsidR="001B77DD" w14:paraId="67535DDC" w14:textId="77777777">
        <w:tc>
          <w:tcPr>
            <w:tcW w:w="0" w:type="auto"/>
            <w:gridSpan w:val="3"/>
            <w:shd w:val="clear" w:color="auto" w:fill="auto"/>
            <w:tcMar>
              <w:top w:w="40" w:type="dxa"/>
              <w:left w:w="155" w:type="dxa"/>
              <w:bottom w:w="40" w:type="dxa"/>
              <w:right w:w="20" w:type="dxa"/>
            </w:tcMar>
            <w:vAlign w:val="bottom"/>
          </w:tcPr>
          <w:p w14:paraId="67535DD2" w14:textId="77777777" w:rsidR="001B77DD" w:rsidRDefault="00BF0A28">
            <w:pPr>
              <w:textAlignment w:val="bottom"/>
            </w:pPr>
            <w:r>
              <w:rPr>
                <w:rFonts w:ascii="Arial" w:eastAsia="宋体" w:hAnsi="Arial" w:cs="Arial"/>
                <w:color w:val="262626"/>
                <w:sz w:val="18"/>
                <w:szCs w:val="18"/>
              </w:rPr>
              <w:t>Maturities and sales of trading assets</w:t>
            </w:r>
          </w:p>
        </w:tc>
        <w:tc>
          <w:tcPr>
            <w:tcW w:w="0" w:type="auto"/>
            <w:gridSpan w:val="3"/>
            <w:shd w:val="clear" w:color="auto" w:fill="auto"/>
            <w:tcMar>
              <w:top w:w="0" w:type="dxa"/>
              <w:left w:w="20" w:type="dxa"/>
              <w:bottom w:w="0" w:type="dxa"/>
              <w:right w:w="20" w:type="dxa"/>
            </w:tcMar>
            <w:vAlign w:val="bottom"/>
          </w:tcPr>
          <w:p w14:paraId="67535DD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D4" w14:textId="77777777" w:rsidR="001B77DD" w:rsidRDefault="00BF0A28">
            <w:pPr>
              <w:jc w:val="right"/>
              <w:textAlignment w:val="bottom"/>
            </w:pPr>
            <w:r>
              <w:rPr>
                <w:rFonts w:ascii="Arial" w:eastAsia="宋体" w:hAnsi="Arial" w:cs="Arial"/>
                <w:color w:val="0068B5"/>
                <w:sz w:val="18"/>
                <w:szCs w:val="18"/>
              </w:rPr>
              <w:t>28,832 </w:t>
            </w:r>
          </w:p>
        </w:tc>
        <w:tc>
          <w:tcPr>
            <w:tcW w:w="0" w:type="auto"/>
            <w:shd w:val="clear" w:color="auto" w:fill="auto"/>
            <w:tcMar>
              <w:top w:w="40" w:type="dxa"/>
              <w:left w:w="0" w:type="dxa"/>
              <w:bottom w:w="40" w:type="dxa"/>
              <w:right w:w="20" w:type="dxa"/>
            </w:tcMar>
            <w:vAlign w:val="bottom"/>
          </w:tcPr>
          <w:p w14:paraId="67535DD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D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D7" w14:textId="77777777" w:rsidR="001B77DD" w:rsidRDefault="00BF0A28">
            <w:pPr>
              <w:jc w:val="right"/>
              <w:textAlignment w:val="bottom"/>
            </w:pPr>
            <w:r>
              <w:rPr>
                <w:rFonts w:ascii="Arial" w:eastAsia="宋体" w:hAnsi="Arial" w:cs="Arial"/>
                <w:color w:val="262626"/>
                <w:sz w:val="18"/>
                <w:szCs w:val="18"/>
              </w:rPr>
              <w:t>15,377 </w:t>
            </w:r>
          </w:p>
        </w:tc>
        <w:tc>
          <w:tcPr>
            <w:tcW w:w="0" w:type="auto"/>
            <w:shd w:val="clear" w:color="auto" w:fill="auto"/>
            <w:tcMar>
              <w:top w:w="40" w:type="dxa"/>
              <w:left w:w="0" w:type="dxa"/>
              <w:bottom w:w="40" w:type="dxa"/>
              <w:right w:w="20" w:type="dxa"/>
            </w:tcMar>
            <w:vAlign w:val="bottom"/>
          </w:tcPr>
          <w:p w14:paraId="67535DD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D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DA" w14:textId="77777777" w:rsidR="001B77DD" w:rsidRDefault="00BF0A28">
            <w:pPr>
              <w:jc w:val="right"/>
              <w:textAlignment w:val="bottom"/>
            </w:pPr>
            <w:r>
              <w:rPr>
                <w:rFonts w:ascii="Arial" w:eastAsia="宋体" w:hAnsi="Arial" w:cs="Arial"/>
                <w:color w:val="262626"/>
                <w:sz w:val="18"/>
                <w:szCs w:val="18"/>
              </w:rPr>
              <w:t>7,178 </w:t>
            </w:r>
          </w:p>
        </w:tc>
        <w:tc>
          <w:tcPr>
            <w:tcW w:w="0" w:type="auto"/>
            <w:shd w:val="clear" w:color="auto" w:fill="auto"/>
            <w:tcMar>
              <w:top w:w="40" w:type="dxa"/>
              <w:left w:w="0" w:type="dxa"/>
              <w:bottom w:w="40" w:type="dxa"/>
              <w:right w:w="20" w:type="dxa"/>
            </w:tcMar>
            <w:vAlign w:val="bottom"/>
          </w:tcPr>
          <w:p w14:paraId="67535DDB" w14:textId="77777777" w:rsidR="001B77DD" w:rsidRDefault="001B77DD">
            <w:pPr>
              <w:jc w:val="right"/>
              <w:rPr>
                <w:rFonts w:ascii="宋体"/>
              </w:rPr>
            </w:pPr>
          </w:p>
        </w:tc>
      </w:tr>
      <w:tr w:rsidR="001B77DD" w14:paraId="67535DE4" w14:textId="77777777">
        <w:trPr>
          <w:hidden/>
        </w:trPr>
        <w:tc>
          <w:tcPr>
            <w:tcW w:w="0" w:type="auto"/>
            <w:gridSpan w:val="3"/>
            <w:shd w:val="clear" w:color="auto" w:fill="auto"/>
            <w:vAlign w:val="bottom"/>
          </w:tcPr>
          <w:p w14:paraId="67535DDD" w14:textId="77777777" w:rsidR="001B77DD" w:rsidRDefault="001B77DD">
            <w:pPr>
              <w:rPr>
                <w:rFonts w:ascii="宋体"/>
                <w:vanish/>
              </w:rPr>
            </w:pPr>
          </w:p>
        </w:tc>
        <w:tc>
          <w:tcPr>
            <w:tcW w:w="0" w:type="auto"/>
            <w:gridSpan w:val="3"/>
            <w:shd w:val="clear" w:color="auto" w:fill="auto"/>
            <w:vAlign w:val="bottom"/>
          </w:tcPr>
          <w:p w14:paraId="67535DDE" w14:textId="77777777" w:rsidR="001B77DD" w:rsidRDefault="001B77DD">
            <w:pPr>
              <w:rPr>
                <w:rFonts w:ascii="宋体"/>
                <w:vanish/>
              </w:rPr>
            </w:pPr>
          </w:p>
        </w:tc>
        <w:tc>
          <w:tcPr>
            <w:tcW w:w="0" w:type="auto"/>
            <w:gridSpan w:val="3"/>
            <w:shd w:val="clear" w:color="auto" w:fill="auto"/>
            <w:vAlign w:val="bottom"/>
          </w:tcPr>
          <w:p w14:paraId="67535DDF" w14:textId="77777777" w:rsidR="001B77DD" w:rsidRDefault="001B77DD">
            <w:pPr>
              <w:rPr>
                <w:rFonts w:ascii="宋体"/>
                <w:vanish/>
              </w:rPr>
            </w:pPr>
          </w:p>
        </w:tc>
        <w:tc>
          <w:tcPr>
            <w:tcW w:w="0" w:type="auto"/>
            <w:gridSpan w:val="3"/>
            <w:shd w:val="clear" w:color="auto" w:fill="auto"/>
            <w:vAlign w:val="bottom"/>
          </w:tcPr>
          <w:p w14:paraId="67535DE0" w14:textId="77777777" w:rsidR="001B77DD" w:rsidRDefault="001B77DD">
            <w:pPr>
              <w:rPr>
                <w:rFonts w:ascii="宋体"/>
                <w:vanish/>
              </w:rPr>
            </w:pPr>
          </w:p>
        </w:tc>
        <w:tc>
          <w:tcPr>
            <w:tcW w:w="0" w:type="auto"/>
            <w:gridSpan w:val="3"/>
            <w:shd w:val="clear" w:color="auto" w:fill="auto"/>
            <w:vAlign w:val="bottom"/>
          </w:tcPr>
          <w:p w14:paraId="67535DE1" w14:textId="77777777" w:rsidR="001B77DD" w:rsidRDefault="001B77DD">
            <w:pPr>
              <w:rPr>
                <w:rFonts w:ascii="宋体"/>
                <w:vanish/>
              </w:rPr>
            </w:pPr>
          </w:p>
        </w:tc>
        <w:tc>
          <w:tcPr>
            <w:tcW w:w="0" w:type="auto"/>
            <w:gridSpan w:val="3"/>
            <w:shd w:val="clear" w:color="auto" w:fill="auto"/>
            <w:vAlign w:val="bottom"/>
          </w:tcPr>
          <w:p w14:paraId="67535DE2" w14:textId="77777777" w:rsidR="001B77DD" w:rsidRDefault="001B77DD">
            <w:pPr>
              <w:rPr>
                <w:rFonts w:ascii="宋体"/>
                <w:vanish/>
              </w:rPr>
            </w:pPr>
          </w:p>
        </w:tc>
        <w:tc>
          <w:tcPr>
            <w:tcW w:w="0" w:type="auto"/>
            <w:gridSpan w:val="3"/>
            <w:shd w:val="clear" w:color="auto" w:fill="auto"/>
            <w:vAlign w:val="bottom"/>
          </w:tcPr>
          <w:p w14:paraId="67535DE3" w14:textId="77777777" w:rsidR="001B77DD" w:rsidRDefault="001B77DD">
            <w:pPr>
              <w:rPr>
                <w:rFonts w:ascii="宋体"/>
                <w:vanish/>
              </w:rPr>
            </w:pPr>
          </w:p>
        </w:tc>
      </w:tr>
      <w:tr w:rsidR="001B77DD" w14:paraId="67535DEC" w14:textId="77777777">
        <w:trPr>
          <w:hidden/>
        </w:trPr>
        <w:tc>
          <w:tcPr>
            <w:tcW w:w="0" w:type="auto"/>
            <w:gridSpan w:val="3"/>
            <w:shd w:val="clear" w:color="auto" w:fill="auto"/>
            <w:vAlign w:val="bottom"/>
          </w:tcPr>
          <w:p w14:paraId="67535DE5" w14:textId="77777777" w:rsidR="001B77DD" w:rsidRDefault="001B77DD">
            <w:pPr>
              <w:rPr>
                <w:rFonts w:ascii="宋体"/>
                <w:vanish/>
              </w:rPr>
            </w:pPr>
          </w:p>
        </w:tc>
        <w:tc>
          <w:tcPr>
            <w:tcW w:w="0" w:type="auto"/>
            <w:gridSpan w:val="3"/>
            <w:shd w:val="clear" w:color="auto" w:fill="auto"/>
            <w:vAlign w:val="bottom"/>
          </w:tcPr>
          <w:p w14:paraId="67535DE6" w14:textId="77777777" w:rsidR="001B77DD" w:rsidRDefault="001B77DD">
            <w:pPr>
              <w:rPr>
                <w:rFonts w:ascii="宋体"/>
                <w:vanish/>
              </w:rPr>
            </w:pPr>
          </w:p>
        </w:tc>
        <w:tc>
          <w:tcPr>
            <w:tcW w:w="0" w:type="auto"/>
            <w:gridSpan w:val="3"/>
            <w:shd w:val="clear" w:color="auto" w:fill="auto"/>
            <w:vAlign w:val="bottom"/>
          </w:tcPr>
          <w:p w14:paraId="67535DE7" w14:textId="77777777" w:rsidR="001B77DD" w:rsidRDefault="001B77DD">
            <w:pPr>
              <w:rPr>
                <w:rFonts w:ascii="宋体"/>
                <w:vanish/>
              </w:rPr>
            </w:pPr>
          </w:p>
        </w:tc>
        <w:tc>
          <w:tcPr>
            <w:tcW w:w="0" w:type="auto"/>
            <w:gridSpan w:val="3"/>
            <w:shd w:val="clear" w:color="auto" w:fill="auto"/>
            <w:vAlign w:val="bottom"/>
          </w:tcPr>
          <w:p w14:paraId="67535DE8" w14:textId="77777777" w:rsidR="001B77DD" w:rsidRDefault="001B77DD">
            <w:pPr>
              <w:rPr>
                <w:rFonts w:ascii="宋体"/>
                <w:vanish/>
              </w:rPr>
            </w:pPr>
          </w:p>
        </w:tc>
        <w:tc>
          <w:tcPr>
            <w:tcW w:w="0" w:type="auto"/>
            <w:gridSpan w:val="3"/>
            <w:shd w:val="clear" w:color="auto" w:fill="auto"/>
            <w:vAlign w:val="bottom"/>
          </w:tcPr>
          <w:p w14:paraId="67535DE9" w14:textId="77777777" w:rsidR="001B77DD" w:rsidRDefault="001B77DD">
            <w:pPr>
              <w:rPr>
                <w:rFonts w:ascii="宋体"/>
                <w:vanish/>
              </w:rPr>
            </w:pPr>
          </w:p>
        </w:tc>
        <w:tc>
          <w:tcPr>
            <w:tcW w:w="0" w:type="auto"/>
            <w:gridSpan w:val="3"/>
            <w:shd w:val="clear" w:color="auto" w:fill="auto"/>
            <w:vAlign w:val="bottom"/>
          </w:tcPr>
          <w:p w14:paraId="67535DEA" w14:textId="77777777" w:rsidR="001B77DD" w:rsidRDefault="001B77DD">
            <w:pPr>
              <w:rPr>
                <w:rFonts w:ascii="宋体"/>
                <w:vanish/>
              </w:rPr>
            </w:pPr>
          </w:p>
        </w:tc>
        <w:tc>
          <w:tcPr>
            <w:tcW w:w="0" w:type="auto"/>
            <w:gridSpan w:val="3"/>
            <w:shd w:val="clear" w:color="auto" w:fill="auto"/>
            <w:vAlign w:val="bottom"/>
          </w:tcPr>
          <w:p w14:paraId="67535DEB" w14:textId="77777777" w:rsidR="001B77DD" w:rsidRDefault="001B77DD">
            <w:pPr>
              <w:rPr>
                <w:rFonts w:ascii="宋体"/>
                <w:vanish/>
              </w:rPr>
            </w:pPr>
          </w:p>
        </w:tc>
      </w:tr>
      <w:tr w:rsidR="001B77DD" w14:paraId="67535DF7" w14:textId="77777777">
        <w:tc>
          <w:tcPr>
            <w:tcW w:w="0" w:type="auto"/>
            <w:gridSpan w:val="3"/>
            <w:shd w:val="clear" w:color="auto" w:fill="auto"/>
            <w:tcMar>
              <w:top w:w="40" w:type="dxa"/>
              <w:left w:w="155" w:type="dxa"/>
              <w:bottom w:w="40" w:type="dxa"/>
              <w:right w:w="20" w:type="dxa"/>
            </w:tcMar>
            <w:vAlign w:val="bottom"/>
          </w:tcPr>
          <w:p w14:paraId="67535DED" w14:textId="77777777" w:rsidR="001B77DD" w:rsidRDefault="00BF0A28">
            <w:pPr>
              <w:textAlignment w:val="bottom"/>
            </w:pPr>
            <w:r>
              <w:rPr>
                <w:rFonts w:ascii="Arial" w:eastAsia="宋体" w:hAnsi="Arial" w:cs="Arial"/>
                <w:color w:val="262626"/>
                <w:sz w:val="18"/>
                <w:szCs w:val="18"/>
              </w:rPr>
              <w:t>Purchases of equity investments</w:t>
            </w:r>
          </w:p>
        </w:tc>
        <w:tc>
          <w:tcPr>
            <w:tcW w:w="0" w:type="auto"/>
            <w:gridSpan w:val="3"/>
            <w:shd w:val="clear" w:color="auto" w:fill="auto"/>
            <w:tcMar>
              <w:top w:w="0" w:type="dxa"/>
              <w:left w:w="20" w:type="dxa"/>
              <w:bottom w:w="0" w:type="dxa"/>
              <w:right w:w="20" w:type="dxa"/>
            </w:tcMar>
            <w:vAlign w:val="bottom"/>
          </w:tcPr>
          <w:p w14:paraId="67535DE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EF" w14:textId="77777777" w:rsidR="001B77DD" w:rsidRDefault="00BF0A28">
            <w:pPr>
              <w:jc w:val="right"/>
              <w:textAlignment w:val="bottom"/>
            </w:pPr>
            <w:r>
              <w:rPr>
                <w:rFonts w:ascii="Arial" w:eastAsia="宋体" w:hAnsi="Arial" w:cs="Arial"/>
                <w:color w:val="0068B5"/>
                <w:sz w:val="18"/>
                <w:szCs w:val="18"/>
              </w:rPr>
              <w:t>(613)</w:t>
            </w:r>
          </w:p>
        </w:tc>
        <w:tc>
          <w:tcPr>
            <w:tcW w:w="0" w:type="auto"/>
            <w:shd w:val="clear" w:color="auto" w:fill="auto"/>
            <w:tcMar>
              <w:top w:w="40" w:type="dxa"/>
              <w:left w:w="0" w:type="dxa"/>
              <w:bottom w:w="40" w:type="dxa"/>
              <w:right w:w="20" w:type="dxa"/>
            </w:tcMar>
            <w:vAlign w:val="bottom"/>
          </w:tcPr>
          <w:p w14:paraId="67535DF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F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F2" w14:textId="77777777" w:rsidR="001B77DD" w:rsidRDefault="00BF0A28">
            <w:pPr>
              <w:jc w:val="right"/>
              <w:textAlignment w:val="bottom"/>
            </w:pPr>
            <w:r>
              <w:rPr>
                <w:rFonts w:ascii="Arial" w:eastAsia="宋体" w:hAnsi="Arial" w:cs="Arial"/>
                <w:color w:val="262626"/>
                <w:sz w:val="18"/>
                <w:szCs w:val="18"/>
              </w:rPr>
              <w:t>(720)</w:t>
            </w:r>
          </w:p>
        </w:tc>
        <w:tc>
          <w:tcPr>
            <w:tcW w:w="0" w:type="auto"/>
            <w:shd w:val="clear" w:color="auto" w:fill="auto"/>
            <w:tcMar>
              <w:top w:w="40" w:type="dxa"/>
              <w:left w:w="0" w:type="dxa"/>
              <w:bottom w:w="40" w:type="dxa"/>
              <w:right w:w="20" w:type="dxa"/>
            </w:tcMar>
            <w:vAlign w:val="bottom"/>
          </w:tcPr>
          <w:p w14:paraId="67535DF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F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F5" w14:textId="77777777" w:rsidR="001B77DD" w:rsidRDefault="00BF0A28">
            <w:pPr>
              <w:jc w:val="right"/>
              <w:textAlignment w:val="bottom"/>
            </w:pPr>
            <w:r>
              <w:rPr>
                <w:rFonts w:ascii="Arial" w:eastAsia="宋体" w:hAnsi="Arial" w:cs="Arial"/>
                <w:color w:val="262626"/>
                <w:sz w:val="18"/>
                <w:szCs w:val="18"/>
              </w:rPr>
              <w:t>(522)</w:t>
            </w:r>
          </w:p>
        </w:tc>
        <w:tc>
          <w:tcPr>
            <w:tcW w:w="0" w:type="auto"/>
            <w:shd w:val="clear" w:color="auto" w:fill="auto"/>
            <w:tcMar>
              <w:top w:w="40" w:type="dxa"/>
              <w:left w:w="0" w:type="dxa"/>
              <w:bottom w:w="40" w:type="dxa"/>
              <w:right w:w="20" w:type="dxa"/>
            </w:tcMar>
            <w:vAlign w:val="bottom"/>
          </w:tcPr>
          <w:p w14:paraId="67535DF6" w14:textId="77777777" w:rsidR="001B77DD" w:rsidRDefault="001B77DD">
            <w:pPr>
              <w:jc w:val="right"/>
              <w:rPr>
                <w:rFonts w:ascii="宋体"/>
              </w:rPr>
            </w:pPr>
          </w:p>
        </w:tc>
      </w:tr>
      <w:tr w:rsidR="001B77DD" w14:paraId="67535E02" w14:textId="77777777">
        <w:tc>
          <w:tcPr>
            <w:tcW w:w="0" w:type="auto"/>
            <w:gridSpan w:val="3"/>
            <w:shd w:val="clear" w:color="auto" w:fill="auto"/>
            <w:tcMar>
              <w:top w:w="40" w:type="dxa"/>
              <w:left w:w="155" w:type="dxa"/>
              <w:bottom w:w="40" w:type="dxa"/>
              <w:right w:w="20" w:type="dxa"/>
            </w:tcMar>
            <w:vAlign w:val="bottom"/>
          </w:tcPr>
          <w:p w14:paraId="67535DF8" w14:textId="77777777" w:rsidR="001B77DD" w:rsidRDefault="00BF0A28">
            <w:pPr>
              <w:textAlignment w:val="bottom"/>
            </w:pPr>
            <w:r>
              <w:rPr>
                <w:rFonts w:ascii="Arial" w:eastAsia="宋体" w:hAnsi="Arial" w:cs="Arial"/>
                <w:color w:val="262626"/>
                <w:sz w:val="18"/>
                <w:szCs w:val="18"/>
              </w:rPr>
              <w:t>Sales of equity investments</w:t>
            </w:r>
          </w:p>
        </w:tc>
        <w:tc>
          <w:tcPr>
            <w:tcW w:w="0" w:type="auto"/>
            <w:gridSpan w:val="3"/>
            <w:shd w:val="clear" w:color="auto" w:fill="auto"/>
            <w:tcMar>
              <w:top w:w="0" w:type="dxa"/>
              <w:left w:w="20" w:type="dxa"/>
              <w:bottom w:w="0" w:type="dxa"/>
              <w:right w:w="20" w:type="dxa"/>
            </w:tcMar>
            <w:vAlign w:val="bottom"/>
          </w:tcPr>
          <w:p w14:paraId="67535DF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FA" w14:textId="77777777" w:rsidR="001B77DD" w:rsidRDefault="00BF0A28">
            <w:pPr>
              <w:jc w:val="right"/>
              <w:textAlignment w:val="bottom"/>
            </w:pPr>
            <w:r>
              <w:rPr>
                <w:rFonts w:ascii="Arial" w:eastAsia="宋体" w:hAnsi="Arial" w:cs="Arial"/>
                <w:color w:val="0068B5"/>
                <w:sz w:val="18"/>
                <w:szCs w:val="18"/>
              </w:rPr>
              <w:t>581 </w:t>
            </w:r>
          </w:p>
        </w:tc>
        <w:tc>
          <w:tcPr>
            <w:tcW w:w="0" w:type="auto"/>
            <w:shd w:val="clear" w:color="auto" w:fill="auto"/>
            <w:tcMar>
              <w:top w:w="40" w:type="dxa"/>
              <w:left w:w="0" w:type="dxa"/>
              <w:bottom w:w="40" w:type="dxa"/>
              <w:right w:w="20" w:type="dxa"/>
            </w:tcMar>
            <w:vAlign w:val="bottom"/>
          </w:tcPr>
          <w:p w14:paraId="67535DF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F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DFD" w14:textId="77777777" w:rsidR="001B77DD" w:rsidRDefault="00BF0A28">
            <w:pPr>
              <w:jc w:val="right"/>
              <w:textAlignment w:val="bottom"/>
            </w:pPr>
            <w:r>
              <w:rPr>
                <w:rFonts w:ascii="Arial" w:eastAsia="宋体" w:hAnsi="Arial" w:cs="Arial"/>
                <w:color w:val="262626"/>
                <w:sz w:val="18"/>
                <w:szCs w:val="18"/>
              </w:rPr>
              <w:t>910 </w:t>
            </w:r>
          </w:p>
        </w:tc>
        <w:tc>
          <w:tcPr>
            <w:tcW w:w="0" w:type="auto"/>
            <w:shd w:val="clear" w:color="auto" w:fill="auto"/>
            <w:tcMar>
              <w:top w:w="40" w:type="dxa"/>
              <w:left w:w="0" w:type="dxa"/>
              <w:bottom w:w="40" w:type="dxa"/>
              <w:right w:w="20" w:type="dxa"/>
            </w:tcMar>
            <w:vAlign w:val="bottom"/>
          </w:tcPr>
          <w:p w14:paraId="67535DF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DF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00" w14:textId="77777777" w:rsidR="001B77DD" w:rsidRDefault="00BF0A28">
            <w:pPr>
              <w:jc w:val="right"/>
              <w:textAlignment w:val="bottom"/>
            </w:pPr>
            <w:r>
              <w:rPr>
                <w:rFonts w:ascii="Arial" w:eastAsia="宋体" w:hAnsi="Arial" w:cs="Arial"/>
                <w:color w:val="262626"/>
                <w:sz w:val="18"/>
                <w:szCs w:val="18"/>
              </w:rPr>
              <w:t>2,688 </w:t>
            </w:r>
          </w:p>
        </w:tc>
        <w:tc>
          <w:tcPr>
            <w:tcW w:w="0" w:type="auto"/>
            <w:shd w:val="clear" w:color="auto" w:fill="auto"/>
            <w:tcMar>
              <w:top w:w="40" w:type="dxa"/>
              <w:left w:w="0" w:type="dxa"/>
              <w:bottom w:w="40" w:type="dxa"/>
              <w:right w:w="20" w:type="dxa"/>
            </w:tcMar>
            <w:vAlign w:val="bottom"/>
          </w:tcPr>
          <w:p w14:paraId="67535E01" w14:textId="77777777" w:rsidR="001B77DD" w:rsidRDefault="001B77DD">
            <w:pPr>
              <w:jc w:val="right"/>
              <w:rPr>
                <w:rFonts w:ascii="宋体"/>
              </w:rPr>
            </w:pPr>
          </w:p>
        </w:tc>
      </w:tr>
      <w:tr w:rsidR="001B77DD" w14:paraId="67535E0A" w14:textId="77777777">
        <w:trPr>
          <w:hidden/>
        </w:trPr>
        <w:tc>
          <w:tcPr>
            <w:tcW w:w="0" w:type="auto"/>
            <w:gridSpan w:val="3"/>
            <w:shd w:val="clear" w:color="auto" w:fill="auto"/>
            <w:vAlign w:val="bottom"/>
          </w:tcPr>
          <w:p w14:paraId="67535E03" w14:textId="77777777" w:rsidR="001B77DD" w:rsidRDefault="001B77DD">
            <w:pPr>
              <w:rPr>
                <w:rFonts w:ascii="宋体"/>
                <w:vanish/>
              </w:rPr>
            </w:pPr>
          </w:p>
        </w:tc>
        <w:tc>
          <w:tcPr>
            <w:tcW w:w="0" w:type="auto"/>
            <w:gridSpan w:val="3"/>
            <w:shd w:val="clear" w:color="auto" w:fill="auto"/>
            <w:vAlign w:val="bottom"/>
          </w:tcPr>
          <w:p w14:paraId="67535E04" w14:textId="77777777" w:rsidR="001B77DD" w:rsidRDefault="001B77DD">
            <w:pPr>
              <w:rPr>
                <w:rFonts w:ascii="宋体"/>
                <w:vanish/>
              </w:rPr>
            </w:pPr>
          </w:p>
        </w:tc>
        <w:tc>
          <w:tcPr>
            <w:tcW w:w="0" w:type="auto"/>
            <w:gridSpan w:val="3"/>
            <w:shd w:val="clear" w:color="auto" w:fill="auto"/>
            <w:vAlign w:val="bottom"/>
          </w:tcPr>
          <w:p w14:paraId="67535E05" w14:textId="77777777" w:rsidR="001B77DD" w:rsidRDefault="001B77DD">
            <w:pPr>
              <w:rPr>
                <w:rFonts w:ascii="宋体"/>
                <w:vanish/>
              </w:rPr>
            </w:pPr>
          </w:p>
        </w:tc>
        <w:tc>
          <w:tcPr>
            <w:tcW w:w="0" w:type="auto"/>
            <w:gridSpan w:val="3"/>
            <w:shd w:val="clear" w:color="auto" w:fill="auto"/>
            <w:vAlign w:val="bottom"/>
          </w:tcPr>
          <w:p w14:paraId="67535E06" w14:textId="77777777" w:rsidR="001B77DD" w:rsidRDefault="001B77DD">
            <w:pPr>
              <w:rPr>
                <w:rFonts w:ascii="宋体"/>
                <w:vanish/>
              </w:rPr>
            </w:pPr>
          </w:p>
        </w:tc>
        <w:tc>
          <w:tcPr>
            <w:tcW w:w="0" w:type="auto"/>
            <w:gridSpan w:val="3"/>
            <w:shd w:val="clear" w:color="auto" w:fill="auto"/>
            <w:vAlign w:val="bottom"/>
          </w:tcPr>
          <w:p w14:paraId="67535E07" w14:textId="77777777" w:rsidR="001B77DD" w:rsidRDefault="001B77DD">
            <w:pPr>
              <w:rPr>
                <w:rFonts w:ascii="宋体"/>
                <w:vanish/>
              </w:rPr>
            </w:pPr>
          </w:p>
        </w:tc>
        <w:tc>
          <w:tcPr>
            <w:tcW w:w="0" w:type="auto"/>
            <w:gridSpan w:val="3"/>
            <w:shd w:val="clear" w:color="auto" w:fill="auto"/>
            <w:vAlign w:val="bottom"/>
          </w:tcPr>
          <w:p w14:paraId="67535E08" w14:textId="77777777" w:rsidR="001B77DD" w:rsidRDefault="001B77DD">
            <w:pPr>
              <w:rPr>
                <w:rFonts w:ascii="宋体"/>
                <w:vanish/>
              </w:rPr>
            </w:pPr>
          </w:p>
        </w:tc>
        <w:tc>
          <w:tcPr>
            <w:tcW w:w="0" w:type="auto"/>
            <w:gridSpan w:val="3"/>
            <w:shd w:val="clear" w:color="auto" w:fill="auto"/>
            <w:vAlign w:val="bottom"/>
          </w:tcPr>
          <w:p w14:paraId="67535E09" w14:textId="77777777" w:rsidR="001B77DD" w:rsidRDefault="001B77DD">
            <w:pPr>
              <w:rPr>
                <w:rFonts w:ascii="宋体"/>
                <w:vanish/>
              </w:rPr>
            </w:pPr>
          </w:p>
        </w:tc>
      </w:tr>
      <w:tr w:rsidR="001B77DD" w14:paraId="67535E12" w14:textId="77777777">
        <w:trPr>
          <w:hidden/>
        </w:trPr>
        <w:tc>
          <w:tcPr>
            <w:tcW w:w="0" w:type="auto"/>
            <w:gridSpan w:val="3"/>
            <w:shd w:val="clear" w:color="auto" w:fill="auto"/>
            <w:vAlign w:val="bottom"/>
          </w:tcPr>
          <w:p w14:paraId="67535E0B" w14:textId="77777777" w:rsidR="001B77DD" w:rsidRDefault="001B77DD">
            <w:pPr>
              <w:rPr>
                <w:rFonts w:ascii="宋体"/>
                <w:vanish/>
              </w:rPr>
            </w:pPr>
          </w:p>
        </w:tc>
        <w:tc>
          <w:tcPr>
            <w:tcW w:w="0" w:type="auto"/>
            <w:gridSpan w:val="3"/>
            <w:shd w:val="clear" w:color="auto" w:fill="auto"/>
            <w:vAlign w:val="bottom"/>
          </w:tcPr>
          <w:p w14:paraId="67535E0C" w14:textId="77777777" w:rsidR="001B77DD" w:rsidRDefault="001B77DD">
            <w:pPr>
              <w:rPr>
                <w:rFonts w:ascii="宋体"/>
                <w:vanish/>
              </w:rPr>
            </w:pPr>
          </w:p>
        </w:tc>
        <w:tc>
          <w:tcPr>
            <w:tcW w:w="0" w:type="auto"/>
            <w:gridSpan w:val="3"/>
            <w:shd w:val="clear" w:color="auto" w:fill="auto"/>
            <w:vAlign w:val="bottom"/>
          </w:tcPr>
          <w:p w14:paraId="67535E0D" w14:textId="77777777" w:rsidR="001B77DD" w:rsidRDefault="001B77DD">
            <w:pPr>
              <w:rPr>
                <w:rFonts w:ascii="宋体"/>
                <w:vanish/>
              </w:rPr>
            </w:pPr>
          </w:p>
        </w:tc>
        <w:tc>
          <w:tcPr>
            <w:tcW w:w="0" w:type="auto"/>
            <w:gridSpan w:val="3"/>
            <w:shd w:val="clear" w:color="auto" w:fill="auto"/>
            <w:vAlign w:val="bottom"/>
          </w:tcPr>
          <w:p w14:paraId="67535E0E" w14:textId="77777777" w:rsidR="001B77DD" w:rsidRDefault="001B77DD">
            <w:pPr>
              <w:rPr>
                <w:rFonts w:ascii="宋体"/>
                <w:vanish/>
              </w:rPr>
            </w:pPr>
          </w:p>
        </w:tc>
        <w:tc>
          <w:tcPr>
            <w:tcW w:w="0" w:type="auto"/>
            <w:gridSpan w:val="3"/>
            <w:shd w:val="clear" w:color="auto" w:fill="auto"/>
            <w:vAlign w:val="bottom"/>
          </w:tcPr>
          <w:p w14:paraId="67535E0F" w14:textId="77777777" w:rsidR="001B77DD" w:rsidRDefault="001B77DD">
            <w:pPr>
              <w:rPr>
                <w:rFonts w:ascii="宋体"/>
                <w:vanish/>
              </w:rPr>
            </w:pPr>
          </w:p>
        </w:tc>
        <w:tc>
          <w:tcPr>
            <w:tcW w:w="0" w:type="auto"/>
            <w:gridSpan w:val="3"/>
            <w:shd w:val="clear" w:color="auto" w:fill="auto"/>
            <w:vAlign w:val="bottom"/>
          </w:tcPr>
          <w:p w14:paraId="67535E10" w14:textId="77777777" w:rsidR="001B77DD" w:rsidRDefault="001B77DD">
            <w:pPr>
              <w:rPr>
                <w:rFonts w:ascii="宋体"/>
                <w:vanish/>
              </w:rPr>
            </w:pPr>
          </w:p>
        </w:tc>
        <w:tc>
          <w:tcPr>
            <w:tcW w:w="0" w:type="auto"/>
            <w:gridSpan w:val="3"/>
            <w:shd w:val="clear" w:color="auto" w:fill="auto"/>
            <w:vAlign w:val="bottom"/>
          </w:tcPr>
          <w:p w14:paraId="67535E11" w14:textId="77777777" w:rsidR="001B77DD" w:rsidRDefault="001B77DD">
            <w:pPr>
              <w:rPr>
                <w:rFonts w:ascii="宋体"/>
                <w:vanish/>
              </w:rPr>
            </w:pPr>
          </w:p>
        </w:tc>
      </w:tr>
      <w:tr w:rsidR="001B77DD" w14:paraId="67535E1D" w14:textId="77777777">
        <w:tc>
          <w:tcPr>
            <w:tcW w:w="0" w:type="auto"/>
            <w:gridSpan w:val="3"/>
            <w:shd w:val="clear" w:color="auto" w:fill="auto"/>
            <w:tcMar>
              <w:top w:w="40" w:type="dxa"/>
              <w:left w:w="155" w:type="dxa"/>
              <w:bottom w:w="40" w:type="dxa"/>
              <w:right w:w="20" w:type="dxa"/>
            </w:tcMar>
            <w:vAlign w:val="bottom"/>
          </w:tcPr>
          <w:p w14:paraId="67535E13" w14:textId="77777777" w:rsidR="001B77DD" w:rsidRDefault="00BF0A28">
            <w:pPr>
              <w:textAlignment w:val="bottom"/>
            </w:pPr>
            <w:r>
              <w:rPr>
                <w:rFonts w:ascii="Arial" w:eastAsia="宋体" w:hAnsi="Arial" w:cs="Arial"/>
                <w:color w:val="262626"/>
                <w:sz w:val="18"/>
                <w:szCs w:val="18"/>
              </w:rPr>
              <w:t>Other investing</w:t>
            </w:r>
          </w:p>
        </w:tc>
        <w:tc>
          <w:tcPr>
            <w:tcW w:w="0" w:type="auto"/>
            <w:gridSpan w:val="3"/>
            <w:shd w:val="clear" w:color="auto" w:fill="auto"/>
            <w:tcMar>
              <w:top w:w="0" w:type="dxa"/>
              <w:left w:w="20" w:type="dxa"/>
              <w:bottom w:w="0" w:type="dxa"/>
              <w:right w:w="20" w:type="dxa"/>
            </w:tcMar>
            <w:vAlign w:val="bottom"/>
          </w:tcPr>
          <w:p w14:paraId="67535E1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15" w14:textId="77777777" w:rsidR="001B77DD" w:rsidRDefault="00BF0A28">
            <w:pPr>
              <w:jc w:val="right"/>
              <w:textAlignment w:val="bottom"/>
            </w:pPr>
            <w:r>
              <w:rPr>
                <w:rFonts w:ascii="Arial" w:eastAsia="宋体" w:hAnsi="Arial" w:cs="Arial"/>
                <w:color w:val="0068B5"/>
                <w:sz w:val="18"/>
                <w:szCs w:val="18"/>
              </w:rPr>
              <w:t>658 </w:t>
            </w:r>
          </w:p>
        </w:tc>
        <w:tc>
          <w:tcPr>
            <w:tcW w:w="0" w:type="auto"/>
            <w:shd w:val="clear" w:color="auto" w:fill="auto"/>
            <w:tcMar>
              <w:top w:w="40" w:type="dxa"/>
              <w:left w:w="0" w:type="dxa"/>
              <w:bottom w:w="40" w:type="dxa"/>
              <w:right w:w="20" w:type="dxa"/>
            </w:tcMar>
            <w:vAlign w:val="bottom"/>
          </w:tcPr>
          <w:p w14:paraId="67535E1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1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18" w14:textId="77777777" w:rsidR="001B77DD" w:rsidRDefault="00BF0A28">
            <w:pPr>
              <w:jc w:val="right"/>
              <w:textAlignment w:val="bottom"/>
            </w:pPr>
            <w:r>
              <w:rPr>
                <w:rFonts w:ascii="Arial" w:eastAsia="宋体" w:hAnsi="Arial" w:cs="Arial"/>
                <w:color w:val="262626"/>
                <w:sz w:val="18"/>
                <w:szCs w:val="18"/>
              </w:rPr>
              <w:t>1,385 </w:t>
            </w:r>
          </w:p>
        </w:tc>
        <w:tc>
          <w:tcPr>
            <w:tcW w:w="0" w:type="auto"/>
            <w:shd w:val="clear" w:color="auto" w:fill="auto"/>
            <w:tcMar>
              <w:top w:w="40" w:type="dxa"/>
              <w:left w:w="0" w:type="dxa"/>
              <w:bottom w:w="40" w:type="dxa"/>
              <w:right w:w="20" w:type="dxa"/>
            </w:tcMar>
            <w:vAlign w:val="bottom"/>
          </w:tcPr>
          <w:p w14:paraId="67535E1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1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1B" w14:textId="77777777" w:rsidR="001B77DD" w:rsidRDefault="00BF0A28">
            <w:pPr>
              <w:jc w:val="right"/>
              <w:textAlignment w:val="bottom"/>
            </w:pPr>
            <w:r>
              <w:rPr>
                <w:rFonts w:ascii="Arial" w:eastAsia="宋体" w:hAnsi="Arial" w:cs="Arial"/>
                <w:color w:val="262626"/>
                <w:sz w:val="18"/>
                <w:szCs w:val="18"/>
              </w:rPr>
              <w:t>1,626 </w:t>
            </w:r>
          </w:p>
        </w:tc>
        <w:tc>
          <w:tcPr>
            <w:tcW w:w="0" w:type="auto"/>
            <w:shd w:val="clear" w:color="auto" w:fill="auto"/>
            <w:tcMar>
              <w:top w:w="40" w:type="dxa"/>
              <w:left w:w="0" w:type="dxa"/>
              <w:bottom w:w="40" w:type="dxa"/>
              <w:right w:w="20" w:type="dxa"/>
            </w:tcMar>
            <w:vAlign w:val="bottom"/>
          </w:tcPr>
          <w:p w14:paraId="67535E1C" w14:textId="77777777" w:rsidR="001B77DD" w:rsidRDefault="001B77DD">
            <w:pPr>
              <w:jc w:val="right"/>
              <w:rPr>
                <w:rFonts w:ascii="宋体"/>
              </w:rPr>
            </w:pPr>
          </w:p>
        </w:tc>
      </w:tr>
      <w:tr w:rsidR="001B77DD" w14:paraId="67535E28" w14:textId="77777777">
        <w:tc>
          <w:tcPr>
            <w:tcW w:w="0" w:type="auto"/>
            <w:gridSpan w:val="3"/>
            <w:shd w:val="clear" w:color="auto" w:fill="auto"/>
            <w:tcMar>
              <w:top w:w="40" w:type="dxa"/>
              <w:left w:w="20" w:type="dxa"/>
              <w:bottom w:w="40" w:type="dxa"/>
              <w:right w:w="20" w:type="dxa"/>
            </w:tcMar>
            <w:vAlign w:val="bottom"/>
          </w:tcPr>
          <w:p w14:paraId="67535E1E" w14:textId="77777777" w:rsidR="001B77DD" w:rsidRDefault="00BF0A28">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67535E1F"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20" w14:textId="77777777" w:rsidR="001B77DD" w:rsidRDefault="00BF0A28">
            <w:pPr>
              <w:jc w:val="right"/>
              <w:textAlignment w:val="bottom"/>
            </w:pPr>
            <w:r>
              <w:rPr>
                <w:rFonts w:ascii="Arial" w:eastAsia="宋体" w:hAnsi="Arial" w:cs="Arial"/>
                <w:b/>
                <w:bCs/>
                <w:color w:val="0068B5"/>
                <w:sz w:val="18"/>
                <w:szCs w:val="18"/>
              </w:rPr>
              <w:t>(25,167)</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2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22"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23" w14:textId="77777777" w:rsidR="001B77DD" w:rsidRDefault="00BF0A28">
            <w:pPr>
              <w:jc w:val="right"/>
              <w:textAlignment w:val="bottom"/>
            </w:pPr>
            <w:r>
              <w:rPr>
                <w:rFonts w:ascii="Arial" w:eastAsia="宋体" w:hAnsi="Arial" w:cs="Arial"/>
                <w:b/>
                <w:bCs/>
                <w:color w:val="262626"/>
                <w:sz w:val="18"/>
                <w:szCs w:val="18"/>
              </w:rPr>
              <w:t>(20,796)</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2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25"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26" w14:textId="77777777" w:rsidR="001B77DD" w:rsidRDefault="00BF0A28">
            <w:pPr>
              <w:jc w:val="right"/>
              <w:textAlignment w:val="bottom"/>
            </w:pPr>
            <w:r>
              <w:rPr>
                <w:rFonts w:ascii="Arial" w:eastAsia="宋体" w:hAnsi="Arial" w:cs="Arial"/>
                <w:b/>
                <w:bCs/>
                <w:color w:val="262626"/>
                <w:sz w:val="18"/>
                <w:szCs w:val="18"/>
              </w:rPr>
              <w:t>(14,405)</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27" w14:textId="77777777" w:rsidR="001B77DD" w:rsidRDefault="001B77DD">
            <w:pPr>
              <w:jc w:val="right"/>
              <w:rPr>
                <w:rFonts w:ascii="宋体"/>
              </w:rPr>
            </w:pPr>
          </w:p>
        </w:tc>
      </w:tr>
      <w:tr w:rsidR="001B77DD" w14:paraId="67535E30" w14:textId="77777777">
        <w:tc>
          <w:tcPr>
            <w:tcW w:w="0" w:type="auto"/>
            <w:gridSpan w:val="3"/>
            <w:shd w:val="clear" w:color="auto" w:fill="auto"/>
            <w:tcMar>
              <w:top w:w="40" w:type="dxa"/>
              <w:left w:w="20" w:type="dxa"/>
              <w:bottom w:w="40" w:type="dxa"/>
              <w:right w:w="20" w:type="dxa"/>
            </w:tcMar>
            <w:vAlign w:val="bottom"/>
          </w:tcPr>
          <w:p w14:paraId="67535E29" w14:textId="77777777" w:rsidR="001B77DD" w:rsidRDefault="00BF0A28">
            <w:pPr>
              <w:textAlignment w:val="bottom"/>
            </w:pPr>
            <w:r>
              <w:rPr>
                <w:rFonts w:ascii="Arial" w:eastAsia="宋体" w:hAnsi="Arial" w:cs="Arial"/>
                <w:color w:val="262626"/>
                <w:sz w:val="18"/>
                <w:szCs w:val="18"/>
              </w:rPr>
              <w:t>C</w:t>
            </w:r>
            <w:r>
              <w:rPr>
                <w:rFonts w:ascii="Arial" w:eastAsia="宋体" w:hAnsi="Arial" w:cs="Arial"/>
                <w:color w:val="262626"/>
                <w:sz w:val="18"/>
                <w:szCs w:val="18"/>
              </w:rPr>
              <w:t>ash flows provided by (used for) financing activities:</w:t>
            </w:r>
          </w:p>
        </w:tc>
        <w:tc>
          <w:tcPr>
            <w:tcW w:w="0" w:type="auto"/>
            <w:gridSpan w:val="3"/>
            <w:shd w:val="clear" w:color="auto" w:fill="auto"/>
            <w:tcMar>
              <w:top w:w="0" w:type="dxa"/>
              <w:left w:w="20" w:type="dxa"/>
              <w:bottom w:w="0" w:type="dxa"/>
              <w:right w:w="20" w:type="dxa"/>
            </w:tcMar>
            <w:vAlign w:val="bottom"/>
          </w:tcPr>
          <w:p w14:paraId="67535E2A"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E2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E2C"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E2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E2E"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5E2F" w14:textId="77777777" w:rsidR="001B77DD" w:rsidRDefault="001B77DD">
            <w:pPr>
              <w:rPr>
                <w:rFonts w:ascii="宋体"/>
              </w:rPr>
            </w:pPr>
          </w:p>
        </w:tc>
      </w:tr>
      <w:tr w:rsidR="001B77DD" w14:paraId="67535E38" w14:textId="77777777">
        <w:trPr>
          <w:hidden/>
        </w:trPr>
        <w:tc>
          <w:tcPr>
            <w:tcW w:w="0" w:type="auto"/>
            <w:gridSpan w:val="3"/>
            <w:shd w:val="clear" w:color="auto" w:fill="auto"/>
            <w:vAlign w:val="bottom"/>
          </w:tcPr>
          <w:p w14:paraId="67535E31" w14:textId="77777777" w:rsidR="001B77DD" w:rsidRDefault="001B77DD">
            <w:pPr>
              <w:rPr>
                <w:rFonts w:ascii="宋体"/>
                <w:vanish/>
              </w:rPr>
            </w:pPr>
          </w:p>
        </w:tc>
        <w:tc>
          <w:tcPr>
            <w:tcW w:w="0" w:type="auto"/>
            <w:gridSpan w:val="3"/>
            <w:shd w:val="clear" w:color="auto" w:fill="auto"/>
            <w:vAlign w:val="bottom"/>
          </w:tcPr>
          <w:p w14:paraId="67535E32" w14:textId="77777777" w:rsidR="001B77DD" w:rsidRDefault="001B77DD">
            <w:pPr>
              <w:rPr>
                <w:rFonts w:ascii="宋体"/>
                <w:vanish/>
              </w:rPr>
            </w:pPr>
          </w:p>
        </w:tc>
        <w:tc>
          <w:tcPr>
            <w:tcW w:w="0" w:type="auto"/>
            <w:gridSpan w:val="3"/>
            <w:shd w:val="clear" w:color="auto" w:fill="auto"/>
            <w:vAlign w:val="bottom"/>
          </w:tcPr>
          <w:p w14:paraId="67535E33" w14:textId="77777777" w:rsidR="001B77DD" w:rsidRDefault="001B77DD">
            <w:pPr>
              <w:rPr>
                <w:rFonts w:ascii="宋体"/>
                <w:vanish/>
              </w:rPr>
            </w:pPr>
          </w:p>
        </w:tc>
        <w:tc>
          <w:tcPr>
            <w:tcW w:w="0" w:type="auto"/>
            <w:gridSpan w:val="3"/>
            <w:shd w:val="clear" w:color="auto" w:fill="auto"/>
            <w:vAlign w:val="bottom"/>
          </w:tcPr>
          <w:p w14:paraId="67535E34" w14:textId="77777777" w:rsidR="001B77DD" w:rsidRDefault="001B77DD">
            <w:pPr>
              <w:rPr>
                <w:rFonts w:ascii="宋体"/>
                <w:vanish/>
              </w:rPr>
            </w:pPr>
          </w:p>
        </w:tc>
        <w:tc>
          <w:tcPr>
            <w:tcW w:w="0" w:type="auto"/>
            <w:gridSpan w:val="3"/>
            <w:shd w:val="clear" w:color="auto" w:fill="auto"/>
            <w:vAlign w:val="bottom"/>
          </w:tcPr>
          <w:p w14:paraId="67535E35" w14:textId="77777777" w:rsidR="001B77DD" w:rsidRDefault="001B77DD">
            <w:pPr>
              <w:rPr>
                <w:rFonts w:ascii="宋体"/>
                <w:vanish/>
              </w:rPr>
            </w:pPr>
          </w:p>
        </w:tc>
        <w:tc>
          <w:tcPr>
            <w:tcW w:w="0" w:type="auto"/>
            <w:gridSpan w:val="3"/>
            <w:shd w:val="clear" w:color="auto" w:fill="auto"/>
            <w:vAlign w:val="bottom"/>
          </w:tcPr>
          <w:p w14:paraId="67535E36" w14:textId="77777777" w:rsidR="001B77DD" w:rsidRDefault="001B77DD">
            <w:pPr>
              <w:rPr>
                <w:rFonts w:ascii="宋体"/>
                <w:vanish/>
              </w:rPr>
            </w:pPr>
          </w:p>
        </w:tc>
        <w:tc>
          <w:tcPr>
            <w:tcW w:w="0" w:type="auto"/>
            <w:gridSpan w:val="3"/>
            <w:shd w:val="clear" w:color="auto" w:fill="auto"/>
            <w:vAlign w:val="bottom"/>
          </w:tcPr>
          <w:p w14:paraId="67535E37" w14:textId="77777777" w:rsidR="001B77DD" w:rsidRDefault="001B77DD">
            <w:pPr>
              <w:rPr>
                <w:rFonts w:ascii="宋体"/>
                <w:vanish/>
              </w:rPr>
            </w:pPr>
          </w:p>
        </w:tc>
      </w:tr>
      <w:tr w:rsidR="001B77DD" w14:paraId="67535E40" w14:textId="77777777">
        <w:trPr>
          <w:hidden/>
        </w:trPr>
        <w:tc>
          <w:tcPr>
            <w:tcW w:w="0" w:type="auto"/>
            <w:gridSpan w:val="3"/>
            <w:shd w:val="clear" w:color="auto" w:fill="auto"/>
            <w:vAlign w:val="bottom"/>
          </w:tcPr>
          <w:p w14:paraId="67535E39" w14:textId="77777777" w:rsidR="001B77DD" w:rsidRDefault="001B77DD">
            <w:pPr>
              <w:rPr>
                <w:rFonts w:ascii="宋体"/>
                <w:vanish/>
              </w:rPr>
            </w:pPr>
          </w:p>
        </w:tc>
        <w:tc>
          <w:tcPr>
            <w:tcW w:w="0" w:type="auto"/>
            <w:gridSpan w:val="3"/>
            <w:shd w:val="clear" w:color="auto" w:fill="auto"/>
            <w:vAlign w:val="bottom"/>
          </w:tcPr>
          <w:p w14:paraId="67535E3A" w14:textId="77777777" w:rsidR="001B77DD" w:rsidRDefault="001B77DD">
            <w:pPr>
              <w:rPr>
                <w:rFonts w:ascii="宋体"/>
                <w:vanish/>
              </w:rPr>
            </w:pPr>
          </w:p>
        </w:tc>
        <w:tc>
          <w:tcPr>
            <w:tcW w:w="0" w:type="auto"/>
            <w:gridSpan w:val="3"/>
            <w:shd w:val="clear" w:color="auto" w:fill="auto"/>
            <w:vAlign w:val="bottom"/>
          </w:tcPr>
          <w:p w14:paraId="67535E3B" w14:textId="77777777" w:rsidR="001B77DD" w:rsidRDefault="001B77DD">
            <w:pPr>
              <w:rPr>
                <w:rFonts w:ascii="宋体"/>
                <w:vanish/>
              </w:rPr>
            </w:pPr>
          </w:p>
        </w:tc>
        <w:tc>
          <w:tcPr>
            <w:tcW w:w="0" w:type="auto"/>
            <w:gridSpan w:val="3"/>
            <w:shd w:val="clear" w:color="auto" w:fill="auto"/>
            <w:vAlign w:val="bottom"/>
          </w:tcPr>
          <w:p w14:paraId="67535E3C" w14:textId="77777777" w:rsidR="001B77DD" w:rsidRDefault="001B77DD">
            <w:pPr>
              <w:rPr>
                <w:rFonts w:ascii="宋体"/>
                <w:vanish/>
              </w:rPr>
            </w:pPr>
          </w:p>
        </w:tc>
        <w:tc>
          <w:tcPr>
            <w:tcW w:w="0" w:type="auto"/>
            <w:gridSpan w:val="3"/>
            <w:shd w:val="clear" w:color="auto" w:fill="auto"/>
            <w:vAlign w:val="bottom"/>
          </w:tcPr>
          <w:p w14:paraId="67535E3D" w14:textId="77777777" w:rsidR="001B77DD" w:rsidRDefault="001B77DD">
            <w:pPr>
              <w:rPr>
                <w:rFonts w:ascii="宋体"/>
                <w:vanish/>
              </w:rPr>
            </w:pPr>
          </w:p>
        </w:tc>
        <w:tc>
          <w:tcPr>
            <w:tcW w:w="0" w:type="auto"/>
            <w:gridSpan w:val="3"/>
            <w:shd w:val="clear" w:color="auto" w:fill="auto"/>
            <w:vAlign w:val="bottom"/>
          </w:tcPr>
          <w:p w14:paraId="67535E3E" w14:textId="77777777" w:rsidR="001B77DD" w:rsidRDefault="001B77DD">
            <w:pPr>
              <w:rPr>
                <w:rFonts w:ascii="宋体"/>
                <w:vanish/>
              </w:rPr>
            </w:pPr>
          </w:p>
        </w:tc>
        <w:tc>
          <w:tcPr>
            <w:tcW w:w="0" w:type="auto"/>
            <w:gridSpan w:val="3"/>
            <w:shd w:val="clear" w:color="auto" w:fill="auto"/>
            <w:vAlign w:val="bottom"/>
          </w:tcPr>
          <w:p w14:paraId="67535E3F" w14:textId="77777777" w:rsidR="001B77DD" w:rsidRDefault="001B77DD">
            <w:pPr>
              <w:rPr>
                <w:rFonts w:ascii="宋体"/>
                <w:vanish/>
              </w:rPr>
            </w:pPr>
          </w:p>
        </w:tc>
      </w:tr>
      <w:tr w:rsidR="001B77DD" w14:paraId="67535E48" w14:textId="77777777">
        <w:trPr>
          <w:hidden/>
        </w:trPr>
        <w:tc>
          <w:tcPr>
            <w:tcW w:w="0" w:type="auto"/>
            <w:gridSpan w:val="3"/>
            <w:shd w:val="clear" w:color="auto" w:fill="auto"/>
            <w:vAlign w:val="bottom"/>
          </w:tcPr>
          <w:p w14:paraId="67535E41" w14:textId="77777777" w:rsidR="001B77DD" w:rsidRDefault="001B77DD">
            <w:pPr>
              <w:rPr>
                <w:rFonts w:ascii="宋体"/>
                <w:vanish/>
              </w:rPr>
            </w:pPr>
          </w:p>
        </w:tc>
        <w:tc>
          <w:tcPr>
            <w:tcW w:w="0" w:type="auto"/>
            <w:gridSpan w:val="3"/>
            <w:shd w:val="clear" w:color="auto" w:fill="auto"/>
            <w:vAlign w:val="bottom"/>
          </w:tcPr>
          <w:p w14:paraId="67535E42" w14:textId="77777777" w:rsidR="001B77DD" w:rsidRDefault="001B77DD">
            <w:pPr>
              <w:rPr>
                <w:rFonts w:ascii="宋体"/>
                <w:vanish/>
              </w:rPr>
            </w:pPr>
          </w:p>
        </w:tc>
        <w:tc>
          <w:tcPr>
            <w:tcW w:w="0" w:type="auto"/>
            <w:gridSpan w:val="3"/>
            <w:shd w:val="clear" w:color="auto" w:fill="auto"/>
            <w:vAlign w:val="bottom"/>
          </w:tcPr>
          <w:p w14:paraId="67535E43" w14:textId="77777777" w:rsidR="001B77DD" w:rsidRDefault="001B77DD">
            <w:pPr>
              <w:rPr>
                <w:rFonts w:ascii="宋体"/>
                <w:vanish/>
              </w:rPr>
            </w:pPr>
          </w:p>
        </w:tc>
        <w:tc>
          <w:tcPr>
            <w:tcW w:w="0" w:type="auto"/>
            <w:gridSpan w:val="3"/>
            <w:shd w:val="clear" w:color="auto" w:fill="auto"/>
            <w:vAlign w:val="bottom"/>
          </w:tcPr>
          <w:p w14:paraId="67535E44" w14:textId="77777777" w:rsidR="001B77DD" w:rsidRDefault="001B77DD">
            <w:pPr>
              <w:rPr>
                <w:rFonts w:ascii="宋体"/>
                <w:vanish/>
              </w:rPr>
            </w:pPr>
          </w:p>
        </w:tc>
        <w:tc>
          <w:tcPr>
            <w:tcW w:w="0" w:type="auto"/>
            <w:gridSpan w:val="3"/>
            <w:shd w:val="clear" w:color="auto" w:fill="auto"/>
            <w:vAlign w:val="bottom"/>
          </w:tcPr>
          <w:p w14:paraId="67535E45" w14:textId="77777777" w:rsidR="001B77DD" w:rsidRDefault="001B77DD">
            <w:pPr>
              <w:rPr>
                <w:rFonts w:ascii="宋体"/>
                <w:vanish/>
              </w:rPr>
            </w:pPr>
          </w:p>
        </w:tc>
        <w:tc>
          <w:tcPr>
            <w:tcW w:w="0" w:type="auto"/>
            <w:gridSpan w:val="3"/>
            <w:shd w:val="clear" w:color="auto" w:fill="auto"/>
            <w:vAlign w:val="bottom"/>
          </w:tcPr>
          <w:p w14:paraId="67535E46" w14:textId="77777777" w:rsidR="001B77DD" w:rsidRDefault="001B77DD">
            <w:pPr>
              <w:rPr>
                <w:rFonts w:ascii="宋体"/>
                <w:vanish/>
              </w:rPr>
            </w:pPr>
          </w:p>
        </w:tc>
        <w:tc>
          <w:tcPr>
            <w:tcW w:w="0" w:type="auto"/>
            <w:gridSpan w:val="3"/>
            <w:shd w:val="clear" w:color="auto" w:fill="auto"/>
            <w:vAlign w:val="bottom"/>
          </w:tcPr>
          <w:p w14:paraId="67535E47" w14:textId="77777777" w:rsidR="001B77DD" w:rsidRDefault="001B77DD">
            <w:pPr>
              <w:rPr>
                <w:rFonts w:ascii="宋体"/>
                <w:vanish/>
              </w:rPr>
            </w:pPr>
          </w:p>
        </w:tc>
      </w:tr>
      <w:tr w:rsidR="001B77DD" w14:paraId="67535E53" w14:textId="77777777">
        <w:tc>
          <w:tcPr>
            <w:tcW w:w="0" w:type="auto"/>
            <w:gridSpan w:val="3"/>
            <w:shd w:val="clear" w:color="auto" w:fill="auto"/>
            <w:tcMar>
              <w:top w:w="40" w:type="dxa"/>
              <w:left w:w="140" w:type="dxa"/>
              <w:bottom w:w="40" w:type="dxa"/>
              <w:right w:w="20" w:type="dxa"/>
            </w:tcMar>
            <w:vAlign w:val="bottom"/>
          </w:tcPr>
          <w:p w14:paraId="67535E49" w14:textId="77777777" w:rsidR="001B77DD" w:rsidRDefault="00BF0A28">
            <w:pPr>
              <w:textAlignment w:val="bottom"/>
            </w:pPr>
            <w:r>
              <w:rPr>
                <w:rFonts w:ascii="Arial" w:eastAsia="宋体" w:hAnsi="Arial" w:cs="Arial"/>
                <w:color w:val="262626"/>
                <w:sz w:val="18"/>
                <w:szCs w:val="18"/>
              </w:rPr>
              <w:t>Issuance of term debt, net of issuance costs</w:t>
            </w:r>
          </w:p>
        </w:tc>
        <w:tc>
          <w:tcPr>
            <w:tcW w:w="0" w:type="auto"/>
            <w:gridSpan w:val="3"/>
            <w:shd w:val="clear" w:color="auto" w:fill="auto"/>
            <w:tcMar>
              <w:top w:w="0" w:type="dxa"/>
              <w:left w:w="20" w:type="dxa"/>
              <w:bottom w:w="0" w:type="dxa"/>
              <w:right w:w="20" w:type="dxa"/>
            </w:tcMar>
            <w:vAlign w:val="bottom"/>
          </w:tcPr>
          <w:p w14:paraId="67535E4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4B" w14:textId="77777777" w:rsidR="001B77DD" w:rsidRDefault="00BF0A28">
            <w:pPr>
              <w:jc w:val="right"/>
              <w:textAlignment w:val="bottom"/>
            </w:pPr>
            <w:r>
              <w:rPr>
                <w:rFonts w:ascii="Arial" w:eastAsia="宋体" w:hAnsi="Arial" w:cs="Arial"/>
                <w:color w:val="0068B5"/>
                <w:sz w:val="18"/>
                <w:szCs w:val="18"/>
              </w:rPr>
              <w:t>4,974 </w:t>
            </w:r>
          </w:p>
        </w:tc>
        <w:tc>
          <w:tcPr>
            <w:tcW w:w="0" w:type="auto"/>
            <w:shd w:val="clear" w:color="auto" w:fill="auto"/>
            <w:tcMar>
              <w:top w:w="40" w:type="dxa"/>
              <w:left w:w="0" w:type="dxa"/>
              <w:bottom w:w="40" w:type="dxa"/>
              <w:right w:w="20" w:type="dxa"/>
            </w:tcMar>
            <w:vAlign w:val="bottom"/>
          </w:tcPr>
          <w:p w14:paraId="67535E4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4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4E" w14:textId="77777777" w:rsidR="001B77DD" w:rsidRDefault="00BF0A28">
            <w:pPr>
              <w:jc w:val="right"/>
              <w:textAlignment w:val="bottom"/>
            </w:pPr>
            <w:r>
              <w:rPr>
                <w:rFonts w:ascii="Arial" w:eastAsia="宋体" w:hAnsi="Arial" w:cs="Arial"/>
                <w:color w:val="262626"/>
                <w:sz w:val="18"/>
                <w:szCs w:val="18"/>
              </w:rPr>
              <w:t>10,247 </w:t>
            </w:r>
          </w:p>
        </w:tc>
        <w:tc>
          <w:tcPr>
            <w:tcW w:w="0" w:type="auto"/>
            <w:shd w:val="clear" w:color="auto" w:fill="auto"/>
            <w:tcMar>
              <w:top w:w="40" w:type="dxa"/>
              <w:left w:w="0" w:type="dxa"/>
              <w:bottom w:w="40" w:type="dxa"/>
              <w:right w:w="20" w:type="dxa"/>
            </w:tcMar>
            <w:vAlign w:val="bottom"/>
          </w:tcPr>
          <w:p w14:paraId="67535E4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5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51" w14:textId="77777777" w:rsidR="001B77DD" w:rsidRDefault="00BF0A28">
            <w:pPr>
              <w:jc w:val="right"/>
              <w:textAlignment w:val="bottom"/>
            </w:pPr>
            <w:r>
              <w:rPr>
                <w:rFonts w:ascii="Arial" w:eastAsia="宋体" w:hAnsi="Arial" w:cs="Arial"/>
                <w:color w:val="262626"/>
                <w:sz w:val="18"/>
                <w:szCs w:val="18"/>
              </w:rPr>
              <w:t>3,392 </w:t>
            </w:r>
          </w:p>
        </w:tc>
        <w:tc>
          <w:tcPr>
            <w:tcW w:w="0" w:type="auto"/>
            <w:shd w:val="clear" w:color="auto" w:fill="auto"/>
            <w:tcMar>
              <w:top w:w="40" w:type="dxa"/>
              <w:left w:w="0" w:type="dxa"/>
              <w:bottom w:w="40" w:type="dxa"/>
              <w:right w:w="20" w:type="dxa"/>
            </w:tcMar>
            <w:vAlign w:val="bottom"/>
          </w:tcPr>
          <w:p w14:paraId="67535E52" w14:textId="77777777" w:rsidR="001B77DD" w:rsidRDefault="001B77DD">
            <w:pPr>
              <w:jc w:val="right"/>
              <w:rPr>
                <w:rFonts w:ascii="宋体"/>
              </w:rPr>
            </w:pPr>
          </w:p>
        </w:tc>
      </w:tr>
      <w:tr w:rsidR="001B77DD" w14:paraId="67535E5E" w14:textId="77777777">
        <w:tc>
          <w:tcPr>
            <w:tcW w:w="0" w:type="auto"/>
            <w:gridSpan w:val="3"/>
            <w:shd w:val="clear" w:color="auto" w:fill="auto"/>
            <w:tcMar>
              <w:top w:w="40" w:type="dxa"/>
              <w:left w:w="140" w:type="dxa"/>
              <w:bottom w:w="40" w:type="dxa"/>
              <w:right w:w="20" w:type="dxa"/>
            </w:tcMar>
            <w:vAlign w:val="bottom"/>
          </w:tcPr>
          <w:p w14:paraId="67535E54" w14:textId="77777777" w:rsidR="001B77DD" w:rsidRDefault="00BF0A28">
            <w:pPr>
              <w:textAlignment w:val="bottom"/>
            </w:pPr>
            <w:r>
              <w:rPr>
                <w:rFonts w:ascii="Arial" w:eastAsia="宋体" w:hAnsi="Arial" w:cs="Arial"/>
                <w:color w:val="262626"/>
                <w:sz w:val="18"/>
                <w:szCs w:val="18"/>
              </w:rPr>
              <w:t>Repayment of term debt and debt conversions</w:t>
            </w:r>
          </w:p>
        </w:tc>
        <w:tc>
          <w:tcPr>
            <w:tcW w:w="0" w:type="auto"/>
            <w:gridSpan w:val="3"/>
            <w:shd w:val="clear" w:color="auto" w:fill="auto"/>
            <w:tcMar>
              <w:top w:w="0" w:type="dxa"/>
              <w:left w:w="20" w:type="dxa"/>
              <w:bottom w:w="0" w:type="dxa"/>
              <w:right w:w="20" w:type="dxa"/>
            </w:tcMar>
            <w:vAlign w:val="bottom"/>
          </w:tcPr>
          <w:p w14:paraId="67535E5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56" w14:textId="77777777" w:rsidR="001B77DD" w:rsidRDefault="00BF0A28">
            <w:pPr>
              <w:jc w:val="right"/>
              <w:textAlignment w:val="bottom"/>
            </w:pPr>
            <w:r>
              <w:rPr>
                <w:rFonts w:ascii="Arial" w:eastAsia="宋体" w:hAnsi="Arial" w:cs="Arial"/>
                <w:color w:val="0068B5"/>
                <w:sz w:val="18"/>
                <w:szCs w:val="18"/>
              </w:rPr>
              <w:t>(2,500)</w:t>
            </w:r>
          </w:p>
        </w:tc>
        <w:tc>
          <w:tcPr>
            <w:tcW w:w="0" w:type="auto"/>
            <w:shd w:val="clear" w:color="auto" w:fill="auto"/>
            <w:tcMar>
              <w:top w:w="40" w:type="dxa"/>
              <w:left w:w="0" w:type="dxa"/>
              <w:bottom w:w="40" w:type="dxa"/>
              <w:right w:w="20" w:type="dxa"/>
            </w:tcMar>
            <w:vAlign w:val="bottom"/>
          </w:tcPr>
          <w:p w14:paraId="67535E5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5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59" w14:textId="77777777" w:rsidR="001B77DD" w:rsidRDefault="00BF0A28">
            <w:pPr>
              <w:jc w:val="right"/>
              <w:textAlignment w:val="bottom"/>
            </w:pPr>
            <w:r>
              <w:rPr>
                <w:rFonts w:ascii="Arial" w:eastAsia="宋体" w:hAnsi="Arial" w:cs="Arial"/>
                <w:color w:val="262626"/>
                <w:sz w:val="18"/>
                <w:szCs w:val="18"/>
              </w:rPr>
              <w:t>(4,525)</w:t>
            </w:r>
          </w:p>
        </w:tc>
        <w:tc>
          <w:tcPr>
            <w:tcW w:w="0" w:type="auto"/>
            <w:shd w:val="clear" w:color="auto" w:fill="auto"/>
            <w:tcMar>
              <w:top w:w="40" w:type="dxa"/>
              <w:left w:w="0" w:type="dxa"/>
              <w:bottom w:w="40" w:type="dxa"/>
              <w:right w:w="20" w:type="dxa"/>
            </w:tcMar>
            <w:vAlign w:val="bottom"/>
          </w:tcPr>
          <w:p w14:paraId="67535E5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5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5C" w14:textId="77777777" w:rsidR="001B77DD" w:rsidRDefault="00BF0A28">
            <w:pPr>
              <w:jc w:val="right"/>
              <w:textAlignment w:val="bottom"/>
            </w:pPr>
            <w:r>
              <w:rPr>
                <w:rFonts w:ascii="Arial" w:eastAsia="宋体" w:hAnsi="Arial" w:cs="Arial"/>
                <w:color w:val="262626"/>
                <w:sz w:val="18"/>
                <w:szCs w:val="18"/>
              </w:rPr>
              <w:t>(2,627)</w:t>
            </w:r>
          </w:p>
        </w:tc>
        <w:tc>
          <w:tcPr>
            <w:tcW w:w="0" w:type="auto"/>
            <w:shd w:val="clear" w:color="auto" w:fill="auto"/>
            <w:tcMar>
              <w:top w:w="40" w:type="dxa"/>
              <w:left w:w="0" w:type="dxa"/>
              <w:bottom w:w="40" w:type="dxa"/>
              <w:right w:w="20" w:type="dxa"/>
            </w:tcMar>
            <w:vAlign w:val="bottom"/>
          </w:tcPr>
          <w:p w14:paraId="67535E5D" w14:textId="77777777" w:rsidR="001B77DD" w:rsidRDefault="001B77DD">
            <w:pPr>
              <w:jc w:val="right"/>
              <w:rPr>
                <w:rFonts w:ascii="宋体"/>
              </w:rPr>
            </w:pPr>
          </w:p>
        </w:tc>
      </w:tr>
      <w:tr w:rsidR="001B77DD" w14:paraId="67535E69" w14:textId="77777777">
        <w:tc>
          <w:tcPr>
            <w:tcW w:w="0" w:type="auto"/>
            <w:gridSpan w:val="3"/>
            <w:shd w:val="clear" w:color="auto" w:fill="auto"/>
            <w:tcMar>
              <w:top w:w="40" w:type="dxa"/>
              <w:left w:w="140" w:type="dxa"/>
              <w:bottom w:w="40" w:type="dxa"/>
              <w:right w:w="20" w:type="dxa"/>
            </w:tcMar>
            <w:vAlign w:val="bottom"/>
          </w:tcPr>
          <w:p w14:paraId="67535E5F" w14:textId="77777777" w:rsidR="001B77DD" w:rsidRDefault="00BF0A28">
            <w:pPr>
              <w:textAlignment w:val="bottom"/>
            </w:pPr>
            <w:r>
              <w:rPr>
                <w:rFonts w:ascii="Arial" w:eastAsia="宋体" w:hAnsi="Arial" w:cs="Arial"/>
                <w:color w:val="262626"/>
                <w:sz w:val="18"/>
                <w:szCs w:val="18"/>
              </w:rPr>
              <w:t xml:space="preserve">Proceeds from </w:t>
            </w:r>
            <w:r>
              <w:rPr>
                <w:rFonts w:ascii="Arial" w:eastAsia="宋体" w:hAnsi="Arial" w:cs="Arial"/>
                <w:color w:val="262626"/>
                <w:sz w:val="18"/>
                <w:szCs w:val="18"/>
              </w:rPr>
              <w:t>sales of common stock through employee equity incentive plans</w:t>
            </w:r>
          </w:p>
        </w:tc>
        <w:tc>
          <w:tcPr>
            <w:tcW w:w="0" w:type="auto"/>
            <w:gridSpan w:val="3"/>
            <w:shd w:val="clear" w:color="auto" w:fill="auto"/>
            <w:tcMar>
              <w:top w:w="0" w:type="dxa"/>
              <w:left w:w="20" w:type="dxa"/>
              <w:bottom w:w="0" w:type="dxa"/>
              <w:right w:w="20" w:type="dxa"/>
            </w:tcMar>
            <w:vAlign w:val="bottom"/>
          </w:tcPr>
          <w:p w14:paraId="67535E6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61" w14:textId="77777777" w:rsidR="001B77DD" w:rsidRDefault="00BF0A28">
            <w:pPr>
              <w:jc w:val="right"/>
              <w:textAlignment w:val="bottom"/>
            </w:pPr>
            <w:r>
              <w:rPr>
                <w:rFonts w:ascii="Arial" w:eastAsia="宋体" w:hAnsi="Arial" w:cs="Arial"/>
                <w:color w:val="0068B5"/>
                <w:sz w:val="18"/>
                <w:szCs w:val="18"/>
              </w:rPr>
              <w:t>1,020 </w:t>
            </w:r>
          </w:p>
        </w:tc>
        <w:tc>
          <w:tcPr>
            <w:tcW w:w="0" w:type="auto"/>
            <w:shd w:val="clear" w:color="auto" w:fill="auto"/>
            <w:tcMar>
              <w:top w:w="40" w:type="dxa"/>
              <w:left w:w="0" w:type="dxa"/>
              <w:bottom w:w="40" w:type="dxa"/>
              <w:right w:w="20" w:type="dxa"/>
            </w:tcMar>
            <w:vAlign w:val="bottom"/>
          </w:tcPr>
          <w:p w14:paraId="67535E6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6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64" w14:textId="77777777" w:rsidR="001B77DD" w:rsidRDefault="00BF0A28">
            <w:pPr>
              <w:jc w:val="right"/>
              <w:textAlignment w:val="bottom"/>
            </w:pPr>
            <w:r>
              <w:rPr>
                <w:rFonts w:ascii="Arial" w:eastAsia="宋体" w:hAnsi="Arial" w:cs="Arial"/>
                <w:color w:val="262626"/>
                <w:sz w:val="18"/>
                <w:szCs w:val="18"/>
              </w:rPr>
              <w:t>897 </w:t>
            </w:r>
          </w:p>
        </w:tc>
        <w:tc>
          <w:tcPr>
            <w:tcW w:w="0" w:type="auto"/>
            <w:shd w:val="clear" w:color="auto" w:fill="auto"/>
            <w:tcMar>
              <w:top w:w="40" w:type="dxa"/>
              <w:left w:w="0" w:type="dxa"/>
              <w:bottom w:w="40" w:type="dxa"/>
              <w:right w:w="20" w:type="dxa"/>
            </w:tcMar>
            <w:vAlign w:val="bottom"/>
          </w:tcPr>
          <w:p w14:paraId="67535E6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6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67" w14:textId="77777777" w:rsidR="001B77DD" w:rsidRDefault="00BF0A28">
            <w:pPr>
              <w:jc w:val="right"/>
              <w:textAlignment w:val="bottom"/>
            </w:pPr>
            <w:r>
              <w:rPr>
                <w:rFonts w:ascii="Arial" w:eastAsia="宋体" w:hAnsi="Arial" w:cs="Arial"/>
                <w:color w:val="262626"/>
                <w:sz w:val="18"/>
                <w:szCs w:val="18"/>
              </w:rPr>
              <w:t>750 </w:t>
            </w:r>
          </w:p>
        </w:tc>
        <w:tc>
          <w:tcPr>
            <w:tcW w:w="0" w:type="auto"/>
            <w:shd w:val="clear" w:color="auto" w:fill="auto"/>
            <w:tcMar>
              <w:top w:w="40" w:type="dxa"/>
              <w:left w:w="0" w:type="dxa"/>
              <w:bottom w:w="40" w:type="dxa"/>
              <w:right w:w="20" w:type="dxa"/>
            </w:tcMar>
            <w:vAlign w:val="bottom"/>
          </w:tcPr>
          <w:p w14:paraId="67535E68" w14:textId="77777777" w:rsidR="001B77DD" w:rsidRDefault="001B77DD">
            <w:pPr>
              <w:jc w:val="right"/>
              <w:rPr>
                <w:rFonts w:ascii="宋体"/>
              </w:rPr>
            </w:pPr>
          </w:p>
        </w:tc>
      </w:tr>
      <w:tr w:rsidR="001B77DD" w14:paraId="67535E74" w14:textId="77777777">
        <w:tc>
          <w:tcPr>
            <w:tcW w:w="0" w:type="auto"/>
            <w:gridSpan w:val="3"/>
            <w:shd w:val="clear" w:color="auto" w:fill="auto"/>
            <w:tcMar>
              <w:top w:w="40" w:type="dxa"/>
              <w:left w:w="155" w:type="dxa"/>
              <w:bottom w:w="40" w:type="dxa"/>
              <w:right w:w="20" w:type="dxa"/>
            </w:tcMar>
            <w:vAlign w:val="bottom"/>
          </w:tcPr>
          <w:p w14:paraId="67535E6A" w14:textId="77777777" w:rsidR="001B77DD" w:rsidRDefault="00BF0A2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7535E6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6C" w14:textId="77777777" w:rsidR="001B77DD" w:rsidRDefault="00BF0A28">
            <w:pPr>
              <w:jc w:val="right"/>
              <w:textAlignment w:val="bottom"/>
            </w:pPr>
            <w:r>
              <w:rPr>
                <w:rFonts w:ascii="Arial" w:eastAsia="宋体" w:hAnsi="Arial" w:cs="Arial"/>
                <w:color w:val="0068B5"/>
                <w:sz w:val="18"/>
                <w:szCs w:val="18"/>
              </w:rPr>
              <w:t>(2,415)</w:t>
            </w:r>
          </w:p>
        </w:tc>
        <w:tc>
          <w:tcPr>
            <w:tcW w:w="0" w:type="auto"/>
            <w:shd w:val="clear" w:color="auto" w:fill="auto"/>
            <w:tcMar>
              <w:top w:w="40" w:type="dxa"/>
              <w:left w:w="0" w:type="dxa"/>
              <w:bottom w:w="40" w:type="dxa"/>
              <w:right w:w="20" w:type="dxa"/>
            </w:tcMar>
            <w:vAlign w:val="bottom"/>
          </w:tcPr>
          <w:p w14:paraId="67535E6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6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6F" w14:textId="77777777" w:rsidR="001B77DD" w:rsidRDefault="00BF0A28">
            <w:pPr>
              <w:jc w:val="right"/>
              <w:textAlignment w:val="bottom"/>
            </w:pPr>
            <w:r>
              <w:rPr>
                <w:rFonts w:ascii="Arial" w:eastAsia="宋体" w:hAnsi="Arial" w:cs="Arial"/>
                <w:color w:val="262626"/>
                <w:sz w:val="18"/>
                <w:szCs w:val="18"/>
              </w:rPr>
              <w:t>(14,229)</w:t>
            </w:r>
          </w:p>
        </w:tc>
        <w:tc>
          <w:tcPr>
            <w:tcW w:w="0" w:type="auto"/>
            <w:shd w:val="clear" w:color="auto" w:fill="auto"/>
            <w:tcMar>
              <w:top w:w="40" w:type="dxa"/>
              <w:left w:w="0" w:type="dxa"/>
              <w:bottom w:w="40" w:type="dxa"/>
              <w:right w:w="20" w:type="dxa"/>
            </w:tcMar>
            <w:vAlign w:val="bottom"/>
          </w:tcPr>
          <w:p w14:paraId="67535E7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7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72" w14:textId="77777777" w:rsidR="001B77DD" w:rsidRDefault="00BF0A28">
            <w:pPr>
              <w:jc w:val="right"/>
              <w:textAlignment w:val="bottom"/>
            </w:pPr>
            <w:r>
              <w:rPr>
                <w:rFonts w:ascii="Arial" w:eastAsia="宋体" w:hAnsi="Arial" w:cs="Arial"/>
                <w:color w:val="262626"/>
                <w:sz w:val="18"/>
                <w:szCs w:val="18"/>
              </w:rPr>
              <w:t>(13,576)</w:t>
            </w:r>
          </w:p>
        </w:tc>
        <w:tc>
          <w:tcPr>
            <w:tcW w:w="0" w:type="auto"/>
            <w:shd w:val="clear" w:color="auto" w:fill="auto"/>
            <w:tcMar>
              <w:top w:w="40" w:type="dxa"/>
              <w:left w:w="0" w:type="dxa"/>
              <w:bottom w:w="40" w:type="dxa"/>
              <w:right w:w="20" w:type="dxa"/>
            </w:tcMar>
            <w:vAlign w:val="bottom"/>
          </w:tcPr>
          <w:p w14:paraId="67535E73" w14:textId="77777777" w:rsidR="001B77DD" w:rsidRDefault="001B77DD">
            <w:pPr>
              <w:jc w:val="right"/>
              <w:rPr>
                <w:rFonts w:ascii="宋体"/>
              </w:rPr>
            </w:pPr>
          </w:p>
        </w:tc>
      </w:tr>
      <w:tr w:rsidR="001B77DD" w14:paraId="67535E7C" w14:textId="77777777">
        <w:trPr>
          <w:hidden/>
        </w:trPr>
        <w:tc>
          <w:tcPr>
            <w:tcW w:w="0" w:type="auto"/>
            <w:gridSpan w:val="3"/>
            <w:shd w:val="clear" w:color="auto" w:fill="auto"/>
            <w:vAlign w:val="bottom"/>
          </w:tcPr>
          <w:p w14:paraId="67535E75" w14:textId="77777777" w:rsidR="001B77DD" w:rsidRDefault="001B77DD">
            <w:pPr>
              <w:rPr>
                <w:rFonts w:ascii="宋体"/>
                <w:vanish/>
              </w:rPr>
            </w:pPr>
          </w:p>
        </w:tc>
        <w:tc>
          <w:tcPr>
            <w:tcW w:w="0" w:type="auto"/>
            <w:gridSpan w:val="3"/>
            <w:shd w:val="clear" w:color="auto" w:fill="auto"/>
            <w:vAlign w:val="bottom"/>
          </w:tcPr>
          <w:p w14:paraId="67535E76" w14:textId="77777777" w:rsidR="001B77DD" w:rsidRDefault="001B77DD">
            <w:pPr>
              <w:rPr>
                <w:rFonts w:ascii="宋体"/>
                <w:vanish/>
              </w:rPr>
            </w:pPr>
          </w:p>
        </w:tc>
        <w:tc>
          <w:tcPr>
            <w:tcW w:w="0" w:type="auto"/>
            <w:gridSpan w:val="3"/>
            <w:shd w:val="clear" w:color="auto" w:fill="auto"/>
            <w:vAlign w:val="bottom"/>
          </w:tcPr>
          <w:p w14:paraId="67535E77" w14:textId="77777777" w:rsidR="001B77DD" w:rsidRDefault="001B77DD">
            <w:pPr>
              <w:rPr>
                <w:rFonts w:ascii="宋体"/>
                <w:vanish/>
              </w:rPr>
            </w:pPr>
          </w:p>
        </w:tc>
        <w:tc>
          <w:tcPr>
            <w:tcW w:w="0" w:type="auto"/>
            <w:gridSpan w:val="3"/>
            <w:shd w:val="clear" w:color="auto" w:fill="auto"/>
            <w:vAlign w:val="bottom"/>
          </w:tcPr>
          <w:p w14:paraId="67535E78" w14:textId="77777777" w:rsidR="001B77DD" w:rsidRDefault="001B77DD">
            <w:pPr>
              <w:rPr>
                <w:rFonts w:ascii="宋体"/>
                <w:vanish/>
              </w:rPr>
            </w:pPr>
          </w:p>
        </w:tc>
        <w:tc>
          <w:tcPr>
            <w:tcW w:w="0" w:type="auto"/>
            <w:gridSpan w:val="3"/>
            <w:shd w:val="clear" w:color="auto" w:fill="auto"/>
            <w:vAlign w:val="bottom"/>
          </w:tcPr>
          <w:p w14:paraId="67535E79" w14:textId="77777777" w:rsidR="001B77DD" w:rsidRDefault="001B77DD">
            <w:pPr>
              <w:rPr>
                <w:rFonts w:ascii="宋体"/>
                <w:vanish/>
              </w:rPr>
            </w:pPr>
          </w:p>
        </w:tc>
        <w:tc>
          <w:tcPr>
            <w:tcW w:w="0" w:type="auto"/>
            <w:gridSpan w:val="3"/>
            <w:shd w:val="clear" w:color="auto" w:fill="auto"/>
            <w:vAlign w:val="bottom"/>
          </w:tcPr>
          <w:p w14:paraId="67535E7A" w14:textId="77777777" w:rsidR="001B77DD" w:rsidRDefault="001B77DD">
            <w:pPr>
              <w:rPr>
                <w:rFonts w:ascii="宋体"/>
                <w:vanish/>
              </w:rPr>
            </w:pPr>
          </w:p>
        </w:tc>
        <w:tc>
          <w:tcPr>
            <w:tcW w:w="0" w:type="auto"/>
            <w:gridSpan w:val="3"/>
            <w:shd w:val="clear" w:color="auto" w:fill="auto"/>
            <w:vAlign w:val="bottom"/>
          </w:tcPr>
          <w:p w14:paraId="67535E7B" w14:textId="77777777" w:rsidR="001B77DD" w:rsidRDefault="001B77DD">
            <w:pPr>
              <w:rPr>
                <w:rFonts w:ascii="宋体"/>
                <w:vanish/>
              </w:rPr>
            </w:pPr>
          </w:p>
        </w:tc>
      </w:tr>
      <w:tr w:rsidR="001B77DD" w14:paraId="67535E84" w14:textId="77777777">
        <w:trPr>
          <w:hidden/>
        </w:trPr>
        <w:tc>
          <w:tcPr>
            <w:tcW w:w="0" w:type="auto"/>
            <w:gridSpan w:val="3"/>
            <w:shd w:val="clear" w:color="auto" w:fill="auto"/>
            <w:vAlign w:val="bottom"/>
          </w:tcPr>
          <w:p w14:paraId="67535E7D" w14:textId="77777777" w:rsidR="001B77DD" w:rsidRDefault="001B77DD">
            <w:pPr>
              <w:rPr>
                <w:rFonts w:ascii="宋体"/>
                <w:vanish/>
              </w:rPr>
            </w:pPr>
          </w:p>
        </w:tc>
        <w:tc>
          <w:tcPr>
            <w:tcW w:w="0" w:type="auto"/>
            <w:gridSpan w:val="3"/>
            <w:shd w:val="clear" w:color="auto" w:fill="auto"/>
            <w:vAlign w:val="bottom"/>
          </w:tcPr>
          <w:p w14:paraId="67535E7E" w14:textId="77777777" w:rsidR="001B77DD" w:rsidRDefault="001B77DD">
            <w:pPr>
              <w:rPr>
                <w:rFonts w:ascii="宋体"/>
                <w:vanish/>
              </w:rPr>
            </w:pPr>
          </w:p>
        </w:tc>
        <w:tc>
          <w:tcPr>
            <w:tcW w:w="0" w:type="auto"/>
            <w:gridSpan w:val="3"/>
            <w:shd w:val="clear" w:color="auto" w:fill="auto"/>
            <w:vAlign w:val="bottom"/>
          </w:tcPr>
          <w:p w14:paraId="67535E7F" w14:textId="77777777" w:rsidR="001B77DD" w:rsidRDefault="001B77DD">
            <w:pPr>
              <w:rPr>
                <w:rFonts w:ascii="宋体"/>
                <w:vanish/>
              </w:rPr>
            </w:pPr>
          </w:p>
        </w:tc>
        <w:tc>
          <w:tcPr>
            <w:tcW w:w="0" w:type="auto"/>
            <w:gridSpan w:val="3"/>
            <w:shd w:val="clear" w:color="auto" w:fill="auto"/>
            <w:vAlign w:val="bottom"/>
          </w:tcPr>
          <w:p w14:paraId="67535E80" w14:textId="77777777" w:rsidR="001B77DD" w:rsidRDefault="001B77DD">
            <w:pPr>
              <w:rPr>
                <w:rFonts w:ascii="宋体"/>
                <w:vanish/>
              </w:rPr>
            </w:pPr>
          </w:p>
        </w:tc>
        <w:tc>
          <w:tcPr>
            <w:tcW w:w="0" w:type="auto"/>
            <w:gridSpan w:val="3"/>
            <w:shd w:val="clear" w:color="auto" w:fill="auto"/>
            <w:vAlign w:val="bottom"/>
          </w:tcPr>
          <w:p w14:paraId="67535E81" w14:textId="77777777" w:rsidR="001B77DD" w:rsidRDefault="001B77DD">
            <w:pPr>
              <w:rPr>
                <w:rFonts w:ascii="宋体"/>
                <w:vanish/>
              </w:rPr>
            </w:pPr>
          </w:p>
        </w:tc>
        <w:tc>
          <w:tcPr>
            <w:tcW w:w="0" w:type="auto"/>
            <w:gridSpan w:val="3"/>
            <w:shd w:val="clear" w:color="auto" w:fill="auto"/>
            <w:vAlign w:val="bottom"/>
          </w:tcPr>
          <w:p w14:paraId="67535E82" w14:textId="77777777" w:rsidR="001B77DD" w:rsidRDefault="001B77DD">
            <w:pPr>
              <w:rPr>
                <w:rFonts w:ascii="宋体"/>
                <w:vanish/>
              </w:rPr>
            </w:pPr>
          </w:p>
        </w:tc>
        <w:tc>
          <w:tcPr>
            <w:tcW w:w="0" w:type="auto"/>
            <w:gridSpan w:val="3"/>
            <w:shd w:val="clear" w:color="auto" w:fill="auto"/>
            <w:vAlign w:val="bottom"/>
          </w:tcPr>
          <w:p w14:paraId="67535E83" w14:textId="77777777" w:rsidR="001B77DD" w:rsidRDefault="001B77DD">
            <w:pPr>
              <w:rPr>
                <w:rFonts w:ascii="宋体"/>
                <w:vanish/>
              </w:rPr>
            </w:pPr>
          </w:p>
        </w:tc>
      </w:tr>
      <w:tr w:rsidR="001B77DD" w14:paraId="67535E8F" w14:textId="77777777">
        <w:tc>
          <w:tcPr>
            <w:tcW w:w="0" w:type="auto"/>
            <w:gridSpan w:val="3"/>
            <w:shd w:val="clear" w:color="auto" w:fill="auto"/>
            <w:tcMar>
              <w:top w:w="40" w:type="dxa"/>
              <w:left w:w="155" w:type="dxa"/>
              <w:bottom w:w="40" w:type="dxa"/>
              <w:right w:w="20" w:type="dxa"/>
            </w:tcMar>
            <w:vAlign w:val="bottom"/>
          </w:tcPr>
          <w:p w14:paraId="67535E85" w14:textId="77777777" w:rsidR="001B77DD" w:rsidRDefault="00BF0A28">
            <w:pPr>
              <w:textAlignment w:val="bottom"/>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vAlign w:val="bottom"/>
          </w:tcPr>
          <w:p w14:paraId="67535E8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87" w14:textId="77777777" w:rsidR="001B77DD" w:rsidRDefault="00BF0A28">
            <w:pPr>
              <w:jc w:val="right"/>
              <w:textAlignment w:val="bottom"/>
            </w:pPr>
            <w:r>
              <w:rPr>
                <w:rFonts w:ascii="Arial" w:eastAsia="宋体" w:hAnsi="Arial" w:cs="Arial"/>
                <w:color w:val="0068B5"/>
                <w:sz w:val="18"/>
                <w:szCs w:val="18"/>
              </w:rPr>
              <w:t>(5,644)</w:t>
            </w:r>
          </w:p>
        </w:tc>
        <w:tc>
          <w:tcPr>
            <w:tcW w:w="0" w:type="auto"/>
            <w:shd w:val="clear" w:color="auto" w:fill="auto"/>
            <w:tcMar>
              <w:top w:w="40" w:type="dxa"/>
              <w:left w:w="0" w:type="dxa"/>
              <w:bottom w:w="40" w:type="dxa"/>
              <w:right w:w="20" w:type="dxa"/>
            </w:tcMar>
            <w:vAlign w:val="bottom"/>
          </w:tcPr>
          <w:p w14:paraId="67535E8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8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8A" w14:textId="77777777" w:rsidR="001B77DD" w:rsidRDefault="00BF0A28">
            <w:pPr>
              <w:jc w:val="right"/>
              <w:textAlignment w:val="bottom"/>
            </w:pPr>
            <w:r>
              <w:rPr>
                <w:rFonts w:ascii="Arial" w:eastAsia="宋体" w:hAnsi="Arial" w:cs="Arial"/>
                <w:color w:val="262626"/>
                <w:sz w:val="18"/>
                <w:szCs w:val="18"/>
              </w:rPr>
              <w:t>(5,568)</w:t>
            </w:r>
          </w:p>
        </w:tc>
        <w:tc>
          <w:tcPr>
            <w:tcW w:w="0" w:type="auto"/>
            <w:shd w:val="clear" w:color="auto" w:fill="auto"/>
            <w:tcMar>
              <w:top w:w="40" w:type="dxa"/>
              <w:left w:w="0" w:type="dxa"/>
              <w:bottom w:w="40" w:type="dxa"/>
              <w:right w:w="20" w:type="dxa"/>
            </w:tcMar>
            <w:vAlign w:val="bottom"/>
          </w:tcPr>
          <w:p w14:paraId="67535E8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8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8D" w14:textId="77777777" w:rsidR="001B77DD" w:rsidRDefault="00BF0A28">
            <w:pPr>
              <w:jc w:val="right"/>
              <w:textAlignment w:val="bottom"/>
            </w:pPr>
            <w:r>
              <w:rPr>
                <w:rFonts w:ascii="Arial" w:eastAsia="宋体" w:hAnsi="Arial" w:cs="Arial"/>
                <w:color w:val="262626"/>
                <w:sz w:val="18"/>
                <w:szCs w:val="18"/>
              </w:rPr>
              <w:t>(5,576)</w:t>
            </w:r>
          </w:p>
        </w:tc>
        <w:tc>
          <w:tcPr>
            <w:tcW w:w="0" w:type="auto"/>
            <w:shd w:val="clear" w:color="auto" w:fill="auto"/>
            <w:tcMar>
              <w:top w:w="40" w:type="dxa"/>
              <w:left w:w="0" w:type="dxa"/>
              <w:bottom w:w="40" w:type="dxa"/>
              <w:right w:w="20" w:type="dxa"/>
            </w:tcMar>
            <w:vAlign w:val="bottom"/>
          </w:tcPr>
          <w:p w14:paraId="67535E8E" w14:textId="77777777" w:rsidR="001B77DD" w:rsidRDefault="001B77DD">
            <w:pPr>
              <w:jc w:val="right"/>
              <w:rPr>
                <w:rFonts w:ascii="宋体"/>
              </w:rPr>
            </w:pPr>
          </w:p>
        </w:tc>
      </w:tr>
      <w:tr w:rsidR="001B77DD" w14:paraId="67535E97" w14:textId="77777777">
        <w:trPr>
          <w:hidden/>
        </w:trPr>
        <w:tc>
          <w:tcPr>
            <w:tcW w:w="0" w:type="auto"/>
            <w:gridSpan w:val="3"/>
            <w:shd w:val="clear" w:color="auto" w:fill="auto"/>
            <w:vAlign w:val="bottom"/>
          </w:tcPr>
          <w:p w14:paraId="67535E90" w14:textId="77777777" w:rsidR="001B77DD" w:rsidRDefault="001B77DD">
            <w:pPr>
              <w:rPr>
                <w:rFonts w:ascii="宋体"/>
                <w:vanish/>
              </w:rPr>
            </w:pPr>
          </w:p>
        </w:tc>
        <w:tc>
          <w:tcPr>
            <w:tcW w:w="0" w:type="auto"/>
            <w:gridSpan w:val="3"/>
            <w:shd w:val="clear" w:color="auto" w:fill="auto"/>
            <w:vAlign w:val="bottom"/>
          </w:tcPr>
          <w:p w14:paraId="67535E91" w14:textId="77777777" w:rsidR="001B77DD" w:rsidRDefault="001B77DD">
            <w:pPr>
              <w:rPr>
                <w:rFonts w:ascii="宋体"/>
                <w:vanish/>
              </w:rPr>
            </w:pPr>
          </w:p>
        </w:tc>
        <w:tc>
          <w:tcPr>
            <w:tcW w:w="0" w:type="auto"/>
            <w:gridSpan w:val="3"/>
            <w:shd w:val="clear" w:color="auto" w:fill="auto"/>
            <w:vAlign w:val="bottom"/>
          </w:tcPr>
          <w:p w14:paraId="67535E92" w14:textId="77777777" w:rsidR="001B77DD" w:rsidRDefault="001B77DD">
            <w:pPr>
              <w:rPr>
                <w:rFonts w:ascii="宋体"/>
                <w:vanish/>
              </w:rPr>
            </w:pPr>
          </w:p>
        </w:tc>
        <w:tc>
          <w:tcPr>
            <w:tcW w:w="0" w:type="auto"/>
            <w:gridSpan w:val="3"/>
            <w:shd w:val="clear" w:color="auto" w:fill="auto"/>
            <w:vAlign w:val="bottom"/>
          </w:tcPr>
          <w:p w14:paraId="67535E93" w14:textId="77777777" w:rsidR="001B77DD" w:rsidRDefault="001B77DD">
            <w:pPr>
              <w:rPr>
                <w:rFonts w:ascii="宋体"/>
                <w:vanish/>
              </w:rPr>
            </w:pPr>
          </w:p>
        </w:tc>
        <w:tc>
          <w:tcPr>
            <w:tcW w:w="0" w:type="auto"/>
            <w:gridSpan w:val="3"/>
            <w:shd w:val="clear" w:color="auto" w:fill="auto"/>
            <w:vAlign w:val="bottom"/>
          </w:tcPr>
          <w:p w14:paraId="67535E94" w14:textId="77777777" w:rsidR="001B77DD" w:rsidRDefault="001B77DD">
            <w:pPr>
              <w:rPr>
                <w:rFonts w:ascii="宋体"/>
                <w:vanish/>
              </w:rPr>
            </w:pPr>
          </w:p>
        </w:tc>
        <w:tc>
          <w:tcPr>
            <w:tcW w:w="0" w:type="auto"/>
            <w:gridSpan w:val="3"/>
            <w:shd w:val="clear" w:color="auto" w:fill="auto"/>
            <w:vAlign w:val="bottom"/>
          </w:tcPr>
          <w:p w14:paraId="67535E95" w14:textId="77777777" w:rsidR="001B77DD" w:rsidRDefault="001B77DD">
            <w:pPr>
              <w:rPr>
                <w:rFonts w:ascii="宋体"/>
                <w:vanish/>
              </w:rPr>
            </w:pPr>
          </w:p>
        </w:tc>
        <w:tc>
          <w:tcPr>
            <w:tcW w:w="0" w:type="auto"/>
            <w:gridSpan w:val="3"/>
            <w:shd w:val="clear" w:color="auto" w:fill="auto"/>
            <w:vAlign w:val="bottom"/>
          </w:tcPr>
          <w:p w14:paraId="67535E96" w14:textId="77777777" w:rsidR="001B77DD" w:rsidRDefault="001B77DD">
            <w:pPr>
              <w:rPr>
                <w:rFonts w:ascii="宋体"/>
                <w:vanish/>
              </w:rPr>
            </w:pPr>
          </w:p>
        </w:tc>
      </w:tr>
      <w:tr w:rsidR="001B77DD" w14:paraId="67535E9F" w14:textId="77777777">
        <w:trPr>
          <w:hidden/>
        </w:trPr>
        <w:tc>
          <w:tcPr>
            <w:tcW w:w="0" w:type="auto"/>
            <w:gridSpan w:val="3"/>
            <w:shd w:val="clear" w:color="auto" w:fill="auto"/>
            <w:vAlign w:val="bottom"/>
          </w:tcPr>
          <w:p w14:paraId="67535E98" w14:textId="77777777" w:rsidR="001B77DD" w:rsidRDefault="001B77DD">
            <w:pPr>
              <w:rPr>
                <w:rFonts w:ascii="宋体"/>
                <w:vanish/>
              </w:rPr>
            </w:pPr>
          </w:p>
        </w:tc>
        <w:tc>
          <w:tcPr>
            <w:tcW w:w="0" w:type="auto"/>
            <w:gridSpan w:val="3"/>
            <w:shd w:val="clear" w:color="auto" w:fill="auto"/>
            <w:vAlign w:val="bottom"/>
          </w:tcPr>
          <w:p w14:paraId="67535E99" w14:textId="77777777" w:rsidR="001B77DD" w:rsidRDefault="001B77DD">
            <w:pPr>
              <w:rPr>
                <w:rFonts w:ascii="宋体"/>
                <w:vanish/>
              </w:rPr>
            </w:pPr>
          </w:p>
        </w:tc>
        <w:tc>
          <w:tcPr>
            <w:tcW w:w="0" w:type="auto"/>
            <w:gridSpan w:val="3"/>
            <w:shd w:val="clear" w:color="auto" w:fill="auto"/>
            <w:vAlign w:val="bottom"/>
          </w:tcPr>
          <w:p w14:paraId="67535E9A" w14:textId="77777777" w:rsidR="001B77DD" w:rsidRDefault="001B77DD">
            <w:pPr>
              <w:rPr>
                <w:rFonts w:ascii="宋体"/>
                <w:vanish/>
              </w:rPr>
            </w:pPr>
          </w:p>
        </w:tc>
        <w:tc>
          <w:tcPr>
            <w:tcW w:w="0" w:type="auto"/>
            <w:gridSpan w:val="3"/>
            <w:shd w:val="clear" w:color="auto" w:fill="auto"/>
            <w:vAlign w:val="bottom"/>
          </w:tcPr>
          <w:p w14:paraId="67535E9B" w14:textId="77777777" w:rsidR="001B77DD" w:rsidRDefault="001B77DD">
            <w:pPr>
              <w:rPr>
                <w:rFonts w:ascii="宋体"/>
                <w:vanish/>
              </w:rPr>
            </w:pPr>
          </w:p>
        </w:tc>
        <w:tc>
          <w:tcPr>
            <w:tcW w:w="0" w:type="auto"/>
            <w:gridSpan w:val="3"/>
            <w:shd w:val="clear" w:color="auto" w:fill="auto"/>
            <w:vAlign w:val="bottom"/>
          </w:tcPr>
          <w:p w14:paraId="67535E9C" w14:textId="77777777" w:rsidR="001B77DD" w:rsidRDefault="001B77DD">
            <w:pPr>
              <w:rPr>
                <w:rFonts w:ascii="宋体"/>
                <w:vanish/>
              </w:rPr>
            </w:pPr>
          </w:p>
        </w:tc>
        <w:tc>
          <w:tcPr>
            <w:tcW w:w="0" w:type="auto"/>
            <w:gridSpan w:val="3"/>
            <w:shd w:val="clear" w:color="auto" w:fill="auto"/>
            <w:vAlign w:val="bottom"/>
          </w:tcPr>
          <w:p w14:paraId="67535E9D" w14:textId="77777777" w:rsidR="001B77DD" w:rsidRDefault="001B77DD">
            <w:pPr>
              <w:rPr>
                <w:rFonts w:ascii="宋体"/>
                <w:vanish/>
              </w:rPr>
            </w:pPr>
          </w:p>
        </w:tc>
        <w:tc>
          <w:tcPr>
            <w:tcW w:w="0" w:type="auto"/>
            <w:gridSpan w:val="3"/>
            <w:shd w:val="clear" w:color="auto" w:fill="auto"/>
            <w:vAlign w:val="bottom"/>
          </w:tcPr>
          <w:p w14:paraId="67535E9E" w14:textId="77777777" w:rsidR="001B77DD" w:rsidRDefault="001B77DD">
            <w:pPr>
              <w:rPr>
                <w:rFonts w:ascii="宋体"/>
                <w:vanish/>
              </w:rPr>
            </w:pPr>
          </w:p>
        </w:tc>
      </w:tr>
      <w:tr w:rsidR="001B77DD" w14:paraId="67535EA7" w14:textId="77777777">
        <w:trPr>
          <w:hidden/>
        </w:trPr>
        <w:tc>
          <w:tcPr>
            <w:tcW w:w="0" w:type="auto"/>
            <w:gridSpan w:val="3"/>
            <w:shd w:val="clear" w:color="auto" w:fill="auto"/>
            <w:vAlign w:val="bottom"/>
          </w:tcPr>
          <w:p w14:paraId="67535EA0" w14:textId="77777777" w:rsidR="001B77DD" w:rsidRDefault="001B77DD">
            <w:pPr>
              <w:rPr>
                <w:rFonts w:ascii="宋体"/>
                <w:vanish/>
              </w:rPr>
            </w:pPr>
          </w:p>
        </w:tc>
        <w:tc>
          <w:tcPr>
            <w:tcW w:w="0" w:type="auto"/>
            <w:gridSpan w:val="3"/>
            <w:shd w:val="clear" w:color="auto" w:fill="auto"/>
            <w:vAlign w:val="bottom"/>
          </w:tcPr>
          <w:p w14:paraId="67535EA1" w14:textId="77777777" w:rsidR="001B77DD" w:rsidRDefault="001B77DD">
            <w:pPr>
              <w:rPr>
                <w:rFonts w:ascii="宋体"/>
                <w:vanish/>
              </w:rPr>
            </w:pPr>
          </w:p>
        </w:tc>
        <w:tc>
          <w:tcPr>
            <w:tcW w:w="0" w:type="auto"/>
            <w:gridSpan w:val="3"/>
            <w:shd w:val="clear" w:color="auto" w:fill="auto"/>
            <w:vAlign w:val="bottom"/>
          </w:tcPr>
          <w:p w14:paraId="67535EA2" w14:textId="77777777" w:rsidR="001B77DD" w:rsidRDefault="001B77DD">
            <w:pPr>
              <w:rPr>
                <w:rFonts w:ascii="宋体"/>
                <w:vanish/>
              </w:rPr>
            </w:pPr>
          </w:p>
        </w:tc>
        <w:tc>
          <w:tcPr>
            <w:tcW w:w="0" w:type="auto"/>
            <w:gridSpan w:val="3"/>
            <w:shd w:val="clear" w:color="auto" w:fill="auto"/>
            <w:vAlign w:val="bottom"/>
          </w:tcPr>
          <w:p w14:paraId="67535EA3" w14:textId="77777777" w:rsidR="001B77DD" w:rsidRDefault="001B77DD">
            <w:pPr>
              <w:rPr>
                <w:rFonts w:ascii="宋体"/>
                <w:vanish/>
              </w:rPr>
            </w:pPr>
          </w:p>
        </w:tc>
        <w:tc>
          <w:tcPr>
            <w:tcW w:w="0" w:type="auto"/>
            <w:gridSpan w:val="3"/>
            <w:shd w:val="clear" w:color="auto" w:fill="auto"/>
            <w:vAlign w:val="bottom"/>
          </w:tcPr>
          <w:p w14:paraId="67535EA4" w14:textId="77777777" w:rsidR="001B77DD" w:rsidRDefault="001B77DD">
            <w:pPr>
              <w:rPr>
                <w:rFonts w:ascii="宋体"/>
                <w:vanish/>
              </w:rPr>
            </w:pPr>
          </w:p>
        </w:tc>
        <w:tc>
          <w:tcPr>
            <w:tcW w:w="0" w:type="auto"/>
            <w:gridSpan w:val="3"/>
            <w:shd w:val="clear" w:color="auto" w:fill="auto"/>
            <w:vAlign w:val="bottom"/>
          </w:tcPr>
          <w:p w14:paraId="67535EA5" w14:textId="77777777" w:rsidR="001B77DD" w:rsidRDefault="001B77DD">
            <w:pPr>
              <w:rPr>
                <w:rFonts w:ascii="宋体"/>
                <w:vanish/>
              </w:rPr>
            </w:pPr>
          </w:p>
        </w:tc>
        <w:tc>
          <w:tcPr>
            <w:tcW w:w="0" w:type="auto"/>
            <w:gridSpan w:val="3"/>
            <w:shd w:val="clear" w:color="auto" w:fill="auto"/>
            <w:vAlign w:val="bottom"/>
          </w:tcPr>
          <w:p w14:paraId="67535EA6" w14:textId="77777777" w:rsidR="001B77DD" w:rsidRDefault="001B77DD">
            <w:pPr>
              <w:rPr>
                <w:rFonts w:ascii="宋体"/>
                <w:vanish/>
              </w:rPr>
            </w:pPr>
          </w:p>
        </w:tc>
      </w:tr>
      <w:tr w:rsidR="001B77DD" w14:paraId="67535EAF" w14:textId="77777777">
        <w:trPr>
          <w:hidden/>
        </w:trPr>
        <w:tc>
          <w:tcPr>
            <w:tcW w:w="0" w:type="auto"/>
            <w:gridSpan w:val="3"/>
            <w:shd w:val="clear" w:color="auto" w:fill="auto"/>
            <w:vAlign w:val="bottom"/>
          </w:tcPr>
          <w:p w14:paraId="67535EA8" w14:textId="77777777" w:rsidR="001B77DD" w:rsidRDefault="001B77DD">
            <w:pPr>
              <w:rPr>
                <w:rFonts w:ascii="宋体"/>
                <w:vanish/>
              </w:rPr>
            </w:pPr>
          </w:p>
        </w:tc>
        <w:tc>
          <w:tcPr>
            <w:tcW w:w="0" w:type="auto"/>
            <w:gridSpan w:val="3"/>
            <w:shd w:val="clear" w:color="auto" w:fill="auto"/>
            <w:vAlign w:val="bottom"/>
          </w:tcPr>
          <w:p w14:paraId="67535EA9" w14:textId="77777777" w:rsidR="001B77DD" w:rsidRDefault="001B77DD">
            <w:pPr>
              <w:rPr>
                <w:rFonts w:ascii="宋体"/>
                <w:vanish/>
              </w:rPr>
            </w:pPr>
          </w:p>
        </w:tc>
        <w:tc>
          <w:tcPr>
            <w:tcW w:w="0" w:type="auto"/>
            <w:gridSpan w:val="3"/>
            <w:shd w:val="clear" w:color="auto" w:fill="auto"/>
            <w:vAlign w:val="bottom"/>
          </w:tcPr>
          <w:p w14:paraId="67535EAA" w14:textId="77777777" w:rsidR="001B77DD" w:rsidRDefault="001B77DD">
            <w:pPr>
              <w:rPr>
                <w:rFonts w:ascii="宋体"/>
                <w:vanish/>
              </w:rPr>
            </w:pPr>
          </w:p>
        </w:tc>
        <w:tc>
          <w:tcPr>
            <w:tcW w:w="0" w:type="auto"/>
            <w:gridSpan w:val="3"/>
            <w:shd w:val="clear" w:color="auto" w:fill="auto"/>
            <w:vAlign w:val="bottom"/>
          </w:tcPr>
          <w:p w14:paraId="67535EAB" w14:textId="77777777" w:rsidR="001B77DD" w:rsidRDefault="001B77DD">
            <w:pPr>
              <w:rPr>
                <w:rFonts w:ascii="宋体"/>
                <w:vanish/>
              </w:rPr>
            </w:pPr>
          </w:p>
        </w:tc>
        <w:tc>
          <w:tcPr>
            <w:tcW w:w="0" w:type="auto"/>
            <w:gridSpan w:val="3"/>
            <w:shd w:val="clear" w:color="auto" w:fill="auto"/>
            <w:vAlign w:val="bottom"/>
          </w:tcPr>
          <w:p w14:paraId="67535EAC" w14:textId="77777777" w:rsidR="001B77DD" w:rsidRDefault="001B77DD">
            <w:pPr>
              <w:rPr>
                <w:rFonts w:ascii="宋体"/>
                <w:vanish/>
              </w:rPr>
            </w:pPr>
          </w:p>
        </w:tc>
        <w:tc>
          <w:tcPr>
            <w:tcW w:w="0" w:type="auto"/>
            <w:gridSpan w:val="3"/>
            <w:shd w:val="clear" w:color="auto" w:fill="auto"/>
            <w:vAlign w:val="bottom"/>
          </w:tcPr>
          <w:p w14:paraId="67535EAD" w14:textId="77777777" w:rsidR="001B77DD" w:rsidRDefault="001B77DD">
            <w:pPr>
              <w:rPr>
                <w:rFonts w:ascii="宋体"/>
                <w:vanish/>
              </w:rPr>
            </w:pPr>
          </w:p>
        </w:tc>
        <w:tc>
          <w:tcPr>
            <w:tcW w:w="0" w:type="auto"/>
            <w:gridSpan w:val="3"/>
            <w:shd w:val="clear" w:color="auto" w:fill="auto"/>
            <w:vAlign w:val="bottom"/>
          </w:tcPr>
          <w:p w14:paraId="67535EAE" w14:textId="77777777" w:rsidR="001B77DD" w:rsidRDefault="001B77DD">
            <w:pPr>
              <w:rPr>
                <w:rFonts w:ascii="宋体"/>
                <w:vanish/>
              </w:rPr>
            </w:pPr>
          </w:p>
        </w:tc>
      </w:tr>
      <w:tr w:rsidR="001B77DD" w14:paraId="67535EBA" w14:textId="77777777">
        <w:tc>
          <w:tcPr>
            <w:tcW w:w="0" w:type="auto"/>
            <w:gridSpan w:val="3"/>
            <w:shd w:val="clear" w:color="auto" w:fill="auto"/>
            <w:tcMar>
              <w:top w:w="40" w:type="dxa"/>
              <w:left w:w="155" w:type="dxa"/>
              <w:bottom w:w="40" w:type="dxa"/>
              <w:right w:w="20" w:type="dxa"/>
            </w:tcMar>
            <w:vAlign w:val="bottom"/>
          </w:tcPr>
          <w:p w14:paraId="67535EB0" w14:textId="77777777" w:rsidR="001B77DD" w:rsidRDefault="00BF0A28">
            <w:pPr>
              <w:textAlignment w:val="bottom"/>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vAlign w:val="bottom"/>
          </w:tcPr>
          <w:p w14:paraId="67535EB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B2" w14:textId="77777777" w:rsidR="001B77DD" w:rsidRDefault="00BF0A28">
            <w:pPr>
              <w:jc w:val="right"/>
              <w:textAlignment w:val="bottom"/>
            </w:pPr>
            <w:r>
              <w:rPr>
                <w:rFonts w:ascii="Arial" w:eastAsia="宋体" w:hAnsi="Arial" w:cs="Arial"/>
                <w:color w:val="0068B5"/>
                <w:sz w:val="18"/>
                <w:szCs w:val="18"/>
              </w:rPr>
              <w:t>(1,297)</w:t>
            </w:r>
          </w:p>
        </w:tc>
        <w:tc>
          <w:tcPr>
            <w:tcW w:w="0" w:type="auto"/>
            <w:shd w:val="clear" w:color="auto" w:fill="auto"/>
            <w:tcMar>
              <w:top w:w="40" w:type="dxa"/>
              <w:left w:w="0" w:type="dxa"/>
              <w:bottom w:w="40" w:type="dxa"/>
              <w:right w:w="20" w:type="dxa"/>
            </w:tcMar>
            <w:vAlign w:val="bottom"/>
          </w:tcPr>
          <w:p w14:paraId="67535EB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B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B5" w14:textId="77777777" w:rsidR="001B77DD" w:rsidRDefault="00BF0A28">
            <w:pPr>
              <w:jc w:val="right"/>
              <w:textAlignment w:val="bottom"/>
            </w:pPr>
            <w:r>
              <w:rPr>
                <w:rFonts w:ascii="Arial" w:eastAsia="宋体" w:hAnsi="Arial" w:cs="Arial"/>
                <w:color w:val="262626"/>
                <w:sz w:val="18"/>
                <w:szCs w:val="18"/>
              </w:rPr>
              <w:t>261 </w:t>
            </w:r>
          </w:p>
        </w:tc>
        <w:tc>
          <w:tcPr>
            <w:tcW w:w="0" w:type="auto"/>
            <w:shd w:val="clear" w:color="auto" w:fill="auto"/>
            <w:tcMar>
              <w:top w:w="40" w:type="dxa"/>
              <w:left w:w="0" w:type="dxa"/>
              <w:bottom w:w="40" w:type="dxa"/>
              <w:right w:w="20" w:type="dxa"/>
            </w:tcMar>
            <w:vAlign w:val="bottom"/>
          </w:tcPr>
          <w:p w14:paraId="67535EB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B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B8" w14:textId="77777777" w:rsidR="001B77DD" w:rsidRDefault="00BF0A28">
            <w:pPr>
              <w:jc w:val="right"/>
              <w:textAlignment w:val="bottom"/>
            </w:pPr>
            <w:r>
              <w:rPr>
                <w:rFonts w:ascii="Arial" w:eastAsia="宋体" w:hAnsi="Arial" w:cs="Arial"/>
                <w:color w:val="262626"/>
                <w:sz w:val="18"/>
                <w:szCs w:val="18"/>
              </w:rPr>
              <w:t>72 </w:t>
            </w:r>
          </w:p>
        </w:tc>
        <w:tc>
          <w:tcPr>
            <w:tcW w:w="0" w:type="auto"/>
            <w:shd w:val="clear" w:color="auto" w:fill="auto"/>
            <w:tcMar>
              <w:top w:w="40" w:type="dxa"/>
              <w:left w:w="0" w:type="dxa"/>
              <w:bottom w:w="40" w:type="dxa"/>
              <w:right w:w="20" w:type="dxa"/>
            </w:tcMar>
            <w:vAlign w:val="bottom"/>
          </w:tcPr>
          <w:p w14:paraId="67535EB9" w14:textId="77777777" w:rsidR="001B77DD" w:rsidRDefault="001B77DD">
            <w:pPr>
              <w:jc w:val="right"/>
              <w:rPr>
                <w:rFonts w:ascii="宋体"/>
              </w:rPr>
            </w:pPr>
          </w:p>
        </w:tc>
      </w:tr>
      <w:tr w:rsidR="001B77DD" w14:paraId="67535EC5" w14:textId="77777777">
        <w:tc>
          <w:tcPr>
            <w:tcW w:w="0" w:type="auto"/>
            <w:gridSpan w:val="3"/>
            <w:shd w:val="clear" w:color="auto" w:fill="auto"/>
            <w:tcMar>
              <w:top w:w="40" w:type="dxa"/>
              <w:left w:w="20" w:type="dxa"/>
              <w:bottom w:w="40" w:type="dxa"/>
              <w:right w:w="20" w:type="dxa"/>
            </w:tcMar>
            <w:vAlign w:val="bottom"/>
          </w:tcPr>
          <w:p w14:paraId="67535EBB" w14:textId="77777777" w:rsidR="001B77DD" w:rsidRDefault="00BF0A28">
            <w:pPr>
              <w:textAlignment w:val="bottom"/>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67535EBC"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BD" w14:textId="77777777" w:rsidR="001B77DD" w:rsidRDefault="00BF0A28">
            <w:pPr>
              <w:jc w:val="right"/>
              <w:textAlignment w:val="bottom"/>
            </w:pPr>
            <w:r>
              <w:rPr>
                <w:rFonts w:ascii="Arial" w:eastAsia="宋体" w:hAnsi="Arial" w:cs="Arial"/>
                <w:b/>
                <w:bCs/>
                <w:color w:val="0068B5"/>
                <w:sz w:val="18"/>
                <w:szCs w:val="18"/>
              </w:rPr>
              <w:t>(5,862)</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B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BF"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C0" w14:textId="77777777" w:rsidR="001B77DD" w:rsidRDefault="00BF0A28">
            <w:pPr>
              <w:jc w:val="right"/>
              <w:textAlignment w:val="bottom"/>
            </w:pPr>
            <w:r>
              <w:rPr>
                <w:rFonts w:ascii="Arial" w:eastAsia="宋体" w:hAnsi="Arial" w:cs="Arial"/>
                <w:b/>
                <w:bCs/>
                <w:color w:val="262626"/>
                <w:sz w:val="18"/>
                <w:szCs w:val="18"/>
              </w:rPr>
              <w:t>(12,917)</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C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C2"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C3" w14:textId="77777777" w:rsidR="001B77DD" w:rsidRDefault="00BF0A28">
            <w:pPr>
              <w:jc w:val="right"/>
              <w:textAlignment w:val="bottom"/>
            </w:pPr>
            <w:r>
              <w:rPr>
                <w:rFonts w:ascii="Arial" w:eastAsia="宋体" w:hAnsi="Arial" w:cs="Arial"/>
                <w:b/>
                <w:bCs/>
                <w:color w:val="262626"/>
                <w:sz w:val="18"/>
                <w:szCs w:val="18"/>
              </w:rPr>
              <w:t>(17,565)</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C4" w14:textId="77777777" w:rsidR="001B77DD" w:rsidRDefault="001B77DD">
            <w:pPr>
              <w:jc w:val="right"/>
              <w:rPr>
                <w:rFonts w:ascii="宋体"/>
              </w:rPr>
            </w:pPr>
          </w:p>
        </w:tc>
      </w:tr>
      <w:tr w:rsidR="001B77DD" w14:paraId="67535ECD" w14:textId="77777777">
        <w:trPr>
          <w:hidden/>
        </w:trPr>
        <w:tc>
          <w:tcPr>
            <w:tcW w:w="0" w:type="auto"/>
            <w:gridSpan w:val="3"/>
            <w:shd w:val="clear" w:color="auto" w:fill="auto"/>
            <w:vAlign w:val="bottom"/>
          </w:tcPr>
          <w:p w14:paraId="67535EC6" w14:textId="77777777" w:rsidR="001B77DD" w:rsidRDefault="001B77DD">
            <w:pPr>
              <w:rPr>
                <w:rFonts w:ascii="宋体"/>
                <w:vanish/>
              </w:rPr>
            </w:pPr>
          </w:p>
        </w:tc>
        <w:tc>
          <w:tcPr>
            <w:tcW w:w="0" w:type="auto"/>
            <w:gridSpan w:val="3"/>
            <w:shd w:val="clear" w:color="auto" w:fill="auto"/>
            <w:vAlign w:val="bottom"/>
          </w:tcPr>
          <w:p w14:paraId="67535EC7" w14:textId="77777777" w:rsidR="001B77DD" w:rsidRDefault="001B77DD">
            <w:pPr>
              <w:rPr>
                <w:rFonts w:ascii="宋体"/>
                <w:vanish/>
              </w:rPr>
            </w:pPr>
          </w:p>
        </w:tc>
        <w:tc>
          <w:tcPr>
            <w:tcW w:w="0" w:type="auto"/>
            <w:gridSpan w:val="3"/>
            <w:shd w:val="clear" w:color="auto" w:fill="auto"/>
            <w:vAlign w:val="bottom"/>
          </w:tcPr>
          <w:p w14:paraId="67535EC8" w14:textId="77777777" w:rsidR="001B77DD" w:rsidRDefault="001B77DD">
            <w:pPr>
              <w:rPr>
                <w:rFonts w:ascii="宋体"/>
                <w:vanish/>
              </w:rPr>
            </w:pPr>
          </w:p>
        </w:tc>
        <w:tc>
          <w:tcPr>
            <w:tcW w:w="0" w:type="auto"/>
            <w:gridSpan w:val="3"/>
            <w:shd w:val="clear" w:color="auto" w:fill="auto"/>
            <w:vAlign w:val="bottom"/>
          </w:tcPr>
          <w:p w14:paraId="67535EC9" w14:textId="77777777" w:rsidR="001B77DD" w:rsidRDefault="001B77DD">
            <w:pPr>
              <w:rPr>
                <w:rFonts w:ascii="宋体"/>
                <w:vanish/>
              </w:rPr>
            </w:pPr>
          </w:p>
        </w:tc>
        <w:tc>
          <w:tcPr>
            <w:tcW w:w="0" w:type="auto"/>
            <w:gridSpan w:val="3"/>
            <w:shd w:val="clear" w:color="auto" w:fill="auto"/>
            <w:vAlign w:val="bottom"/>
          </w:tcPr>
          <w:p w14:paraId="67535ECA" w14:textId="77777777" w:rsidR="001B77DD" w:rsidRDefault="001B77DD">
            <w:pPr>
              <w:rPr>
                <w:rFonts w:ascii="宋体"/>
                <w:vanish/>
              </w:rPr>
            </w:pPr>
          </w:p>
        </w:tc>
        <w:tc>
          <w:tcPr>
            <w:tcW w:w="0" w:type="auto"/>
            <w:gridSpan w:val="3"/>
            <w:shd w:val="clear" w:color="auto" w:fill="auto"/>
            <w:vAlign w:val="bottom"/>
          </w:tcPr>
          <w:p w14:paraId="67535ECB" w14:textId="77777777" w:rsidR="001B77DD" w:rsidRDefault="001B77DD">
            <w:pPr>
              <w:rPr>
                <w:rFonts w:ascii="宋体"/>
                <w:vanish/>
              </w:rPr>
            </w:pPr>
          </w:p>
        </w:tc>
        <w:tc>
          <w:tcPr>
            <w:tcW w:w="0" w:type="auto"/>
            <w:gridSpan w:val="3"/>
            <w:shd w:val="clear" w:color="auto" w:fill="auto"/>
            <w:vAlign w:val="bottom"/>
          </w:tcPr>
          <w:p w14:paraId="67535ECC" w14:textId="77777777" w:rsidR="001B77DD" w:rsidRDefault="001B77DD">
            <w:pPr>
              <w:rPr>
                <w:rFonts w:ascii="宋体"/>
                <w:vanish/>
              </w:rPr>
            </w:pPr>
          </w:p>
        </w:tc>
      </w:tr>
      <w:tr w:rsidR="001B77DD" w14:paraId="67535ED8" w14:textId="77777777">
        <w:tc>
          <w:tcPr>
            <w:tcW w:w="0" w:type="auto"/>
            <w:gridSpan w:val="3"/>
            <w:shd w:val="clear" w:color="auto" w:fill="auto"/>
            <w:tcMar>
              <w:top w:w="40" w:type="dxa"/>
              <w:left w:w="20" w:type="dxa"/>
              <w:bottom w:w="40" w:type="dxa"/>
              <w:right w:w="20" w:type="dxa"/>
            </w:tcMar>
            <w:vAlign w:val="bottom"/>
          </w:tcPr>
          <w:p w14:paraId="67535ECE" w14:textId="77777777" w:rsidR="001B77DD" w:rsidRDefault="00BF0A28">
            <w:pPr>
              <w:textAlignment w:val="bottom"/>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67535ECF"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D0" w14:textId="77777777" w:rsidR="001B77DD" w:rsidRDefault="00BF0A28">
            <w:pPr>
              <w:jc w:val="right"/>
              <w:textAlignment w:val="bottom"/>
            </w:pPr>
            <w:r>
              <w:rPr>
                <w:rFonts w:ascii="Arial" w:eastAsia="宋体" w:hAnsi="Arial" w:cs="Arial"/>
                <w:b/>
                <w:bCs/>
                <w:color w:val="0068B5"/>
                <w:sz w:val="18"/>
                <w:szCs w:val="18"/>
              </w:rPr>
              <w:t>(1,038)</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D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D2"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D3" w14:textId="77777777" w:rsidR="001B77DD" w:rsidRDefault="00BF0A28">
            <w:pPr>
              <w:jc w:val="right"/>
              <w:textAlignment w:val="bottom"/>
            </w:pPr>
            <w:r>
              <w:rPr>
                <w:rFonts w:ascii="Arial" w:eastAsia="宋体" w:hAnsi="Arial" w:cs="Arial"/>
                <w:b/>
                <w:bCs/>
                <w:color w:val="262626"/>
                <w:sz w:val="18"/>
                <w:szCs w:val="18"/>
              </w:rPr>
              <w:t>1,671</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D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D5"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5ED6" w14:textId="77777777" w:rsidR="001B77DD" w:rsidRDefault="00BF0A28">
            <w:pPr>
              <w:jc w:val="right"/>
              <w:textAlignment w:val="bottom"/>
            </w:pPr>
            <w:r>
              <w:rPr>
                <w:rFonts w:ascii="Arial" w:eastAsia="宋体" w:hAnsi="Arial" w:cs="Arial"/>
                <w:b/>
                <w:bCs/>
                <w:color w:val="262626"/>
                <w:sz w:val="18"/>
                <w:szCs w:val="18"/>
              </w:rPr>
              <w:t>1,175</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5ED7" w14:textId="77777777" w:rsidR="001B77DD" w:rsidRDefault="001B77DD">
            <w:pPr>
              <w:jc w:val="right"/>
              <w:rPr>
                <w:rFonts w:ascii="宋体"/>
              </w:rPr>
            </w:pPr>
          </w:p>
        </w:tc>
      </w:tr>
      <w:tr w:rsidR="001B77DD" w14:paraId="67535EE6" w14:textId="77777777">
        <w:tc>
          <w:tcPr>
            <w:tcW w:w="0" w:type="auto"/>
            <w:gridSpan w:val="3"/>
            <w:shd w:val="clear" w:color="auto" w:fill="auto"/>
            <w:tcMar>
              <w:top w:w="40" w:type="dxa"/>
              <w:left w:w="20" w:type="dxa"/>
              <w:bottom w:w="40" w:type="dxa"/>
              <w:right w:w="20" w:type="dxa"/>
            </w:tcMar>
            <w:vAlign w:val="bottom"/>
          </w:tcPr>
          <w:p w14:paraId="67535ED9" w14:textId="77777777" w:rsidR="001B77DD" w:rsidRDefault="00BF0A28">
            <w:pPr>
              <w:textAlignment w:val="bottom"/>
            </w:pPr>
            <w:r>
              <w:rPr>
                <w:rFonts w:ascii="Arial" w:eastAsia="宋体" w:hAnsi="Arial" w:cs="Arial"/>
                <w:b/>
                <w:bCs/>
                <w:color w:val="262626"/>
                <w:sz w:val="18"/>
                <w:szCs w:val="18"/>
              </w:rPr>
              <w:t>Cash and cash equivalents, end of period</w:t>
            </w:r>
          </w:p>
        </w:tc>
        <w:tc>
          <w:tcPr>
            <w:tcW w:w="0" w:type="auto"/>
            <w:gridSpan w:val="3"/>
            <w:shd w:val="clear" w:color="auto" w:fill="auto"/>
            <w:tcMar>
              <w:top w:w="0" w:type="dxa"/>
              <w:left w:w="20" w:type="dxa"/>
              <w:bottom w:w="0" w:type="dxa"/>
              <w:right w:w="20" w:type="dxa"/>
            </w:tcMar>
            <w:vAlign w:val="bottom"/>
          </w:tcPr>
          <w:p w14:paraId="67535EDA"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ED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EDC" w14:textId="77777777" w:rsidR="001B77DD" w:rsidRDefault="00BF0A28">
            <w:pPr>
              <w:jc w:val="right"/>
              <w:textAlignment w:val="bottom"/>
            </w:pPr>
            <w:r>
              <w:rPr>
                <w:rFonts w:ascii="Arial" w:eastAsia="宋体" w:hAnsi="Arial" w:cs="Arial"/>
                <w:b/>
                <w:bCs/>
                <w:color w:val="0068B5"/>
                <w:sz w:val="18"/>
                <w:szCs w:val="18"/>
              </w:rPr>
              <w:t>4,827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ED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DE"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ED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EE0" w14:textId="77777777" w:rsidR="001B77DD" w:rsidRDefault="00BF0A28">
            <w:pPr>
              <w:jc w:val="right"/>
              <w:textAlignment w:val="bottom"/>
            </w:pPr>
            <w:r>
              <w:rPr>
                <w:rFonts w:ascii="Arial" w:eastAsia="宋体" w:hAnsi="Arial" w:cs="Arial"/>
                <w:b/>
                <w:bCs/>
                <w:color w:val="262626"/>
                <w:sz w:val="18"/>
                <w:szCs w:val="18"/>
              </w:rPr>
              <w:t>5,865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EE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E2"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5EE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5EE4" w14:textId="77777777" w:rsidR="001B77DD" w:rsidRDefault="00BF0A28">
            <w:pPr>
              <w:jc w:val="right"/>
              <w:textAlignment w:val="bottom"/>
            </w:pPr>
            <w:r>
              <w:rPr>
                <w:rFonts w:ascii="Arial" w:eastAsia="宋体" w:hAnsi="Arial" w:cs="Arial"/>
                <w:b/>
                <w:bCs/>
                <w:color w:val="262626"/>
                <w:sz w:val="18"/>
                <w:szCs w:val="18"/>
              </w:rPr>
              <w:t>4,194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EE5" w14:textId="77777777" w:rsidR="001B77DD" w:rsidRDefault="001B77DD">
            <w:pPr>
              <w:jc w:val="right"/>
              <w:rPr>
                <w:rFonts w:ascii="宋体"/>
              </w:rPr>
            </w:pPr>
          </w:p>
        </w:tc>
      </w:tr>
      <w:tr w:rsidR="001B77DD" w14:paraId="67535EEE" w14:textId="77777777">
        <w:tc>
          <w:tcPr>
            <w:tcW w:w="0" w:type="auto"/>
            <w:gridSpan w:val="3"/>
            <w:shd w:val="clear" w:color="auto" w:fill="auto"/>
            <w:tcMar>
              <w:top w:w="40" w:type="dxa"/>
              <w:left w:w="20" w:type="dxa"/>
              <w:bottom w:w="40" w:type="dxa"/>
              <w:right w:w="20" w:type="dxa"/>
            </w:tcMar>
            <w:vAlign w:val="bottom"/>
          </w:tcPr>
          <w:p w14:paraId="67535EE7" w14:textId="77777777" w:rsidR="001B77DD" w:rsidRDefault="00BF0A28">
            <w:pPr>
              <w:textAlignment w:val="bottom"/>
            </w:pPr>
            <w:r>
              <w:rPr>
                <w:rFonts w:ascii="Arial" w:eastAsia="宋体" w:hAnsi="Arial" w:cs="Arial"/>
                <w:color w:val="262626"/>
                <w:sz w:val="18"/>
                <w:szCs w:val="18"/>
              </w:rPr>
              <w:t>Supplemental disclosures:</w:t>
            </w:r>
          </w:p>
        </w:tc>
        <w:tc>
          <w:tcPr>
            <w:tcW w:w="0" w:type="auto"/>
            <w:gridSpan w:val="3"/>
            <w:shd w:val="clear" w:color="auto" w:fill="auto"/>
            <w:tcMar>
              <w:top w:w="0" w:type="dxa"/>
              <w:left w:w="20" w:type="dxa"/>
              <w:bottom w:w="0" w:type="dxa"/>
              <w:right w:w="20" w:type="dxa"/>
            </w:tcMar>
            <w:vAlign w:val="bottom"/>
          </w:tcPr>
          <w:p w14:paraId="67535EE8"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EE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EEA"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EE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EEC"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5EED" w14:textId="77777777" w:rsidR="001B77DD" w:rsidRDefault="001B77DD">
            <w:pPr>
              <w:rPr>
                <w:rFonts w:ascii="宋体"/>
              </w:rPr>
            </w:pPr>
          </w:p>
        </w:tc>
      </w:tr>
      <w:tr w:rsidR="001B77DD" w14:paraId="67535EFB" w14:textId="77777777">
        <w:tc>
          <w:tcPr>
            <w:tcW w:w="0" w:type="auto"/>
            <w:gridSpan w:val="3"/>
            <w:shd w:val="clear" w:color="auto" w:fill="auto"/>
            <w:tcMar>
              <w:top w:w="40" w:type="dxa"/>
              <w:left w:w="155" w:type="dxa"/>
              <w:bottom w:w="40" w:type="dxa"/>
              <w:right w:w="20" w:type="dxa"/>
            </w:tcMar>
            <w:vAlign w:val="bottom"/>
          </w:tcPr>
          <w:p w14:paraId="67535EEF" w14:textId="77777777" w:rsidR="001B77DD" w:rsidRDefault="00BF0A28">
            <w:pPr>
              <w:textAlignment w:val="bottom"/>
            </w:pPr>
            <w:r>
              <w:rPr>
                <w:rFonts w:ascii="Arial" w:eastAsia="宋体" w:hAnsi="Arial" w:cs="Arial"/>
                <w:color w:val="262626"/>
                <w:sz w:val="18"/>
                <w:szCs w:val="18"/>
              </w:rPr>
              <w:t xml:space="preserve">Acquisition of property, plant and equipment included in accounts payable and accrued </w:t>
            </w: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7535EF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EF1" w14:textId="77777777" w:rsidR="001B77DD" w:rsidRDefault="00BF0A28">
            <w:pPr>
              <w:jc w:val="right"/>
              <w:textAlignment w:val="bottom"/>
            </w:pPr>
            <w:r>
              <w:rPr>
                <w:rFonts w:ascii="Arial" w:eastAsia="宋体" w:hAnsi="Arial" w:cs="Arial"/>
                <w:color w:val="0068B5"/>
                <w:sz w:val="18"/>
                <w:szCs w:val="18"/>
              </w:rPr>
              <w:t>1,619 </w:t>
            </w:r>
          </w:p>
        </w:tc>
        <w:tc>
          <w:tcPr>
            <w:tcW w:w="0" w:type="auto"/>
            <w:shd w:val="clear" w:color="auto" w:fill="auto"/>
            <w:tcMar>
              <w:top w:w="40" w:type="dxa"/>
              <w:left w:w="0" w:type="dxa"/>
              <w:bottom w:w="40" w:type="dxa"/>
              <w:right w:w="20" w:type="dxa"/>
            </w:tcMar>
            <w:vAlign w:val="bottom"/>
          </w:tcPr>
          <w:p w14:paraId="67535EF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F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EF4"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EF5" w14:textId="77777777" w:rsidR="001B77DD" w:rsidRDefault="00BF0A28">
            <w:pPr>
              <w:jc w:val="right"/>
              <w:textAlignment w:val="bottom"/>
            </w:pPr>
            <w:r>
              <w:rPr>
                <w:rFonts w:ascii="Arial" w:eastAsia="宋体" w:hAnsi="Arial" w:cs="Arial"/>
                <w:color w:val="262626"/>
                <w:sz w:val="18"/>
                <w:szCs w:val="18"/>
              </w:rPr>
              <w:t>2,973 </w:t>
            </w:r>
          </w:p>
        </w:tc>
        <w:tc>
          <w:tcPr>
            <w:tcW w:w="0" w:type="auto"/>
            <w:shd w:val="clear" w:color="auto" w:fill="auto"/>
            <w:tcMar>
              <w:top w:w="40" w:type="dxa"/>
              <w:left w:w="0" w:type="dxa"/>
              <w:bottom w:w="40" w:type="dxa"/>
              <w:right w:w="20" w:type="dxa"/>
            </w:tcMar>
            <w:vAlign w:val="bottom"/>
          </w:tcPr>
          <w:p w14:paraId="67535EF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EF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EF8"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EF9" w14:textId="77777777" w:rsidR="001B77DD" w:rsidRDefault="00BF0A28">
            <w:pPr>
              <w:jc w:val="right"/>
              <w:textAlignment w:val="bottom"/>
            </w:pPr>
            <w:r>
              <w:rPr>
                <w:rFonts w:ascii="Arial" w:eastAsia="宋体" w:hAnsi="Arial" w:cs="Arial"/>
                <w:color w:val="262626"/>
                <w:sz w:val="18"/>
                <w:szCs w:val="18"/>
              </w:rPr>
              <w:t>1,761 </w:t>
            </w:r>
          </w:p>
        </w:tc>
        <w:tc>
          <w:tcPr>
            <w:tcW w:w="0" w:type="auto"/>
            <w:shd w:val="clear" w:color="auto" w:fill="auto"/>
            <w:tcMar>
              <w:top w:w="40" w:type="dxa"/>
              <w:left w:w="0" w:type="dxa"/>
              <w:bottom w:w="40" w:type="dxa"/>
              <w:right w:w="20" w:type="dxa"/>
            </w:tcMar>
            <w:vAlign w:val="bottom"/>
          </w:tcPr>
          <w:p w14:paraId="67535EFA" w14:textId="77777777" w:rsidR="001B77DD" w:rsidRDefault="001B77DD">
            <w:pPr>
              <w:jc w:val="right"/>
              <w:rPr>
                <w:rFonts w:ascii="宋体"/>
              </w:rPr>
            </w:pPr>
          </w:p>
        </w:tc>
      </w:tr>
      <w:tr w:rsidR="001B77DD" w14:paraId="67535F03" w14:textId="77777777">
        <w:trPr>
          <w:hidden/>
        </w:trPr>
        <w:tc>
          <w:tcPr>
            <w:tcW w:w="0" w:type="auto"/>
            <w:gridSpan w:val="3"/>
            <w:shd w:val="clear" w:color="auto" w:fill="auto"/>
            <w:vAlign w:val="bottom"/>
          </w:tcPr>
          <w:p w14:paraId="67535EFC" w14:textId="77777777" w:rsidR="001B77DD" w:rsidRDefault="001B77DD">
            <w:pPr>
              <w:rPr>
                <w:rFonts w:ascii="宋体"/>
                <w:vanish/>
              </w:rPr>
            </w:pPr>
          </w:p>
        </w:tc>
        <w:tc>
          <w:tcPr>
            <w:tcW w:w="0" w:type="auto"/>
            <w:gridSpan w:val="3"/>
            <w:shd w:val="clear" w:color="auto" w:fill="auto"/>
            <w:vAlign w:val="bottom"/>
          </w:tcPr>
          <w:p w14:paraId="67535EFD" w14:textId="77777777" w:rsidR="001B77DD" w:rsidRDefault="001B77DD">
            <w:pPr>
              <w:rPr>
                <w:rFonts w:ascii="宋体"/>
                <w:vanish/>
              </w:rPr>
            </w:pPr>
          </w:p>
        </w:tc>
        <w:tc>
          <w:tcPr>
            <w:tcW w:w="0" w:type="auto"/>
            <w:gridSpan w:val="3"/>
            <w:shd w:val="clear" w:color="auto" w:fill="auto"/>
            <w:vAlign w:val="bottom"/>
          </w:tcPr>
          <w:p w14:paraId="67535EFE" w14:textId="77777777" w:rsidR="001B77DD" w:rsidRDefault="001B77DD">
            <w:pPr>
              <w:rPr>
                <w:rFonts w:ascii="宋体"/>
                <w:vanish/>
              </w:rPr>
            </w:pPr>
          </w:p>
        </w:tc>
        <w:tc>
          <w:tcPr>
            <w:tcW w:w="0" w:type="auto"/>
            <w:gridSpan w:val="3"/>
            <w:shd w:val="clear" w:color="auto" w:fill="auto"/>
            <w:vAlign w:val="bottom"/>
          </w:tcPr>
          <w:p w14:paraId="67535EFF" w14:textId="77777777" w:rsidR="001B77DD" w:rsidRDefault="001B77DD">
            <w:pPr>
              <w:rPr>
                <w:rFonts w:ascii="宋体"/>
                <w:vanish/>
              </w:rPr>
            </w:pPr>
          </w:p>
        </w:tc>
        <w:tc>
          <w:tcPr>
            <w:tcW w:w="0" w:type="auto"/>
            <w:gridSpan w:val="3"/>
            <w:shd w:val="clear" w:color="auto" w:fill="auto"/>
            <w:vAlign w:val="bottom"/>
          </w:tcPr>
          <w:p w14:paraId="67535F00" w14:textId="77777777" w:rsidR="001B77DD" w:rsidRDefault="001B77DD">
            <w:pPr>
              <w:rPr>
                <w:rFonts w:ascii="宋体"/>
                <w:vanish/>
              </w:rPr>
            </w:pPr>
          </w:p>
        </w:tc>
        <w:tc>
          <w:tcPr>
            <w:tcW w:w="0" w:type="auto"/>
            <w:gridSpan w:val="3"/>
            <w:shd w:val="clear" w:color="auto" w:fill="auto"/>
            <w:vAlign w:val="bottom"/>
          </w:tcPr>
          <w:p w14:paraId="67535F01" w14:textId="77777777" w:rsidR="001B77DD" w:rsidRDefault="001B77DD">
            <w:pPr>
              <w:rPr>
                <w:rFonts w:ascii="宋体"/>
                <w:vanish/>
              </w:rPr>
            </w:pPr>
          </w:p>
        </w:tc>
        <w:tc>
          <w:tcPr>
            <w:tcW w:w="0" w:type="auto"/>
            <w:gridSpan w:val="3"/>
            <w:shd w:val="clear" w:color="auto" w:fill="auto"/>
            <w:vAlign w:val="bottom"/>
          </w:tcPr>
          <w:p w14:paraId="67535F02" w14:textId="77777777" w:rsidR="001B77DD" w:rsidRDefault="001B77DD">
            <w:pPr>
              <w:rPr>
                <w:rFonts w:ascii="宋体"/>
                <w:vanish/>
              </w:rPr>
            </w:pPr>
          </w:p>
        </w:tc>
      </w:tr>
      <w:tr w:rsidR="001B77DD" w14:paraId="67535F0B" w14:textId="77777777">
        <w:trPr>
          <w:hidden/>
        </w:trPr>
        <w:tc>
          <w:tcPr>
            <w:tcW w:w="0" w:type="auto"/>
            <w:gridSpan w:val="3"/>
            <w:shd w:val="clear" w:color="auto" w:fill="auto"/>
            <w:vAlign w:val="bottom"/>
          </w:tcPr>
          <w:p w14:paraId="67535F04" w14:textId="77777777" w:rsidR="001B77DD" w:rsidRDefault="001B77DD">
            <w:pPr>
              <w:rPr>
                <w:rFonts w:ascii="宋体"/>
                <w:vanish/>
              </w:rPr>
            </w:pPr>
          </w:p>
        </w:tc>
        <w:tc>
          <w:tcPr>
            <w:tcW w:w="0" w:type="auto"/>
            <w:gridSpan w:val="3"/>
            <w:shd w:val="clear" w:color="auto" w:fill="auto"/>
            <w:vAlign w:val="bottom"/>
          </w:tcPr>
          <w:p w14:paraId="67535F05" w14:textId="77777777" w:rsidR="001B77DD" w:rsidRDefault="001B77DD">
            <w:pPr>
              <w:rPr>
                <w:rFonts w:ascii="宋体"/>
                <w:vanish/>
              </w:rPr>
            </w:pPr>
          </w:p>
        </w:tc>
        <w:tc>
          <w:tcPr>
            <w:tcW w:w="0" w:type="auto"/>
            <w:gridSpan w:val="3"/>
            <w:shd w:val="clear" w:color="auto" w:fill="auto"/>
            <w:vAlign w:val="bottom"/>
          </w:tcPr>
          <w:p w14:paraId="67535F06" w14:textId="77777777" w:rsidR="001B77DD" w:rsidRDefault="001B77DD">
            <w:pPr>
              <w:rPr>
                <w:rFonts w:ascii="宋体"/>
                <w:vanish/>
              </w:rPr>
            </w:pPr>
          </w:p>
        </w:tc>
        <w:tc>
          <w:tcPr>
            <w:tcW w:w="0" w:type="auto"/>
            <w:gridSpan w:val="3"/>
            <w:shd w:val="clear" w:color="auto" w:fill="auto"/>
            <w:vAlign w:val="bottom"/>
          </w:tcPr>
          <w:p w14:paraId="67535F07" w14:textId="77777777" w:rsidR="001B77DD" w:rsidRDefault="001B77DD">
            <w:pPr>
              <w:rPr>
                <w:rFonts w:ascii="宋体"/>
                <w:vanish/>
              </w:rPr>
            </w:pPr>
          </w:p>
        </w:tc>
        <w:tc>
          <w:tcPr>
            <w:tcW w:w="0" w:type="auto"/>
            <w:gridSpan w:val="3"/>
            <w:shd w:val="clear" w:color="auto" w:fill="auto"/>
            <w:vAlign w:val="bottom"/>
          </w:tcPr>
          <w:p w14:paraId="67535F08" w14:textId="77777777" w:rsidR="001B77DD" w:rsidRDefault="001B77DD">
            <w:pPr>
              <w:rPr>
                <w:rFonts w:ascii="宋体"/>
                <w:vanish/>
              </w:rPr>
            </w:pPr>
          </w:p>
        </w:tc>
        <w:tc>
          <w:tcPr>
            <w:tcW w:w="0" w:type="auto"/>
            <w:gridSpan w:val="3"/>
            <w:shd w:val="clear" w:color="auto" w:fill="auto"/>
            <w:vAlign w:val="bottom"/>
          </w:tcPr>
          <w:p w14:paraId="67535F09" w14:textId="77777777" w:rsidR="001B77DD" w:rsidRDefault="001B77DD">
            <w:pPr>
              <w:rPr>
                <w:rFonts w:ascii="宋体"/>
                <w:vanish/>
              </w:rPr>
            </w:pPr>
          </w:p>
        </w:tc>
        <w:tc>
          <w:tcPr>
            <w:tcW w:w="0" w:type="auto"/>
            <w:gridSpan w:val="3"/>
            <w:shd w:val="clear" w:color="auto" w:fill="auto"/>
            <w:vAlign w:val="bottom"/>
          </w:tcPr>
          <w:p w14:paraId="67535F0A" w14:textId="77777777" w:rsidR="001B77DD" w:rsidRDefault="001B77DD">
            <w:pPr>
              <w:rPr>
                <w:rFonts w:ascii="宋体"/>
                <w:vanish/>
              </w:rPr>
            </w:pPr>
          </w:p>
        </w:tc>
      </w:tr>
      <w:tr w:rsidR="001B77DD" w14:paraId="67535F13" w14:textId="77777777">
        <w:tc>
          <w:tcPr>
            <w:tcW w:w="0" w:type="auto"/>
            <w:gridSpan w:val="3"/>
            <w:shd w:val="clear" w:color="auto" w:fill="auto"/>
            <w:tcMar>
              <w:top w:w="40" w:type="dxa"/>
              <w:left w:w="20" w:type="dxa"/>
              <w:bottom w:w="40" w:type="dxa"/>
              <w:right w:w="20" w:type="dxa"/>
            </w:tcMar>
            <w:vAlign w:val="bottom"/>
          </w:tcPr>
          <w:p w14:paraId="67535F0C" w14:textId="77777777" w:rsidR="001B77DD" w:rsidRDefault="00BF0A28">
            <w:pPr>
              <w:textAlignment w:val="bottom"/>
            </w:pPr>
            <w:r>
              <w:rPr>
                <w:rFonts w:ascii="Arial" w:eastAsia="宋体" w:hAnsi="Arial" w:cs="Arial"/>
                <w:color w:val="262626"/>
                <w:sz w:val="18"/>
                <w:szCs w:val="18"/>
              </w:rPr>
              <w:t>Cash paid during the year for:</w:t>
            </w:r>
          </w:p>
        </w:tc>
        <w:tc>
          <w:tcPr>
            <w:tcW w:w="0" w:type="auto"/>
            <w:gridSpan w:val="3"/>
            <w:shd w:val="clear" w:color="auto" w:fill="auto"/>
            <w:tcMar>
              <w:top w:w="0" w:type="dxa"/>
              <w:left w:w="20" w:type="dxa"/>
              <w:bottom w:w="0" w:type="dxa"/>
              <w:right w:w="20" w:type="dxa"/>
            </w:tcMar>
            <w:vAlign w:val="bottom"/>
          </w:tcPr>
          <w:p w14:paraId="67535F0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0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0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1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1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12" w14:textId="77777777" w:rsidR="001B77DD" w:rsidRDefault="001B77DD">
            <w:pPr>
              <w:rPr>
                <w:rFonts w:ascii="宋体"/>
              </w:rPr>
            </w:pPr>
          </w:p>
        </w:tc>
      </w:tr>
      <w:tr w:rsidR="001B77DD" w14:paraId="67535F20" w14:textId="77777777">
        <w:tc>
          <w:tcPr>
            <w:tcW w:w="0" w:type="auto"/>
            <w:gridSpan w:val="3"/>
            <w:shd w:val="clear" w:color="auto" w:fill="auto"/>
            <w:tcMar>
              <w:top w:w="40" w:type="dxa"/>
              <w:left w:w="155" w:type="dxa"/>
              <w:bottom w:w="40" w:type="dxa"/>
              <w:right w:w="20" w:type="dxa"/>
            </w:tcMar>
            <w:vAlign w:val="bottom"/>
          </w:tcPr>
          <w:p w14:paraId="67535F14" w14:textId="77777777" w:rsidR="001B77DD" w:rsidRDefault="00BF0A28">
            <w:pPr>
              <w:textAlignment w:val="bottom"/>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vAlign w:val="bottom"/>
          </w:tcPr>
          <w:p w14:paraId="67535F1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16" w14:textId="77777777" w:rsidR="001B77DD" w:rsidRDefault="00BF0A28">
            <w:pPr>
              <w:jc w:val="right"/>
              <w:textAlignment w:val="bottom"/>
            </w:pPr>
            <w:r>
              <w:rPr>
                <w:rFonts w:ascii="Arial" w:eastAsia="宋体" w:hAnsi="Arial" w:cs="Arial"/>
                <w:color w:val="0068B5"/>
                <w:sz w:val="18"/>
                <w:szCs w:val="18"/>
              </w:rPr>
              <w:t>545 </w:t>
            </w:r>
          </w:p>
        </w:tc>
        <w:tc>
          <w:tcPr>
            <w:tcW w:w="0" w:type="auto"/>
            <w:shd w:val="clear" w:color="auto" w:fill="auto"/>
            <w:tcMar>
              <w:top w:w="40" w:type="dxa"/>
              <w:left w:w="0" w:type="dxa"/>
              <w:bottom w:w="40" w:type="dxa"/>
              <w:right w:w="20" w:type="dxa"/>
            </w:tcMar>
            <w:vAlign w:val="bottom"/>
          </w:tcPr>
          <w:p w14:paraId="67535F1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1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F19"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F1A" w14:textId="77777777" w:rsidR="001B77DD" w:rsidRDefault="00BF0A28">
            <w:pPr>
              <w:jc w:val="right"/>
              <w:textAlignment w:val="bottom"/>
            </w:pPr>
            <w:r>
              <w:rPr>
                <w:rFonts w:ascii="Arial" w:eastAsia="宋体" w:hAnsi="Arial" w:cs="Arial"/>
                <w:color w:val="262626"/>
                <w:sz w:val="18"/>
                <w:szCs w:val="18"/>
              </w:rPr>
              <w:t>594 </w:t>
            </w:r>
          </w:p>
        </w:tc>
        <w:tc>
          <w:tcPr>
            <w:tcW w:w="0" w:type="auto"/>
            <w:shd w:val="clear" w:color="auto" w:fill="auto"/>
            <w:tcMar>
              <w:top w:w="40" w:type="dxa"/>
              <w:left w:w="0" w:type="dxa"/>
              <w:bottom w:w="40" w:type="dxa"/>
              <w:right w:w="20" w:type="dxa"/>
            </w:tcMar>
            <w:vAlign w:val="bottom"/>
          </w:tcPr>
          <w:p w14:paraId="67535F1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1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F1D"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F1E" w14:textId="77777777" w:rsidR="001B77DD" w:rsidRDefault="00BF0A28">
            <w:pPr>
              <w:jc w:val="right"/>
              <w:textAlignment w:val="bottom"/>
            </w:pPr>
            <w:r>
              <w:rPr>
                <w:rFonts w:ascii="Arial" w:eastAsia="宋体" w:hAnsi="Arial" w:cs="Arial"/>
                <w:color w:val="262626"/>
                <w:sz w:val="18"/>
                <w:szCs w:val="18"/>
              </w:rPr>
              <w:t>469 </w:t>
            </w:r>
          </w:p>
        </w:tc>
        <w:tc>
          <w:tcPr>
            <w:tcW w:w="0" w:type="auto"/>
            <w:shd w:val="clear" w:color="auto" w:fill="auto"/>
            <w:tcMar>
              <w:top w:w="40" w:type="dxa"/>
              <w:left w:w="0" w:type="dxa"/>
              <w:bottom w:w="40" w:type="dxa"/>
              <w:right w:w="20" w:type="dxa"/>
            </w:tcMar>
            <w:vAlign w:val="bottom"/>
          </w:tcPr>
          <w:p w14:paraId="67535F1F" w14:textId="77777777" w:rsidR="001B77DD" w:rsidRDefault="001B77DD">
            <w:pPr>
              <w:jc w:val="right"/>
              <w:rPr>
                <w:rFonts w:ascii="宋体"/>
              </w:rPr>
            </w:pPr>
          </w:p>
        </w:tc>
      </w:tr>
      <w:tr w:rsidR="001B77DD" w14:paraId="67535F2D" w14:textId="77777777">
        <w:tc>
          <w:tcPr>
            <w:tcW w:w="0" w:type="auto"/>
            <w:gridSpan w:val="3"/>
            <w:shd w:val="clear" w:color="auto" w:fill="auto"/>
            <w:tcMar>
              <w:top w:w="40" w:type="dxa"/>
              <w:left w:w="155" w:type="dxa"/>
              <w:bottom w:w="40" w:type="dxa"/>
              <w:right w:w="20" w:type="dxa"/>
            </w:tcMar>
            <w:vAlign w:val="bottom"/>
          </w:tcPr>
          <w:p w14:paraId="67535F21" w14:textId="77777777" w:rsidR="001B77DD" w:rsidRDefault="00BF0A28">
            <w:pPr>
              <w:textAlignment w:val="bottom"/>
            </w:pPr>
            <w:r>
              <w:rPr>
                <w:rFonts w:ascii="Arial" w:eastAsia="宋体" w:hAnsi="Arial" w:cs="Arial"/>
                <w:color w:val="262626"/>
                <w:sz w:val="18"/>
                <w:szCs w:val="18"/>
              </w:rPr>
              <w:t>Income taxes, net of refunds</w:t>
            </w:r>
          </w:p>
        </w:tc>
        <w:tc>
          <w:tcPr>
            <w:tcW w:w="0" w:type="auto"/>
            <w:gridSpan w:val="3"/>
            <w:shd w:val="clear" w:color="auto" w:fill="auto"/>
            <w:tcMar>
              <w:top w:w="0" w:type="dxa"/>
              <w:left w:w="20" w:type="dxa"/>
              <w:bottom w:w="0" w:type="dxa"/>
              <w:right w:w="20" w:type="dxa"/>
            </w:tcMar>
            <w:vAlign w:val="bottom"/>
          </w:tcPr>
          <w:p w14:paraId="67535F2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23" w14:textId="77777777" w:rsidR="001B77DD" w:rsidRDefault="00BF0A28">
            <w:pPr>
              <w:jc w:val="right"/>
              <w:textAlignment w:val="bottom"/>
            </w:pPr>
            <w:r>
              <w:rPr>
                <w:rFonts w:ascii="Arial" w:eastAsia="宋体" w:hAnsi="Arial" w:cs="Arial"/>
                <w:color w:val="0068B5"/>
                <w:sz w:val="18"/>
                <w:szCs w:val="18"/>
              </w:rPr>
              <w:t>2,263 </w:t>
            </w:r>
          </w:p>
        </w:tc>
        <w:tc>
          <w:tcPr>
            <w:tcW w:w="0" w:type="auto"/>
            <w:shd w:val="clear" w:color="auto" w:fill="auto"/>
            <w:tcMar>
              <w:top w:w="40" w:type="dxa"/>
              <w:left w:w="0" w:type="dxa"/>
              <w:bottom w:w="40" w:type="dxa"/>
              <w:right w:w="20" w:type="dxa"/>
            </w:tcMar>
            <w:vAlign w:val="bottom"/>
          </w:tcPr>
          <w:p w14:paraId="67535F2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2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F26"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F27" w14:textId="77777777" w:rsidR="001B77DD" w:rsidRDefault="00BF0A28">
            <w:pPr>
              <w:jc w:val="right"/>
              <w:textAlignment w:val="bottom"/>
            </w:pPr>
            <w:r>
              <w:rPr>
                <w:rFonts w:ascii="Arial" w:eastAsia="宋体" w:hAnsi="Arial" w:cs="Arial"/>
                <w:color w:val="262626"/>
                <w:sz w:val="18"/>
                <w:szCs w:val="18"/>
              </w:rPr>
              <w:t>2,436 </w:t>
            </w:r>
          </w:p>
        </w:tc>
        <w:tc>
          <w:tcPr>
            <w:tcW w:w="0" w:type="auto"/>
            <w:shd w:val="clear" w:color="auto" w:fill="auto"/>
            <w:tcMar>
              <w:top w:w="40" w:type="dxa"/>
              <w:left w:w="0" w:type="dxa"/>
              <w:bottom w:w="40" w:type="dxa"/>
              <w:right w:w="20" w:type="dxa"/>
            </w:tcMar>
            <w:vAlign w:val="bottom"/>
          </w:tcPr>
          <w:p w14:paraId="67535F2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2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5F2A"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5F2B" w14:textId="77777777" w:rsidR="001B77DD" w:rsidRDefault="00BF0A28">
            <w:pPr>
              <w:jc w:val="right"/>
              <w:textAlignment w:val="bottom"/>
            </w:pPr>
            <w:r>
              <w:rPr>
                <w:rFonts w:ascii="Arial" w:eastAsia="宋体" w:hAnsi="Arial" w:cs="Arial"/>
                <w:color w:val="262626"/>
                <w:sz w:val="18"/>
                <w:szCs w:val="18"/>
              </w:rPr>
              <w:t>2,110 </w:t>
            </w:r>
          </w:p>
        </w:tc>
        <w:tc>
          <w:tcPr>
            <w:tcW w:w="0" w:type="auto"/>
            <w:shd w:val="clear" w:color="auto" w:fill="auto"/>
            <w:tcMar>
              <w:top w:w="40" w:type="dxa"/>
              <w:left w:w="0" w:type="dxa"/>
              <w:bottom w:w="40" w:type="dxa"/>
              <w:right w:w="20" w:type="dxa"/>
            </w:tcMar>
            <w:vAlign w:val="bottom"/>
          </w:tcPr>
          <w:p w14:paraId="67535F2C" w14:textId="77777777" w:rsidR="001B77DD" w:rsidRDefault="001B77DD">
            <w:pPr>
              <w:jc w:val="right"/>
              <w:rPr>
                <w:rFonts w:ascii="宋体"/>
              </w:rPr>
            </w:pPr>
          </w:p>
        </w:tc>
      </w:tr>
      <w:tr w:rsidR="001B77DD" w14:paraId="67535F35" w14:textId="77777777">
        <w:trPr>
          <w:trHeight w:val="300"/>
        </w:trPr>
        <w:tc>
          <w:tcPr>
            <w:tcW w:w="0" w:type="auto"/>
            <w:gridSpan w:val="3"/>
            <w:shd w:val="clear" w:color="auto" w:fill="auto"/>
            <w:tcMar>
              <w:top w:w="0" w:type="dxa"/>
              <w:left w:w="20" w:type="dxa"/>
              <w:bottom w:w="0" w:type="dxa"/>
              <w:right w:w="20" w:type="dxa"/>
            </w:tcMar>
            <w:vAlign w:val="bottom"/>
          </w:tcPr>
          <w:p w14:paraId="67535F2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2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3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3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3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3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34" w14:textId="77777777" w:rsidR="001B77DD" w:rsidRDefault="001B77DD">
            <w:pPr>
              <w:rPr>
                <w:rFonts w:ascii="宋体"/>
              </w:rPr>
            </w:pPr>
          </w:p>
        </w:tc>
      </w:tr>
    </w:tbl>
    <w:p w14:paraId="67535F36" w14:textId="77777777" w:rsidR="001B77DD" w:rsidRDefault="00BF0A28">
      <w:pPr>
        <w:spacing w:after="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1B77DD" w14:paraId="67535F43" w14:textId="77777777">
        <w:tc>
          <w:tcPr>
            <w:tcW w:w="50" w:type="pct"/>
            <w:shd w:val="clear" w:color="auto" w:fill="auto"/>
            <w:vAlign w:val="bottom"/>
          </w:tcPr>
          <w:p w14:paraId="67535F37" w14:textId="77777777" w:rsidR="001B77DD" w:rsidRDefault="001B77DD">
            <w:pPr>
              <w:rPr>
                <w:rFonts w:ascii="宋体"/>
              </w:rPr>
            </w:pPr>
          </w:p>
        </w:tc>
        <w:tc>
          <w:tcPr>
            <w:tcW w:w="276" w:type="pct"/>
            <w:shd w:val="clear" w:color="auto" w:fill="auto"/>
            <w:vAlign w:val="bottom"/>
          </w:tcPr>
          <w:p w14:paraId="67535F38" w14:textId="77777777" w:rsidR="001B77DD" w:rsidRDefault="001B77DD">
            <w:pPr>
              <w:rPr>
                <w:rFonts w:ascii="宋体"/>
              </w:rPr>
            </w:pPr>
          </w:p>
        </w:tc>
        <w:tc>
          <w:tcPr>
            <w:tcW w:w="5" w:type="pct"/>
            <w:shd w:val="clear" w:color="auto" w:fill="auto"/>
            <w:vAlign w:val="bottom"/>
          </w:tcPr>
          <w:p w14:paraId="67535F39" w14:textId="77777777" w:rsidR="001B77DD" w:rsidRDefault="001B77DD">
            <w:pPr>
              <w:rPr>
                <w:rFonts w:ascii="宋体"/>
              </w:rPr>
            </w:pPr>
          </w:p>
        </w:tc>
        <w:tc>
          <w:tcPr>
            <w:tcW w:w="50" w:type="pct"/>
            <w:shd w:val="clear" w:color="auto" w:fill="auto"/>
            <w:vAlign w:val="bottom"/>
          </w:tcPr>
          <w:p w14:paraId="67535F3A" w14:textId="77777777" w:rsidR="001B77DD" w:rsidRDefault="001B77DD">
            <w:pPr>
              <w:rPr>
                <w:rFonts w:ascii="宋体"/>
              </w:rPr>
            </w:pPr>
          </w:p>
        </w:tc>
        <w:tc>
          <w:tcPr>
            <w:tcW w:w="940" w:type="pct"/>
            <w:shd w:val="clear" w:color="auto" w:fill="auto"/>
            <w:vAlign w:val="bottom"/>
          </w:tcPr>
          <w:p w14:paraId="67535F3B" w14:textId="77777777" w:rsidR="001B77DD" w:rsidRDefault="001B77DD">
            <w:pPr>
              <w:rPr>
                <w:rFonts w:ascii="宋体"/>
              </w:rPr>
            </w:pPr>
          </w:p>
        </w:tc>
        <w:tc>
          <w:tcPr>
            <w:tcW w:w="5" w:type="pct"/>
            <w:shd w:val="clear" w:color="auto" w:fill="auto"/>
            <w:vAlign w:val="bottom"/>
          </w:tcPr>
          <w:p w14:paraId="67535F3C" w14:textId="77777777" w:rsidR="001B77DD" w:rsidRDefault="001B77DD">
            <w:pPr>
              <w:rPr>
                <w:rFonts w:ascii="宋体"/>
              </w:rPr>
            </w:pPr>
          </w:p>
        </w:tc>
        <w:tc>
          <w:tcPr>
            <w:tcW w:w="50" w:type="pct"/>
            <w:shd w:val="clear" w:color="auto" w:fill="auto"/>
            <w:vAlign w:val="bottom"/>
          </w:tcPr>
          <w:p w14:paraId="67535F3D" w14:textId="77777777" w:rsidR="001B77DD" w:rsidRDefault="001B77DD">
            <w:pPr>
              <w:rPr>
                <w:rFonts w:ascii="宋体"/>
              </w:rPr>
            </w:pPr>
          </w:p>
        </w:tc>
        <w:tc>
          <w:tcPr>
            <w:tcW w:w="1837" w:type="pct"/>
            <w:shd w:val="clear" w:color="auto" w:fill="auto"/>
            <w:vAlign w:val="bottom"/>
          </w:tcPr>
          <w:p w14:paraId="67535F3E" w14:textId="77777777" w:rsidR="001B77DD" w:rsidRDefault="001B77DD">
            <w:pPr>
              <w:rPr>
                <w:rFonts w:ascii="宋体"/>
              </w:rPr>
            </w:pPr>
          </w:p>
        </w:tc>
        <w:tc>
          <w:tcPr>
            <w:tcW w:w="5" w:type="pct"/>
            <w:shd w:val="clear" w:color="auto" w:fill="auto"/>
            <w:vAlign w:val="bottom"/>
          </w:tcPr>
          <w:p w14:paraId="67535F3F" w14:textId="77777777" w:rsidR="001B77DD" w:rsidRDefault="001B77DD">
            <w:pPr>
              <w:rPr>
                <w:rFonts w:ascii="宋体"/>
              </w:rPr>
            </w:pPr>
          </w:p>
        </w:tc>
        <w:tc>
          <w:tcPr>
            <w:tcW w:w="50" w:type="pct"/>
            <w:shd w:val="clear" w:color="auto" w:fill="auto"/>
            <w:vAlign w:val="bottom"/>
          </w:tcPr>
          <w:p w14:paraId="67535F40" w14:textId="77777777" w:rsidR="001B77DD" w:rsidRDefault="001B77DD">
            <w:pPr>
              <w:rPr>
                <w:rFonts w:ascii="宋体"/>
              </w:rPr>
            </w:pPr>
          </w:p>
        </w:tc>
        <w:tc>
          <w:tcPr>
            <w:tcW w:w="1724" w:type="pct"/>
            <w:shd w:val="clear" w:color="auto" w:fill="auto"/>
            <w:vAlign w:val="bottom"/>
          </w:tcPr>
          <w:p w14:paraId="67535F41" w14:textId="77777777" w:rsidR="001B77DD" w:rsidRDefault="001B77DD">
            <w:pPr>
              <w:rPr>
                <w:rFonts w:ascii="宋体"/>
              </w:rPr>
            </w:pPr>
          </w:p>
        </w:tc>
        <w:tc>
          <w:tcPr>
            <w:tcW w:w="5" w:type="pct"/>
            <w:shd w:val="clear" w:color="auto" w:fill="auto"/>
            <w:vAlign w:val="bottom"/>
          </w:tcPr>
          <w:p w14:paraId="67535F42" w14:textId="77777777" w:rsidR="001B77DD" w:rsidRDefault="001B77DD">
            <w:pPr>
              <w:rPr>
                <w:rFonts w:ascii="宋体"/>
              </w:rPr>
            </w:pPr>
          </w:p>
        </w:tc>
      </w:tr>
      <w:tr w:rsidR="001B77DD" w14:paraId="67535F48"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F44"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21" wp14:editId="67538F22">
                  <wp:extent cx="304800" cy="304800"/>
                  <wp:effectExtent l="0" t="0" r="0" b="0"/>
                  <wp:docPr id="225" name="图片 27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7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F45"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5F46" w14:textId="77777777" w:rsidR="001B77DD" w:rsidRDefault="00BF0A28">
            <w:pPr>
              <w:textAlignment w:val="center"/>
            </w:pPr>
            <w:r>
              <w:rPr>
                <w:rFonts w:ascii="Arial" w:eastAsia="宋体" w:hAnsi="Arial" w:cs="Arial"/>
                <w:color w:val="262626"/>
                <w:sz w:val="16"/>
                <w:szCs w:val="16"/>
              </w:rPr>
              <w:t>Consolidated Statements of Cash Flows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5F47" w14:textId="77777777" w:rsidR="001B77DD" w:rsidRDefault="00BF0A28">
            <w:pPr>
              <w:jc w:val="right"/>
              <w:textAlignment w:val="center"/>
            </w:pPr>
            <w:r>
              <w:rPr>
                <w:rFonts w:ascii="Arial" w:eastAsia="宋体" w:hAnsi="Arial" w:cs="Arial"/>
                <w:color w:val="262626"/>
                <w:sz w:val="16"/>
                <w:szCs w:val="16"/>
              </w:rPr>
              <w:t>75</w:t>
            </w:r>
          </w:p>
        </w:tc>
      </w:tr>
    </w:tbl>
    <w:p w14:paraId="67535F49" w14:textId="77777777" w:rsidR="001B77DD" w:rsidRDefault="00BF0A28">
      <w:r>
        <w:pict w14:anchorId="67538F23">
          <v:rect id="_x0000_i1101" style="width:415.3pt;height:1.5pt" o:hralign="center" o:hrstd="t" o:hr="t" fillcolor="#a0a0a0" stroked="f"/>
        </w:pict>
      </w:r>
    </w:p>
    <w:p w14:paraId="67535F4A" w14:textId="77777777" w:rsidR="001B77DD" w:rsidRDefault="00BF0A28">
      <w:pPr>
        <w:jc w:val="right"/>
      </w:pPr>
      <w:hyperlink r:id="rId163" w:anchor="i6c9ced68f6b24d58a3dcf326e8c3c699_16" w:history="1">
        <w:r>
          <w:rPr>
            <w:rStyle w:val="a5"/>
            <w:rFonts w:ascii="Arial" w:eastAsia="宋体" w:hAnsi="Arial" w:cs="Arial"/>
            <w:b/>
            <w:bCs/>
            <w:sz w:val="16"/>
            <w:szCs w:val="16"/>
          </w:rPr>
          <w:t>Table of Contents</w:t>
        </w:r>
      </w:hyperlink>
    </w:p>
    <w:p w14:paraId="67535F4B"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5F52" w14:textId="77777777">
        <w:tc>
          <w:tcPr>
            <w:tcW w:w="50" w:type="pct"/>
            <w:shd w:val="clear" w:color="auto" w:fill="auto"/>
            <w:vAlign w:val="bottom"/>
          </w:tcPr>
          <w:p w14:paraId="67535F4C" w14:textId="77777777" w:rsidR="001B77DD" w:rsidRDefault="001B77DD">
            <w:pPr>
              <w:rPr>
                <w:rFonts w:ascii="宋体"/>
              </w:rPr>
            </w:pPr>
          </w:p>
        </w:tc>
        <w:tc>
          <w:tcPr>
            <w:tcW w:w="4870" w:type="pct"/>
            <w:shd w:val="clear" w:color="auto" w:fill="auto"/>
            <w:vAlign w:val="bottom"/>
          </w:tcPr>
          <w:p w14:paraId="67535F4D" w14:textId="77777777" w:rsidR="001B77DD" w:rsidRDefault="001B77DD">
            <w:pPr>
              <w:rPr>
                <w:rFonts w:ascii="宋体"/>
              </w:rPr>
            </w:pPr>
          </w:p>
        </w:tc>
        <w:tc>
          <w:tcPr>
            <w:tcW w:w="5" w:type="pct"/>
            <w:shd w:val="clear" w:color="auto" w:fill="auto"/>
            <w:vAlign w:val="bottom"/>
          </w:tcPr>
          <w:p w14:paraId="67535F4E" w14:textId="77777777" w:rsidR="001B77DD" w:rsidRDefault="001B77DD">
            <w:pPr>
              <w:rPr>
                <w:rFonts w:ascii="宋体"/>
              </w:rPr>
            </w:pPr>
          </w:p>
        </w:tc>
        <w:tc>
          <w:tcPr>
            <w:tcW w:w="5" w:type="pct"/>
            <w:shd w:val="clear" w:color="auto" w:fill="auto"/>
            <w:vAlign w:val="bottom"/>
          </w:tcPr>
          <w:p w14:paraId="67535F4F" w14:textId="77777777" w:rsidR="001B77DD" w:rsidRDefault="001B77DD">
            <w:pPr>
              <w:rPr>
                <w:rFonts w:ascii="宋体"/>
              </w:rPr>
            </w:pPr>
          </w:p>
        </w:tc>
        <w:tc>
          <w:tcPr>
            <w:tcW w:w="64" w:type="pct"/>
            <w:shd w:val="clear" w:color="auto" w:fill="auto"/>
            <w:vAlign w:val="bottom"/>
          </w:tcPr>
          <w:p w14:paraId="67535F50" w14:textId="77777777" w:rsidR="001B77DD" w:rsidRDefault="001B77DD">
            <w:pPr>
              <w:rPr>
                <w:rFonts w:ascii="宋体"/>
              </w:rPr>
            </w:pPr>
          </w:p>
        </w:tc>
        <w:tc>
          <w:tcPr>
            <w:tcW w:w="5" w:type="pct"/>
            <w:shd w:val="clear" w:color="auto" w:fill="auto"/>
            <w:vAlign w:val="bottom"/>
          </w:tcPr>
          <w:p w14:paraId="67535F51" w14:textId="77777777" w:rsidR="001B77DD" w:rsidRDefault="001B77DD">
            <w:pPr>
              <w:rPr>
                <w:rFonts w:ascii="宋体"/>
              </w:rPr>
            </w:pPr>
          </w:p>
        </w:tc>
      </w:tr>
      <w:tr w:rsidR="001B77DD" w14:paraId="67535F55" w14:textId="77777777">
        <w:tc>
          <w:tcPr>
            <w:tcW w:w="0" w:type="auto"/>
            <w:gridSpan w:val="3"/>
            <w:shd w:val="clear" w:color="auto" w:fill="004A86"/>
            <w:tcMar>
              <w:top w:w="40" w:type="dxa"/>
              <w:left w:w="20" w:type="dxa"/>
              <w:bottom w:w="40" w:type="dxa"/>
              <w:right w:w="20" w:type="dxa"/>
            </w:tcMar>
            <w:vAlign w:val="center"/>
          </w:tcPr>
          <w:p w14:paraId="67535F53" w14:textId="77777777" w:rsidR="001B77DD" w:rsidRDefault="00BF0A28">
            <w:pPr>
              <w:textAlignment w:val="center"/>
            </w:pPr>
            <w:r>
              <w:rPr>
                <w:rFonts w:ascii="Arial" w:eastAsia="宋体" w:hAnsi="Arial" w:cs="Arial"/>
                <w:color w:val="FFFFFF"/>
                <w:sz w:val="36"/>
                <w:szCs w:val="36"/>
              </w:rPr>
              <w:t>Consolidated Statements of Stockholders' Equity</w:t>
            </w:r>
          </w:p>
        </w:tc>
        <w:tc>
          <w:tcPr>
            <w:tcW w:w="0" w:type="auto"/>
            <w:gridSpan w:val="3"/>
            <w:shd w:val="clear" w:color="auto" w:fill="auto"/>
            <w:tcMar>
              <w:top w:w="0" w:type="dxa"/>
              <w:left w:w="20" w:type="dxa"/>
              <w:bottom w:w="0" w:type="dxa"/>
              <w:right w:w="20" w:type="dxa"/>
            </w:tcMar>
            <w:vAlign w:val="bottom"/>
          </w:tcPr>
          <w:p w14:paraId="67535F54" w14:textId="77777777" w:rsidR="001B77DD" w:rsidRDefault="001B77DD">
            <w:pPr>
              <w:rPr>
                <w:rFonts w:ascii="宋体"/>
              </w:rPr>
            </w:pPr>
          </w:p>
        </w:tc>
      </w:tr>
      <w:tr w:rsidR="001B77DD" w14:paraId="67535F58" w14:textId="77777777">
        <w:trPr>
          <w:trHeight w:val="160"/>
        </w:trPr>
        <w:tc>
          <w:tcPr>
            <w:tcW w:w="0" w:type="auto"/>
            <w:gridSpan w:val="3"/>
            <w:shd w:val="clear" w:color="auto" w:fill="auto"/>
            <w:tcMar>
              <w:top w:w="0" w:type="dxa"/>
              <w:left w:w="20" w:type="dxa"/>
              <w:bottom w:w="0" w:type="dxa"/>
              <w:right w:w="20" w:type="dxa"/>
            </w:tcMar>
            <w:vAlign w:val="bottom"/>
          </w:tcPr>
          <w:p w14:paraId="67535F56"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5F57" w14:textId="77777777" w:rsidR="001B77DD" w:rsidRDefault="001B77DD">
            <w:pPr>
              <w:rPr>
                <w:rFonts w:ascii="宋体"/>
              </w:rPr>
            </w:pPr>
          </w:p>
        </w:tc>
      </w:tr>
    </w:tbl>
    <w:p w14:paraId="67535F59"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238"/>
        <w:gridCol w:w="40"/>
        <w:gridCol w:w="36"/>
        <w:gridCol w:w="36"/>
        <w:gridCol w:w="36"/>
        <w:gridCol w:w="106"/>
        <w:gridCol w:w="1039"/>
        <w:gridCol w:w="37"/>
        <w:gridCol w:w="37"/>
        <w:gridCol w:w="51"/>
        <w:gridCol w:w="36"/>
        <w:gridCol w:w="121"/>
        <w:gridCol w:w="1038"/>
        <w:gridCol w:w="36"/>
        <w:gridCol w:w="36"/>
        <w:gridCol w:w="36"/>
        <w:gridCol w:w="36"/>
        <w:gridCol w:w="122"/>
        <w:gridCol w:w="1279"/>
        <w:gridCol w:w="36"/>
        <w:gridCol w:w="36"/>
        <w:gridCol w:w="36"/>
        <w:gridCol w:w="36"/>
        <w:gridCol w:w="122"/>
        <w:gridCol w:w="729"/>
        <w:gridCol w:w="36"/>
        <w:gridCol w:w="36"/>
        <w:gridCol w:w="36"/>
        <w:gridCol w:w="36"/>
        <w:gridCol w:w="121"/>
        <w:gridCol w:w="601"/>
        <w:gridCol w:w="36"/>
      </w:tblGrid>
      <w:tr w:rsidR="001B77DD" w14:paraId="67535F7B" w14:textId="77777777">
        <w:tc>
          <w:tcPr>
            <w:tcW w:w="50" w:type="pct"/>
            <w:shd w:val="clear" w:color="auto" w:fill="auto"/>
            <w:vAlign w:val="bottom"/>
          </w:tcPr>
          <w:p w14:paraId="67535F5A" w14:textId="77777777" w:rsidR="001B77DD" w:rsidRDefault="001B77DD">
            <w:pPr>
              <w:rPr>
                <w:rFonts w:ascii="宋体"/>
              </w:rPr>
            </w:pPr>
          </w:p>
        </w:tc>
        <w:tc>
          <w:tcPr>
            <w:tcW w:w="1905" w:type="pct"/>
            <w:shd w:val="clear" w:color="auto" w:fill="auto"/>
            <w:vAlign w:val="bottom"/>
          </w:tcPr>
          <w:p w14:paraId="67535F5B" w14:textId="77777777" w:rsidR="001B77DD" w:rsidRDefault="001B77DD">
            <w:pPr>
              <w:rPr>
                <w:rFonts w:ascii="宋体"/>
              </w:rPr>
            </w:pPr>
          </w:p>
        </w:tc>
        <w:tc>
          <w:tcPr>
            <w:tcW w:w="5" w:type="pct"/>
            <w:shd w:val="clear" w:color="auto" w:fill="auto"/>
            <w:vAlign w:val="bottom"/>
          </w:tcPr>
          <w:p w14:paraId="67535F5C" w14:textId="77777777" w:rsidR="001B77DD" w:rsidRDefault="001B77DD">
            <w:pPr>
              <w:rPr>
                <w:rFonts w:ascii="宋体"/>
              </w:rPr>
            </w:pPr>
          </w:p>
        </w:tc>
        <w:tc>
          <w:tcPr>
            <w:tcW w:w="5" w:type="pct"/>
            <w:shd w:val="clear" w:color="auto" w:fill="auto"/>
            <w:vAlign w:val="bottom"/>
          </w:tcPr>
          <w:p w14:paraId="67535F5D" w14:textId="77777777" w:rsidR="001B77DD" w:rsidRDefault="001B77DD">
            <w:pPr>
              <w:rPr>
                <w:rFonts w:ascii="宋体"/>
              </w:rPr>
            </w:pPr>
          </w:p>
        </w:tc>
        <w:tc>
          <w:tcPr>
            <w:tcW w:w="24" w:type="pct"/>
            <w:shd w:val="clear" w:color="auto" w:fill="auto"/>
            <w:vAlign w:val="bottom"/>
          </w:tcPr>
          <w:p w14:paraId="67535F5E" w14:textId="77777777" w:rsidR="001B77DD" w:rsidRDefault="001B77DD">
            <w:pPr>
              <w:rPr>
                <w:rFonts w:ascii="宋体"/>
              </w:rPr>
            </w:pPr>
          </w:p>
        </w:tc>
        <w:tc>
          <w:tcPr>
            <w:tcW w:w="5" w:type="pct"/>
            <w:shd w:val="clear" w:color="auto" w:fill="auto"/>
            <w:vAlign w:val="bottom"/>
          </w:tcPr>
          <w:p w14:paraId="67535F5F" w14:textId="77777777" w:rsidR="001B77DD" w:rsidRDefault="001B77DD">
            <w:pPr>
              <w:rPr>
                <w:rFonts w:ascii="宋体"/>
              </w:rPr>
            </w:pPr>
          </w:p>
        </w:tc>
        <w:tc>
          <w:tcPr>
            <w:tcW w:w="50" w:type="pct"/>
            <w:shd w:val="clear" w:color="auto" w:fill="auto"/>
            <w:vAlign w:val="bottom"/>
          </w:tcPr>
          <w:p w14:paraId="67535F60" w14:textId="77777777" w:rsidR="001B77DD" w:rsidRDefault="001B77DD">
            <w:pPr>
              <w:rPr>
                <w:rFonts w:ascii="宋体"/>
              </w:rPr>
            </w:pPr>
          </w:p>
        </w:tc>
        <w:tc>
          <w:tcPr>
            <w:tcW w:w="491" w:type="pct"/>
            <w:shd w:val="clear" w:color="auto" w:fill="auto"/>
            <w:vAlign w:val="bottom"/>
          </w:tcPr>
          <w:p w14:paraId="67535F61" w14:textId="77777777" w:rsidR="001B77DD" w:rsidRDefault="001B77DD">
            <w:pPr>
              <w:rPr>
                <w:rFonts w:ascii="宋体"/>
              </w:rPr>
            </w:pPr>
          </w:p>
        </w:tc>
        <w:tc>
          <w:tcPr>
            <w:tcW w:w="5" w:type="pct"/>
            <w:shd w:val="clear" w:color="auto" w:fill="auto"/>
            <w:vAlign w:val="bottom"/>
          </w:tcPr>
          <w:p w14:paraId="67535F62" w14:textId="77777777" w:rsidR="001B77DD" w:rsidRDefault="001B77DD">
            <w:pPr>
              <w:rPr>
                <w:rFonts w:ascii="宋体"/>
              </w:rPr>
            </w:pPr>
          </w:p>
        </w:tc>
        <w:tc>
          <w:tcPr>
            <w:tcW w:w="5" w:type="pct"/>
            <w:shd w:val="clear" w:color="auto" w:fill="auto"/>
            <w:vAlign w:val="bottom"/>
          </w:tcPr>
          <w:p w14:paraId="67535F63" w14:textId="77777777" w:rsidR="001B77DD" w:rsidRDefault="001B77DD">
            <w:pPr>
              <w:rPr>
                <w:rFonts w:ascii="宋体"/>
              </w:rPr>
            </w:pPr>
          </w:p>
        </w:tc>
        <w:tc>
          <w:tcPr>
            <w:tcW w:w="24" w:type="pct"/>
            <w:shd w:val="clear" w:color="auto" w:fill="auto"/>
            <w:vAlign w:val="bottom"/>
          </w:tcPr>
          <w:p w14:paraId="67535F64" w14:textId="77777777" w:rsidR="001B77DD" w:rsidRDefault="001B77DD">
            <w:pPr>
              <w:rPr>
                <w:rFonts w:ascii="宋体"/>
              </w:rPr>
            </w:pPr>
          </w:p>
        </w:tc>
        <w:tc>
          <w:tcPr>
            <w:tcW w:w="5" w:type="pct"/>
            <w:shd w:val="clear" w:color="auto" w:fill="auto"/>
            <w:vAlign w:val="bottom"/>
          </w:tcPr>
          <w:p w14:paraId="67535F65" w14:textId="77777777" w:rsidR="001B77DD" w:rsidRDefault="001B77DD">
            <w:pPr>
              <w:rPr>
                <w:rFonts w:ascii="宋体"/>
              </w:rPr>
            </w:pPr>
          </w:p>
        </w:tc>
        <w:tc>
          <w:tcPr>
            <w:tcW w:w="50" w:type="pct"/>
            <w:shd w:val="clear" w:color="auto" w:fill="auto"/>
            <w:vAlign w:val="bottom"/>
          </w:tcPr>
          <w:p w14:paraId="67535F66" w14:textId="77777777" w:rsidR="001B77DD" w:rsidRDefault="001B77DD">
            <w:pPr>
              <w:rPr>
                <w:rFonts w:ascii="宋体"/>
              </w:rPr>
            </w:pPr>
          </w:p>
        </w:tc>
        <w:tc>
          <w:tcPr>
            <w:tcW w:w="491" w:type="pct"/>
            <w:shd w:val="clear" w:color="auto" w:fill="auto"/>
            <w:vAlign w:val="bottom"/>
          </w:tcPr>
          <w:p w14:paraId="67535F67" w14:textId="77777777" w:rsidR="001B77DD" w:rsidRDefault="001B77DD">
            <w:pPr>
              <w:rPr>
                <w:rFonts w:ascii="宋体"/>
              </w:rPr>
            </w:pPr>
          </w:p>
        </w:tc>
        <w:tc>
          <w:tcPr>
            <w:tcW w:w="5" w:type="pct"/>
            <w:shd w:val="clear" w:color="auto" w:fill="auto"/>
            <w:vAlign w:val="bottom"/>
          </w:tcPr>
          <w:p w14:paraId="67535F68" w14:textId="77777777" w:rsidR="001B77DD" w:rsidRDefault="001B77DD">
            <w:pPr>
              <w:rPr>
                <w:rFonts w:ascii="宋体"/>
              </w:rPr>
            </w:pPr>
          </w:p>
        </w:tc>
        <w:tc>
          <w:tcPr>
            <w:tcW w:w="5" w:type="pct"/>
            <w:shd w:val="clear" w:color="auto" w:fill="auto"/>
            <w:vAlign w:val="bottom"/>
          </w:tcPr>
          <w:p w14:paraId="67535F69" w14:textId="77777777" w:rsidR="001B77DD" w:rsidRDefault="001B77DD">
            <w:pPr>
              <w:rPr>
                <w:rFonts w:ascii="宋体"/>
              </w:rPr>
            </w:pPr>
          </w:p>
        </w:tc>
        <w:tc>
          <w:tcPr>
            <w:tcW w:w="24" w:type="pct"/>
            <w:shd w:val="clear" w:color="auto" w:fill="auto"/>
            <w:vAlign w:val="bottom"/>
          </w:tcPr>
          <w:p w14:paraId="67535F6A" w14:textId="77777777" w:rsidR="001B77DD" w:rsidRDefault="001B77DD">
            <w:pPr>
              <w:rPr>
                <w:rFonts w:ascii="宋体"/>
              </w:rPr>
            </w:pPr>
          </w:p>
        </w:tc>
        <w:tc>
          <w:tcPr>
            <w:tcW w:w="5" w:type="pct"/>
            <w:shd w:val="clear" w:color="auto" w:fill="auto"/>
            <w:vAlign w:val="bottom"/>
          </w:tcPr>
          <w:p w14:paraId="67535F6B" w14:textId="77777777" w:rsidR="001B77DD" w:rsidRDefault="001B77DD">
            <w:pPr>
              <w:rPr>
                <w:rFonts w:ascii="宋体"/>
              </w:rPr>
            </w:pPr>
          </w:p>
        </w:tc>
        <w:tc>
          <w:tcPr>
            <w:tcW w:w="50" w:type="pct"/>
            <w:shd w:val="clear" w:color="auto" w:fill="auto"/>
            <w:vAlign w:val="bottom"/>
          </w:tcPr>
          <w:p w14:paraId="67535F6C" w14:textId="77777777" w:rsidR="001B77DD" w:rsidRDefault="001B77DD">
            <w:pPr>
              <w:rPr>
                <w:rFonts w:ascii="宋体"/>
              </w:rPr>
            </w:pPr>
          </w:p>
        </w:tc>
        <w:tc>
          <w:tcPr>
            <w:tcW w:w="628" w:type="pct"/>
            <w:shd w:val="clear" w:color="auto" w:fill="auto"/>
            <w:vAlign w:val="bottom"/>
          </w:tcPr>
          <w:p w14:paraId="67535F6D" w14:textId="77777777" w:rsidR="001B77DD" w:rsidRDefault="001B77DD">
            <w:pPr>
              <w:rPr>
                <w:rFonts w:ascii="宋体"/>
              </w:rPr>
            </w:pPr>
          </w:p>
        </w:tc>
        <w:tc>
          <w:tcPr>
            <w:tcW w:w="5" w:type="pct"/>
            <w:shd w:val="clear" w:color="auto" w:fill="auto"/>
            <w:vAlign w:val="bottom"/>
          </w:tcPr>
          <w:p w14:paraId="67535F6E" w14:textId="77777777" w:rsidR="001B77DD" w:rsidRDefault="001B77DD">
            <w:pPr>
              <w:rPr>
                <w:rFonts w:ascii="宋体"/>
              </w:rPr>
            </w:pPr>
          </w:p>
        </w:tc>
        <w:tc>
          <w:tcPr>
            <w:tcW w:w="5" w:type="pct"/>
            <w:shd w:val="clear" w:color="auto" w:fill="auto"/>
            <w:vAlign w:val="bottom"/>
          </w:tcPr>
          <w:p w14:paraId="67535F6F" w14:textId="77777777" w:rsidR="001B77DD" w:rsidRDefault="001B77DD">
            <w:pPr>
              <w:rPr>
                <w:rFonts w:ascii="宋体"/>
              </w:rPr>
            </w:pPr>
          </w:p>
        </w:tc>
        <w:tc>
          <w:tcPr>
            <w:tcW w:w="24" w:type="pct"/>
            <w:shd w:val="clear" w:color="auto" w:fill="auto"/>
            <w:vAlign w:val="bottom"/>
          </w:tcPr>
          <w:p w14:paraId="67535F70" w14:textId="77777777" w:rsidR="001B77DD" w:rsidRDefault="001B77DD">
            <w:pPr>
              <w:rPr>
                <w:rFonts w:ascii="宋体"/>
              </w:rPr>
            </w:pPr>
          </w:p>
        </w:tc>
        <w:tc>
          <w:tcPr>
            <w:tcW w:w="5" w:type="pct"/>
            <w:shd w:val="clear" w:color="auto" w:fill="auto"/>
            <w:vAlign w:val="bottom"/>
          </w:tcPr>
          <w:p w14:paraId="67535F71" w14:textId="77777777" w:rsidR="001B77DD" w:rsidRDefault="001B77DD">
            <w:pPr>
              <w:rPr>
                <w:rFonts w:ascii="宋体"/>
              </w:rPr>
            </w:pPr>
          </w:p>
        </w:tc>
        <w:tc>
          <w:tcPr>
            <w:tcW w:w="50" w:type="pct"/>
            <w:shd w:val="clear" w:color="auto" w:fill="auto"/>
            <w:vAlign w:val="bottom"/>
          </w:tcPr>
          <w:p w14:paraId="67535F72" w14:textId="77777777" w:rsidR="001B77DD" w:rsidRDefault="001B77DD">
            <w:pPr>
              <w:rPr>
                <w:rFonts w:ascii="宋体"/>
              </w:rPr>
            </w:pPr>
          </w:p>
        </w:tc>
        <w:tc>
          <w:tcPr>
            <w:tcW w:w="491" w:type="pct"/>
            <w:shd w:val="clear" w:color="auto" w:fill="auto"/>
            <w:vAlign w:val="bottom"/>
          </w:tcPr>
          <w:p w14:paraId="67535F73" w14:textId="77777777" w:rsidR="001B77DD" w:rsidRDefault="001B77DD">
            <w:pPr>
              <w:rPr>
                <w:rFonts w:ascii="宋体"/>
              </w:rPr>
            </w:pPr>
          </w:p>
        </w:tc>
        <w:tc>
          <w:tcPr>
            <w:tcW w:w="5" w:type="pct"/>
            <w:shd w:val="clear" w:color="auto" w:fill="auto"/>
            <w:vAlign w:val="bottom"/>
          </w:tcPr>
          <w:p w14:paraId="67535F74" w14:textId="77777777" w:rsidR="001B77DD" w:rsidRDefault="001B77DD">
            <w:pPr>
              <w:rPr>
                <w:rFonts w:ascii="宋体"/>
              </w:rPr>
            </w:pPr>
          </w:p>
        </w:tc>
        <w:tc>
          <w:tcPr>
            <w:tcW w:w="5" w:type="pct"/>
            <w:shd w:val="clear" w:color="auto" w:fill="auto"/>
            <w:vAlign w:val="bottom"/>
          </w:tcPr>
          <w:p w14:paraId="67535F75" w14:textId="77777777" w:rsidR="001B77DD" w:rsidRDefault="001B77DD">
            <w:pPr>
              <w:rPr>
                <w:rFonts w:ascii="宋体"/>
              </w:rPr>
            </w:pPr>
          </w:p>
        </w:tc>
        <w:tc>
          <w:tcPr>
            <w:tcW w:w="24" w:type="pct"/>
            <w:shd w:val="clear" w:color="auto" w:fill="auto"/>
            <w:vAlign w:val="bottom"/>
          </w:tcPr>
          <w:p w14:paraId="67535F76" w14:textId="77777777" w:rsidR="001B77DD" w:rsidRDefault="001B77DD">
            <w:pPr>
              <w:rPr>
                <w:rFonts w:ascii="宋体"/>
              </w:rPr>
            </w:pPr>
          </w:p>
        </w:tc>
        <w:tc>
          <w:tcPr>
            <w:tcW w:w="5" w:type="pct"/>
            <w:shd w:val="clear" w:color="auto" w:fill="auto"/>
            <w:vAlign w:val="bottom"/>
          </w:tcPr>
          <w:p w14:paraId="67535F77" w14:textId="77777777" w:rsidR="001B77DD" w:rsidRDefault="001B77DD">
            <w:pPr>
              <w:rPr>
                <w:rFonts w:ascii="宋体"/>
              </w:rPr>
            </w:pPr>
          </w:p>
        </w:tc>
        <w:tc>
          <w:tcPr>
            <w:tcW w:w="50" w:type="pct"/>
            <w:shd w:val="clear" w:color="auto" w:fill="auto"/>
            <w:vAlign w:val="bottom"/>
          </w:tcPr>
          <w:p w14:paraId="67535F78" w14:textId="77777777" w:rsidR="001B77DD" w:rsidRDefault="001B77DD">
            <w:pPr>
              <w:rPr>
                <w:rFonts w:ascii="宋体"/>
              </w:rPr>
            </w:pPr>
          </w:p>
        </w:tc>
        <w:tc>
          <w:tcPr>
            <w:tcW w:w="491" w:type="pct"/>
            <w:shd w:val="clear" w:color="auto" w:fill="auto"/>
            <w:vAlign w:val="bottom"/>
          </w:tcPr>
          <w:p w14:paraId="67535F79" w14:textId="77777777" w:rsidR="001B77DD" w:rsidRDefault="001B77DD">
            <w:pPr>
              <w:rPr>
                <w:rFonts w:ascii="宋体"/>
              </w:rPr>
            </w:pPr>
          </w:p>
        </w:tc>
        <w:tc>
          <w:tcPr>
            <w:tcW w:w="5" w:type="pct"/>
            <w:shd w:val="clear" w:color="auto" w:fill="auto"/>
            <w:vAlign w:val="bottom"/>
          </w:tcPr>
          <w:p w14:paraId="67535F7A" w14:textId="77777777" w:rsidR="001B77DD" w:rsidRDefault="001B77DD">
            <w:pPr>
              <w:rPr>
                <w:rFonts w:ascii="宋体"/>
              </w:rPr>
            </w:pPr>
          </w:p>
        </w:tc>
      </w:tr>
      <w:tr w:rsidR="001B77DD" w14:paraId="67535F85" w14:textId="77777777">
        <w:trPr>
          <w:trHeight w:val="420"/>
        </w:trPr>
        <w:tc>
          <w:tcPr>
            <w:tcW w:w="0" w:type="auto"/>
            <w:gridSpan w:val="3"/>
            <w:shd w:val="clear" w:color="auto" w:fill="auto"/>
            <w:tcMar>
              <w:top w:w="0" w:type="dxa"/>
              <w:left w:w="20" w:type="dxa"/>
              <w:bottom w:w="0" w:type="dxa"/>
              <w:right w:w="20" w:type="dxa"/>
            </w:tcMar>
            <w:vAlign w:val="bottom"/>
          </w:tcPr>
          <w:p w14:paraId="67535F7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7D"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5F7E" w14:textId="77777777" w:rsidR="001B77DD" w:rsidRDefault="00BF0A28">
            <w:pPr>
              <w:jc w:val="center"/>
              <w:textAlignment w:val="bottom"/>
            </w:pPr>
            <w:r>
              <w:rPr>
                <w:rFonts w:ascii="Arial" w:eastAsia="宋体" w:hAnsi="Arial" w:cs="Arial"/>
                <w:b/>
                <w:bCs/>
                <w:color w:val="262626"/>
                <w:sz w:val="18"/>
                <w:szCs w:val="18"/>
              </w:rPr>
              <w:t>Common Stock and Capital</w:t>
            </w:r>
            <w:r>
              <w:rPr>
                <w:rFonts w:ascii="Arial" w:eastAsia="宋体" w:hAnsi="Arial" w:cs="Arial"/>
                <w:b/>
                <w:bCs/>
                <w:color w:val="262626"/>
                <w:sz w:val="18"/>
                <w:szCs w:val="18"/>
              </w:rPr>
              <w:br/>
              <w:t>in Excess of Par Value</w:t>
            </w:r>
          </w:p>
        </w:tc>
        <w:tc>
          <w:tcPr>
            <w:tcW w:w="0" w:type="auto"/>
            <w:gridSpan w:val="3"/>
            <w:shd w:val="clear" w:color="auto" w:fill="auto"/>
            <w:tcMar>
              <w:top w:w="0" w:type="dxa"/>
              <w:left w:w="20" w:type="dxa"/>
              <w:bottom w:w="0" w:type="dxa"/>
              <w:right w:w="20" w:type="dxa"/>
            </w:tcMar>
            <w:vAlign w:val="bottom"/>
          </w:tcPr>
          <w:p w14:paraId="67535F7F"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7535F80" w14:textId="77777777" w:rsidR="001B77DD" w:rsidRDefault="00BF0A28">
            <w:pPr>
              <w:jc w:val="center"/>
              <w:textAlignment w:val="bottom"/>
            </w:pPr>
            <w:r>
              <w:rPr>
                <w:rFonts w:ascii="Arial" w:eastAsia="宋体" w:hAnsi="Arial" w:cs="Arial"/>
                <w:b/>
                <w:bCs/>
                <w:color w:val="262626"/>
                <w:sz w:val="18"/>
                <w:szCs w:val="18"/>
              </w:rPr>
              <w:t>Accumulated</w:t>
            </w:r>
            <w:r>
              <w:rPr>
                <w:rFonts w:ascii="Arial" w:eastAsia="宋体" w:hAnsi="Arial" w:cs="Arial"/>
                <w:b/>
                <w:bCs/>
                <w:color w:val="262626"/>
                <w:sz w:val="18"/>
                <w:szCs w:val="18"/>
              </w:rPr>
              <w:br/>
              <w:t>Other</w:t>
            </w:r>
            <w:r>
              <w:rPr>
                <w:rFonts w:ascii="Arial" w:eastAsia="宋体" w:hAnsi="Arial" w:cs="Arial"/>
                <w:b/>
                <w:bCs/>
                <w:color w:val="262626"/>
                <w:sz w:val="18"/>
                <w:szCs w:val="18"/>
              </w:rPr>
              <w:br/>
              <w:t>Comprehensive</w:t>
            </w:r>
            <w:r>
              <w:rPr>
                <w:rFonts w:ascii="Arial" w:eastAsia="宋体" w:hAnsi="Arial" w:cs="Arial"/>
                <w:b/>
                <w:bCs/>
                <w:color w:val="262626"/>
                <w:sz w:val="18"/>
                <w:szCs w:val="18"/>
              </w:rPr>
              <w:br/>
              <w:t>Income (Loss)</w:t>
            </w:r>
          </w:p>
        </w:tc>
        <w:tc>
          <w:tcPr>
            <w:tcW w:w="0" w:type="auto"/>
            <w:gridSpan w:val="3"/>
            <w:vMerge w:val="restart"/>
            <w:shd w:val="clear" w:color="auto" w:fill="auto"/>
            <w:tcMar>
              <w:top w:w="0" w:type="dxa"/>
              <w:left w:w="20" w:type="dxa"/>
              <w:bottom w:w="0" w:type="dxa"/>
              <w:right w:w="20" w:type="dxa"/>
            </w:tcMar>
            <w:vAlign w:val="bottom"/>
          </w:tcPr>
          <w:p w14:paraId="67535F81"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7535F82" w14:textId="77777777" w:rsidR="001B77DD" w:rsidRDefault="00BF0A28">
            <w:pPr>
              <w:jc w:val="center"/>
              <w:textAlignment w:val="bottom"/>
            </w:pPr>
            <w:r>
              <w:rPr>
                <w:rFonts w:ascii="Arial" w:eastAsia="宋体" w:hAnsi="Arial" w:cs="Arial"/>
                <w:b/>
                <w:bCs/>
                <w:color w:val="262626"/>
                <w:sz w:val="18"/>
                <w:szCs w:val="18"/>
              </w:rPr>
              <w:t>Retained</w:t>
            </w:r>
            <w:r>
              <w:rPr>
                <w:rFonts w:ascii="Arial" w:eastAsia="宋体" w:hAnsi="Arial" w:cs="Arial"/>
                <w:b/>
                <w:bCs/>
                <w:color w:val="262626"/>
                <w:sz w:val="18"/>
                <w:szCs w:val="18"/>
              </w:rPr>
              <w:br/>
              <w:t>Earnings</w:t>
            </w:r>
          </w:p>
        </w:tc>
        <w:tc>
          <w:tcPr>
            <w:tcW w:w="0" w:type="auto"/>
            <w:gridSpan w:val="3"/>
            <w:vMerge w:val="restart"/>
            <w:shd w:val="clear" w:color="auto" w:fill="auto"/>
            <w:tcMar>
              <w:top w:w="0" w:type="dxa"/>
              <w:left w:w="20" w:type="dxa"/>
              <w:bottom w:w="0" w:type="dxa"/>
              <w:right w:w="20" w:type="dxa"/>
            </w:tcMar>
            <w:vAlign w:val="bottom"/>
          </w:tcPr>
          <w:p w14:paraId="67535F83" w14:textId="77777777" w:rsidR="001B77DD" w:rsidRDefault="001B77D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7535F84" w14:textId="77777777" w:rsidR="001B77DD" w:rsidRDefault="00BF0A28">
            <w:pPr>
              <w:jc w:val="center"/>
              <w:textAlignment w:val="bottom"/>
            </w:pPr>
            <w:r>
              <w:rPr>
                <w:rFonts w:ascii="Arial" w:eastAsia="宋体" w:hAnsi="Arial" w:cs="Arial"/>
                <w:b/>
                <w:bCs/>
                <w:color w:val="262626"/>
                <w:sz w:val="18"/>
                <w:szCs w:val="18"/>
              </w:rPr>
              <w:t>Total</w:t>
            </w:r>
          </w:p>
        </w:tc>
      </w:tr>
      <w:tr w:rsidR="001B77DD" w14:paraId="67535F91" w14:textId="77777777">
        <w:trPr>
          <w:trHeight w:val="460"/>
        </w:trPr>
        <w:tc>
          <w:tcPr>
            <w:tcW w:w="0" w:type="auto"/>
            <w:gridSpan w:val="3"/>
            <w:shd w:val="clear" w:color="auto" w:fill="auto"/>
            <w:tcMar>
              <w:top w:w="40" w:type="dxa"/>
              <w:left w:w="20" w:type="dxa"/>
              <w:bottom w:w="40" w:type="dxa"/>
              <w:right w:w="20" w:type="dxa"/>
            </w:tcMar>
            <w:vAlign w:val="bottom"/>
          </w:tcPr>
          <w:p w14:paraId="67535F86" w14:textId="77777777" w:rsidR="001B77DD" w:rsidRDefault="00BF0A2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67535F87"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5F88" w14:textId="77777777" w:rsidR="001B77DD" w:rsidRDefault="00BF0A28">
            <w:pPr>
              <w:jc w:val="center"/>
              <w:textAlignment w:val="bottom"/>
            </w:pPr>
            <w:r>
              <w:rPr>
                <w:rFonts w:ascii="Arial" w:eastAsia="宋体" w:hAnsi="Arial" w:cs="Arial"/>
                <w:b/>
                <w:bCs/>
                <w:color w:val="262626"/>
                <w:sz w:val="18"/>
                <w:szCs w:val="18"/>
              </w:rPr>
              <w:t>Number of</w:t>
            </w:r>
            <w:r>
              <w:rPr>
                <w:rFonts w:ascii="Arial" w:eastAsia="宋体" w:hAnsi="Arial" w:cs="Arial"/>
                <w:b/>
                <w:bCs/>
                <w:color w:val="262626"/>
                <w:sz w:val="18"/>
                <w:szCs w:val="18"/>
              </w:rPr>
              <w:br/>
              <w:t>Shares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5F89"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5F8A" w14:textId="77777777" w:rsidR="001B77DD" w:rsidRDefault="00BF0A28">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67535F8B"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vAlign w:val="bottom"/>
          </w:tcPr>
          <w:p w14:paraId="67535F8C" w14:textId="77777777" w:rsidR="001B77DD" w:rsidRDefault="001B77DD">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67535F8D"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vAlign w:val="bottom"/>
          </w:tcPr>
          <w:p w14:paraId="67535F8E" w14:textId="77777777" w:rsidR="001B77DD" w:rsidRDefault="001B77DD">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67535F8F" w14:textId="77777777" w:rsidR="001B77DD" w:rsidRDefault="001B77DD">
            <w:pPr>
              <w:rPr>
                <w:rFonts w:ascii="宋体"/>
              </w:rPr>
            </w:pPr>
          </w:p>
        </w:tc>
        <w:tc>
          <w:tcPr>
            <w:tcW w:w="0" w:type="auto"/>
            <w:gridSpan w:val="3"/>
            <w:vMerge/>
            <w:shd w:val="clear" w:color="auto" w:fill="auto"/>
            <w:tcMar>
              <w:top w:w="40" w:type="dxa"/>
              <w:left w:w="20" w:type="dxa"/>
              <w:bottom w:w="40" w:type="dxa"/>
              <w:right w:w="20" w:type="dxa"/>
            </w:tcMar>
            <w:vAlign w:val="bottom"/>
          </w:tcPr>
          <w:p w14:paraId="67535F90" w14:textId="77777777" w:rsidR="001B77DD" w:rsidRDefault="001B77DD">
            <w:pPr>
              <w:jc w:val="center"/>
              <w:rPr>
                <w:rFonts w:ascii="宋体"/>
              </w:rPr>
            </w:pPr>
          </w:p>
        </w:tc>
      </w:tr>
      <w:tr w:rsidR="001B77DD" w14:paraId="67535F9D" w14:textId="77777777">
        <w:trPr>
          <w:hidden/>
        </w:trPr>
        <w:tc>
          <w:tcPr>
            <w:tcW w:w="0" w:type="auto"/>
            <w:gridSpan w:val="3"/>
            <w:shd w:val="clear" w:color="auto" w:fill="auto"/>
            <w:vAlign w:val="bottom"/>
          </w:tcPr>
          <w:p w14:paraId="67535F92" w14:textId="77777777" w:rsidR="001B77DD" w:rsidRDefault="001B77DD">
            <w:pPr>
              <w:rPr>
                <w:rFonts w:ascii="宋体"/>
                <w:vanish/>
              </w:rPr>
            </w:pPr>
          </w:p>
        </w:tc>
        <w:tc>
          <w:tcPr>
            <w:tcW w:w="0" w:type="auto"/>
            <w:gridSpan w:val="3"/>
            <w:shd w:val="clear" w:color="auto" w:fill="auto"/>
            <w:vAlign w:val="bottom"/>
          </w:tcPr>
          <w:p w14:paraId="67535F93" w14:textId="77777777" w:rsidR="001B77DD" w:rsidRDefault="001B77DD">
            <w:pPr>
              <w:rPr>
                <w:rFonts w:ascii="宋体"/>
                <w:vanish/>
              </w:rPr>
            </w:pPr>
          </w:p>
        </w:tc>
        <w:tc>
          <w:tcPr>
            <w:tcW w:w="0" w:type="auto"/>
            <w:gridSpan w:val="3"/>
            <w:shd w:val="clear" w:color="auto" w:fill="auto"/>
            <w:vAlign w:val="bottom"/>
          </w:tcPr>
          <w:p w14:paraId="67535F94" w14:textId="77777777" w:rsidR="001B77DD" w:rsidRDefault="001B77DD">
            <w:pPr>
              <w:rPr>
                <w:rFonts w:ascii="宋体"/>
                <w:vanish/>
              </w:rPr>
            </w:pPr>
          </w:p>
        </w:tc>
        <w:tc>
          <w:tcPr>
            <w:tcW w:w="0" w:type="auto"/>
            <w:gridSpan w:val="3"/>
            <w:shd w:val="clear" w:color="auto" w:fill="auto"/>
            <w:vAlign w:val="bottom"/>
          </w:tcPr>
          <w:p w14:paraId="67535F95" w14:textId="77777777" w:rsidR="001B77DD" w:rsidRDefault="001B77DD">
            <w:pPr>
              <w:rPr>
                <w:rFonts w:ascii="宋体"/>
                <w:vanish/>
              </w:rPr>
            </w:pPr>
          </w:p>
        </w:tc>
        <w:tc>
          <w:tcPr>
            <w:tcW w:w="0" w:type="auto"/>
            <w:gridSpan w:val="3"/>
            <w:shd w:val="clear" w:color="auto" w:fill="auto"/>
            <w:vAlign w:val="bottom"/>
          </w:tcPr>
          <w:p w14:paraId="67535F96" w14:textId="77777777" w:rsidR="001B77DD" w:rsidRDefault="001B77DD">
            <w:pPr>
              <w:rPr>
                <w:rFonts w:ascii="宋体"/>
                <w:vanish/>
              </w:rPr>
            </w:pPr>
          </w:p>
        </w:tc>
        <w:tc>
          <w:tcPr>
            <w:tcW w:w="0" w:type="auto"/>
            <w:gridSpan w:val="3"/>
            <w:shd w:val="clear" w:color="auto" w:fill="auto"/>
            <w:vAlign w:val="bottom"/>
          </w:tcPr>
          <w:p w14:paraId="67535F97" w14:textId="77777777" w:rsidR="001B77DD" w:rsidRDefault="001B77DD">
            <w:pPr>
              <w:rPr>
                <w:rFonts w:ascii="宋体"/>
                <w:vanish/>
              </w:rPr>
            </w:pPr>
          </w:p>
        </w:tc>
        <w:tc>
          <w:tcPr>
            <w:tcW w:w="0" w:type="auto"/>
            <w:gridSpan w:val="3"/>
            <w:shd w:val="clear" w:color="auto" w:fill="auto"/>
            <w:vAlign w:val="bottom"/>
          </w:tcPr>
          <w:p w14:paraId="67535F98" w14:textId="77777777" w:rsidR="001B77DD" w:rsidRDefault="001B77DD">
            <w:pPr>
              <w:rPr>
                <w:rFonts w:ascii="宋体"/>
                <w:vanish/>
              </w:rPr>
            </w:pPr>
          </w:p>
        </w:tc>
        <w:tc>
          <w:tcPr>
            <w:tcW w:w="0" w:type="auto"/>
            <w:gridSpan w:val="3"/>
            <w:shd w:val="clear" w:color="auto" w:fill="auto"/>
            <w:vAlign w:val="bottom"/>
          </w:tcPr>
          <w:p w14:paraId="67535F99" w14:textId="77777777" w:rsidR="001B77DD" w:rsidRDefault="001B77DD">
            <w:pPr>
              <w:rPr>
                <w:rFonts w:ascii="宋体"/>
                <w:vanish/>
              </w:rPr>
            </w:pPr>
          </w:p>
        </w:tc>
        <w:tc>
          <w:tcPr>
            <w:tcW w:w="0" w:type="auto"/>
            <w:gridSpan w:val="3"/>
            <w:shd w:val="clear" w:color="auto" w:fill="auto"/>
            <w:vAlign w:val="bottom"/>
          </w:tcPr>
          <w:p w14:paraId="67535F9A" w14:textId="77777777" w:rsidR="001B77DD" w:rsidRDefault="001B77DD">
            <w:pPr>
              <w:rPr>
                <w:rFonts w:ascii="宋体"/>
                <w:vanish/>
              </w:rPr>
            </w:pPr>
          </w:p>
        </w:tc>
        <w:tc>
          <w:tcPr>
            <w:tcW w:w="0" w:type="auto"/>
            <w:gridSpan w:val="3"/>
            <w:shd w:val="clear" w:color="auto" w:fill="auto"/>
            <w:vAlign w:val="bottom"/>
          </w:tcPr>
          <w:p w14:paraId="67535F9B" w14:textId="77777777" w:rsidR="001B77DD" w:rsidRDefault="001B77DD">
            <w:pPr>
              <w:rPr>
                <w:rFonts w:ascii="宋体"/>
                <w:vanish/>
              </w:rPr>
            </w:pPr>
          </w:p>
        </w:tc>
        <w:tc>
          <w:tcPr>
            <w:tcW w:w="0" w:type="auto"/>
            <w:gridSpan w:val="3"/>
            <w:shd w:val="clear" w:color="auto" w:fill="auto"/>
            <w:vAlign w:val="bottom"/>
          </w:tcPr>
          <w:p w14:paraId="67535F9C" w14:textId="77777777" w:rsidR="001B77DD" w:rsidRDefault="001B77DD">
            <w:pPr>
              <w:rPr>
                <w:rFonts w:ascii="宋体"/>
                <w:vanish/>
              </w:rPr>
            </w:pPr>
          </w:p>
        </w:tc>
      </w:tr>
      <w:tr w:rsidR="001B77DD" w14:paraId="67535FA9" w14:textId="77777777">
        <w:trPr>
          <w:hidden/>
        </w:trPr>
        <w:tc>
          <w:tcPr>
            <w:tcW w:w="0" w:type="auto"/>
            <w:gridSpan w:val="3"/>
            <w:shd w:val="clear" w:color="auto" w:fill="auto"/>
            <w:vAlign w:val="bottom"/>
          </w:tcPr>
          <w:p w14:paraId="67535F9E" w14:textId="77777777" w:rsidR="001B77DD" w:rsidRDefault="001B77DD">
            <w:pPr>
              <w:rPr>
                <w:rFonts w:ascii="宋体"/>
                <w:vanish/>
              </w:rPr>
            </w:pPr>
          </w:p>
        </w:tc>
        <w:tc>
          <w:tcPr>
            <w:tcW w:w="0" w:type="auto"/>
            <w:gridSpan w:val="3"/>
            <w:shd w:val="clear" w:color="auto" w:fill="auto"/>
            <w:vAlign w:val="bottom"/>
          </w:tcPr>
          <w:p w14:paraId="67535F9F" w14:textId="77777777" w:rsidR="001B77DD" w:rsidRDefault="001B77DD">
            <w:pPr>
              <w:rPr>
                <w:rFonts w:ascii="宋体"/>
                <w:vanish/>
              </w:rPr>
            </w:pPr>
          </w:p>
        </w:tc>
        <w:tc>
          <w:tcPr>
            <w:tcW w:w="0" w:type="auto"/>
            <w:gridSpan w:val="3"/>
            <w:shd w:val="clear" w:color="auto" w:fill="auto"/>
            <w:vAlign w:val="bottom"/>
          </w:tcPr>
          <w:p w14:paraId="67535FA0" w14:textId="77777777" w:rsidR="001B77DD" w:rsidRDefault="001B77DD">
            <w:pPr>
              <w:rPr>
                <w:rFonts w:ascii="宋体"/>
                <w:vanish/>
              </w:rPr>
            </w:pPr>
          </w:p>
        </w:tc>
        <w:tc>
          <w:tcPr>
            <w:tcW w:w="0" w:type="auto"/>
            <w:gridSpan w:val="3"/>
            <w:shd w:val="clear" w:color="auto" w:fill="auto"/>
            <w:vAlign w:val="bottom"/>
          </w:tcPr>
          <w:p w14:paraId="67535FA1" w14:textId="77777777" w:rsidR="001B77DD" w:rsidRDefault="001B77DD">
            <w:pPr>
              <w:rPr>
                <w:rFonts w:ascii="宋体"/>
                <w:vanish/>
              </w:rPr>
            </w:pPr>
          </w:p>
        </w:tc>
        <w:tc>
          <w:tcPr>
            <w:tcW w:w="0" w:type="auto"/>
            <w:gridSpan w:val="3"/>
            <w:shd w:val="clear" w:color="auto" w:fill="auto"/>
            <w:vAlign w:val="bottom"/>
          </w:tcPr>
          <w:p w14:paraId="67535FA2" w14:textId="77777777" w:rsidR="001B77DD" w:rsidRDefault="001B77DD">
            <w:pPr>
              <w:rPr>
                <w:rFonts w:ascii="宋体"/>
                <w:vanish/>
              </w:rPr>
            </w:pPr>
          </w:p>
        </w:tc>
        <w:tc>
          <w:tcPr>
            <w:tcW w:w="0" w:type="auto"/>
            <w:gridSpan w:val="3"/>
            <w:shd w:val="clear" w:color="auto" w:fill="auto"/>
            <w:vAlign w:val="bottom"/>
          </w:tcPr>
          <w:p w14:paraId="67535FA3" w14:textId="77777777" w:rsidR="001B77DD" w:rsidRDefault="001B77DD">
            <w:pPr>
              <w:rPr>
                <w:rFonts w:ascii="宋体"/>
                <w:vanish/>
              </w:rPr>
            </w:pPr>
          </w:p>
        </w:tc>
        <w:tc>
          <w:tcPr>
            <w:tcW w:w="0" w:type="auto"/>
            <w:gridSpan w:val="3"/>
            <w:shd w:val="clear" w:color="auto" w:fill="auto"/>
            <w:vAlign w:val="bottom"/>
          </w:tcPr>
          <w:p w14:paraId="67535FA4" w14:textId="77777777" w:rsidR="001B77DD" w:rsidRDefault="001B77DD">
            <w:pPr>
              <w:rPr>
                <w:rFonts w:ascii="宋体"/>
                <w:vanish/>
              </w:rPr>
            </w:pPr>
          </w:p>
        </w:tc>
        <w:tc>
          <w:tcPr>
            <w:tcW w:w="0" w:type="auto"/>
            <w:gridSpan w:val="3"/>
            <w:shd w:val="clear" w:color="auto" w:fill="auto"/>
            <w:vAlign w:val="bottom"/>
          </w:tcPr>
          <w:p w14:paraId="67535FA5" w14:textId="77777777" w:rsidR="001B77DD" w:rsidRDefault="001B77DD">
            <w:pPr>
              <w:rPr>
                <w:rFonts w:ascii="宋体"/>
                <w:vanish/>
              </w:rPr>
            </w:pPr>
          </w:p>
        </w:tc>
        <w:tc>
          <w:tcPr>
            <w:tcW w:w="0" w:type="auto"/>
            <w:gridSpan w:val="3"/>
            <w:shd w:val="clear" w:color="auto" w:fill="auto"/>
            <w:vAlign w:val="bottom"/>
          </w:tcPr>
          <w:p w14:paraId="67535FA6" w14:textId="77777777" w:rsidR="001B77DD" w:rsidRDefault="001B77DD">
            <w:pPr>
              <w:rPr>
                <w:rFonts w:ascii="宋体"/>
                <w:vanish/>
              </w:rPr>
            </w:pPr>
          </w:p>
        </w:tc>
        <w:tc>
          <w:tcPr>
            <w:tcW w:w="0" w:type="auto"/>
            <w:gridSpan w:val="3"/>
            <w:shd w:val="clear" w:color="auto" w:fill="auto"/>
            <w:vAlign w:val="bottom"/>
          </w:tcPr>
          <w:p w14:paraId="67535FA7" w14:textId="77777777" w:rsidR="001B77DD" w:rsidRDefault="001B77DD">
            <w:pPr>
              <w:rPr>
                <w:rFonts w:ascii="宋体"/>
                <w:vanish/>
              </w:rPr>
            </w:pPr>
          </w:p>
        </w:tc>
        <w:tc>
          <w:tcPr>
            <w:tcW w:w="0" w:type="auto"/>
            <w:gridSpan w:val="3"/>
            <w:shd w:val="clear" w:color="auto" w:fill="auto"/>
            <w:vAlign w:val="bottom"/>
          </w:tcPr>
          <w:p w14:paraId="67535FA8" w14:textId="77777777" w:rsidR="001B77DD" w:rsidRDefault="001B77DD">
            <w:pPr>
              <w:rPr>
                <w:rFonts w:ascii="宋体"/>
                <w:vanish/>
              </w:rPr>
            </w:pPr>
          </w:p>
        </w:tc>
      </w:tr>
      <w:tr w:rsidR="001B77DD" w14:paraId="67535FB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5FAA" w14:textId="77777777" w:rsidR="001B77DD" w:rsidRDefault="00BF0A28">
            <w:pPr>
              <w:textAlignment w:val="bottom"/>
            </w:pPr>
            <w:r>
              <w:rPr>
                <w:rFonts w:ascii="Arial" w:eastAsia="宋体" w:hAnsi="Arial" w:cs="Arial"/>
                <w:b/>
                <w:bCs/>
                <w:color w:val="262626"/>
                <w:sz w:val="18"/>
                <w:szCs w:val="18"/>
              </w:rPr>
              <w:t>Balance as of December 29, 2018</w:t>
            </w:r>
          </w:p>
        </w:tc>
        <w:tc>
          <w:tcPr>
            <w:tcW w:w="0" w:type="auto"/>
            <w:gridSpan w:val="3"/>
            <w:shd w:val="clear" w:color="auto" w:fill="auto"/>
            <w:tcMar>
              <w:top w:w="0" w:type="dxa"/>
              <w:left w:w="20" w:type="dxa"/>
              <w:bottom w:w="0" w:type="dxa"/>
              <w:right w:w="20" w:type="dxa"/>
            </w:tcMar>
            <w:vAlign w:val="bottom"/>
          </w:tcPr>
          <w:p w14:paraId="67535FAB"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5FAC" w14:textId="77777777" w:rsidR="001B77DD" w:rsidRDefault="00BF0A28">
            <w:pPr>
              <w:jc w:val="right"/>
              <w:textAlignment w:val="bottom"/>
            </w:pPr>
            <w:r>
              <w:rPr>
                <w:rFonts w:ascii="Arial" w:eastAsia="宋体" w:hAnsi="Arial" w:cs="Arial"/>
                <w:b/>
                <w:bCs/>
                <w:color w:val="262626"/>
                <w:sz w:val="18"/>
                <w:szCs w:val="18"/>
              </w:rPr>
              <w:t>4,516</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FA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A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FA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FB0" w14:textId="77777777" w:rsidR="001B77DD" w:rsidRDefault="00BF0A28">
            <w:pPr>
              <w:jc w:val="right"/>
              <w:textAlignment w:val="bottom"/>
            </w:pPr>
            <w:r>
              <w:rPr>
                <w:rFonts w:ascii="Arial" w:eastAsia="宋体" w:hAnsi="Arial" w:cs="Arial"/>
                <w:b/>
                <w:bCs/>
                <w:color w:val="262626"/>
                <w:sz w:val="18"/>
                <w:szCs w:val="18"/>
              </w:rPr>
              <w:t>25,365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FB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B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FB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FB4" w14:textId="77777777" w:rsidR="001B77DD" w:rsidRDefault="00BF0A28">
            <w:pPr>
              <w:jc w:val="right"/>
              <w:textAlignment w:val="bottom"/>
            </w:pPr>
            <w:r>
              <w:rPr>
                <w:rFonts w:ascii="Arial" w:eastAsia="宋体" w:hAnsi="Arial" w:cs="Arial"/>
                <w:b/>
                <w:bCs/>
                <w:color w:val="262626"/>
                <w:sz w:val="18"/>
                <w:szCs w:val="18"/>
              </w:rPr>
              <w:t>(974)</w:t>
            </w:r>
          </w:p>
        </w:tc>
        <w:tc>
          <w:tcPr>
            <w:tcW w:w="0" w:type="auto"/>
            <w:tcBorders>
              <w:top w:val="single" w:sz="8" w:space="0" w:color="0068B5"/>
            </w:tcBorders>
            <w:shd w:val="clear" w:color="auto" w:fill="auto"/>
            <w:tcMar>
              <w:top w:w="40" w:type="dxa"/>
              <w:left w:w="0" w:type="dxa"/>
              <w:bottom w:w="40" w:type="dxa"/>
              <w:right w:w="20" w:type="dxa"/>
            </w:tcMar>
            <w:vAlign w:val="bottom"/>
          </w:tcPr>
          <w:p w14:paraId="67535FB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B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FB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FB8" w14:textId="77777777" w:rsidR="001B77DD" w:rsidRDefault="00BF0A28">
            <w:pPr>
              <w:jc w:val="right"/>
              <w:textAlignment w:val="bottom"/>
            </w:pPr>
            <w:r>
              <w:rPr>
                <w:rFonts w:ascii="Arial" w:eastAsia="宋体" w:hAnsi="Arial" w:cs="Arial"/>
                <w:b/>
                <w:bCs/>
                <w:color w:val="262626"/>
                <w:sz w:val="18"/>
                <w:szCs w:val="18"/>
              </w:rPr>
              <w:t>50,172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FB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B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5FB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5FBC" w14:textId="77777777" w:rsidR="001B77DD" w:rsidRDefault="00BF0A28">
            <w:pPr>
              <w:jc w:val="right"/>
              <w:textAlignment w:val="bottom"/>
            </w:pPr>
            <w:r>
              <w:rPr>
                <w:rFonts w:ascii="Arial" w:eastAsia="宋体" w:hAnsi="Arial" w:cs="Arial"/>
                <w:b/>
                <w:bCs/>
                <w:color w:val="262626"/>
                <w:sz w:val="18"/>
                <w:szCs w:val="18"/>
              </w:rPr>
              <w:t>74,563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5FBD" w14:textId="77777777" w:rsidR="001B77DD" w:rsidRDefault="001B77DD">
            <w:pPr>
              <w:jc w:val="right"/>
              <w:rPr>
                <w:rFonts w:ascii="宋体"/>
              </w:rPr>
            </w:pPr>
          </w:p>
        </w:tc>
      </w:tr>
      <w:tr w:rsidR="001B77DD" w14:paraId="67535FCA" w14:textId="77777777">
        <w:tc>
          <w:tcPr>
            <w:tcW w:w="0" w:type="auto"/>
            <w:gridSpan w:val="3"/>
            <w:shd w:val="clear" w:color="auto" w:fill="auto"/>
            <w:tcMar>
              <w:top w:w="40" w:type="dxa"/>
              <w:left w:w="20" w:type="dxa"/>
              <w:bottom w:w="40" w:type="dxa"/>
              <w:right w:w="20" w:type="dxa"/>
            </w:tcMar>
          </w:tcPr>
          <w:p w14:paraId="67535FBF" w14:textId="77777777" w:rsidR="001B77DD" w:rsidRDefault="00BF0A28">
            <w:pPr>
              <w:textAlignment w:val="top"/>
            </w:pPr>
            <w:r>
              <w:rPr>
                <w:rFonts w:ascii="Arial" w:eastAsia="宋体" w:hAnsi="Arial" w:cs="Arial"/>
                <w:color w:val="262626"/>
                <w:sz w:val="18"/>
                <w:szCs w:val="18"/>
              </w:rPr>
              <w:t xml:space="preserve">Components of comprehensive income, net of </w:t>
            </w:r>
            <w:r>
              <w:rPr>
                <w:rFonts w:ascii="Arial" w:eastAsia="宋体" w:hAnsi="Arial" w:cs="Arial"/>
                <w:color w:val="262626"/>
                <w:sz w:val="18"/>
                <w:szCs w:val="18"/>
              </w:rPr>
              <w:t>tax:</w:t>
            </w:r>
          </w:p>
        </w:tc>
        <w:tc>
          <w:tcPr>
            <w:tcW w:w="0" w:type="auto"/>
            <w:gridSpan w:val="3"/>
            <w:shd w:val="clear" w:color="auto" w:fill="auto"/>
            <w:tcMar>
              <w:top w:w="0" w:type="dxa"/>
              <w:left w:w="20" w:type="dxa"/>
              <w:bottom w:w="0" w:type="dxa"/>
              <w:right w:w="20" w:type="dxa"/>
            </w:tcMar>
            <w:vAlign w:val="bottom"/>
          </w:tcPr>
          <w:p w14:paraId="67535FC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C9" w14:textId="77777777" w:rsidR="001B77DD" w:rsidRDefault="001B77DD">
            <w:pPr>
              <w:rPr>
                <w:rFonts w:ascii="宋体"/>
              </w:rPr>
            </w:pPr>
          </w:p>
        </w:tc>
      </w:tr>
      <w:tr w:rsidR="001B77DD" w14:paraId="67535FD9" w14:textId="77777777">
        <w:tc>
          <w:tcPr>
            <w:tcW w:w="0" w:type="auto"/>
            <w:gridSpan w:val="3"/>
            <w:shd w:val="clear" w:color="auto" w:fill="auto"/>
            <w:tcMar>
              <w:top w:w="40" w:type="dxa"/>
              <w:left w:w="155" w:type="dxa"/>
              <w:bottom w:w="40" w:type="dxa"/>
              <w:right w:w="20" w:type="dxa"/>
            </w:tcMar>
            <w:vAlign w:val="bottom"/>
          </w:tcPr>
          <w:p w14:paraId="67535FCB" w14:textId="77777777" w:rsidR="001B77DD" w:rsidRDefault="00BF0A2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7535FC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CD"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FC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C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FD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5F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FD2"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5FD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D4" w14:textId="77777777" w:rsidR="001B77DD" w:rsidRDefault="00BF0A28">
            <w:pPr>
              <w:jc w:val="right"/>
              <w:textAlignment w:val="bottom"/>
            </w:pPr>
            <w:r>
              <w:rPr>
                <w:rFonts w:ascii="Arial" w:eastAsia="宋体" w:hAnsi="Arial" w:cs="Arial"/>
                <w:color w:val="262626"/>
                <w:sz w:val="18"/>
                <w:szCs w:val="18"/>
              </w:rPr>
              <w:t>21,048 </w:t>
            </w:r>
          </w:p>
        </w:tc>
        <w:tc>
          <w:tcPr>
            <w:tcW w:w="0" w:type="auto"/>
            <w:shd w:val="clear" w:color="auto" w:fill="auto"/>
            <w:tcMar>
              <w:top w:w="40" w:type="dxa"/>
              <w:left w:w="0" w:type="dxa"/>
              <w:bottom w:w="40" w:type="dxa"/>
              <w:right w:w="20" w:type="dxa"/>
            </w:tcMar>
            <w:vAlign w:val="bottom"/>
          </w:tcPr>
          <w:p w14:paraId="67535FD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D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D7" w14:textId="77777777" w:rsidR="001B77DD" w:rsidRDefault="00BF0A28">
            <w:pPr>
              <w:jc w:val="right"/>
              <w:textAlignment w:val="bottom"/>
            </w:pPr>
            <w:r>
              <w:rPr>
                <w:rFonts w:ascii="Arial" w:eastAsia="宋体" w:hAnsi="Arial" w:cs="Arial"/>
                <w:color w:val="262626"/>
                <w:sz w:val="18"/>
                <w:szCs w:val="18"/>
              </w:rPr>
              <w:t>21,048 </w:t>
            </w:r>
          </w:p>
        </w:tc>
        <w:tc>
          <w:tcPr>
            <w:tcW w:w="0" w:type="auto"/>
            <w:shd w:val="clear" w:color="auto" w:fill="auto"/>
            <w:tcMar>
              <w:top w:w="40" w:type="dxa"/>
              <w:left w:w="0" w:type="dxa"/>
              <w:bottom w:w="40" w:type="dxa"/>
              <w:right w:w="20" w:type="dxa"/>
            </w:tcMar>
            <w:vAlign w:val="bottom"/>
          </w:tcPr>
          <w:p w14:paraId="67535FD8" w14:textId="77777777" w:rsidR="001B77DD" w:rsidRDefault="001B77DD">
            <w:pPr>
              <w:jc w:val="right"/>
              <w:rPr>
                <w:rFonts w:ascii="宋体"/>
              </w:rPr>
            </w:pPr>
          </w:p>
        </w:tc>
      </w:tr>
      <w:tr w:rsidR="001B77DD" w14:paraId="67535FE8" w14:textId="77777777">
        <w:tc>
          <w:tcPr>
            <w:tcW w:w="0" w:type="auto"/>
            <w:gridSpan w:val="3"/>
            <w:shd w:val="clear" w:color="auto" w:fill="auto"/>
            <w:tcMar>
              <w:top w:w="40" w:type="dxa"/>
              <w:left w:w="155" w:type="dxa"/>
              <w:bottom w:w="40" w:type="dxa"/>
              <w:right w:w="20" w:type="dxa"/>
            </w:tcMar>
            <w:vAlign w:val="bottom"/>
          </w:tcPr>
          <w:p w14:paraId="67535FDA" w14:textId="77777777" w:rsidR="001B77DD" w:rsidRDefault="00BF0A2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7535FD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DC"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5FD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D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FDF"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5FE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E1" w14:textId="77777777" w:rsidR="001B77DD" w:rsidRDefault="00BF0A28">
            <w:pPr>
              <w:jc w:val="right"/>
              <w:textAlignment w:val="bottom"/>
            </w:pPr>
            <w:r>
              <w:rPr>
                <w:rFonts w:ascii="Arial" w:eastAsia="宋体" w:hAnsi="Arial" w:cs="Arial"/>
                <w:color w:val="262626"/>
                <w:sz w:val="18"/>
                <w:szCs w:val="18"/>
              </w:rPr>
              <w:t>(306)</w:t>
            </w:r>
          </w:p>
        </w:tc>
        <w:tc>
          <w:tcPr>
            <w:tcW w:w="0" w:type="auto"/>
            <w:shd w:val="clear" w:color="auto" w:fill="auto"/>
            <w:tcMar>
              <w:top w:w="40" w:type="dxa"/>
              <w:left w:w="0" w:type="dxa"/>
              <w:bottom w:w="40" w:type="dxa"/>
              <w:right w:w="20" w:type="dxa"/>
            </w:tcMar>
            <w:vAlign w:val="bottom"/>
          </w:tcPr>
          <w:p w14:paraId="67535F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E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FE4"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5FE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E6" w14:textId="77777777" w:rsidR="001B77DD" w:rsidRDefault="00BF0A28">
            <w:pPr>
              <w:jc w:val="right"/>
              <w:textAlignment w:val="bottom"/>
            </w:pPr>
            <w:r>
              <w:rPr>
                <w:rFonts w:ascii="Arial" w:eastAsia="宋体" w:hAnsi="Arial" w:cs="Arial"/>
                <w:color w:val="262626"/>
                <w:sz w:val="18"/>
                <w:szCs w:val="18"/>
              </w:rPr>
              <w:t>(306)</w:t>
            </w:r>
          </w:p>
        </w:tc>
        <w:tc>
          <w:tcPr>
            <w:tcW w:w="0" w:type="auto"/>
            <w:shd w:val="clear" w:color="auto" w:fill="auto"/>
            <w:tcMar>
              <w:top w:w="40" w:type="dxa"/>
              <w:left w:w="0" w:type="dxa"/>
              <w:bottom w:w="40" w:type="dxa"/>
              <w:right w:w="20" w:type="dxa"/>
            </w:tcMar>
            <w:vAlign w:val="bottom"/>
          </w:tcPr>
          <w:p w14:paraId="67535FE7" w14:textId="77777777" w:rsidR="001B77DD" w:rsidRDefault="001B77DD">
            <w:pPr>
              <w:jc w:val="right"/>
              <w:rPr>
                <w:rFonts w:ascii="宋体"/>
              </w:rPr>
            </w:pPr>
          </w:p>
        </w:tc>
      </w:tr>
      <w:tr w:rsidR="001B77DD" w14:paraId="67535FF5" w14:textId="77777777">
        <w:tc>
          <w:tcPr>
            <w:tcW w:w="0" w:type="auto"/>
            <w:gridSpan w:val="3"/>
            <w:shd w:val="clear" w:color="auto" w:fill="auto"/>
            <w:tcMar>
              <w:top w:w="40" w:type="dxa"/>
              <w:left w:w="380" w:type="dxa"/>
              <w:bottom w:w="40" w:type="dxa"/>
              <w:right w:w="20" w:type="dxa"/>
            </w:tcMar>
            <w:vAlign w:val="bottom"/>
          </w:tcPr>
          <w:p w14:paraId="67535FE9" w14:textId="77777777" w:rsidR="001B77DD" w:rsidRDefault="00BF0A28">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67535FE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E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E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E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E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E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F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F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5FF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5FF3" w14:textId="77777777" w:rsidR="001B77DD" w:rsidRDefault="00BF0A28">
            <w:pPr>
              <w:jc w:val="right"/>
              <w:textAlignment w:val="bottom"/>
            </w:pPr>
            <w:r>
              <w:rPr>
                <w:rFonts w:ascii="Arial" w:eastAsia="宋体" w:hAnsi="Arial" w:cs="Arial"/>
                <w:color w:val="262626"/>
                <w:sz w:val="18"/>
                <w:szCs w:val="18"/>
              </w:rPr>
              <w:t>20,742 </w:t>
            </w:r>
          </w:p>
        </w:tc>
        <w:tc>
          <w:tcPr>
            <w:tcW w:w="0" w:type="auto"/>
            <w:tcBorders>
              <w:top w:val="single" w:sz="4" w:space="0" w:color="262626"/>
            </w:tcBorders>
            <w:shd w:val="clear" w:color="auto" w:fill="auto"/>
            <w:tcMar>
              <w:top w:w="40" w:type="dxa"/>
              <w:left w:w="0" w:type="dxa"/>
              <w:bottom w:w="40" w:type="dxa"/>
              <w:right w:w="20" w:type="dxa"/>
            </w:tcMar>
            <w:vAlign w:val="bottom"/>
          </w:tcPr>
          <w:p w14:paraId="67535FF4" w14:textId="77777777" w:rsidR="001B77DD" w:rsidRDefault="001B77DD">
            <w:pPr>
              <w:jc w:val="right"/>
              <w:rPr>
                <w:rFonts w:ascii="宋体"/>
              </w:rPr>
            </w:pPr>
          </w:p>
        </w:tc>
      </w:tr>
      <w:tr w:rsidR="001B77DD" w14:paraId="67536004" w14:textId="77777777">
        <w:tc>
          <w:tcPr>
            <w:tcW w:w="0" w:type="auto"/>
            <w:gridSpan w:val="3"/>
            <w:shd w:val="clear" w:color="auto" w:fill="auto"/>
            <w:tcMar>
              <w:top w:w="40" w:type="dxa"/>
              <w:left w:w="20" w:type="dxa"/>
              <w:bottom w:w="40" w:type="dxa"/>
              <w:right w:w="20" w:type="dxa"/>
            </w:tcMar>
            <w:vAlign w:val="bottom"/>
          </w:tcPr>
          <w:p w14:paraId="67535FF6" w14:textId="77777777" w:rsidR="001B77DD" w:rsidRDefault="00BF0A2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7535FF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F8" w14:textId="77777777" w:rsidR="001B77DD" w:rsidRDefault="00BF0A28">
            <w:pPr>
              <w:jc w:val="right"/>
              <w:textAlignment w:val="bottom"/>
            </w:pPr>
            <w:r>
              <w:rPr>
                <w:rFonts w:ascii="Arial" w:eastAsia="宋体" w:hAnsi="Arial" w:cs="Arial"/>
                <w:color w:val="262626"/>
                <w:sz w:val="18"/>
                <w:szCs w:val="18"/>
              </w:rPr>
              <w:t>55 </w:t>
            </w:r>
          </w:p>
        </w:tc>
        <w:tc>
          <w:tcPr>
            <w:tcW w:w="0" w:type="auto"/>
            <w:shd w:val="clear" w:color="auto" w:fill="auto"/>
            <w:tcMar>
              <w:top w:w="40" w:type="dxa"/>
              <w:left w:w="0" w:type="dxa"/>
              <w:bottom w:w="40" w:type="dxa"/>
              <w:right w:w="20" w:type="dxa"/>
            </w:tcMar>
            <w:vAlign w:val="bottom"/>
          </w:tcPr>
          <w:p w14:paraId="67535FF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F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5FFB" w14:textId="77777777" w:rsidR="001B77DD" w:rsidRDefault="00BF0A28">
            <w:pPr>
              <w:jc w:val="right"/>
              <w:textAlignment w:val="bottom"/>
            </w:pPr>
            <w:r>
              <w:rPr>
                <w:rFonts w:ascii="Arial" w:eastAsia="宋体" w:hAnsi="Arial" w:cs="Arial"/>
                <w:color w:val="262626"/>
                <w:sz w:val="18"/>
                <w:szCs w:val="18"/>
              </w:rPr>
              <w:t>892 </w:t>
            </w:r>
          </w:p>
        </w:tc>
        <w:tc>
          <w:tcPr>
            <w:tcW w:w="0" w:type="auto"/>
            <w:shd w:val="clear" w:color="auto" w:fill="auto"/>
            <w:tcMar>
              <w:top w:w="40" w:type="dxa"/>
              <w:left w:w="0" w:type="dxa"/>
              <w:bottom w:w="40" w:type="dxa"/>
              <w:right w:w="20" w:type="dxa"/>
            </w:tcMar>
            <w:vAlign w:val="bottom"/>
          </w:tcPr>
          <w:p w14:paraId="67535FF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5FF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5FFE"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5FF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0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01"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002" w14:textId="77777777" w:rsidR="001B77DD" w:rsidRDefault="00BF0A28">
            <w:pPr>
              <w:jc w:val="right"/>
              <w:textAlignment w:val="bottom"/>
            </w:pPr>
            <w:r>
              <w:rPr>
                <w:rFonts w:ascii="Arial" w:eastAsia="宋体" w:hAnsi="Arial" w:cs="Arial"/>
                <w:color w:val="262626"/>
                <w:sz w:val="18"/>
                <w:szCs w:val="18"/>
              </w:rPr>
              <w:t>892 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003" w14:textId="77777777" w:rsidR="001B77DD" w:rsidRDefault="001B77DD">
            <w:pPr>
              <w:jc w:val="right"/>
              <w:rPr>
                <w:rFonts w:ascii="宋体"/>
              </w:rPr>
            </w:pPr>
          </w:p>
        </w:tc>
      </w:tr>
      <w:tr w:rsidR="001B77DD" w14:paraId="67536013" w14:textId="77777777">
        <w:tc>
          <w:tcPr>
            <w:tcW w:w="0" w:type="auto"/>
            <w:gridSpan w:val="3"/>
            <w:shd w:val="clear" w:color="auto" w:fill="auto"/>
            <w:tcMar>
              <w:top w:w="40" w:type="dxa"/>
              <w:left w:w="20" w:type="dxa"/>
              <w:bottom w:w="40" w:type="dxa"/>
              <w:right w:w="20" w:type="dxa"/>
            </w:tcMar>
            <w:vAlign w:val="bottom"/>
          </w:tcPr>
          <w:p w14:paraId="67536005" w14:textId="77777777" w:rsidR="001B77DD" w:rsidRDefault="00BF0A2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753600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07"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0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0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0A" w14:textId="77777777" w:rsidR="001B77DD" w:rsidRDefault="00BF0A28">
            <w:pPr>
              <w:jc w:val="right"/>
              <w:textAlignment w:val="bottom"/>
            </w:pPr>
            <w:r>
              <w:rPr>
                <w:rFonts w:ascii="Arial" w:eastAsia="宋体" w:hAnsi="Arial" w:cs="Arial"/>
                <w:color w:val="262626"/>
                <w:sz w:val="18"/>
                <w:szCs w:val="18"/>
              </w:rPr>
              <w:t>1,705 </w:t>
            </w:r>
          </w:p>
        </w:tc>
        <w:tc>
          <w:tcPr>
            <w:tcW w:w="0" w:type="auto"/>
            <w:shd w:val="clear" w:color="auto" w:fill="auto"/>
            <w:tcMar>
              <w:top w:w="40" w:type="dxa"/>
              <w:left w:w="0" w:type="dxa"/>
              <w:bottom w:w="40" w:type="dxa"/>
              <w:right w:w="20" w:type="dxa"/>
            </w:tcMar>
            <w:vAlign w:val="bottom"/>
          </w:tcPr>
          <w:p w14:paraId="6753600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0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0D"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0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0F"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1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11" w14:textId="77777777" w:rsidR="001B77DD" w:rsidRDefault="00BF0A28">
            <w:pPr>
              <w:jc w:val="right"/>
              <w:textAlignment w:val="bottom"/>
            </w:pPr>
            <w:r>
              <w:rPr>
                <w:rFonts w:ascii="Arial" w:eastAsia="宋体" w:hAnsi="Arial" w:cs="Arial"/>
                <w:color w:val="262626"/>
                <w:sz w:val="18"/>
                <w:szCs w:val="18"/>
              </w:rPr>
              <w:t>1,705 </w:t>
            </w:r>
          </w:p>
        </w:tc>
        <w:tc>
          <w:tcPr>
            <w:tcW w:w="0" w:type="auto"/>
            <w:shd w:val="clear" w:color="auto" w:fill="auto"/>
            <w:tcMar>
              <w:top w:w="40" w:type="dxa"/>
              <w:left w:w="0" w:type="dxa"/>
              <w:bottom w:w="40" w:type="dxa"/>
              <w:right w:w="20" w:type="dxa"/>
            </w:tcMar>
            <w:vAlign w:val="bottom"/>
          </w:tcPr>
          <w:p w14:paraId="67536012" w14:textId="77777777" w:rsidR="001B77DD" w:rsidRDefault="001B77DD">
            <w:pPr>
              <w:jc w:val="right"/>
              <w:rPr>
                <w:rFonts w:ascii="宋体"/>
              </w:rPr>
            </w:pPr>
          </w:p>
        </w:tc>
      </w:tr>
      <w:tr w:rsidR="001B77DD" w14:paraId="67536022" w14:textId="77777777">
        <w:tc>
          <w:tcPr>
            <w:tcW w:w="0" w:type="auto"/>
            <w:gridSpan w:val="3"/>
            <w:shd w:val="clear" w:color="auto" w:fill="FFFFFF"/>
            <w:tcMar>
              <w:top w:w="40" w:type="dxa"/>
              <w:left w:w="20" w:type="dxa"/>
              <w:bottom w:w="40" w:type="dxa"/>
              <w:right w:w="20" w:type="dxa"/>
            </w:tcMar>
          </w:tcPr>
          <w:p w14:paraId="67536014" w14:textId="77777777" w:rsidR="001B77DD" w:rsidRDefault="00BF0A28">
            <w:pPr>
              <w:textAlignment w:val="top"/>
            </w:pPr>
            <w:r>
              <w:rPr>
                <w:rFonts w:ascii="Arial" w:eastAsia="宋体" w:hAnsi="Arial" w:cs="Arial"/>
                <w:color w:val="000000"/>
                <w:sz w:val="18"/>
                <w:szCs w:val="18"/>
              </w:rPr>
              <w:t>Temporary equity reduction</w:t>
            </w:r>
          </w:p>
        </w:tc>
        <w:tc>
          <w:tcPr>
            <w:tcW w:w="0" w:type="auto"/>
            <w:gridSpan w:val="3"/>
            <w:shd w:val="clear" w:color="auto" w:fill="auto"/>
            <w:tcMar>
              <w:top w:w="0" w:type="dxa"/>
              <w:left w:w="20" w:type="dxa"/>
              <w:bottom w:w="0" w:type="dxa"/>
              <w:right w:w="20" w:type="dxa"/>
            </w:tcMar>
            <w:vAlign w:val="bottom"/>
          </w:tcPr>
          <w:p w14:paraId="6753601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16"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1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1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19" w14:textId="77777777" w:rsidR="001B77DD" w:rsidRDefault="00BF0A28">
            <w:pPr>
              <w:jc w:val="right"/>
              <w:textAlignment w:val="bottom"/>
            </w:pPr>
            <w:r>
              <w:rPr>
                <w:rFonts w:ascii="Arial" w:eastAsia="宋体" w:hAnsi="Arial" w:cs="Arial"/>
                <w:color w:val="262626"/>
                <w:sz w:val="18"/>
                <w:szCs w:val="18"/>
              </w:rPr>
              <w:t>265 </w:t>
            </w:r>
          </w:p>
        </w:tc>
        <w:tc>
          <w:tcPr>
            <w:tcW w:w="0" w:type="auto"/>
            <w:shd w:val="clear" w:color="auto" w:fill="auto"/>
            <w:tcMar>
              <w:top w:w="40" w:type="dxa"/>
              <w:left w:w="0" w:type="dxa"/>
              <w:bottom w:w="40" w:type="dxa"/>
              <w:right w:w="20" w:type="dxa"/>
            </w:tcMar>
            <w:vAlign w:val="bottom"/>
          </w:tcPr>
          <w:p w14:paraId="6753601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1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1C"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1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1E"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1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20" w14:textId="77777777" w:rsidR="001B77DD" w:rsidRDefault="00BF0A28">
            <w:pPr>
              <w:jc w:val="right"/>
              <w:textAlignment w:val="bottom"/>
            </w:pPr>
            <w:r>
              <w:rPr>
                <w:rFonts w:ascii="Arial" w:eastAsia="宋体" w:hAnsi="Arial" w:cs="Arial"/>
                <w:color w:val="262626"/>
                <w:sz w:val="18"/>
                <w:szCs w:val="18"/>
              </w:rPr>
              <w:t>265 </w:t>
            </w:r>
          </w:p>
        </w:tc>
        <w:tc>
          <w:tcPr>
            <w:tcW w:w="0" w:type="auto"/>
            <w:shd w:val="clear" w:color="auto" w:fill="auto"/>
            <w:tcMar>
              <w:top w:w="40" w:type="dxa"/>
              <w:left w:w="0" w:type="dxa"/>
              <w:bottom w:w="40" w:type="dxa"/>
              <w:right w:w="20" w:type="dxa"/>
            </w:tcMar>
            <w:vAlign w:val="bottom"/>
          </w:tcPr>
          <w:p w14:paraId="67536021" w14:textId="77777777" w:rsidR="001B77DD" w:rsidRDefault="001B77DD">
            <w:pPr>
              <w:jc w:val="right"/>
              <w:rPr>
                <w:rFonts w:ascii="宋体"/>
              </w:rPr>
            </w:pPr>
          </w:p>
        </w:tc>
      </w:tr>
      <w:tr w:rsidR="001B77DD" w14:paraId="67536031" w14:textId="77777777">
        <w:tc>
          <w:tcPr>
            <w:tcW w:w="0" w:type="auto"/>
            <w:gridSpan w:val="3"/>
            <w:shd w:val="clear" w:color="auto" w:fill="auto"/>
            <w:tcMar>
              <w:top w:w="40" w:type="dxa"/>
              <w:left w:w="20" w:type="dxa"/>
              <w:bottom w:w="40" w:type="dxa"/>
              <w:right w:w="20" w:type="dxa"/>
            </w:tcMar>
          </w:tcPr>
          <w:p w14:paraId="67536023" w14:textId="77777777" w:rsidR="001B77DD" w:rsidRDefault="00BF0A28">
            <w:pPr>
              <w:textAlignment w:val="top"/>
            </w:pPr>
            <w:r>
              <w:rPr>
                <w:rFonts w:ascii="Arial" w:eastAsia="宋体" w:hAnsi="Arial" w:cs="Arial"/>
                <w:color w:val="000000"/>
                <w:sz w:val="18"/>
                <w:szCs w:val="18"/>
              </w:rPr>
              <w:t>Convertible debt</w:t>
            </w:r>
          </w:p>
        </w:tc>
        <w:tc>
          <w:tcPr>
            <w:tcW w:w="0" w:type="auto"/>
            <w:gridSpan w:val="3"/>
            <w:shd w:val="clear" w:color="auto" w:fill="auto"/>
            <w:tcMar>
              <w:top w:w="0" w:type="dxa"/>
              <w:left w:w="20" w:type="dxa"/>
              <w:bottom w:w="0" w:type="dxa"/>
              <w:right w:w="20" w:type="dxa"/>
            </w:tcMar>
            <w:vAlign w:val="bottom"/>
          </w:tcPr>
          <w:p w14:paraId="6753602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25"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2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2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28" w14:textId="77777777" w:rsidR="001B77DD" w:rsidRDefault="00BF0A28">
            <w:pPr>
              <w:jc w:val="right"/>
              <w:textAlignment w:val="bottom"/>
            </w:pPr>
            <w:r>
              <w:rPr>
                <w:rFonts w:ascii="Arial" w:eastAsia="宋体" w:hAnsi="Arial" w:cs="Arial"/>
                <w:color w:val="262626"/>
                <w:sz w:val="18"/>
                <w:szCs w:val="18"/>
              </w:rPr>
              <w:t>(1,032)</w:t>
            </w:r>
          </w:p>
        </w:tc>
        <w:tc>
          <w:tcPr>
            <w:tcW w:w="0" w:type="auto"/>
            <w:shd w:val="clear" w:color="auto" w:fill="auto"/>
            <w:tcMar>
              <w:top w:w="40" w:type="dxa"/>
              <w:left w:w="0" w:type="dxa"/>
              <w:bottom w:w="40" w:type="dxa"/>
              <w:right w:w="20" w:type="dxa"/>
            </w:tcMar>
            <w:vAlign w:val="bottom"/>
          </w:tcPr>
          <w:p w14:paraId="6753602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2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2B"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2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2D"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2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2F" w14:textId="77777777" w:rsidR="001B77DD" w:rsidRDefault="00BF0A28">
            <w:pPr>
              <w:jc w:val="right"/>
              <w:textAlignment w:val="bottom"/>
            </w:pPr>
            <w:r>
              <w:rPr>
                <w:rFonts w:ascii="Arial" w:eastAsia="宋体" w:hAnsi="Arial" w:cs="Arial"/>
                <w:color w:val="262626"/>
                <w:sz w:val="18"/>
                <w:szCs w:val="18"/>
              </w:rPr>
              <w:t>(1,032)</w:t>
            </w:r>
          </w:p>
        </w:tc>
        <w:tc>
          <w:tcPr>
            <w:tcW w:w="0" w:type="auto"/>
            <w:shd w:val="clear" w:color="auto" w:fill="auto"/>
            <w:tcMar>
              <w:top w:w="40" w:type="dxa"/>
              <w:left w:w="0" w:type="dxa"/>
              <w:bottom w:w="40" w:type="dxa"/>
              <w:right w:w="20" w:type="dxa"/>
            </w:tcMar>
            <w:vAlign w:val="bottom"/>
          </w:tcPr>
          <w:p w14:paraId="67536030" w14:textId="77777777" w:rsidR="001B77DD" w:rsidRDefault="001B77DD">
            <w:pPr>
              <w:jc w:val="right"/>
              <w:rPr>
                <w:rFonts w:ascii="宋体"/>
              </w:rPr>
            </w:pPr>
          </w:p>
        </w:tc>
      </w:tr>
      <w:tr w:rsidR="001B77DD" w14:paraId="67536041" w14:textId="77777777">
        <w:tc>
          <w:tcPr>
            <w:tcW w:w="0" w:type="auto"/>
            <w:gridSpan w:val="3"/>
            <w:shd w:val="clear" w:color="auto" w:fill="auto"/>
            <w:tcMar>
              <w:top w:w="40" w:type="dxa"/>
              <w:left w:w="20" w:type="dxa"/>
              <w:bottom w:w="40" w:type="dxa"/>
              <w:right w:w="20" w:type="dxa"/>
            </w:tcMar>
            <w:vAlign w:val="bottom"/>
          </w:tcPr>
          <w:p w14:paraId="67536032" w14:textId="77777777" w:rsidR="001B77DD" w:rsidRDefault="00BF0A2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753603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34" w14:textId="77777777" w:rsidR="001B77DD" w:rsidRDefault="00BF0A28">
            <w:pPr>
              <w:jc w:val="right"/>
              <w:textAlignment w:val="bottom"/>
            </w:pPr>
            <w:r>
              <w:rPr>
                <w:rFonts w:ascii="Arial" w:eastAsia="宋体" w:hAnsi="Arial" w:cs="Arial"/>
                <w:color w:val="262626"/>
                <w:sz w:val="18"/>
                <w:szCs w:val="18"/>
              </w:rPr>
              <w:t>(272)</w:t>
            </w:r>
          </w:p>
        </w:tc>
        <w:tc>
          <w:tcPr>
            <w:tcW w:w="0" w:type="auto"/>
            <w:shd w:val="clear" w:color="auto" w:fill="auto"/>
            <w:tcMar>
              <w:top w:w="40" w:type="dxa"/>
              <w:left w:w="0" w:type="dxa"/>
              <w:bottom w:w="40" w:type="dxa"/>
              <w:right w:w="20" w:type="dxa"/>
            </w:tcMar>
            <w:vAlign w:val="bottom"/>
          </w:tcPr>
          <w:p w14:paraId="6753603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3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37" w14:textId="77777777" w:rsidR="001B77DD" w:rsidRDefault="00BF0A28">
            <w:pPr>
              <w:jc w:val="right"/>
              <w:textAlignment w:val="bottom"/>
            </w:pPr>
            <w:r>
              <w:rPr>
                <w:rFonts w:ascii="Arial" w:eastAsia="宋体" w:hAnsi="Arial" w:cs="Arial"/>
                <w:color w:val="262626"/>
                <w:sz w:val="18"/>
                <w:szCs w:val="18"/>
              </w:rPr>
              <w:t>(1,592)</w:t>
            </w:r>
          </w:p>
        </w:tc>
        <w:tc>
          <w:tcPr>
            <w:tcW w:w="0" w:type="auto"/>
            <w:shd w:val="clear" w:color="auto" w:fill="auto"/>
            <w:tcMar>
              <w:top w:w="40" w:type="dxa"/>
              <w:left w:w="0" w:type="dxa"/>
              <w:bottom w:w="40" w:type="dxa"/>
              <w:right w:w="20" w:type="dxa"/>
            </w:tcMar>
            <w:vAlign w:val="bottom"/>
          </w:tcPr>
          <w:p w14:paraId="6753603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3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3A"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3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3C" w14:textId="77777777" w:rsidR="001B77DD" w:rsidRDefault="00BF0A28">
            <w:pPr>
              <w:jc w:val="right"/>
              <w:textAlignment w:val="bottom"/>
            </w:pPr>
            <w:r>
              <w:rPr>
                <w:rFonts w:ascii="Arial" w:eastAsia="宋体" w:hAnsi="Arial" w:cs="Arial"/>
                <w:color w:val="262626"/>
                <w:sz w:val="18"/>
                <w:szCs w:val="18"/>
              </w:rPr>
              <w:t>(11,973)</w:t>
            </w:r>
          </w:p>
        </w:tc>
        <w:tc>
          <w:tcPr>
            <w:tcW w:w="0" w:type="auto"/>
            <w:shd w:val="clear" w:color="auto" w:fill="auto"/>
            <w:tcMar>
              <w:top w:w="40" w:type="dxa"/>
              <w:left w:w="0" w:type="dxa"/>
              <w:bottom w:w="40" w:type="dxa"/>
              <w:right w:w="20" w:type="dxa"/>
            </w:tcMar>
            <w:vAlign w:val="bottom"/>
          </w:tcPr>
          <w:p w14:paraId="6753603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3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3F" w14:textId="77777777" w:rsidR="001B77DD" w:rsidRDefault="00BF0A28">
            <w:pPr>
              <w:jc w:val="right"/>
              <w:textAlignment w:val="bottom"/>
            </w:pPr>
            <w:r>
              <w:rPr>
                <w:rFonts w:ascii="Arial" w:eastAsia="宋体" w:hAnsi="Arial" w:cs="Arial"/>
                <w:color w:val="262626"/>
                <w:sz w:val="18"/>
                <w:szCs w:val="18"/>
              </w:rPr>
              <w:t>(13,565)</w:t>
            </w:r>
          </w:p>
        </w:tc>
        <w:tc>
          <w:tcPr>
            <w:tcW w:w="0" w:type="auto"/>
            <w:shd w:val="clear" w:color="auto" w:fill="auto"/>
            <w:tcMar>
              <w:top w:w="40" w:type="dxa"/>
              <w:left w:w="0" w:type="dxa"/>
              <w:bottom w:w="40" w:type="dxa"/>
              <w:right w:w="20" w:type="dxa"/>
            </w:tcMar>
            <w:vAlign w:val="bottom"/>
          </w:tcPr>
          <w:p w14:paraId="67536040" w14:textId="77777777" w:rsidR="001B77DD" w:rsidRDefault="001B77DD">
            <w:pPr>
              <w:jc w:val="right"/>
              <w:rPr>
                <w:rFonts w:ascii="宋体"/>
              </w:rPr>
            </w:pPr>
          </w:p>
        </w:tc>
      </w:tr>
      <w:tr w:rsidR="001B77DD" w14:paraId="67536051" w14:textId="77777777">
        <w:tc>
          <w:tcPr>
            <w:tcW w:w="0" w:type="auto"/>
            <w:gridSpan w:val="3"/>
            <w:shd w:val="clear" w:color="auto" w:fill="auto"/>
            <w:tcMar>
              <w:top w:w="40" w:type="dxa"/>
              <w:left w:w="20" w:type="dxa"/>
              <w:bottom w:w="40" w:type="dxa"/>
              <w:right w:w="20" w:type="dxa"/>
            </w:tcMar>
            <w:vAlign w:val="bottom"/>
          </w:tcPr>
          <w:p w14:paraId="67536042" w14:textId="77777777" w:rsidR="001B77DD" w:rsidRDefault="00BF0A2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753604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44" w14:textId="77777777" w:rsidR="001B77DD" w:rsidRDefault="00BF0A28">
            <w:pPr>
              <w:jc w:val="right"/>
              <w:textAlignment w:val="bottom"/>
            </w:pPr>
            <w:r>
              <w:rPr>
                <w:rFonts w:ascii="Arial" w:eastAsia="宋体" w:hAnsi="Arial" w:cs="Arial"/>
                <w:color w:val="262626"/>
                <w:sz w:val="18"/>
                <w:szCs w:val="18"/>
              </w:rPr>
              <w:t>(9)</w:t>
            </w:r>
          </w:p>
        </w:tc>
        <w:tc>
          <w:tcPr>
            <w:tcW w:w="0" w:type="auto"/>
            <w:shd w:val="clear" w:color="auto" w:fill="auto"/>
            <w:tcMar>
              <w:top w:w="40" w:type="dxa"/>
              <w:left w:w="0" w:type="dxa"/>
              <w:bottom w:w="40" w:type="dxa"/>
              <w:right w:w="20" w:type="dxa"/>
            </w:tcMar>
            <w:vAlign w:val="bottom"/>
          </w:tcPr>
          <w:p w14:paraId="6753604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4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47" w14:textId="77777777" w:rsidR="001B77DD" w:rsidRDefault="00BF0A28">
            <w:pPr>
              <w:jc w:val="right"/>
              <w:textAlignment w:val="bottom"/>
            </w:pPr>
            <w:r>
              <w:rPr>
                <w:rFonts w:ascii="Arial" w:eastAsia="宋体" w:hAnsi="Arial" w:cs="Arial"/>
                <w:color w:val="262626"/>
                <w:sz w:val="18"/>
                <w:szCs w:val="18"/>
              </w:rPr>
              <w:t>(342)</w:t>
            </w:r>
          </w:p>
        </w:tc>
        <w:tc>
          <w:tcPr>
            <w:tcW w:w="0" w:type="auto"/>
            <w:shd w:val="clear" w:color="auto" w:fill="auto"/>
            <w:tcMar>
              <w:top w:w="40" w:type="dxa"/>
              <w:left w:w="0" w:type="dxa"/>
              <w:bottom w:w="40" w:type="dxa"/>
              <w:right w:w="20" w:type="dxa"/>
            </w:tcMar>
            <w:vAlign w:val="bottom"/>
          </w:tcPr>
          <w:p w14:paraId="6753604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4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4A"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4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4C" w14:textId="77777777" w:rsidR="001B77DD" w:rsidRDefault="00BF0A28">
            <w:pPr>
              <w:jc w:val="right"/>
              <w:textAlignment w:val="bottom"/>
            </w:pPr>
            <w:r>
              <w:rPr>
                <w:rFonts w:ascii="Arial" w:eastAsia="宋体" w:hAnsi="Arial" w:cs="Arial"/>
                <w:color w:val="262626"/>
                <w:sz w:val="18"/>
                <w:szCs w:val="18"/>
              </w:rPr>
              <w:t>(146)</w:t>
            </w:r>
          </w:p>
        </w:tc>
        <w:tc>
          <w:tcPr>
            <w:tcW w:w="0" w:type="auto"/>
            <w:shd w:val="clear" w:color="auto" w:fill="auto"/>
            <w:tcMar>
              <w:top w:w="40" w:type="dxa"/>
              <w:left w:w="0" w:type="dxa"/>
              <w:bottom w:w="40" w:type="dxa"/>
              <w:right w:w="20" w:type="dxa"/>
            </w:tcMar>
            <w:vAlign w:val="bottom"/>
          </w:tcPr>
          <w:p w14:paraId="6753604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4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4F" w14:textId="77777777" w:rsidR="001B77DD" w:rsidRDefault="00BF0A28">
            <w:pPr>
              <w:jc w:val="right"/>
              <w:textAlignment w:val="bottom"/>
            </w:pPr>
            <w:r>
              <w:rPr>
                <w:rFonts w:ascii="Arial" w:eastAsia="宋体" w:hAnsi="Arial" w:cs="Arial"/>
                <w:color w:val="262626"/>
                <w:sz w:val="18"/>
                <w:szCs w:val="18"/>
              </w:rPr>
              <w:t>(488)</w:t>
            </w:r>
          </w:p>
        </w:tc>
        <w:tc>
          <w:tcPr>
            <w:tcW w:w="0" w:type="auto"/>
            <w:shd w:val="clear" w:color="auto" w:fill="auto"/>
            <w:tcMar>
              <w:top w:w="40" w:type="dxa"/>
              <w:left w:w="0" w:type="dxa"/>
              <w:bottom w:w="40" w:type="dxa"/>
              <w:right w:w="20" w:type="dxa"/>
            </w:tcMar>
            <w:vAlign w:val="bottom"/>
          </w:tcPr>
          <w:p w14:paraId="67536050" w14:textId="77777777" w:rsidR="001B77DD" w:rsidRDefault="001B77DD">
            <w:pPr>
              <w:jc w:val="right"/>
              <w:rPr>
                <w:rFonts w:ascii="宋体"/>
              </w:rPr>
            </w:pPr>
          </w:p>
        </w:tc>
      </w:tr>
      <w:tr w:rsidR="001B77DD" w14:paraId="67536060" w14:textId="77777777">
        <w:tc>
          <w:tcPr>
            <w:tcW w:w="0" w:type="auto"/>
            <w:gridSpan w:val="3"/>
            <w:shd w:val="clear" w:color="auto" w:fill="auto"/>
            <w:tcMar>
              <w:top w:w="40" w:type="dxa"/>
              <w:left w:w="20" w:type="dxa"/>
              <w:bottom w:w="40" w:type="dxa"/>
              <w:right w:w="20" w:type="dxa"/>
            </w:tcMar>
            <w:vAlign w:val="bottom"/>
          </w:tcPr>
          <w:p w14:paraId="67536052" w14:textId="77777777" w:rsidR="001B77DD" w:rsidRDefault="00BF0A28">
            <w:pPr>
              <w:textAlignment w:val="bottom"/>
            </w:pPr>
            <w:r>
              <w:rPr>
                <w:rFonts w:ascii="Arial" w:eastAsia="宋体" w:hAnsi="Arial" w:cs="Arial"/>
                <w:color w:val="262626"/>
                <w:sz w:val="18"/>
                <w:szCs w:val="18"/>
              </w:rPr>
              <w:t>Cash dividends declared ($1.26 per share of common stock)</w:t>
            </w:r>
          </w:p>
        </w:tc>
        <w:tc>
          <w:tcPr>
            <w:tcW w:w="0" w:type="auto"/>
            <w:gridSpan w:val="3"/>
            <w:shd w:val="clear" w:color="auto" w:fill="auto"/>
            <w:tcMar>
              <w:top w:w="0" w:type="dxa"/>
              <w:left w:w="20" w:type="dxa"/>
              <w:bottom w:w="0" w:type="dxa"/>
              <w:right w:w="20" w:type="dxa"/>
            </w:tcMar>
            <w:vAlign w:val="bottom"/>
          </w:tcPr>
          <w:p w14:paraId="6753605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54"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5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57"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5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59"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5B" w14:textId="77777777" w:rsidR="001B77DD" w:rsidRDefault="00BF0A28">
            <w:pPr>
              <w:jc w:val="right"/>
              <w:textAlignment w:val="bottom"/>
            </w:pPr>
            <w:r>
              <w:rPr>
                <w:rFonts w:ascii="Arial" w:eastAsia="宋体" w:hAnsi="Arial" w:cs="Arial"/>
                <w:color w:val="262626"/>
                <w:sz w:val="18"/>
                <w:szCs w:val="18"/>
              </w:rPr>
              <w:t>(5,578)</w:t>
            </w:r>
          </w:p>
        </w:tc>
        <w:tc>
          <w:tcPr>
            <w:tcW w:w="0" w:type="auto"/>
            <w:shd w:val="clear" w:color="auto" w:fill="auto"/>
            <w:tcMar>
              <w:top w:w="40" w:type="dxa"/>
              <w:left w:w="0" w:type="dxa"/>
              <w:bottom w:w="40" w:type="dxa"/>
              <w:right w:w="20" w:type="dxa"/>
            </w:tcMar>
            <w:vAlign w:val="bottom"/>
          </w:tcPr>
          <w:p w14:paraId="675360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5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5E" w14:textId="77777777" w:rsidR="001B77DD" w:rsidRDefault="00BF0A28">
            <w:pPr>
              <w:jc w:val="right"/>
              <w:textAlignment w:val="bottom"/>
            </w:pPr>
            <w:r>
              <w:rPr>
                <w:rFonts w:ascii="Arial" w:eastAsia="宋体" w:hAnsi="Arial" w:cs="Arial"/>
                <w:color w:val="262626"/>
                <w:sz w:val="18"/>
                <w:szCs w:val="18"/>
              </w:rPr>
              <w:t>(5,578)</w:t>
            </w:r>
          </w:p>
        </w:tc>
        <w:tc>
          <w:tcPr>
            <w:tcW w:w="0" w:type="auto"/>
            <w:shd w:val="clear" w:color="auto" w:fill="auto"/>
            <w:tcMar>
              <w:top w:w="40" w:type="dxa"/>
              <w:left w:w="0" w:type="dxa"/>
              <w:bottom w:w="40" w:type="dxa"/>
              <w:right w:w="20" w:type="dxa"/>
            </w:tcMar>
            <w:vAlign w:val="bottom"/>
          </w:tcPr>
          <w:p w14:paraId="6753605F" w14:textId="77777777" w:rsidR="001B77DD" w:rsidRDefault="001B77DD">
            <w:pPr>
              <w:jc w:val="right"/>
              <w:rPr>
                <w:rFonts w:ascii="宋体"/>
              </w:rPr>
            </w:pPr>
          </w:p>
        </w:tc>
      </w:tr>
      <w:tr w:rsidR="001B77DD" w14:paraId="67536071" w14:textId="77777777">
        <w:tc>
          <w:tcPr>
            <w:tcW w:w="0" w:type="auto"/>
            <w:gridSpan w:val="3"/>
            <w:shd w:val="clear" w:color="auto" w:fill="auto"/>
            <w:tcMar>
              <w:top w:w="40" w:type="dxa"/>
              <w:left w:w="20" w:type="dxa"/>
              <w:bottom w:w="40" w:type="dxa"/>
              <w:right w:w="20" w:type="dxa"/>
            </w:tcMar>
            <w:vAlign w:val="bottom"/>
          </w:tcPr>
          <w:p w14:paraId="67536061" w14:textId="77777777" w:rsidR="001B77DD" w:rsidRDefault="00BF0A28">
            <w:pPr>
              <w:textAlignment w:val="bottom"/>
            </w:pPr>
            <w:r>
              <w:rPr>
                <w:rFonts w:ascii="Arial" w:eastAsia="宋体" w:hAnsi="Arial" w:cs="Arial"/>
                <w:b/>
                <w:bCs/>
                <w:color w:val="262626"/>
                <w:sz w:val="18"/>
                <w:szCs w:val="18"/>
              </w:rPr>
              <w:t>Balance as of December 28, 2019</w:t>
            </w:r>
          </w:p>
        </w:tc>
        <w:tc>
          <w:tcPr>
            <w:tcW w:w="0" w:type="auto"/>
            <w:gridSpan w:val="3"/>
            <w:shd w:val="clear" w:color="auto" w:fill="auto"/>
            <w:tcMar>
              <w:top w:w="0" w:type="dxa"/>
              <w:left w:w="20" w:type="dxa"/>
              <w:bottom w:w="0" w:type="dxa"/>
              <w:right w:w="20" w:type="dxa"/>
            </w:tcMar>
            <w:vAlign w:val="bottom"/>
          </w:tcPr>
          <w:p w14:paraId="6753606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063" w14:textId="77777777" w:rsidR="001B77DD" w:rsidRDefault="00BF0A28">
            <w:pPr>
              <w:jc w:val="right"/>
              <w:textAlignment w:val="bottom"/>
            </w:pPr>
            <w:r>
              <w:rPr>
                <w:rFonts w:ascii="Arial" w:eastAsia="宋体" w:hAnsi="Arial" w:cs="Arial"/>
                <w:b/>
                <w:bCs/>
                <w:color w:val="262626"/>
                <w:sz w:val="18"/>
                <w:szCs w:val="18"/>
              </w:rPr>
              <w:t>4,290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06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6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066" w14:textId="77777777" w:rsidR="001B77DD" w:rsidRDefault="00BF0A28">
            <w:pPr>
              <w:jc w:val="right"/>
              <w:textAlignment w:val="bottom"/>
            </w:pPr>
            <w:r>
              <w:rPr>
                <w:rFonts w:ascii="Arial" w:eastAsia="宋体" w:hAnsi="Arial" w:cs="Arial"/>
                <w:b/>
                <w:bCs/>
                <w:color w:val="262626"/>
                <w:sz w:val="18"/>
                <w:szCs w:val="18"/>
              </w:rPr>
              <w:t>25,261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06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68"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069" w14:textId="77777777" w:rsidR="001B77DD" w:rsidRDefault="00BF0A28">
            <w:pPr>
              <w:jc w:val="right"/>
              <w:textAlignment w:val="bottom"/>
            </w:pPr>
            <w:r>
              <w:rPr>
                <w:rFonts w:ascii="Arial" w:eastAsia="宋体" w:hAnsi="Arial" w:cs="Arial"/>
                <w:b/>
                <w:bCs/>
                <w:color w:val="262626"/>
                <w:sz w:val="18"/>
                <w:szCs w:val="18"/>
              </w:rPr>
              <w:t>(1,280)</w:t>
            </w:r>
          </w:p>
        </w:tc>
        <w:tc>
          <w:tcPr>
            <w:tcW w:w="0" w:type="auto"/>
            <w:tcBorders>
              <w:top w:val="single" w:sz="4" w:space="0" w:color="262626"/>
            </w:tcBorders>
            <w:shd w:val="clear" w:color="auto" w:fill="auto"/>
            <w:tcMar>
              <w:top w:w="40" w:type="dxa"/>
              <w:left w:w="0" w:type="dxa"/>
              <w:bottom w:w="40" w:type="dxa"/>
              <w:right w:w="20" w:type="dxa"/>
            </w:tcMar>
            <w:vAlign w:val="bottom"/>
          </w:tcPr>
          <w:p w14:paraId="6753606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6B"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06C" w14:textId="77777777" w:rsidR="001B77DD" w:rsidRDefault="00BF0A28">
            <w:pPr>
              <w:jc w:val="right"/>
              <w:textAlignment w:val="bottom"/>
            </w:pPr>
            <w:r>
              <w:rPr>
                <w:rFonts w:ascii="Arial" w:eastAsia="宋体" w:hAnsi="Arial" w:cs="Arial"/>
                <w:b/>
                <w:bCs/>
                <w:color w:val="262626"/>
                <w:sz w:val="18"/>
                <w:szCs w:val="18"/>
              </w:rPr>
              <w:t>53,523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06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6E"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06F" w14:textId="77777777" w:rsidR="001B77DD" w:rsidRDefault="00BF0A28">
            <w:pPr>
              <w:jc w:val="right"/>
              <w:textAlignment w:val="bottom"/>
            </w:pPr>
            <w:r>
              <w:rPr>
                <w:rFonts w:ascii="Arial" w:eastAsia="宋体" w:hAnsi="Arial" w:cs="Arial"/>
                <w:b/>
                <w:bCs/>
                <w:color w:val="262626"/>
                <w:sz w:val="18"/>
                <w:szCs w:val="18"/>
              </w:rPr>
              <w:t>77,504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070" w14:textId="77777777" w:rsidR="001B77DD" w:rsidRDefault="001B77DD">
            <w:pPr>
              <w:jc w:val="right"/>
              <w:rPr>
                <w:rFonts w:ascii="宋体"/>
              </w:rPr>
            </w:pPr>
          </w:p>
        </w:tc>
      </w:tr>
      <w:tr w:rsidR="001B77DD" w14:paraId="6753607D" w14:textId="77777777">
        <w:tc>
          <w:tcPr>
            <w:tcW w:w="0" w:type="auto"/>
            <w:gridSpan w:val="3"/>
            <w:shd w:val="clear" w:color="auto" w:fill="auto"/>
            <w:tcMar>
              <w:top w:w="40" w:type="dxa"/>
              <w:left w:w="20" w:type="dxa"/>
              <w:bottom w:w="40" w:type="dxa"/>
              <w:right w:w="20" w:type="dxa"/>
            </w:tcMar>
            <w:vAlign w:val="bottom"/>
          </w:tcPr>
          <w:p w14:paraId="67536072" w14:textId="77777777" w:rsidR="001B77DD" w:rsidRDefault="00BF0A28">
            <w:pPr>
              <w:textAlignment w:val="bottom"/>
            </w:pPr>
            <w:r>
              <w:rPr>
                <w:rFonts w:ascii="Arial" w:eastAsia="宋体" w:hAnsi="Arial" w:cs="Arial"/>
                <w:color w:val="262626"/>
                <w:sz w:val="18"/>
                <w:szCs w:val="18"/>
              </w:rPr>
              <w:t>Components of comprehensive income, net of tax:</w:t>
            </w:r>
          </w:p>
        </w:tc>
        <w:tc>
          <w:tcPr>
            <w:tcW w:w="0" w:type="auto"/>
            <w:gridSpan w:val="3"/>
            <w:shd w:val="clear" w:color="auto" w:fill="auto"/>
            <w:tcMar>
              <w:top w:w="0" w:type="dxa"/>
              <w:left w:w="20" w:type="dxa"/>
              <w:bottom w:w="0" w:type="dxa"/>
              <w:right w:w="20" w:type="dxa"/>
            </w:tcMar>
            <w:vAlign w:val="bottom"/>
          </w:tcPr>
          <w:p w14:paraId="6753607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7C" w14:textId="77777777" w:rsidR="001B77DD" w:rsidRDefault="001B77DD">
            <w:pPr>
              <w:rPr>
                <w:rFonts w:ascii="宋体"/>
              </w:rPr>
            </w:pPr>
          </w:p>
        </w:tc>
      </w:tr>
      <w:tr w:rsidR="001B77DD" w14:paraId="6753608C" w14:textId="77777777">
        <w:tc>
          <w:tcPr>
            <w:tcW w:w="0" w:type="auto"/>
            <w:gridSpan w:val="3"/>
            <w:shd w:val="clear" w:color="auto" w:fill="auto"/>
            <w:tcMar>
              <w:top w:w="40" w:type="dxa"/>
              <w:left w:w="155" w:type="dxa"/>
              <w:bottom w:w="40" w:type="dxa"/>
              <w:right w:w="20" w:type="dxa"/>
            </w:tcMar>
            <w:vAlign w:val="bottom"/>
          </w:tcPr>
          <w:p w14:paraId="6753607E" w14:textId="77777777" w:rsidR="001B77DD" w:rsidRDefault="00BF0A2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753607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80"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8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8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83"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8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85"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8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87" w14:textId="77777777" w:rsidR="001B77DD" w:rsidRDefault="00BF0A28">
            <w:pPr>
              <w:jc w:val="right"/>
              <w:textAlignment w:val="bottom"/>
            </w:pPr>
            <w:r>
              <w:rPr>
                <w:rFonts w:ascii="Arial" w:eastAsia="宋体" w:hAnsi="Arial" w:cs="Arial"/>
                <w:color w:val="262626"/>
                <w:sz w:val="18"/>
                <w:szCs w:val="18"/>
              </w:rPr>
              <w:t>20,899 </w:t>
            </w:r>
          </w:p>
        </w:tc>
        <w:tc>
          <w:tcPr>
            <w:tcW w:w="0" w:type="auto"/>
            <w:shd w:val="clear" w:color="auto" w:fill="auto"/>
            <w:tcMar>
              <w:top w:w="40" w:type="dxa"/>
              <w:left w:w="0" w:type="dxa"/>
              <w:bottom w:w="40" w:type="dxa"/>
              <w:right w:w="20" w:type="dxa"/>
            </w:tcMar>
            <w:vAlign w:val="bottom"/>
          </w:tcPr>
          <w:p w14:paraId="6753608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8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8A" w14:textId="77777777" w:rsidR="001B77DD" w:rsidRDefault="00BF0A28">
            <w:pPr>
              <w:jc w:val="right"/>
              <w:textAlignment w:val="bottom"/>
            </w:pPr>
            <w:r>
              <w:rPr>
                <w:rFonts w:ascii="Arial" w:eastAsia="宋体" w:hAnsi="Arial" w:cs="Arial"/>
                <w:color w:val="262626"/>
                <w:sz w:val="18"/>
                <w:szCs w:val="18"/>
              </w:rPr>
              <w:t>20,899 </w:t>
            </w:r>
          </w:p>
        </w:tc>
        <w:tc>
          <w:tcPr>
            <w:tcW w:w="0" w:type="auto"/>
            <w:shd w:val="clear" w:color="auto" w:fill="auto"/>
            <w:tcMar>
              <w:top w:w="40" w:type="dxa"/>
              <w:left w:w="0" w:type="dxa"/>
              <w:bottom w:w="40" w:type="dxa"/>
              <w:right w:w="20" w:type="dxa"/>
            </w:tcMar>
            <w:vAlign w:val="bottom"/>
          </w:tcPr>
          <w:p w14:paraId="6753608B" w14:textId="77777777" w:rsidR="001B77DD" w:rsidRDefault="001B77DD">
            <w:pPr>
              <w:jc w:val="right"/>
              <w:rPr>
                <w:rFonts w:ascii="宋体"/>
              </w:rPr>
            </w:pPr>
          </w:p>
        </w:tc>
      </w:tr>
      <w:tr w:rsidR="001B77DD" w14:paraId="6753609B" w14:textId="77777777">
        <w:tc>
          <w:tcPr>
            <w:tcW w:w="0" w:type="auto"/>
            <w:gridSpan w:val="3"/>
            <w:shd w:val="clear" w:color="auto" w:fill="auto"/>
            <w:tcMar>
              <w:top w:w="40" w:type="dxa"/>
              <w:left w:w="155" w:type="dxa"/>
              <w:bottom w:w="40" w:type="dxa"/>
              <w:right w:w="20" w:type="dxa"/>
            </w:tcMar>
            <w:vAlign w:val="bottom"/>
          </w:tcPr>
          <w:p w14:paraId="6753608D" w14:textId="77777777" w:rsidR="001B77DD" w:rsidRDefault="00BF0A2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753608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8F"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9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9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92"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9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94" w14:textId="77777777" w:rsidR="001B77DD" w:rsidRDefault="00BF0A28">
            <w:pPr>
              <w:jc w:val="right"/>
              <w:textAlignment w:val="bottom"/>
            </w:pPr>
            <w:r>
              <w:rPr>
                <w:rFonts w:ascii="Arial" w:eastAsia="宋体" w:hAnsi="Arial" w:cs="Arial"/>
                <w:color w:val="262626"/>
                <w:sz w:val="18"/>
                <w:szCs w:val="18"/>
              </w:rPr>
              <w:t>529 </w:t>
            </w:r>
          </w:p>
        </w:tc>
        <w:tc>
          <w:tcPr>
            <w:tcW w:w="0" w:type="auto"/>
            <w:shd w:val="clear" w:color="auto" w:fill="auto"/>
            <w:tcMar>
              <w:top w:w="40" w:type="dxa"/>
              <w:left w:w="0" w:type="dxa"/>
              <w:bottom w:w="40" w:type="dxa"/>
              <w:right w:w="20" w:type="dxa"/>
            </w:tcMar>
            <w:vAlign w:val="bottom"/>
          </w:tcPr>
          <w:p w14:paraId="6753609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9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97"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9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99" w14:textId="77777777" w:rsidR="001B77DD" w:rsidRDefault="00BF0A28">
            <w:pPr>
              <w:jc w:val="right"/>
              <w:textAlignment w:val="bottom"/>
            </w:pPr>
            <w:r>
              <w:rPr>
                <w:rFonts w:ascii="Arial" w:eastAsia="宋体" w:hAnsi="Arial" w:cs="Arial"/>
                <w:color w:val="262626"/>
                <w:sz w:val="18"/>
                <w:szCs w:val="18"/>
              </w:rPr>
              <w:t>529 </w:t>
            </w:r>
          </w:p>
        </w:tc>
        <w:tc>
          <w:tcPr>
            <w:tcW w:w="0" w:type="auto"/>
            <w:shd w:val="clear" w:color="auto" w:fill="auto"/>
            <w:tcMar>
              <w:top w:w="40" w:type="dxa"/>
              <w:left w:w="0" w:type="dxa"/>
              <w:bottom w:w="40" w:type="dxa"/>
              <w:right w:w="20" w:type="dxa"/>
            </w:tcMar>
            <w:vAlign w:val="bottom"/>
          </w:tcPr>
          <w:p w14:paraId="6753609A" w14:textId="77777777" w:rsidR="001B77DD" w:rsidRDefault="001B77DD">
            <w:pPr>
              <w:jc w:val="right"/>
              <w:rPr>
                <w:rFonts w:ascii="宋体"/>
              </w:rPr>
            </w:pPr>
          </w:p>
        </w:tc>
      </w:tr>
      <w:tr w:rsidR="001B77DD" w14:paraId="675360A8" w14:textId="77777777">
        <w:tc>
          <w:tcPr>
            <w:tcW w:w="0" w:type="auto"/>
            <w:gridSpan w:val="3"/>
            <w:shd w:val="clear" w:color="auto" w:fill="auto"/>
            <w:tcMar>
              <w:top w:w="40" w:type="dxa"/>
              <w:left w:w="380" w:type="dxa"/>
              <w:bottom w:w="40" w:type="dxa"/>
              <w:right w:w="20" w:type="dxa"/>
            </w:tcMar>
            <w:vAlign w:val="bottom"/>
          </w:tcPr>
          <w:p w14:paraId="6753609C" w14:textId="77777777" w:rsidR="001B77DD" w:rsidRDefault="00BF0A28">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6753609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9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9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A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A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A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A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A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0A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0A6" w14:textId="77777777" w:rsidR="001B77DD" w:rsidRDefault="00BF0A28">
            <w:pPr>
              <w:jc w:val="right"/>
              <w:textAlignment w:val="bottom"/>
            </w:pPr>
            <w:r>
              <w:rPr>
                <w:rFonts w:ascii="Arial" w:eastAsia="宋体" w:hAnsi="Arial" w:cs="Arial"/>
                <w:color w:val="262626"/>
                <w:sz w:val="18"/>
                <w:szCs w:val="18"/>
              </w:rPr>
              <w:t>21,428 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0A7" w14:textId="77777777" w:rsidR="001B77DD" w:rsidRDefault="001B77DD">
            <w:pPr>
              <w:jc w:val="right"/>
              <w:rPr>
                <w:rFonts w:ascii="宋体"/>
              </w:rPr>
            </w:pPr>
          </w:p>
        </w:tc>
      </w:tr>
      <w:tr w:rsidR="001B77DD" w14:paraId="675360B8" w14:textId="77777777">
        <w:tc>
          <w:tcPr>
            <w:tcW w:w="0" w:type="auto"/>
            <w:gridSpan w:val="3"/>
            <w:shd w:val="clear" w:color="auto" w:fill="auto"/>
            <w:tcMar>
              <w:top w:w="40" w:type="dxa"/>
              <w:left w:w="20" w:type="dxa"/>
              <w:bottom w:w="40" w:type="dxa"/>
              <w:right w:w="20" w:type="dxa"/>
            </w:tcMar>
            <w:vAlign w:val="bottom"/>
          </w:tcPr>
          <w:p w14:paraId="675360A9" w14:textId="77777777" w:rsidR="001B77DD" w:rsidRDefault="00BF0A2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75360A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AB" w14:textId="77777777" w:rsidR="001B77DD" w:rsidRDefault="00BF0A28">
            <w:pPr>
              <w:jc w:val="right"/>
              <w:textAlignment w:val="bottom"/>
            </w:pPr>
            <w:r>
              <w:rPr>
                <w:rFonts w:ascii="Arial" w:eastAsia="宋体" w:hAnsi="Arial" w:cs="Arial"/>
                <w:color w:val="262626"/>
                <w:sz w:val="18"/>
                <w:szCs w:val="18"/>
              </w:rPr>
              <w:t>55 </w:t>
            </w:r>
          </w:p>
        </w:tc>
        <w:tc>
          <w:tcPr>
            <w:tcW w:w="0" w:type="auto"/>
            <w:shd w:val="clear" w:color="auto" w:fill="auto"/>
            <w:tcMar>
              <w:top w:w="40" w:type="dxa"/>
              <w:left w:w="0" w:type="dxa"/>
              <w:bottom w:w="40" w:type="dxa"/>
              <w:right w:w="20" w:type="dxa"/>
            </w:tcMar>
            <w:vAlign w:val="bottom"/>
          </w:tcPr>
          <w:p w14:paraId="675360A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A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AE" w14:textId="77777777" w:rsidR="001B77DD" w:rsidRDefault="00BF0A28">
            <w:pPr>
              <w:jc w:val="right"/>
              <w:textAlignment w:val="bottom"/>
            </w:pPr>
            <w:r>
              <w:rPr>
                <w:rFonts w:ascii="Arial" w:eastAsia="宋体" w:hAnsi="Arial" w:cs="Arial"/>
                <w:color w:val="262626"/>
                <w:sz w:val="18"/>
                <w:szCs w:val="18"/>
              </w:rPr>
              <w:t>1,018 </w:t>
            </w:r>
          </w:p>
        </w:tc>
        <w:tc>
          <w:tcPr>
            <w:tcW w:w="0" w:type="auto"/>
            <w:shd w:val="clear" w:color="auto" w:fill="auto"/>
            <w:tcMar>
              <w:top w:w="40" w:type="dxa"/>
              <w:left w:w="0" w:type="dxa"/>
              <w:bottom w:w="40" w:type="dxa"/>
              <w:right w:w="20" w:type="dxa"/>
            </w:tcMar>
            <w:vAlign w:val="bottom"/>
          </w:tcPr>
          <w:p w14:paraId="675360A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B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B1"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B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B3"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B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B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0B6" w14:textId="77777777" w:rsidR="001B77DD" w:rsidRDefault="00BF0A28">
            <w:pPr>
              <w:jc w:val="right"/>
              <w:textAlignment w:val="bottom"/>
            </w:pPr>
            <w:r>
              <w:rPr>
                <w:rFonts w:ascii="Arial" w:eastAsia="宋体" w:hAnsi="Arial" w:cs="Arial"/>
                <w:color w:val="262626"/>
                <w:sz w:val="18"/>
                <w:szCs w:val="18"/>
              </w:rPr>
              <w:t>1,018 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0B7" w14:textId="77777777" w:rsidR="001B77DD" w:rsidRDefault="001B77DD">
            <w:pPr>
              <w:jc w:val="right"/>
              <w:rPr>
                <w:rFonts w:ascii="宋体"/>
              </w:rPr>
            </w:pPr>
          </w:p>
        </w:tc>
      </w:tr>
      <w:tr w:rsidR="001B77DD" w14:paraId="675360C7" w14:textId="77777777">
        <w:tc>
          <w:tcPr>
            <w:tcW w:w="0" w:type="auto"/>
            <w:gridSpan w:val="3"/>
            <w:shd w:val="clear" w:color="auto" w:fill="auto"/>
            <w:tcMar>
              <w:top w:w="40" w:type="dxa"/>
              <w:left w:w="20" w:type="dxa"/>
              <w:bottom w:w="40" w:type="dxa"/>
              <w:right w:w="20" w:type="dxa"/>
            </w:tcMar>
            <w:vAlign w:val="bottom"/>
          </w:tcPr>
          <w:p w14:paraId="675360B9" w14:textId="77777777" w:rsidR="001B77DD" w:rsidRDefault="00BF0A2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75360B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BB"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B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B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BE" w14:textId="77777777" w:rsidR="001B77DD" w:rsidRDefault="00BF0A28">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675360B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C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C1"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C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C3"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C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C5" w14:textId="77777777" w:rsidR="001B77DD" w:rsidRDefault="00BF0A28">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675360C6" w14:textId="77777777" w:rsidR="001B77DD" w:rsidRDefault="001B77DD">
            <w:pPr>
              <w:jc w:val="right"/>
              <w:rPr>
                <w:rFonts w:ascii="宋体"/>
              </w:rPr>
            </w:pPr>
          </w:p>
        </w:tc>
      </w:tr>
      <w:tr w:rsidR="001B77DD" w14:paraId="675360D7" w14:textId="77777777">
        <w:tc>
          <w:tcPr>
            <w:tcW w:w="0" w:type="auto"/>
            <w:gridSpan w:val="3"/>
            <w:shd w:val="clear" w:color="auto" w:fill="auto"/>
            <w:tcMar>
              <w:top w:w="40" w:type="dxa"/>
              <w:left w:w="20" w:type="dxa"/>
              <w:bottom w:w="40" w:type="dxa"/>
              <w:right w:w="20" w:type="dxa"/>
            </w:tcMar>
            <w:vAlign w:val="bottom"/>
          </w:tcPr>
          <w:p w14:paraId="675360C8" w14:textId="77777777" w:rsidR="001B77DD" w:rsidRDefault="00BF0A28">
            <w:pPr>
              <w:textAlignment w:val="bottom"/>
            </w:pPr>
            <w:r>
              <w:rPr>
                <w:rFonts w:ascii="Arial" w:eastAsia="宋体" w:hAnsi="Arial" w:cs="Arial"/>
                <w:color w:val="262626"/>
                <w:sz w:val="18"/>
                <w:szCs w:val="18"/>
              </w:rPr>
              <w:t>Temporary equity reduction</w:t>
            </w:r>
          </w:p>
        </w:tc>
        <w:tc>
          <w:tcPr>
            <w:tcW w:w="0" w:type="auto"/>
            <w:gridSpan w:val="3"/>
            <w:shd w:val="clear" w:color="auto" w:fill="auto"/>
            <w:tcMar>
              <w:top w:w="0" w:type="dxa"/>
              <w:left w:w="20" w:type="dxa"/>
              <w:bottom w:w="0" w:type="dxa"/>
              <w:right w:w="20" w:type="dxa"/>
            </w:tcMar>
            <w:vAlign w:val="bottom"/>
          </w:tcPr>
          <w:p w14:paraId="675360C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CA"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C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C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CD" w14:textId="77777777" w:rsidR="001B77DD" w:rsidRDefault="00BF0A28">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675360C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C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D0"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D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D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D3"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D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D5" w14:textId="77777777" w:rsidR="001B77DD" w:rsidRDefault="00BF0A28">
            <w:pPr>
              <w:jc w:val="right"/>
              <w:textAlignment w:val="bottom"/>
            </w:pPr>
            <w:r>
              <w:rPr>
                <w:rFonts w:ascii="Arial" w:eastAsia="宋体" w:hAnsi="Arial" w:cs="Arial"/>
                <w:color w:val="262626"/>
                <w:sz w:val="18"/>
                <w:szCs w:val="18"/>
              </w:rPr>
              <w:t>155 </w:t>
            </w:r>
          </w:p>
        </w:tc>
        <w:tc>
          <w:tcPr>
            <w:tcW w:w="0" w:type="auto"/>
            <w:shd w:val="clear" w:color="auto" w:fill="auto"/>
            <w:tcMar>
              <w:top w:w="40" w:type="dxa"/>
              <w:left w:w="0" w:type="dxa"/>
              <w:bottom w:w="40" w:type="dxa"/>
              <w:right w:w="20" w:type="dxa"/>
            </w:tcMar>
            <w:vAlign w:val="bottom"/>
          </w:tcPr>
          <w:p w14:paraId="675360D6" w14:textId="77777777" w:rsidR="001B77DD" w:rsidRDefault="001B77DD">
            <w:pPr>
              <w:jc w:val="right"/>
              <w:rPr>
                <w:rFonts w:ascii="宋体"/>
              </w:rPr>
            </w:pPr>
          </w:p>
        </w:tc>
      </w:tr>
      <w:tr w:rsidR="001B77DD" w14:paraId="675360E6" w14:textId="77777777">
        <w:tc>
          <w:tcPr>
            <w:tcW w:w="0" w:type="auto"/>
            <w:gridSpan w:val="3"/>
            <w:shd w:val="clear" w:color="auto" w:fill="auto"/>
            <w:tcMar>
              <w:top w:w="40" w:type="dxa"/>
              <w:left w:w="20" w:type="dxa"/>
              <w:bottom w:w="40" w:type="dxa"/>
              <w:right w:w="20" w:type="dxa"/>
            </w:tcMar>
            <w:vAlign w:val="bottom"/>
          </w:tcPr>
          <w:p w14:paraId="675360D8" w14:textId="77777777" w:rsidR="001B77DD" w:rsidRDefault="00BF0A28">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vAlign w:val="bottom"/>
          </w:tcPr>
          <w:p w14:paraId="675360D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DA"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0D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D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DD" w14:textId="77777777" w:rsidR="001B77DD" w:rsidRDefault="00BF0A28">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675360D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D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E0"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E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E2"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0E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E4" w14:textId="77777777" w:rsidR="001B77DD" w:rsidRDefault="00BF0A28">
            <w:pPr>
              <w:jc w:val="right"/>
              <w:textAlignment w:val="bottom"/>
            </w:pPr>
            <w:r>
              <w:rPr>
                <w:rFonts w:ascii="Arial" w:eastAsia="宋体" w:hAnsi="Arial" w:cs="Arial"/>
                <w:color w:val="262626"/>
                <w:sz w:val="18"/>
                <w:szCs w:val="18"/>
              </w:rPr>
              <w:t>(750)</w:t>
            </w:r>
          </w:p>
        </w:tc>
        <w:tc>
          <w:tcPr>
            <w:tcW w:w="0" w:type="auto"/>
            <w:shd w:val="clear" w:color="auto" w:fill="auto"/>
            <w:tcMar>
              <w:top w:w="40" w:type="dxa"/>
              <w:left w:w="0" w:type="dxa"/>
              <w:bottom w:w="40" w:type="dxa"/>
              <w:right w:w="20" w:type="dxa"/>
            </w:tcMar>
            <w:vAlign w:val="bottom"/>
          </w:tcPr>
          <w:p w14:paraId="675360E5" w14:textId="77777777" w:rsidR="001B77DD" w:rsidRDefault="001B77DD">
            <w:pPr>
              <w:jc w:val="right"/>
              <w:rPr>
                <w:rFonts w:ascii="宋体"/>
              </w:rPr>
            </w:pPr>
          </w:p>
        </w:tc>
      </w:tr>
      <w:tr w:rsidR="001B77DD" w14:paraId="675360F6" w14:textId="77777777">
        <w:tc>
          <w:tcPr>
            <w:tcW w:w="0" w:type="auto"/>
            <w:gridSpan w:val="3"/>
            <w:shd w:val="clear" w:color="auto" w:fill="auto"/>
            <w:tcMar>
              <w:top w:w="40" w:type="dxa"/>
              <w:left w:w="20" w:type="dxa"/>
              <w:bottom w:w="40" w:type="dxa"/>
              <w:right w:w="20" w:type="dxa"/>
            </w:tcMar>
            <w:vAlign w:val="bottom"/>
          </w:tcPr>
          <w:p w14:paraId="675360E7" w14:textId="77777777" w:rsidR="001B77DD" w:rsidRDefault="00BF0A2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75360E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E9" w14:textId="77777777" w:rsidR="001B77DD" w:rsidRDefault="00BF0A28">
            <w:pPr>
              <w:jc w:val="right"/>
              <w:textAlignment w:val="bottom"/>
            </w:pPr>
            <w:r>
              <w:rPr>
                <w:rFonts w:ascii="Arial" w:eastAsia="宋体" w:hAnsi="Arial" w:cs="Arial"/>
                <w:color w:val="262626"/>
                <w:sz w:val="18"/>
                <w:szCs w:val="18"/>
              </w:rPr>
              <w:t>(275)</w:t>
            </w:r>
          </w:p>
        </w:tc>
        <w:tc>
          <w:tcPr>
            <w:tcW w:w="0" w:type="auto"/>
            <w:shd w:val="clear" w:color="auto" w:fill="auto"/>
            <w:tcMar>
              <w:top w:w="40" w:type="dxa"/>
              <w:left w:w="0" w:type="dxa"/>
              <w:bottom w:w="40" w:type="dxa"/>
              <w:right w:w="20" w:type="dxa"/>
            </w:tcMar>
            <w:vAlign w:val="bottom"/>
          </w:tcPr>
          <w:p w14:paraId="675360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EC" w14:textId="77777777" w:rsidR="001B77DD" w:rsidRDefault="00BF0A28">
            <w:pPr>
              <w:jc w:val="right"/>
              <w:textAlignment w:val="bottom"/>
            </w:pPr>
            <w:r>
              <w:rPr>
                <w:rFonts w:ascii="Arial" w:eastAsia="宋体" w:hAnsi="Arial" w:cs="Arial"/>
                <w:color w:val="262626"/>
                <w:sz w:val="18"/>
                <w:szCs w:val="18"/>
              </w:rPr>
              <w:t>(1,628)</w:t>
            </w:r>
          </w:p>
        </w:tc>
        <w:tc>
          <w:tcPr>
            <w:tcW w:w="0" w:type="auto"/>
            <w:shd w:val="clear" w:color="auto" w:fill="auto"/>
            <w:tcMar>
              <w:top w:w="40" w:type="dxa"/>
              <w:left w:w="0" w:type="dxa"/>
              <w:bottom w:w="40" w:type="dxa"/>
              <w:right w:w="20" w:type="dxa"/>
            </w:tcMar>
            <w:vAlign w:val="bottom"/>
          </w:tcPr>
          <w:p w14:paraId="675360E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E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EF"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0F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F1" w14:textId="77777777" w:rsidR="001B77DD" w:rsidRDefault="00BF0A28">
            <w:pPr>
              <w:jc w:val="right"/>
              <w:textAlignment w:val="bottom"/>
            </w:pPr>
            <w:r>
              <w:rPr>
                <w:rFonts w:ascii="Arial" w:eastAsia="宋体" w:hAnsi="Arial" w:cs="Arial"/>
                <w:color w:val="262626"/>
                <w:sz w:val="18"/>
                <w:szCs w:val="18"/>
              </w:rPr>
              <w:t>(12,481)</w:t>
            </w:r>
          </w:p>
        </w:tc>
        <w:tc>
          <w:tcPr>
            <w:tcW w:w="0" w:type="auto"/>
            <w:shd w:val="clear" w:color="auto" w:fill="auto"/>
            <w:tcMar>
              <w:top w:w="40" w:type="dxa"/>
              <w:left w:w="0" w:type="dxa"/>
              <w:bottom w:w="40" w:type="dxa"/>
              <w:right w:w="20" w:type="dxa"/>
            </w:tcMar>
            <w:vAlign w:val="bottom"/>
          </w:tcPr>
          <w:p w14:paraId="675360F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F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F4" w14:textId="77777777" w:rsidR="001B77DD" w:rsidRDefault="00BF0A28">
            <w:pPr>
              <w:jc w:val="right"/>
              <w:textAlignment w:val="bottom"/>
            </w:pPr>
            <w:r>
              <w:rPr>
                <w:rFonts w:ascii="Arial" w:eastAsia="宋体" w:hAnsi="Arial" w:cs="Arial"/>
                <w:color w:val="262626"/>
                <w:sz w:val="18"/>
                <w:szCs w:val="18"/>
              </w:rPr>
              <w:t>(14,109)</w:t>
            </w:r>
          </w:p>
        </w:tc>
        <w:tc>
          <w:tcPr>
            <w:tcW w:w="0" w:type="auto"/>
            <w:shd w:val="clear" w:color="auto" w:fill="auto"/>
            <w:tcMar>
              <w:top w:w="40" w:type="dxa"/>
              <w:left w:w="0" w:type="dxa"/>
              <w:bottom w:w="40" w:type="dxa"/>
              <w:right w:w="20" w:type="dxa"/>
            </w:tcMar>
            <w:vAlign w:val="bottom"/>
          </w:tcPr>
          <w:p w14:paraId="675360F5" w14:textId="77777777" w:rsidR="001B77DD" w:rsidRDefault="001B77DD">
            <w:pPr>
              <w:jc w:val="right"/>
              <w:rPr>
                <w:rFonts w:ascii="宋体"/>
              </w:rPr>
            </w:pPr>
          </w:p>
        </w:tc>
      </w:tr>
      <w:tr w:rsidR="001B77DD" w14:paraId="67536106" w14:textId="77777777">
        <w:tc>
          <w:tcPr>
            <w:tcW w:w="0" w:type="auto"/>
            <w:gridSpan w:val="3"/>
            <w:shd w:val="clear" w:color="auto" w:fill="auto"/>
            <w:tcMar>
              <w:top w:w="40" w:type="dxa"/>
              <w:left w:w="20" w:type="dxa"/>
              <w:bottom w:w="40" w:type="dxa"/>
              <w:right w:w="20" w:type="dxa"/>
            </w:tcMar>
            <w:vAlign w:val="bottom"/>
          </w:tcPr>
          <w:p w14:paraId="675360F7" w14:textId="77777777" w:rsidR="001B77DD" w:rsidRDefault="00BF0A2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75360F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F9" w14:textId="77777777" w:rsidR="001B77DD" w:rsidRDefault="00BF0A28">
            <w:pPr>
              <w:jc w:val="right"/>
              <w:textAlignment w:val="bottom"/>
            </w:pPr>
            <w:r>
              <w:rPr>
                <w:rFonts w:ascii="Arial" w:eastAsia="宋体" w:hAnsi="Arial" w:cs="Arial"/>
                <w:color w:val="262626"/>
                <w:sz w:val="18"/>
                <w:szCs w:val="18"/>
              </w:rPr>
              <w:t>(8)</w:t>
            </w:r>
          </w:p>
        </w:tc>
        <w:tc>
          <w:tcPr>
            <w:tcW w:w="0" w:type="auto"/>
            <w:shd w:val="clear" w:color="auto" w:fill="auto"/>
            <w:tcMar>
              <w:top w:w="40" w:type="dxa"/>
              <w:left w:w="0" w:type="dxa"/>
              <w:bottom w:w="40" w:type="dxa"/>
              <w:right w:w="20" w:type="dxa"/>
            </w:tcMar>
            <w:vAlign w:val="bottom"/>
          </w:tcPr>
          <w:p w14:paraId="675360F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F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0FC" w14:textId="77777777" w:rsidR="001B77DD" w:rsidRDefault="00BF0A28">
            <w:pPr>
              <w:jc w:val="right"/>
              <w:textAlignment w:val="bottom"/>
            </w:pPr>
            <w:r>
              <w:rPr>
                <w:rFonts w:ascii="Arial" w:eastAsia="宋体" w:hAnsi="Arial" w:cs="Arial"/>
                <w:color w:val="262626"/>
                <w:sz w:val="18"/>
                <w:szCs w:val="18"/>
              </w:rPr>
              <w:t>(354)</w:t>
            </w:r>
          </w:p>
        </w:tc>
        <w:tc>
          <w:tcPr>
            <w:tcW w:w="0" w:type="auto"/>
            <w:shd w:val="clear" w:color="auto" w:fill="auto"/>
            <w:tcMar>
              <w:top w:w="40" w:type="dxa"/>
              <w:left w:w="0" w:type="dxa"/>
              <w:bottom w:w="40" w:type="dxa"/>
              <w:right w:w="20" w:type="dxa"/>
            </w:tcMar>
            <w:vAlign w:val="bottom"/>
          </w:tcPr>
          <w:p w14:paraId="675360F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0F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0FF"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10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01" w14:textId="77777777" w:rsidR="001B77DD" w:rsidRDefault="00BF0A28">
            <w:pPr>
              <w:jc w:val="right"/>
              <w:textAlignment w:val="bottom"/>
            </w:pPr>
            <w:r>
              <w:rPr>
                <w:rFonts w:ascii="Arial" w:eastAsia="宋体" w:hAnsi="Arial" w:cs="Arial"/>
                <w:color w:val="262626"/>
                <w:sz w:val="18"/>
                <w:szCs w:val="18"/>
              </w:rPr>
              <w:t>(140)</w:t>
            </w:r>
          </w:p>
        </w:tc>
        <w:tc>
          <w:tcPr>
            <w:tcW w:w="0" w:type="auto"/>
            <w:shd w:val="clear" w:color="auto" w:fill="auto"/>
            <w:tcMar>
              <w:top w:w="40" w:type="dxa"/>
              <w:left w:w="0" w:type="dxa"/>
              <w:bottom w:w="40" w:type="dxa"/>
              <w:right w:w="20" w:type="dxa"/>
            </w:tcMar>
            <w:vAlign w:val="bottom"/>
          </w:tcPr>
          <w:p w14:paraId="6753610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0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04" w14:textId="77777777" w:rsidR="001B77DD" w:rsidRDefault="00BF0A28">
            <w:pPr>
              <w:jc w:val="right"/>
              <w:textAlignment w:val="bottom"/>
            </w:pPr>
            <w:r>
              <w:rPr>
                <w:rFonts w:ascii="Arial" w:eastAsia="宋体" w:hAnsi="Arial" w:cs="Arial"/>
                <w:color w:val="262626"/>
                <w:sz w:val="18"/>
                <w:szCs w:val="18"/>
              </w:rPr>
              <w:t>(494)</w:t>
            </w:r>
          </w:p>
        </w:tc>
        <w:tc>
          <w:tcPr>
            <w:tcW w:w="0" w:type="auto"/>
            <w:shd w:val="clear" w:color="auto" w:fill="auto"/>
            <w:tcMar>
              <w:top w:w="40" w:type="dxa"/>
              <w:left w:w="0" w:type="dxa"/>
              <w:bottom w:w="40" w:type="dxa"/>
              <w:right w:w="20" w:type="dxa"/>
            </w:tcMar>
            <w:vAlign w:val="bottom"/>
          </w:tcPr>
          <w:p w14:paraId="67536105" w14:textId="77777777" w:rsidR="001B77DD" w:rsidRDefault="001B77DD">
            <w:pPr>
              <w:jc w:val="right"/>
              <w:rPr>
                <w:rFonts w:ascii="宋体"/>
              </w:rPr>
            </w:pPr>
          </w:p>
        </w:tc>
      </w:tr>
      <w:tr w:rsidR="001B77DD" w14:paraId="67536115" w14:textId="77777777">
        <w:tc>
          <w:tcPr>
            <w:tcW w:w="0" w:type="auto"/>
            <w:gridSpan w:val="3"/>
            <w:shd w:val="clear" w:color="auto" w:fill="auto"/>
            <w:tcMar>
              <w:top w:w="40" w:type="dxa"/>
              <w:left w:w="20" w:type="dxa"/>
              <w:bottom w:w="40" w:type="dxa"/>
              <w:right w:w="20" w:type="dxa"/>
            </w:tcMar>
            <w:vAlign w:val="bottom"/>
          </w:tcPr>
          <w:p w14:paraId="67536107" w14:textId="77777777" w:rsidR="001B77DD" w:rsidRDefault="00BF0A28">
            <w:pPr>
              <w:textAlignment w:val="bottom"/>
            </w:pPr>
            <w:r>
              <w:rPr>
                <w:rFonts w:ascii="Arial" w:eastAsia="宋体" w:hAnsi="Arial" w:cs="Arial"/>
                <w:color w:val="262626"/>
                <w:sz w:val="18"/>
                <w:szCs w:val="18"/>
              </w:rPr>
              <w:t>Cash dividends declared ($1.32 per share of common stock)</w:t>
            </w:r>
          </w:p>
        </w:tc>
        <w:tc>
          <w:tcPr>
            <w:tcW w:w="0" w:type="auto"/>
            <w:gridSpan w:val="3"/>
            <w:shd w:val="clear" w:color="auto" w:fill="auto"/>
            <w:tcMar>
              <w:top w:w="0" w:type="dxa"/>
              <w:left w:w="20" w:type="dxa"/>
              <w:bottom w:w="0" w:type="dxa"/>
              <w:right w:w="20" w:type="dxa"/>
            </w:tcMar>
            <w:vAlign w:val="bottom"/>
          </w:tcPr>
          <w:p w14:paraId="6753610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09"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10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0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0C"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10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0E" w14:textId="77777777" w:rsidR="001B77DD" w:rsidRDefault="00BF0A28">
            <w:pPr>
              <w:jc w:val="right"/>
              <w:textAlignment w:val="bottom"/>
            </w:pPr>
            <w:r>
              <w:rPr>
                <w:rFonts w:ascii="Arial" w:eastAsia="宋体" w:hAnsi="Arial" w:cs="Arial"/>
                <w:color w:val="262626"/>
                <w:sz w:val="18"/>
                <w:szCs w:val="18"/>
              </w:rPr>
              <w:t xml:space="preserve"> — </w:t>
            </w:r>
          </w:p>
        </w:tc>
        <w:tc>
          <w:tcPr>
            <w:tcW w:w="0" w:type="auto"/>
            <w:gridSpan w:val="3"/>
            <w:shd w:val="clear" w:color="auto" w:fill="auto"/>
            <w:tcMar>
              <w:top w:w="0" w:type="dxa"/>
              <w:left w:w="20" w:type="dxa"/>
              <w:bottom w:w="0" w:type="dxa"/>
              <w:right w:w="20" w:type="dxa"/>
            </w:tcMar>
            <w:vAlign w:val="bottom"/>
          </w:tcPr>
          <w:p w14:paraId="6753610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10" w14:textId="77777777" w:rsidR="001B77DD" w:rsidRDefault="00BF0A28">
            <w:pPr>
              <w:jc w:val="right"/>
              <w:textAlignment w:val="bottom"/>
            </w:pPr>
            <w:r>
              <w:rPr>
                <w:rFonts w:ascii="Arial" w:eastAsia="宋体" w:hAnsi="Arial" w:cs="Arial"/>
                <w:color w:val="262626"/>
                <w:sz w:val="18"/>
                <w:szCs w:val="18"/>
              </w:rPr>
              <w:t>(5,568)</w:t>
            </w:r>
          </w:p>
        </w:tc>
        <w:tc>
          <w:tcPr>
            <w:tcW w:w="0" w:type="auto"/>
            <w:shd w:val="clear" w:color="auto" w:fill="auto"/>
            <w:tcMar>
              <w:top w:w="40" w:type="dxa"/>
              <w:left w:w="0" w:type="dxa"/>
              <w:bottom w:w="40" w:type="dxa"/>
              <w:right w:w="20" w:type="dxa"/>
            </w:tcMar>
            <w:vAlign w:val="bottom"/>
          </w:tcPr>
          <w:p w14:paraId="6753611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1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13" w14:textId="77777777" w:rsidR="001B77DD" w:rsidRDefault="00BF0A28">
            <w:pPr>
              <w:jc w:val="right"/>
              <w:textAlignment w:val="bottom"/>
            </w:pPr>
            <w:r>
              <w:rPr>
                <w:rFonts w:ascii="Arial" w:eastAsia="宋体" w:hAnsi="Arial" w:cs="Arial"/>
                <w:color w:val="262626"/>
                <w:sz w:val="18"/>
                <w:szCs w:val="18"/>
              </w:rPr>
              <w:t>(5,568)</w:t>
            </w:r>
          </w:p>
        </w:tc>
        <w:tc>
          <w:tcPr>
            <w:tcW w:w="0" w:type="auto"/>
            <w:shd w:val="clear" w:color="auto" w:fill="auto"/>
            <w:tcMar>
              <w:top w:w="40" w:type="dxa"/>
              <w:left w:w="0" w:type="dxa"/>
              <w:bottom w:w="40" w:type="dxa"/>
              <w:right w:w="20" w:type="dxa"/>
            </w:tcMar>
            <w:vAlign w:val="bottom"/>
          </w:tcPr>
          <w:p w14:paraId="67536114" w14:textId="77777777" w:rsidR="001B77DD" w:rsidRDefault="001B77DD">
            <w:pPr>
              <w:jc w:val="right"/>
              <w:rPr>
                <w:rFonts w:ascii="宋体"/>
              </w:rPr>
            </w:pPr>
          </w:p>
        </w:tc>
      </w:tr>
      <w:tr w:rsidR="001B77DD" w14:paraId="67536126" w14:textId="77777777">
        <w:tc>
          <w:tcPr>
            <w:tcW w:w="0" w:type="auto"/>
            <w:gridSpan w:val="3"/>
            <w:shd w:val="clear" w:color="auto" w:fill="auto"/>
            <w:tcMar>
              <w:top w:w="40" w:type="dxa"/>
              <w:left w:w="20" w:type="dxa"/>
              <w:bottom w:w="40" w:type="dxa"/>
              <w:right w:w="20" w:type="dxa"/>
            </w:tcMar>
            <w:vAlign w:val="bottom"/>
          </w:tcPr>
          <w:p w14:paraId="67536116" w14:textId="77777777" w:rsidR="001B77DD" w:rsidRDefault="00BF0A28">
            <w:pPr>
              <w:textAlignment w:val="bottom"/>
            </w:pPr>
            <w:r>
              <w:rPr>
                <w:rFonts w:ascii="Arial" w:eastAsia="宋体" w:hAnsi="Arial" w:cs="Arial"/>
                <w:b/>
                <w:bCs/>
                <w:color w:val="262626"/>
                <w:sz w:val="18"/>
                <w:szCs w:val="18"/>
              </w:rPr>
              <w:t>Balance as of December 26, 2020</w:t>
            </w:r>
          </w:p>
        </w:tc>
        <w:tc>
          <w:tcPr>
            <w:tcW w:w="0" w:type="auto"/>
            <w:gridSpan w:val="3"/>
            <w:shd w:val="clear" w:color="auto" w:fill="auto"/>
            <w:tcMar>
              <w:top w:w="0" w:type="dxa"/>
              <w:left w:w="20" w:type="dxa"/>
              <w:bottom w:w="0" w:type="dxa"/>
              <w:right w:w="20" w:type="dxa"/>
            </w:tcMar>
            <w:vAlign w:val="bottom"/>
          </w:tcPr>
          <w:p w14:paraId="67536117"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18" w14:textId="77777777" w:rsidR="001B77DD" w:rsidRDefault="00BF0A28">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1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1A"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1B" w14:textId="77777777" w:rsidR="001B77DD" w:rsidRDefault="00BF0A28">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1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1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1E" w14:textId="77777777" w:rsidR="001B77DD" w:rsidRDefault="00BF0A28">
            <w:pPr>
              <w:jc w:val="right"/>
              <w:textAlignment w:val="bottom"/>
            </w:pPr>
            <w:r>
              <w:rPr>
                <w:rFonts w:ascii="Arial" w:eastAsia="宋体" w:hAnsi="Arial" w:cs="Arial"/>
                <w:b/>
                <w:bCs/>
                <w:color w:val="262626"/>
                <w:sz w:val="18"/>
                <w:szCs w:val="18"/>
              </w:rPr>
              <w:t>(751)</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1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20"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21" w14:textId="77777777" w:rsidR="001B77DD" w:rsidRDefault="00BF0A28">
            <w:pPr>
              <w:jc w:val="right"/>
              <w:textAlignment w:val="bottom"/>
            </w:pPr>
            <w:r>
              <w:rPr>
                <w:rFonts w:ascii="Arial" w:eastAsia="宋体" w:hAnsi="Arial" w:cs="Arial"/>
                <w:b/>
                <w:bCs/>
                <w:color w:val="262626"/>
                <w:sz w:val="18"/>
                <w:szCs w:val="18"/>
              </w:rPr>
              <w:t>56,233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2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2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24" w14:textId="77777777" w:rsidR="001B77DD" w:rsidRDefault="00BF0A28">
            <w:pPr>
              <w:jc w:val="right"/>
              <w:textAlignment w:val="bottom"/>
            </w:pPr>
            <w:r>
              <w:rPr>
                <w:rFonts w:ascii="Arial" w:eastAsia="宋体" w:hAnsi="Arial" w:cs="Arial"/>
                <w:b/>
                <w:bCs/>
                <w:color w:val="262626"/>
                <w:sz w:val="18"/>
                <w:szCs w:val="18"/>
              </w:rPr>
              <w:t>81,038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25" w14:textId="77777777" w:rsidR="001B77DD" w:rsidRDefault="001B77DD">
            <w:pPr>
              <w:jc w:val="right"/>
              <w:rPr>
                <w:rFonts w:ascii="宋体"/>
              </w:rPr>
            </w:pPr>
          </w:p>
        </w:tc>
      </w:tr>
      <w:tr w:rsidR="001B77DD" w14:paraId="67536134" w14:textId="77777777">
        <w:tc>
          <w:tcPr>
            <w:tcW w:w="0" w:type="auto"/>
            <w:gridSpan w:val="3"/>
            <w:shd w:val="clear" w:color="auto" w:fill="auto"/>
            <w:tcMar>
              <w:top w:w="40" w:type="dxa"/>
              <w:left w:w="20" w:type="dxa"/>
              <w:bottom w:w="40" w:type="dxa"/>
              <w:right w:w="20" w:type="dxa"/>
            </w:tcMar>
            <w:vAlign w:val="bottom"/>
          </w:tcPr>
          <w:p w14:paraId="67536127" w14:textId="77777777" w:rsidR="001B77DD" w:rsidRDefault="00BF0A28">
            <w:pPr>
              <w:textAlignment w:val="bottom"/>
            </w:pPr>
            <w:r>
              <w:rPr>
                <w:rFonts w:ascii="Arial" w:eastAsia="宋体" w:hAnsi="Arial" w:cs="Arial"/>
                <w:color w:val="262626"/>
                <w:sz w:val="18"/>
                <w:szCs w:val="18"/>
              </w:rPr>
              <w:t>Adjustment to opening balance for change in accounting principle</w:t>
            </w:r>
          </w:p>
        </w:tc>
        <w:tc>
          <w:tcPr>
            <w:tcW w:w="0" w:type="auto"/>
            <w:gridSpan w:val="3"/>
            <w:shd w:val="clear" w:color="auto" w:fill="auto"/>
            <w:tcMar>
              <w:top w:w="0" w:type="dxa"/>
              <w:left w:w="20" w:type="dxa"/>
              <w:bottom w:w="0" w:type="dxa"/>
              <w:right w:w="20" w:type="dxa"/>
            </w:tcMar>
            <w:vAlign w:val="bottom"/>
          </w:tcPr>
          <w:p w14:paraId="6753612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2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2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2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2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2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2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2F" w14:textId="77777777" w:rsidR="001B77DD" w:rsidRDefault="00BF0A28">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6753613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3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32" w14:textId="77777777" w:rsidR="001B77DD" w:rsidRDefault="00BF0A28">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67536133" w14:textId="77777777" w:rsidR="001B77DD" w:rsidRDefault="001B77DD">
            <w:pPr>
              <w:jc w:val="right"/>
              <w:rPr>
                <w:rFonts w:ascii="宋体"/>
              </w:rPr>
            </w:pPr>
          </w:p>
        </w:tc>
      </w:tr>
      <w:tr w:rsidR="001B77DD" w14:paraId="67536145" w14:textId="77777777">
        <w:tc>
          <w:tcPr>
            <w:tcW w:w="0" w:type="auto"/>
            <w:gridSpan w:val="3"/>
            <w:shd w:val="clear" w:color="auto" w:fill="auto"/>
            <w:tcMar>
              <w:top w:w="40" w:type="dxa"/>
              <w:left w:w="20" w:type="dxa"/>
              <w:bottom w:w="40" w:type="dxa"/>
              <w:right w:w="20" w:type="dxa"/>
            </w:tcMar>
            <w:vAlign w:val="bottom"/>
          </w:tcPr>
          <w:p w14:paraId="67536135" w14:textId="77777777" w:rsidR="001B77DD" w:rsidRDefault="00BF0A28">
            <w:pPr>
              <w:textAlignment w:val="bottom"/>
            </w:pPr>
            <w:r>
              <w:rPr>
                <w:rFonts w:ascii="Arial" w:eastAsia="宋体" w:hAnsi="Arial" w:cs="Arial"/>
                <w:b/>
                <w:bCs/>
                <w:color w:val="262626"/>
                <w:sz w:val="18"/>
                <w:szCs w:val="18"/>
              </w:rPr>
              <w:t xml:space="preserve">Opening balance as of December 27, 2020 </w:t>
            </w:r>
          </w:p>
        </w:tc>
        <w:tc>
          <w:tcPr>
            <w:tcW w:w="0" w:type="auto"/>
            <w:gridSpan w:val="3"/>
            <w:shd w:val="clear" w:color="auto" w:fill="auto"/>
            <w:tcMar>
              <w:top w:w="0" w:type="dxa"/>
              <w:left w:w="20" w:type="dxa"/>
              <w:bottom w:w="0" w:type="dxa"/>
              <w:right w:w="20" w:type="dxa"/>
            </w:tcMar>
            <w:vAlign w:val="bottom"/>
          </w:tcPr>
          <w:p w14:paraId="67536136"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37" w14:textId="77777777" w:rsidR="001B77DD" w:rsidRDefault="00BF0A28">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3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3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3A" w14:textId="77777777" w:rsidR="001B77DD" w:rsidRDefault="00BF0A28">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3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3C"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3D" w14:textId="77777777" w:rsidR="001B77DD" w:rsidRDefault="00BF0A28">
            <w:pPr>
              <w:jc w:val="right"/>
              <w:textAlignment w:val="bottom"/>
            </w:pPr>
            <w:r>
              <w:rPr>
                <w:rFonts w:ascii="Arial" w:eastAsia="宋体" w:hAnsi="Arial" w:cs="Arial"/>
                <w:b/>
                <w:bCs/>
                <w:color w:val="262626"/>
                <w:sz w:val="18"/>
                <w:szCs w:val="18"/>
              </w:rPr>
              <w:t>(751)</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3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40" w14:textId="77777777" w:rsidR="001B77DD" w:rsidRDefault="00BF0A28">
            <w:pPr>
              <w:jc w:val="right"/>
              <w:textAlignment w:val="bottom"/>
            </w:pPr>
            <w:r>
              <w:rPr>
                <w:rFonts w:ascii="Arial" w:eastAsia="宋体" w:hAnsi="Arial" w:cs="Arial"/>
                <w:b/>
                <w:bCs/>
                <w:color w:val="262626"/>
                <w:sz w:val="18"/>
                <w:szCs w:val="18"/>
              </w:rPr>
              <w:t>56,268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4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4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43" w14:textId="77777777" w:rsidR="001B77DD" w:rsidRDefault="00BF0A28">
            <w:pPr>
              <w:jc w:val="right"/>
              <w:textAlignment w:val="bottom"/>
            </w:pPr>
            <w:r>
              <w:rPr>
                <w:rFonts w:ascii="Arial" w:eastAsia="宋体" w:hAnsi="Arial" w:cs="Arial"/>
                <w:b/>
                <w:bCs/>
                <w:color w:val="262626"/>
                <w:sz w:val="18"/>
                <w:szCs w:val="18"/>
              </w:rPr>
              <w:t>81,073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44" w14:textId="77777777" w:rsidR="001B77DD" w:rsidRDefault="001B77DD">
            <w:pPr>
              <w:jc w:val="right"/>
              <w:rPr>
                <w:rFonts w:ascii="宋体"/>
              </w:rPr>
            </w:pPr>
          </w:p>
        </w:tc>
      </w:tr>
      <w:tr w:rsidR="001B77DD" w14:paraId="67536151" w14:textId="77777777">
        <w:tc>
          <w:tcPr>
            <w:tcW w:w="0" w:type="auto"/>
            <w:gridSpan w:val="3"/>
            <w:shd w:val="clear" w:color="auto" w:fill="auto"/>
            <w:tcMar>
              <w:top w:w="40" w:type="dxa"/>
              <w:left w:w="20" w:type="dxa"/>
              <w:bottom w:w="40" w:type="dxa"/>
              <w:right w:w="20" w:type="dxa"/>
            </w:tcMar>
            <w:vAlign w:val="bottom"/>
          </w:tcPr>
          <w:p w14:paraId="67536146" w14:textId="77777777" w:rsidR="001B77DD" w:rsidRDefault="00BF0A28">
            <w:pPr>
              <w:textAlignment w:val="bottom"/>
            </w:pPr>
            <w:r>
              <w:rPr>
                <w:rFonts w:ascii="Arial" w:eastAsia="宋体" w:hAnsi="Arial" w:cs="Arial"/>
                <w:color w:val="262626"/>
                <w:sz w:val="18"/>
                <w:szCs w:val="18"/>
              </w:rPr>
              <w:t>Components of comprehensive income, net of tax:</w:t>
            </w:r>
          </w:p>
        </w:tc>
        <w:tc>
          <w:tcPr>
            <w:tcW w:w="0" w:type="auto"/>
            <w:gridSpan w:val="3"/>
            <w:shd w:val="clear" w:color="auto" w:fill="auto"/>
            <w:tcMar>
              <w:top w:w="0" w:type="dxa"/>
              <w:left w:w="20" w:type="dxa"/>
              <w:bottom w:w="0" w:type="dxa"/>
              <w:right w:w="20" w:type="dxa"/>
            </w:tcMar>
            <w:vAlign w:val="bottom"/>
          </w:tcPr>
          <w:p w14:paraId="6753614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4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4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4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4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4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4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4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4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50" w14:textId="77777777" w:rsidR="001B77DD" w:rsidRDefault="001B77DD">
            <w:pPr>
              <w:rPr>
                <w:rFonts w:ascii="宋体"/>
              </w:rPr>
            </w:pPr>
          </w:p>
        </w:tc>
      </w:tr>
      <w:tr w:rsidR="001B77DD" w14:paraId="67536160" w14:textId="77777777">
        <w:tc>
          <w:tcPr>
            <w:tcW w:w="0" w:type="auto"/>
            <w:gridSpan w:val="3"/>
            <w:shd w:val="clear" w:color="auto" w:fill="auto"/>
            <w:tcMar>
              <w:top w:w="40" w:type="dxa"/>
              <w:left w:w="215" w:type="dxa"/>
              <w:bottom w:w="40" w:type="dxa"/>
              <w:right w:w="20" w:type="dxa"/>
            </w:tcMar>
            <w:vAlign w:val="bottom"/>
          </w:tcPr>
          <w:p w14:paraId="67536152" w14:textId="77777777" w:rsidR="001B77DD" w:rsidRDefault="00BF0A28">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6753615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54"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5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57"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5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59"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5B" w14:textId="77777777" w:rsidR="001B77DD" w:rsidRDefault="00BF0A28">
            <w:pPr>
              <w:jc w:val="right"/>
              <w:textAlignment w:val="bottom"/>
            </w:pPr>
            <w:r>
              <w:rPr>
                <w:rFonts w:ascii="Arial" w:eastAsia="宋体" w:hAnsi="Arial" w:cs="Arial"/>
                <w:color w:val="0068B5"/>
                <w:sz w:val="18"/>
                <w:szCs w:val="18"/>
              </w:rPr>
              <w:t>19,868 </w:t>
            </w:r>
          </w:p>
        </w:tc>
        <w:tc>
          <w:tcPr>
            <w:tcW w:w="0" w:type="auto"/>
            <w:shd w:val="clear" w:color="auto" w:fill="auto"/>
            <w:tcMar>
              <w:top w:w="40" w:type="dxa"/>
              <w:left w:w="0" w:type="dxa"/>
              <w:bottom w:w="40" w:type="dxa"/>
              <w:right w:w="20" w:type="dxa"/>
            </w:tcMar>
            <w:vAlign w:val="bottom"/>
          </w:tcPr>
          <w:p w14:paraId="675361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5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5E" w14:textId="77777777" w:rsidR="001B77DD" w:rsidRDefault="00BF0A28">
            <w:pPr>
              <w:jc w:val="right"/>
              <w:textAlignment w:val="bottom"/>
            </w:pPr>
            <w:r>
              <w:rPr>
                <w:rFonts w:ascii="Arial" w:eastAsia="宋体" w:hAnsi="Arial" w:cs="Arial"/>
                <w:color w:val="0068B5"/>
                <w:sz w:val="18"/>
                <w:szCs w:val="18"/>
              </w:rPr>
              <w:t>19,868 </w:t>
            </w:r>
          </w:p>
        </w:tc>
        <w:tc>
          <w:tcPr>
            <w:tcW w:w="0" w:type="auto"/>
            <w:shd w:val="clear" w:color="auto" w:fill="auto"/>
            <w:tcMar>
              <w:top w:w="40" w:type="dxa"/>
              <w:left w:w="0" w:type="dxa"/>
              <w:bottom w:w="40" w:type="dxa"/>
              <w:right w:w="20" w:type="dxa"/>
            </w:tcMar>
            <w:vAlign w:val="bottom"/>
          </w:tcPr>
          <w:p w14:paraId="6753615F" w14:textId="77777777" w:rsidR="001B77DD" w:rsidRDefault="001B77DD">
            <w:pPr>
              <w:jc w:val="right"/>
              <w:rPr>
                <w:rFonts w:ascii="宋体"/>
              </w:rPr>
            </w:pPr>
          </w:p>
        </w:tc>
      </w:tr>
      <w:tr w:rsidR="001B77DD" w14:paraId="6753616F" w14:textId="77777777">
        <w:tc>
          <w:tcPr>
            <w:tcW w:w="0" w:type="auto"/>
            <w:gridSpan w:val="3"/>
            <w:shd w:val="clear" w:color="auto" w:fill="auto"/>
            <w:tcMar>
              <w:top w:w="40" w:type="dxa"/>
              <w:left w:w="215" w:type="dxa"/>
              <w:bottom w:w="40" w:type="dxa"/>
              <w:right w:w="20" w:type="dxa"/>
            </w:tcMar>
            <w:vAlign w:val="bottom"/>
          </w:tcPr>
          <w:p w14:paraId="67536161" w14:textId="77777777" w:rsidR="001B77DD" w:rsidRDefault="00BF0A2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753616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63"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6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6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66"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6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68" w14:textId="77777777" w:rsidR="001B77DD" w:rsidRDefault="00BF0A28">
            <w:pPr>
              <w:jc w:val="right"/>
              <w:textAlignment w:val="bottom"/>
            </w:pPr>
            <w:r>
              <w:rPr>
                <w:rFonts w:ascii="Arial" w:eastAsia="宋体" w:hAnsi="Arial" w:cs="Arial"/>
                <w:color w:val="0068B5"/>
                <w:sz w:val="18"/>
                <w:szCs w:val="18"/>
              </w:rPr>
              <w:t>(129)</w:t>
            </w:r>
          </w:p>
        </w:tc>
        <w:tc>
          <w:tcPr>
            <w:tcW w:w="0" w:type="auto"/>
            <w:shd w:val="clear" w:color="auto" w:fill="auto"/>
            <w:tcMar>
              <w:top w:w="40" w:type="dxa"/>
              <w:left w:w="0" w:type="dxa"/>
              <w:bottom w:w="40" w:type="dxa"/>
              <w:right w:w="20" w:type="dxa"/>
            </w:tcMar>
            <w:vAlign w:val="bottom"/>
          </w:tcPr>
          <w:p w14:paraId="6753616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6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6B"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6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6D" w14:textId="77777777" w:rsidR="001B77DD" w:rsidRDefault="00BF0A28">
            <w:pPr>
              <w:jc w:val="right"/>
              <w:textAlignment w:val="bottom"/>
            </w:pPr>
            <w:r>
              <w:rPr>
                <w:rFonts w:ascii="Arial" w:eastAsia="宋体" w:hAnsi="Arial" w:cs="Arial"/>
                <w:color w:val="0068B5"/>
                <w:sz w:val="18"/>
                <w:szCs w:val="18"/>
              </w:rPr>
              <w:t>(129)</w:t>
            </w:r>
          </w:p>
        </w:tc>
        <w:tc>
          <w:tcPr>
            <w:tcW w:w="0" w:type="auto"/>
            <w:shd w:val="clear" w:color="auto" w:fill="auto"/>
            <w:tcMar>
              <w:top w:w="40" w:type="dxa"/>
              <w:left w:w="0" w:type="dxa"/>
              <w:bottom w:w="40" w:type="dxa"/>
              <w:right w:w="20" w:type="dxa"/>
            </w:tcMar>
            <w:vAlign w:val="bottom"/>
          </w:tcPr>
          <w:p w14:paraId="6753616E" w14:textId="77777777" w:rsidR="001B77DD" w:rsidRDefault="001B77DD">
            <w:pPr>
              <w:jc w:val="right"/>
              <w:rPr>
                <w:rFonts w:ascii="宋体"/>
              </w:rPr>
            </w:pPr>
          </w:p>
        </w:tc>
      </w:tr>
      <w:tr w:rsidR="001B77DD" w14:paraId="6753617C" w14:textId="77777777">
        <w:tc>
          <w:tcPr>
            <w:tcW w:w="0" w:type="auto"/>
            <w:gridSpan w:val="3"/>
            <w:shd w:val="clear" w:color="auto" w:fill="auto"/>
            <w:tcMar>
              <w:top w:w="40" w:type="dxa"/>
              <w:left w:w="440" w:type="dxa"/>
              <w:bottom w:w="40" w:type="dxa"/>
              <w:right w:w="20" w:type="dxa"/>
            </w:tcMar>
            <w:vAlign w:val="bottom"/>
          </w:tcPr>
          <w:p w14:paraId="67536170" w14:textId="77777777" w:rsidR="001B77DD" w:rsidRDefault="00BF0A28">
            <w:pPr>
              <w:textAlignment w:val="bottom"/>
            </w:pPr>
            <w:r>
              <w:rPr>
                <w:rFonts w:ascii="Arial" w:eastAsia="宋体" w:hAnsi="Arial" w:cs="Arial"/>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6753617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7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7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7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7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7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7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7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17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7A" w14:textId="77777777" w:rsidR="001B77DD" w:rsidRDefault="00BF0A28">
            <w:pPr>
              <w:jc w:val="right"/>
              <w:textAlignment w:val="bottom"/>
            </w:pPr>
            <w:r>
              <w:rPr>
                <w:rFonts w:ascii="Arial" w:eastAsia="宋体" w:hAnsi="Arial" w:cs="Arial"/>
                <w:color w:val="0068B5"/>
                <w:sz w:val="18"/>
                <w:szCs w:val="18"/>
              </w:rPr>
              <w:t>19,739 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7B" w14:textId="77777777" w:rsidR="001B77DD" w:rsidRDefault="001B77DD">
            <w:pPr>
              <w:jc w:val="right"/>
              <w:rPr>
                <w:rFonts w:ascii="宋体"/>
              </w:rPr>
            </w:pPr>
          </w:p>
        </w:tc>
      </w:tr>
      <w:tr w:rsidR="001B77DD" w14:paraId="6753618C" w14:textId="77777777">
        <w:tc>
          <w:tcPr>
            <w:tcW w:w="0" w:type="auto"/>
            <w:gridSpan w:val="3"/>
            <w:shd w:val="clear" w:color="auto" w:fill="auto"/>
            <w:tcMar>
              <w:top w:w="40" w:type="dxa"/>
              <w:left w:w="20" w:type="dxa"/>
              <w:bottom w:w="40" w:type="dxa"/>
              <w:right w:w="20" w:type="dxa"/>
            </w:tcMar>
            <w:vAlign w:val="bottom"/>
          </w:tcPr>
          <w:p w14:paraId="6753617D" w14:textId="77777777" w:rsidR="001B77DD" w:rsidRDefault="00BF0A2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753617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7F" w14:textId="77777777" w:rsidR="001B77DD" w:rsidRDefault="00BF0A28">
            <w:pPr>
              <w:jc w:val="right"/>
              <w:textAlignment w:val="bottom"/>
            </w:pPr>
            <w:r>
              <w:rPr>
                <w:rFonts w:ascii="Arial" w:eastAsia="宋体" w:hAnsi="Arial" w:cs="Arial"/>
                <w:color w:val="0068B5"/>
                <w:sz w:val="18"/>
                <w:szCs w:val="18"/>
              </w:rPr>
              <w:t>54 </w:t>
            </w:r>
          </w:p>
        </w:tc>
        <w:tc>
          <w:tcPr>
            <w:tcW w:w="0" w:type="auto"/>
            <w:shd w:val="clear" w:color="auto" w:fill="auto"/>
            <w:tcMar>
              <w:top w:w="40" w:type="dxa"/>
              <w:left w:w="0" w:type="dxa"/>
              <w:bottom w:w="40" w:type="dxa"/>
              <w:right w:w="20" w:type="dxa"/>
            </w:tcMar>
            <w:vAlign w:val="bottom"/>
          </w:tcPr>
          <w:p w14:paraId="6753618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8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82" w14:textId="77777777" w:rsidR="001B77DD" w:rsidRDefault="00BF0A28">
            <w:pPr>
              <w:jc w:val="right"/>
              <w:textAlignment w:val="bottom"/>
            </w:pPr>
            <w:r>
              <w:rPr>
                <w:rFonts w:ascii="Arial" w:eastAsia="宋体" w:hAnsi="Arial" w:cs="Arial"/>
                <w:color w:val="0068B5"/>
                <w:sz w:val="18"/>
                <w:szCs w:val="18"/>
              </w:rPr>
              <w:t>1,022 </w:t>
            </w:r>
          </w:p>
        </w:tc>
        <w:tc>
          <w:tcPr>
            <w:tcW w:w="0" w:type="auto"/>
            <w:shd w:val="clear" w:color="auto" w:fill="auto"/>
            <w:tcMar>
              <w:top w:w="40" w:type="dxa"/>
              <w:left w:w="0" w:type="dxa"/>
              <w:bottom w:w="40" w:type="dxa"/>
              <w:right w:w="20" w:type="dxa"/>
            </w:tcMar>
            <w:vAlign w:val="bottom"/>
          </w:tcPr>
          <w:p w14:paraId="6753618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8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85"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8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87"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8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8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18A" w14:textId="77777777" w:rsidR="001B77DD" w:rsidRDefault="00BF0A28">
            <w:pPr>
              <w:jc w:val="right"/>
              <w:textAlignment w:val="bottom"/>
            </w:pPr>
            <w:r>
              <w:rPr>
                <w:rFonts w:ascii="Arial" w:eastAsia="宋体" w:hAnsi="Arial" w:cs="Arial"/>
                <w:color w:val="0068B5"/>
                <w:sz w:val="18"/>
                <w:szCs w:val="18"/>
              </w:rPr>
              <w:t>1,022 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18B" w14:textId="77777777" w:rsidR="001B77DD" w:rsidRDefault="001B77DD">
            <w:pPr>
              <w:jc w:val="right"/>
              <w:rPr>
                <w:rFonts w:ascii="宋体"/>
              </w:rPr>
            </w:pPr>
          </w:p>
        </w:tc>
      </w:tr>
      <w:tr w:rsidR="001B77DD" w14:paraId="6753619B" w14:textId="77777777">
        <w:tc>
          <w:tcPr>
            <w:tcW w:w="0" w:type="auto"/>
            <w:gridSpan w:val="3"/>
            <w:shd w:val="clear" w:color="auto" w:fill="auto"/>
            <w:tcMar>
              <w:top w:w="40" w:type="dxa"/>
              <w:left w:w="20" w:type="dxa"/>
              <w:bottom w:w="40" w:type="dxa"/>
              <w:right w:w="20" w:type="dxa"/>
            </w:tcMar>
            <w:vAlign w:val="bottom"/>
          </w:tcPr>
          <w:p w14:paraId="6753618D" w14:textId="77777777" w:rsidR="001B77DD" w:rsidRDefault="00BF0A2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753618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8F"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9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9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92" w14:textId="77777777" w:rsidR="001B77DD" w:rsidRDefault="00BF0A28">
            <w:pPr>
              <w:jc w:val="right"/>
              <w:textAlignment w:val="bottom"/>
            </w:pPr>
            <w:r>
              <w:rPr>
                <w:rFonts w:ascii="Arial" w:eastAsia="宋体" w:hAnsi="Arial" w:cs="Arial"/>
                <w:color w:val="0068B5"/>
                <w:sz w:val="18"/>
                <w:szCs w:val="18"/>
              </w:rPr>
              <w:t>2,036 </w:t>
            </w:r>
          </w:p>
        </w:tc>
        <w:tc>
          <w:tcPr>
            <w:tcW w:w="0" w:type="auto"/>
            <w:shd w:val="clear" w:color="auto" w:fill="auto"/>
            <w:tcMar>
              <w:top w:w="40" w:type="dxa"/>
              <w:left w:w="0" w:type="dxa"/>
              <w:bottom w:w="40" w:type="dxa"/>
              <w:right w:w="20" w:type="dxa"/>
            </w:tcMar>
            <w:vAlign w:val="bottom"/>
          </w:tcPr>
          <w:p w14:paraId="6753619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9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95"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9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97"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9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99" w14:textId="77777777" w:rsidR="001B77DD" w:rsidRDefault="00BF0A28">
            <w:pPr>
              <w:jc w:val="right"/>
              <w:textAlignment w:val="bottom"/>
            </w:pPr>
            <w:r>
              <w:rPr>
                <w:rFonts w:ascii="Arial" w:eastAsia="宋体" w:hAnsi="Arial" w:cs="Arial"/>
                <w:color w:val="0068B5"/>
                <w:sz w:val="18"/>
                <w:szCs w:val="18"/>
              </w:rPr>
              <w:t>2,036 </w:t>
            </w:r>
          </w:p>
        </w:tc>
        <w:tc>
          <w:tcPr>
            <w:tcW w:w="0" w:type="auto"/>
            <w:shd w:val="clear" w:color="auto" w:fill="auto"/>
            <w:tcMar>
              <w:top w:w="40" w:type="dxa"/>
              <w:left w:w="0" w:type="dxa"/>
              <w:bottom w:w="40" w:type="dxa"/>
              <w:right w:w="20" w:type="dxa"/>
            </w:tcMar>
            <w:vAlign w:val="bottom"/>
          </w:tcPr>
          <w:p w14:paraId="6753619A" w14:textId="77777777" w:rsidR="001B77DD" w:rsidRDefault="001B77DD">
            <w:pPr>
              <w:jc w:val="right"/>
              <w:rPr>
                <w:rFonts w:ascii="宋体"/>
              </w:rPr>
            </w:pPr>
          </w:p>
        </w:tc>
      </w:tr>
      <w:tr w:rsidR="001B77DD" w14:paraId="675361AA" w14:textId="77777777">
        <w:tc>
          <w:tcPr>
            <w:tcW w:w="0" w:type="auto"/>
            <w:gridSpan w:val="3"/>
            <w:shd w:val="clear" w:color="auto" w:fill="auto"/>
            <w:tcMar>
              <w:top w:w="40" w:type="dxa"/>
              <w:left w:w="20" w:type="dxa"/>
              <w:bottom w:w="40" w:type="dxa"/>
              <w:right w:w="20" w:type="dxa"/>
            </w:tcMar>
            <w:vAlign w:val="bottom"/>
          </w:tcPr>
          <w:p w14:paraId="6753619C" w14:textId="77777777" w:rsidR="001B77DD" w:rsidRDefault="00BF0A28">
            <w:pPr>
              <w:textAlignment w:val="bottom"/>
            </w:pPr>
            <w:r>
              <w:rPr>
                <w:rFonts w:ascii="Arial" w:eastAsia="宋体" w:hAnsi="Arial" w:cs="Arial"/>
                <w:color w:val="262626"/>
                <w:sz w:val="18"/>
                <w:szCs w:val="18"/>
              </w:rPr>
              <w:t>Temporary equity reduction</w:t>
            </w:r>
          </w:p>
        </w:tc>
        <w:tc>
          <w:tcPr>
            <w:tcW w:w="0" w:type="auto"/>
            <w:gridSpan w:val="3"/>
            <w:shd w:val="clear" w:color="auto" w:fill="auto"/>
            <w:tcMar>
              <w:top w:w="0" w:type="dxa"/>
              <w:left w:w="20" w:type="dxa"/>
              <w:bottom w:w="0" w:type="dxa"/>
              <w:right w:w="20" w:type="dxa"/>
            </w:tcMar>
            <w:vAlign w:val="bottom"/>
          </w:tcPr>
          <w:p w14:paraId="6753619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9E"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9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A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A1"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A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A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A4"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A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A6"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A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A8"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A9" w14:textId="77777777" w:rsidR="001B77DD" w:rsidRDefault="001B77DD">
            <w:pPr>
              <w:jc w:val="right"/>
              <w:rPr>
                <w:rFonts w:ascii="宋体"/>
              </w:rPr>
            </w:pPr>
          </w:p>
        </w:tc>
      </w:tr>
      <w:tr w:rsidR="001B77DD" w14:paraId="675361B9" w14:textId="77777777">
        <w:tc>
          <w:tcPr>
            <w:tcW w:w="0" w:type="auto"/>
            <w:gridSpan w:val="3"/>
            <w:shd w:val="clear" w:color="auto" w:fill="auto"/>
            <w:tcMar>
              <w:top w:w="40" w:type="dxa"/>
              <w:left w:w="20" w:type="dxa"/>
              <w:bottom w:w="40" w:type="dxa"/>
              <w:right w:w="20" w:type="dxa"/>
            </w:tcMar>
            <w:vAlign w:val="bottom"/>
          </w:tcPr>
          <w:p w14:paraId="675361AB" w14:textId="77777777" w:rsidR="001B77DD" w:rsidRDefault="00BF0A28">
            <w:pPr>
              <w:textAlignment w:val="bottom"/>
            </w:pPr>
            <w:r>
              <w:rPr>
                <w:rFonts w:ascii="Arial" w:eastAsia="宋体" w:hAnsi="Arial" w:cs="Arial"/>
                <w:color w:val="262626"/>
                <w:sz w:val="18"/>
                <w:szCs w:val="18"/>
              </w:rPr>
              <w:t>Convertible debt</w:t>
            </w:r>
          </w:p>
        </w:tc>
        <w:tc>
          <w:tcPr>
            <w:tcW w:w="0" w:type="auto"/>
            <w:gridSpan w:val="3"/>
            <w:shd w:val="clear" w:color="auto" w:fill="auto"/>
            <w:tcMar>
              <w:top w:w="0" w:type="dxa"/>
              <w:left w:w="20" w:type="dxa"/>
              <w:bottom w:w="0" w:type="dxa"/>
              <w:right w:w="20" w:type="dxa"/>
            </w:tcMar>
            <w:vAlign w:val="bottom"/>
          </w:tcPr>
          <w:p w14:paraId="675361A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AD"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A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A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B0"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B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B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B3"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B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B5"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B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B7"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B8" w14:textId="77777777" w:rsidR="001B77DD" w:rsidRDefault="001B77DD">
            <w:pPr>
              <w:jc w:val="right"/>
              <w:rPr>
                <w:rFonts w:ascii="宋体"/>
              </w:rPr>
            </w:pPr>
          </w:p>
        </w:tc>
      </w:tr>
      <w:tr w:rsidR="001B77DD" w14:paraId="675361C9" w14:textId="77777777">
        <w:tc>
          <w:tcPr>
            <w:tcW w:w="0" w:type="auto"/>
            <w:gridSpan w:val="3"/>
            <w:shd w:val="clear" w:color="auto" w:fill="auto"/>
            <w:tcMar>
              <w:top w:w="40" w:type="dxa"/>
              <w:left w:w="20" w:type="dxa"/>
              <w:bottom w:w="40" w:type="dxa"/>
              <w:right w:w="20" w:type="dxa"/>
            </w:tcMar>
            <w:vAlign w:val="bottom"/>
          </w:tcPr>
          <w:p w14:paraId="675361BA" w14:textId="77777777" w:rsidR="001B77DD" w:rsidRDefault="00BF0A2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75361B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BC" w14:textId="77777777" w:rsidR="001B77DD" w:rsidRDefault="00BF0A28">
            <w:pPr>
              <w:jc w:val="right"/>
              <w:textAlignment w:val="bottom"/>
            </w:pPr>
            <w:r>
              <w:rPr>
                <w:rFonts w:ascii="Arial" w:eastAsia="宋体" w:hAnsi="Arial" w:cs="Arial"/>
                <w:color w:val="0068B5"/>
                <w:sz w:val="18"/>
                <w:szCs w:val="18"/>
              </w:rPr>
              <w:t>(40)</w:t>
            </w:r>
          </w:p>
        </w:tc>
        <w:tc>
          <w:tcPr>
            <w:tcW w:w="0" w:type="auto"/>
            <w:shd w:val="clear" w:color="auto" w:fill="auto"/>
            <w:tcMar>
              <w:top w:w="40" w:type="dxa"/>
              <w:left w:w="0" w:type="dxa"/>
              <w:bottom w:w="40" w:type="dxa"/>
              <w:right w:w="20" w:type="dxa"/>
            </w:tcMar>
            <w:vAlign w:val="bottom"/>
          </w:tcPr>
          <w:p w14:paraId="675361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B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BF" w14:textId="77777777" w:rsidR="001B77DD" w:rsidRDefault="00BF0A28">
            <w:pPr>
              <w:jc w:val="right"/>
              <w:textAlignment w:val="bottom"/>
            </w:pPr>
            <w:r>
              <w:rPr>
                <w:rFonts w:ascii="Arial" w:eastAsia="宋体" w:hAnsi="Arial" w:cs="Arial"/>
                <w:color w:val="0068B5"/>
                <w:sz w:val="18"/>
                <w:szCs w:val="18"/>
              </w:rPr>
              <w:t>(249)</w:t>
            </w:r>
          </w:p>
        </w:tc>
        <w:tc>
          <w:tcPr>
            <w:tcW w:w="0" w:type="auto"/>
            <w:shd w:val="clear" w:color="auto" w:fill="auto"/>
            <w:tcMar>
              <w:top w:w="40" w:type="dxa"/>
              <w:left w:w="0" w:type="dxa"/>
              <w:bottom w:w="40" w:type="dxa"/>
              <w:right w:w="20" w:type="dxa"/>
            </w:tcMar>
            <w:vAlign w:val="bottom"/>
          </w:tcPr>
          <w:p w14:paraId="675361C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C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C2"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C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C4" w14:textId="77777777" w:rsidR="001B77DD" w:rsidRDefault="00BF0A28">
            <w:pPr>
              <w:jc w:val="right"/>
              <w:textAlignment w:val="bottom"/>
            </w:pPr>
            <w:r>
              <w:rPr>
                <w:rFonts w:ascii="Arial" w:eastAsia="宋体" w:hAnsi="Arial" w:cs="Arial"/>
                <w:color w:val="0068B5"/>
                <w:sz w:val="18"/>
                <w:szCs w:val="18"/>
              </w:rPr>
              <w:t>(2,166)</w:t>
            </w:r>
          </w:p>
        </w:tc>
        <w:tc>
          <w:tcPr>
            <w:tcW w:w="0" w:type="auto"/>
            <w:shd w:val="clear" w:color="auto" w:fill="auto"/>
            <w:tcMar>
              <w:top w:w="40" w:type="dxa"/>
              <w:left w:w="0" w:type="dxa"/>
              <w:bottom w:w="40" w:type="dxa"/>
              <w:right w:w="20" w:type="dxa"/>
            </w:tcMar>
            <w:vAlign w:val="bottom"/>
          </w:tcPr>
          <w:p w14:paraId="675361C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C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C7" w14:textId="77777777" w:rsidR="001B77DD" w:rsidRDefault="00BF0A28">
            <w:pPr>
              <w:jc w:val="right"/>
              <w:textAlignment w:val="bottom"/>
            </w:pPr>
            <w:r>
              <w:rPr>
                <w:rFonts w:ascii="Arial" w:eastAsia="宋体" w:hAnsi="Arial" w:cs="Arial"/>
                <w:color w:val="0068B5"/>
                <w:sz w:val="18"/>
                <w:szCs w:val="18"/>
              </w:rPr>
              <w:t>(2,415)</w:t>
            </w:r>
          </w:p>
        </w:tc>
        <w:tc>
          <w:tcPr>
            <w:tcW w:w="0" w:type="auto"/>
            <w:shd w:val="clear" w:color="auto" w:fill="auto"/>
            <w:tcMar>
              <w:top w:w="40" w:type="dxa"/>
              <w:left w:w="0" w:type="dxa"/>
              <w:bottom w:w="40" w:type="dxa"/>
              <w:right w:w="20" w:type="dxa"/>
            </w:tcMar>
            <w:vAlign w:val="bottom"/>
          </w:tcPr>
          <w:p w14:paraId="675361C8" w14:textId="77777777" w:rsidR="001B77DD" w:rsidRDefault="001B77DD">
            <w:pPr>
              <w:jc w:val="right"/>
              <w:rPr>
                <w:rFonts w:ascii="宋体"/>
              </w:rPr>
            </w:pPr>
          </w:p>
        </w:tc>
      </w:tr>
      <w:tr w:rsidR="001B77DD" w14:paraId="675361D9" w14:textId="77777777">
        <w:tc>
          <w:tcPr>
            <w:tcW w:w="0" w:type="auto"/>
            <w:gridSpan w:val="3"/>
            <w:shd w:val="clear" w:color="auto" w:fill="auto"/>
            <w:tcMar>
              <w:top w:w="40" w:type="dxa"/>
              <w:left w:w="20" w:type="dxa"/>
              <w:bottom w:w="40" w:type="dxa"/>
              <w:right w:w="20" w:type="dxa"/>
            </w:tcMar>
            <w:vAlign w:val="bottom"/>
          </w:tcPr>
          <w:p w14:paraId="675361CA" w14:textId="77777777" w:rsidR="001B77DD" w:rsidRDefault="00BF0A2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75361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CC" w14:textId="77777777" w:rsidR="001B77DD" w:rsidRDefault="00BF0A28">
            <w:pPr>
              <w:jc w:val="right"/>
              <w:textAlignment w:val="bottom"/>
            </w:pPr>
            <w:r>
              <w:rPr>
                <w:rFonts w:ascii="Arial" w:eastAsia="宋体" w:hAnsi="Arial" w:cs="Arial"/>
                <w:color w:val="0068B5"/>
                <w:sz w:val="18"/>
                <w:szCs w:val="18"/>
              </w:rPr>
              <w:t>(6)</w:t>
            </w:r>
          </w:p>
        </w:tc>
        <w:tc>
          <w:tcPr>
            <w:tcW w:w="0" w:type="auto"/>
            <w:shd w:val="clear" w:color="auto" w:fill="auto"/>
            <w:tcMar>
              <w:top w:w="40" w:type="dxa"/>
              <w:left w:w="0" w:type="dxa"/>
              <w:bottom w:w="40" w:type="dxa"/>
              <w:right w:w="20" w:type="dxa"/>
            </w:tcMar>
            <w:vAlign w:val="bottom"/>
          </w:tcPr>
          <w:p w14:paraId="675361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C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CF" w14:textId="77777777" w:rsidR="001B77DD" w:rsidRDefault="00BF0A28">
            <w:pPr>
              <w:jc w:val="right"/>
              <w:textAlignment w:val="bottom"/>
            </w:pPr>
            <w:r>
              <w:rPr>
                <w:rFonts w:ascii="Arial" w:eastAsia="宋体" w:hAnsi="Arial" w:cs="Arial"/>
                <w:color w:val="0068B5"/>
                <w:sz w:val="18"/>
                <w:szCs w:val="18"/>
              </w:rPr>
              <w:t>(359)</w:t>
            </w:r>
          </w:p>
        </w:tc>
        <w:tc>
          <w:tcPr>
            <w:tcW w:w="0" w:type="auto"/>
            <w:shd w:val="clear" w:color="auto" w:fill="auto"/>
            <w:tcMar>
              <w:top w:w="40" w:type="dxa"/>
              <w:left w:w="0" w:type="dxa"/>
              <w:bottom w:w="40" w:type="dxa"/>
              <w:right w:w="20" w:type="dxa"/>
            </w:tcMar>
            <w:vAlign w:val="bottom"/>
          </w:tcPr>
          <w:p w14:paraId="675361D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D2"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D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D4" w14:textId="77777777" w:rsidR="001B77DD" w:rsidRDefault="00BF0A28">
            <w:pPr>
              <w:jc w:val="right"/>
              <w:textAlignment w:val="bottom"/>
            </w:pPr>
            <w:r>
              <w:rPr>
                <w:rFonts w:ascii="Arial" w:eastAsia="宋体" w:hAnsi="Arial" w:cs="Arial"/>
                <w:color w:val="0068B5"/>
                <w:sz w:val="18"/>
                <w:szCs w:val="18"/>
              </w:rPr>
              <w:t>(61)</w:t>
            </w:r>
          </w:p>
        </w:tc>
        <w:tc>
          <w:tcPr>
            <w:tcW w:w="0" w:type="auto"/>
            <w:shd w:val="clear" w:color="auto" w:fill="auto"/>
            <w:tcMar>
              <w:top w:w="40" w:type="dxa"/>
              <w:left w:w="0" w:type="dxa"/>
              <w:bottom w:w="40" w:type="dxa"/>
              <w:right w:w="20" w:type="dxa"/>
            </w:tcMar>
            <w:vAlign w:val="bottom"/>
          </w:tcPr>
          <w:p w14:paraId="675361D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D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D7" w14:textId="77777777" w:rsidR="001B77DD" w:rsidRDefault="00BF0A28">
            <w:pPr>
              <w:jc w:val="right"/>
              <w:textAlignment w:val="bottom"/>
            </w:pPr>
            <w:r>
              <w:rPr>
                <w:rFonts w:ascii="Arial" w:eastAsia="宋体" w:hAnsi="Arial" w:cs="Arial"/>
                <w:color w:val="0068B5"/>
                <w:sz w:val="18"/>
                <w:szCs w:val="18"/>
              </w:rPr>
              <w:t>(420)</w:t>
            </w:r>
          </w:p>
        </w:tc>
        <w:tc>
          <w:tcPr>
            <w:tcW w:w="0" w:type="auto"/>
            <w:shd w:val="clear" w:color="auto" w:fill="auto"/>
            <w:tcMar>
              <w:top w:w="40" w:type="dxa"/>
              <w:left w:w="0" w:type="dxa"/>
              <w:bottom w:w="40" w:type="dxa"/>
              <w:right w:w="20" w:type="dxa"/>
            </w:tcMar>
            <w:vAlign w:val="bottom"/>
          </w:tcPr>
          <w:p w14:paraId="675361D8" w14:textId="77777777" w:rsidR="001B77DD" w:rsidRDefault="001B77DD">
            <w:pPr>
              <w:jc w:val="right"/>
              <w:rPr>
                <w:rFonts w:ascii="宋体"/>
              </w:rPr>
            </w:pPr>
          </w:p>
        </w:tc>
      </w:tr>
      <w:tr w:rsidR="001B77DD" w14:paraId="675361E8" w14:textId="77777777">
        <w:tc>
          <w:tcPr>
            <w:tcW w:w="0" w:type="auto"/>
            <w:gridSpan w:val="3"/>
            <w:shd w:val="clear" w:color="auto" w:fill="auto"/>
            <w:tcMar>
              <w:top w:w="40" w:type="dxa"/>
              <w:left w:w="20" w:type="dxa"/>
              <w:bottom w:w="40" w:type="dxa"/>
              <w:right w:w="20" w:type="dxa"/>
            </w:tcMar>
            <w:vAlign w:val="bottom"/>
          </w:tcPr>
          <w:p w14:paraId="675361DA" w14:textId="77777777" w:rsidR="001B77DD" w:rsidRDefault="00BF0A28">
            <w:pPr>
              <w:textAlignment w:val="bottom"/>
            </w:pPr>
            <w:r>
              <w:rPr>
                <w:rFonts w:ascii="Arial" w:eastAsia="宋体" w:hAnsi="Arial" w:cs="Arial"/>
                <w:color w:val="262626"/>
                <w:sz w:val="18"/>
                <w:szCs w:val="18"/>
              </w:rPr>
              <w:t>Cash dividends declared ($1.39 per share of common stock)</w:t>
            </w:r>
          </w:p>
        </w:tc>
        <w:tc>
          <w:tcPr>
            <w:tcW w:w="0" w:type="auto"/>
            <w:gridSpan w:val="3"/>
            <w:shd w:val="clear" w:color="auto" w:fill="auto"/>
            <w:tcMar>
              <w:top w:w="0" w:type="dxa"/>
              <w:left w:w="20" w:type="dxa"/>
              <w:bottom w:w="0" w:type="dxa"/>
              <w:right w:w="20" w:type="dxa"/>
            </w:tcMar>
            <w:vAlign w:val="bottom"/>
          </w:tcPr>
          <w:p w14:paraId="675361D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D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1D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D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DF"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E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1E1"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1E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E3" w14:textId="77777777" w:rsidR="001B77DD" w:rsidRDefault="00BF0A28">
            <w:pPr>
              <w:jc w:val="right"/>
              <w:textAlignment w:val="bottom"/>
            </w:pPr>
            <w:r>
              <w:rPr>
                <w:rFonts w:ascii="Arial" w:eastAsia="宋体" w:hAnsi="Arial" w:cs="Arial"/>
                <w:color w:val="0068B5"/>
                <w:sz w:val="18"/>
                <w:szCs w:val="18"/>
              </w:rPr>
              <w:t>(5,644)</w:t>
            </w:r>
          </w:p>
        </w:tc>
        <w:tc>
          <w:tcPr>
            <w:tcW w:w="0" w:type="auto"/>
            <w:shd w:val="clear" w:color="auto" w:fill="auto"/>
            <w:tcMar>
              <w:top w:w="40" w:type="dxa"/>
              <w:left w:w="0" w:type="dxa"/>
              <w:bottom w:w="40" w:type="dxa"/>
              <w:right w:w="20" w:type="dxa"/>
            </w:tcMar>
            <w:vAlign w:val="bottom"/>
          </w:tcPr>
          <w:p w14:paraId="675361E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E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1E6" w14:textId="77777777" w:rsidR="001B77DD" w:rsidRDefault="00BF0A28">
            <w:pPr>
              <w:jc w:val="right"/>
              <w:textAlignment w:val="bottom"/>
            </w:pPr>
            <w:r>
              <w:rPr>
                <w:rFonts w:ascii="Arial" w:eastAsia="宋体" w:hAnsi="Arial" w:cs="Arial"/>
                <w:color w:val="0068B5"/>
                <w:sz w:val="18"/>
                <w:szCs w:val="18"/>
              </w:rPr>
              <w:t>(5,644)</w:t>
            </w:r>
          </w:p>
        </w:tc>
        <w:tc>
          <w:tcPr>
            <w:tcW w:w="0" w:type="auto"/>
            <w:shd w:val="clear" w:color="auto" w:fill="auto"/>
            <w:tcMar>
              <w:top w:w="40" w:type="dxa"/>
              <w:left w:w="0" w:type="dxa"/>
              <w:bottom w:w="40" w:type="dxa"/>
              <w:right w:w="20" w:type="dxa"/>
            </w:tcMar>
            <w:vAlign w:val="bottom"/>
          </w:tcPr>
          <w:p w14:paraId="675361E7" w14:textId="77777777" w:rsidR="001B77DD" w:rsidRDefault="001B77DD">
            <w:pPr>
              <w:jc w:val="right"/>
              <w:rPr>
                <w:rFonts w:ascii="宋体"/>
              </w:rPr>
            </w:pPr>
          </w:p>
        </w:tc>
      </w:tr>
      <w:tr w:rsidR="001B77DD" w14:paraId="675361FD" w14:textId="77777777">
        <w:tc>
          <w:tcPr>
            <w:tcW w:w="0" w:type="auto"/>
            <w:gridSpan w:val="3"/>
            <w:shd w:val="clear" w:color="auto" w:fill="auto"/>
            <w:tcMar>
              <w:top w:w="40" w:type="dxa"/>
              <w:left w:w="20" w:type="dxa"/>
              <w:bottom w:w="40" w:type="dxa"/>
              <w:right w:w="20" w:type="dxa"/>
            </w:tcMar>
            <w:vAlign w:val="bottom"/>
          </w:tcPr>
          <w:p w14:paraId="675361E9" w14:textId="77777777" w:rsidR="001B77DD" w:rsidRDefault="00BF0A28">
            <w:pPr>
              <w:textAlignment w:val="bottom"/>
            </w:pPr>
            <w:r>
              <w:rPr>
                <w:rFonts w:ascii="Arial" w:eastAsia="宋体" w:hAnsi="Arial" w:cs="Arial"/>
                <w:b/>
                <w:bCs/>
                <w:color w:val="262626"/>
                <w:sz w:val="18"/>
                <w:szCs w:val="18"/>
              </w:rPr>
              <w:t>Balance as of December 25, 2021</w:t>
            </w:r>
          </w:p>
        </w:tc>
        <w:tc>
          <w:tcPr>
            <w:tcW w:w="0" w:type="auto"/>
            <w:gridSpan w:val="3"/>
            <w:shd w:val="clear" w:color="auto" w:fill="auto"/>
            <w:tcMar>
              <w:top w:w="0" w:type="dxa"/>
              <w:left w:w="20" w:type="dxa"/>
              <w:bottom w:w="0" w:type="dxa"/>
              <w:right w:w="20" w:type="dxa"/>
            </w:tcMar>
            <w:vAlign w:val="bottom"/>
          </w:tcPr>
          <w:p w14:paraId="675361EA" w14:textId="77777777" w:rsidR="001B77DD" w:rsidRDefault="001B77DD">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1EB" w14:textId="77777777" w:rsidR="001B77DD" w:rsidRDefault="00BF0A28">
            <w:pPr>
              <w:jc w:val="right"/>
              <w:textAlignment w:val="bottom"/>
            </w:pPr>
            <w:r>
              <w:rPr>
                <w:rFonts w:ascii="Arial" w:eastAsia="宋体" w:hAnsi="Arial" w:cs="Arial"/>
                <w:b/>
                <w:bCs/>
                <w:color w:val="0068B5"/>
                <w:sz w:val="18"/>
                <w:szCs w:val="18"/>
              </w:rPr>
              <w:t>4,070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1E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ED"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1EE"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1EF" w14:textId="77777777" w:rsidR="001B77DD" w:rsidRDefault="00BF0A28">
            <w:pPr>
              <w:jc w:val="right"/>
              <w:textAlignment w:val="bottom"/>
            </w:pPr>
            <w:r>
              <w:rPr>
                <w:rFonts w:ascii="Arial" w:eastAsia="宋体" w:hAnsi="Arial" w:cs="Arial"/>
                <w:b/>
                <w:bCs/>
                <w:color w:val="0068B5"/>
                <w:sz w:val="18"/>
                <w:szCs w:val="18"/>
              </w:rPr>
              <w:t>28,006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1F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F1"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1F2"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1F3" w14:textId="77777777" w:rsidR="001B77DD" w:rsidRDefault="00BF0A28">
            <w:pPr>
              <w:jc w:val="right"/>
              <w:textAlignment w:val="bottom"/>
            </w:pPr>
            <w:r>
              <w:rPr>
                <w:rFonts w:ascii="Arial" w:eastAsia="宋体" w:hAnsi="Arial" w:cs="Arial"/>
                <w:b/>
                <w:bCs/>
                <w:color w:val="0068B5"/>
                <w:sz w:val="18"/>
                <w:szCs w:val="18"/>
              </w:rPr>
              <w:t>(880)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1F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F5"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1F6"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1F7" w14:textId="77777777" w:rsidR="001B77DD" w:rsidRDefault="00BF0A28">
            <w:pPr>
              <w:jc w:val="right"/>
              <w:textAlignment w:val="bottom"/>
            </w:pPr>
            <w:r>
              <w:rPr>
                <w:rFonts w:ascii="Arial" w:eastAsia="宋体" w:hAnsi="Arial" w:cs="Arial"/>
                <w:b/>
                <w:bCs/>
                <w:color w:val="0068B5"/>
                <w:sz w:val="18"/>
                <w:szCs w:val="18"/>
              </w:rPr>
              <w:t>68,265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1F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1F9"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1FA"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1FB" w14:textId="77777777" w:rsidR="001B77DD" w:rsidRDefault="00BF0A28">
            <w:pPr>
              <w:jc w:val="right"/>
              <w:textAlignment w:val="bottom"/>
            </w:pPr>
            <w:r>
              <w:rPr>
                <w:rFonts w:ascii="Arial" w:eastAsia="宋体" w:hAnsi="Arial" w:cs="Arial"/>
                <w:b/>
                <w:bCs/>
                <w:color w:val="0068B5"/>
                <w:sz w:val="18"/>
                <w:szCs w:val="18"/>
              </w:rPr>
              <w:t>95,391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1FC" w14:textId="77777777" w:rsidR="001B77DD" w:rsidRDefault="001B77DD">
            <w:pPr>
              <w:jc w:val="right"/>
              <w:rPr>
                <w:rFonts w:ascii="宋体"/>
              </w:rPr>
            </w:pPr>
          </w:p>
        </w:tc>
      </w:tr>
    </w:tbl>
    <w:p w14:paraId="675361FE" w14:textId="77777777" w:rsidR="001B77DD" w:rsidRDefault="00BF0A28">
      <w:pPr>
        <w:spacing w:before="100"/>
      </w:pPr>
      <w:r>
        <w:rPr>
          <w:rFonts w:ascii="Arial" w:eastAsia="宋体" w:hAnsi="Arial" w:cs="Arial"/>
          <w:i/>
          <w:iCs/>
          <w:color w:val="262626"/>
          <w:sz w:val="16"/>
          <w:szCs w:val="16"/>
        </w:rPr>
        <w:t>See accompanying not</w:t>
      </w:r>
      <w:r>
        <w:rPr>
          <w:rFonts w:ascii="Arial" w:eastAsia="宋体" w:hAnsi="Arial" w:cs="Arial"/>
          <w:i/>
          <w:iCs/>
          <w:color w:val="262626"/>
          <w:sz w:val="16"/>
          <w:szCs w:val="16"/>
        </w:rPr>
        <w:t>es.</w:t>
      </w:r>
    </w:p>
    <w:tbl>
      <w:tblPr>
        <w:tblW w:w="5000" w:type="pct"/>
        <w:tblCellMar>
          <w:top w:w="15" w:type="dxa"/>
          <w:left w:w="15" w:type="dxa"/>
          <w:bottom w:w="15" w:type="dxa"/>
          <w:right w:w="15" w:type="dxa"/>
        </w:tblCellMar>
        <w:tblLook w:val="04A0" w:firstRow="1" w:lastRow="0" w:firstColumn="1" w:lastColumn="0" w:noHBand="0" w:noVBand="1"/>
      </w:tblPr>
      <w:tblGrid>
        <w:gridCol w:w="87"/>
        <w:gridCol w:w="476"/>
        <w:gridCol w:w="36"/>
        <w:gridCol w:w="61"/>
        <w:gridCol w:w="1547"/>
        <w:gridCol w:w="36"/>
        <w:gridCol w:w="61"/>
        <w:gridCol w:w="3043"/>
        <w:gridCol w:w="36"/>
        <w:gridCol w:w="62"/>
        <w:gridCol w:w="2855"/>
        <w:gridCol w:w="36"/>
      </w:tblGrid>
      <w:tr w:rsidR="001B77DD" w14:paraId="6753620B" w14:textId="77777777">
        <w:tc>
          <w:tcPr>
            <w:tcW w:w="50" w:type="pct"/>
            <w:shd w:val="clear" w:color="auto" w:fill="auto"/>
            <w:vAlign w:val="bottom"/>
          </w:tcPr>
          <w:p w14:paraId="675361FF" w14:textId="77777777" w:rsidR="001B77DD" w:rsidRDefault="001B77DD">
            <w:pPr>
              <w:rPr>
                <w:rFonts w:ascii="宋体"/>
              </w:rPr>
            </w:pPr>
          </w:p>
        </w:tc>
        <w:tc>
          <w:tcPr>
            <w:tcW w:w="276" w:type="pct"/>
            <w:shd w:val="clear" w:color="auto" w:fill="auto"/>
            <w:vAlign w:val="bottom"/>
          </w:tcPr>
          <w:p w14:paraId="67536200" w14:textId="77777777" w:rsidR="001B77DD" w:rsidRDefault="001B77DD">
            <w:pPr>
              <w:rPr>
                <w:rFonts w:ascii="宋体"/>
              </w:rPr>
            </w:pPr>
          </w:p>
        </w:tc>
        <w:tc>
          <w:tcPr>
            <w:tcW w:w="5" w:type="pct"/>
            <w:shd w:val="clear" w:color="auto" w:fill="auto"/>
            <w:vAlign w:val="bottom"/>
          </w:tcPr>
          <w:p w14:paraId="67536201" w14:textId="77777777" w:rsidR="001B77DD" w:rsidRDefault="001B77DD">
            <w:pPr>
              <w:rPr>
                <w:rFonts w:ascii="宋体"/>
              </w:rPr>
            </w:pPr>
          </w:p>
        </w:tc>
        <w:tc>
          <w:tcPr>
            <w:tcW w:w="50" w:type="pct"/>
            <w:shd w:val="clear" w:color="auto" w:fill="auto"/>
            <w:vAlign w:val="bottom"/>
          </w:tcPr>
          <w:p w14:paraId="67536202" w14:textId="77777777" w:rsidR="001B77DD" w:rsidRDefault="001B77DD">
            <w:pPr>
              <w:rPr>
                <w:rFonts w:ascii="宋体"/>
              </w:rPr>
            </w:pPr>
          </w:p>
        </w:tc>
        <w:tc>
          <w:tcPr>
            <w:tcW w:w="940" w:type="pct"/>
            <w:shd w:val="clear" w:color="auto" w:fill="auto"/>
            <w:vAlign w:val="bottom"/>
          </w:tcPr>
          <w:p w14:paraId="67536203" w14:textId="77777777" w:rsidR="001B77DD" w:rsidRDefault="001B77DD">
            <w:pPr>
              <w:rPr>
                <w:rFonts w:ascii="宋体"/>
              </w:rPr>
            </w:pPr>
          </w:p>
        </w:tc>
        <w:tc>
          <w:tcPr>
            <w:tcW w:w="5" w:type="pct"/>
            <w:shd w:val="clear" w:color="auto" w:fill="auto"/>
            <w:vAlign w:val="bottom"/>
          </w:tcPr>
          <w:p w14:paraId="67536204" w14:textId="77777777" w:rsidR="001B77DD" w:rsidRDefault="001B77DD">
            <w:pPr>
              <w:rPr>
                <w:rFonts w:ascii="宋体"/>
              </w:rPr>
            </w:pPr>
          </w:p>
        </w:tc>
        <w:tc>
          <w:tcPr>
            <w:tcW w:w="50" w:type="pct"/>
            <w:shd w:val="clear" w:color="auto" w:fill="auto"/>
            <w:vAlign w:val="bottom"/>
          </w:tcPr>
          <w:p w14:paraId="67536205" w14:textId="77777777" w:rsidR="001B77DD" w:rsidRDefault="001B77DD">
            <w:pPr>
              <w:rPr>
                <w:rFonts w:ascii="宋体"/>
              </w:rPr>
            </w:pPr>
          </w:p>
        </w:tc>
        <w:tc>
          <w:tcPr>
            <w:tcW w:w="1837" w:type="pct"/>
            <w:shd w:val="clear" w:color="auto" w:fill="auto"/>
            <w:vAlign w:val="bottom"/>
          </w:tcPr>
          <w:p w14:paraId="67536206" w14:textId="77777777" w:rsidR="001B77DD" w:rsidRDefault="001B77DD">
            <w:pPr>
              <w:rPr>
                <w:rFonts w:ascii="宋体"/>
              </w:rPr>
            </w:pPr>
          </w:p>
        </w:tc>
        <w:tc>
          <w:tcPr>
            <w:tcW w:w="5" w:type="pct"/>
            <w:shd w:val="clear" w:color="auto" w:fill="auto"/>
            <w:vAlign w:val="bottom"/>
          </w:tcPr>
          <w:p w14:paraId="67536207" w14:textId="77777777" w:rsidR="001B77DD" w:rsidRDefault="001B77DD">
            <w:pPr>
              <w:rPr>
                <w:rFonts w:ascii="宋体"/>
              </w:rPr>
            </w:pPr>
          </w:p>
        </w:tc>
        <w:tc>
          <w:tcPr>
            <w:tcW w:w="50" w:type="pct"/>
            <w:shd w:val="clear" w:color="auto" w:fill="auto"/>
            <w:vAlign w:val="bottom"/>
          </w:tcPr>
          <w:p w14:paraId="67536208" w14:textId="77777777" w:rsidR="001B77DD" w:rsidRDefault="001B77DD">
            <w:pPr>
              <w:rPr>
                <w:rFonts w:ascii="宋体"/>
              </w:rPr>
            </w:pPr>
          </w:p>
        </w:tc>
        <w:tc>
          <w:tcPr>
            <w:tcW w:w="1724" w:type="pct"/>
            <w:shd w:val="clear" w:color="auto" w:fill="auto"/>
            <w:vAlign w:val="bottom"/>
          </w:tcPr>
          <w:p w14:paraId="67536209" w14:textId="77777777" w:rsidR="001B77DD" w:rsidRDefault="001B77DD">
            <w:pPr>
              <w:rPr>
                <w:rFonts w:ascii="宋体"/>
              </w:rPr>
            </w:pPr>
          </w:p>
        </w:tc>
        <w:tc>
          <w:tcPr>
            <w:tcW w:w="5" w:type="pct"/>
            <w:shd w:val="clear" w:color="auto" w:fill="auto"/>
            <w:vAlign w:val="bottom"/>
          </w:tcPr>
          <w:p w14:paraId="6753620A" w14:textId="77777777" w:rsidR="001B77DD" w:rsidRDefault="001B77DD">
            <w:pPr>
              <w:rPr>
                <w:rFonts w:ascii="宋体"/>
              </w:rPr>
            </w:pPr>
          </w:p>
        </w:tc>
      </w:tr>
      <w:tr w:rsidR="001B77DD" w14:paraId="67536210"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0C"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24" wp14:editId="67538F25">
                  <wp:extent cx="304800" cy="304800"/>
                  <wp:effectExtent l="0" t="0" r="0" b="0"/>
                  <wp:docPr id="226" name="图片 28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8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0D"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20E" w14:textId="77777777" w:rsidR="001B77DD" w:rsidRDefault="00BF0A28">
            <w:pPr>
              <w:textAlignment w:val="center"/>
            </w:pPr>
            <w:r>
              <w:rPr>
                <w:rFonts w:ascii="Arial" w:eastAsia="宋体" w:hAnsi="Arial" w:cs="Arial"/>
                <w:color w:val="262626"/>
                <w:sz w:val="16"/>
                <w:szCs w:val="16"/>
              </w:rPr>
              <w:t>Consolidated Statements of Stockholders' Equity</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0F" w14:textId="77777777" w:rsidR="001B77DD" w:rsidRDefault="00BF0A28">
            <w:pPr>
              <w:jc w:val="right"/>
              <w:textAlignment w:val="center"/>
            </w:pPr>
            <w:r>
              <w:rPr>
                <w:rFonts w:ascii="Arial" w:eastAsia="宋体" w:hAnsi="Arial" w:cs="Arial"/>
                <w:color w:val="262626"/>
                <w:sz w:val="16"/>
                <w:szCs w:val="16"/>
              </w:rPr>
              <w:t>76</w:t>
            </w:r>
          </w:p>
        </w:tc>
      </w:tr>
    </w:tbl>
    <w:p w14:paraId="67536211" w14:textId="77777777" w:rsidR="001B77DD" w:rsidRDefault="00BF0A28">
      <w:r>
        <w:pict w14:anchorId="67538F26">
          <v:rect id="_x0000_i1102" style="width:415.3pt;height:1.5pt" o:hralign="center" o:hrstd="t" o:hr="t" fillcolor="#a0a0a0" stroked="f"/>
        </w:pict>
      </w:r>
    </w:p>
    <w:p w14:paraId="67536212" w14:textId="77777777" w:rsidR="001B77DD" w:rsidRDefault="00BF0A28">
      <w:pPr>
        <w:jc w:val="right"/>
      </w:pPr>
      <w:hyperlink r:id="rId164" w:anchor="i6c9ced68f6b24d58a3dcf326e8c3c699_16" w:history="1">
        <w:r>
          <w:rPr>
            <w:rStyle w:val="a5"/>
            <w:rFonts w:ascii="Arial" w:eastAsia="宋体" w:hAnsi="Arial" w:cs="Arial"/>
            <w:b/>
            <w:bCs/>
            <w:sz w:val="16"/>
            <w:szCs w:val="16"/>
          </w:rPr>
          <w:t>Table of Contents</w:t>
        </w:r>
      </w:hyperlink>
    </w:p>
    <w:p w14:paraId="67536213"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621A" w14:textId="77777777">
        <w:tc>
          <w:tcPr>
            <w:tcW w:w="50" w:type="pct"/>
            <w:shd w:val="clear" w:color="auto" w:fill="auto"/>
            <w:vAlign w:val="bottom"/>
          </w:tcPr>
          <w:p w14:paraId="67536214" w14:textId="77777777" w:rsidR="001B77DD" w:rsidRDefault="001B77DD">
            <w:pPr>
              <w:rPr>
                <w:rFonts w:ascii="宋体"/>
              </w:rPr>
            </w:pPr>
          </w:p>
        </w:tc>
        <w:tc>
          <w:tcPr>
            <w:tcW w:w="4870" w:type="pct"/>
            <w:shd w:val="clear" w:color="auto" w:fill="auto"/>
            <w:vAlign w:val="bottom"/>
          </w:tcPr>
          <w:p w14:paraId="67536215" w14:textId="77777777" w:rsidR="001B77DD" w:rsidRDefault="001B77DD">
            <w:pPr>
              <w:rPr>
                <w:rFonts w:ascii="宋体"/>
              </w:rPr>
            </w:pPr>
          </w:p>
        </w:tc>
        <w:tc>
          <w:tcPr>
            <w:tcW w:w="5" w:type="pct"/>
            <w:shd w:val="clear" w:color="auto" w:fill="auto"/>
            <w:vAlign w:val="bottom"/>
          </w:tcPr>
          <w:p w14:paraId="67536216" w14:textId="77777777" w:rsidR="001B77DD" w:rsidRDefault="001B77DD">
            <w:pPr>
              <w:rPr>
                <w:rFonts w:ascii="宋体"/>
              </w:rPr>
            </w:pPr>
          </w:p>
        </w:tc>
        <w:tc>
          <w:tcPr>
            <w:tcW w:w="5" w:type="pct"/>
            <w:shd w:val="clear" w:color="auto" w:fill="auto"/>
            <w:vAlign w:val="bottom"/>
          </w:tcPr>
          <w:p w14:paraId="67536217" w14:textId="77777777" w:rsidR="001B77DD" w:rsidRDefault="001B77DD">
            <w:pPr>
              <w:rPr>
                <w:rFonts w:ascii="宋体"/>
              </w:rPr>
            </w:pPr>
          </w:p>
        </w:tc>
        <w:tc>
          <w:tcPr>
            <w:tcW w:w="64" w:type="pct"/>
            <w:shd w:val="clear" w:color="auto" w:fill="auto"/>
            <w:vAlign w:val="bottom"/>
          </w:tcPr>
          <w:p w14:paraId="67536218" w14:textId="77777777" w:rsidR="001B77DD" w:rsidRDefault="001B77DD">
            <w:pPr>
              <w:rPr>
                <w:rFonts w:ascii="宋体"/>
              </w:rPr>
            </w:pPr>
          </w:p>
        </w:tc>
        <w:tc>
          <w:tcPr>
            <w:tcW w:w="5" w:type="pct"/>
            <w:shd w:val="clear" w:color="auto" w:fill="auto"/>
            <w:vAlign w:val="bottom"/>
          </w:tcPr>
          <w:p w14:paraId="67536219" w14:textId="77777777" w:rsidR="001B77DD" w:rsidRDefault="001B77DD">
            <w:pPr>
              <w:rPr>
                <w:rFonts w:ascii="宋体"/>
              </w:rPr>
            </w:pPr>
          </w:p>
        </w:tc>
      </w:tr>
      <w:tr w:rsidR="001B77DD" w14:paraId="6753621D" w14:textId="77777777">
        <w:tc>
          <w:tcPr>
            <w:tcW w:w="0" w:type="auto"/>
            <w:gridSpan w:val="3"/>
            <w:shd w:val="clear" w:color="auto" w:fill="004A86"/>
            <w:tcMar>
              <w:top w:w="40" w:type="dxa"/>
              <w:left w:w="20" w:type="dxa"/>
              <w:bottom w:w="40" w:type="dxa"/>
              <w:right w:w="20" w:type="dxa"/>
            </w:tcMar>
            <w:vAlign w:val="center"/>
          </w:tcPr>
          <w:p w14:paraId="6753621B" w14:textId="77777777" w:rsidR="001B77DD" w:rsidRDefault="00BF0A28">
            <w:pPr>
              <w:textAlignment w:val="center"/>
            </w:pPr>
            <w:r>
              <w:rPr>
                <w:rFonts w:ascii="Arial" w:eastAsia="宋体" w:hAnsi="Arial" w:cs="Arial"/>
                <w:color w:val="FFFFFF"/>
                <w:sz w:val="36"/>
                <w:szCs w:val="36"/>
              </w:rPr>
              <w:t>Notes to Consolidated Financial Statements</w:t>
            </w:r>
          </w:p>
        </w:tc>
        <w:tc>
          <w:tcPr>
            <w:tcW w:w="0" w:type="auto"/>
            <w:gridSpan w:val="3"/>
            <w:shd w:val="clear" w:color="auto" w:fill="auto"/>
            <w:tcMar>
              <w:top w:w="0" w:type="dxa"/>
              <w:left w:w="20" w:type="dxa"/>
              <w:bottom w:w="0" w:type="dxa"/>
              <w:right w:w="20" w:type="dxa"/>
            </w:tcMar>
            <w:vAlign w:val="bottom"/>
          </w:tcPr>
          <w:p w14:paraId="6753621C" w14:textId="77777777" w:rsidR="001B77DD" w:rsidRDefault="001B77DD">
            <w:pPr>
              <w:rPr>
                <w:rFonts w:ascii="宋体"/>
              </w:rPr>
            </w:pPr>
          </w:p>
        </w:tc>
      </w:tr>
      <w:tr w:rsidR="001B77DD" w14:paraId="67536220" w14:textId="77777777">
        <w:trPr>
          <w:trHeight w:val="160"/>
        </w:trPr>
        <w:tc>
          <w:tcPr>
            <w:tcW w:w="0" w:type="auto"/>
            <w:gridSpan w:val="3"/>
            <w:shd w:val="clear" w:color="auto" w:fill="auto"/>
            <w:tcMar>
              <w:top w:w="0" w:type="dxa"/>
              <w:left w:w="20" w:type="dxa"/>
              <w:bottom w:w="0" w:type="dxa"/>
              <w:right w:w="20" w:type="dxa"/>
            </w:tcMar>
            <w:vAlign w:val="bottom"/>
          </w:tcPr>
          <w:p w14:paraId="6753621E"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621F" w14:textId="77777777" w:rsidR="001B77DD" w:rsidRDefault="001B77DD">
            <w:pPr>
              <w:rPr>
                <w:rFonts w:ascii="宋体"/>
              </w:rPr>
            </w:pPr>
          </w:p>
        </w:tc>
      </w:tr>
    </w:tbl>
    <w:p w14:paraId="67536221"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1B77DD" w14:paraId="67536228" w14:textId="77777777">
        <w:tc>
          <w:tcPr>
            <w:tcW w:w="50" w:type="pct"/>
            <w:shd w:val="clear" w:color="auto" w:fill="auto"/>
            <w:vAlign w:val="bottom"/>
          </w:tcPr>
          <w:p w14:paraId="67536222" w14:textId="77777777" w:rsidR="001B77DD" w:rsidRDefault="001B77DD">
            <w:pPr>
              <w:rPr>
                <w:rFonts w:ascii="宋体"/>
              </w:rPr>
            </w:pPr>
          </w:p>
        </w:tc>
        <w:tc>
          <w:tcPr>
            <w:tcW w:w="491" w:type="pct"/>
            <w:shd w:val="clear" w:color="auto" w:fill="auto"/>
            <w:vAlign w:val="bottom"/>
          </w:tcPr>
          <w:p w14:paraId="67536223" w14:textId="77777777" w:rsidR="001B77DD" w:rsidRDefault="001B77DD">
            <w:pPr>
              <w:rPr>
                <w:rFonts w:ascii="宋体"/>
              </w:rPr>
            </w:pPr>
          </w:p>
        </w:tc>
        <w:tc>
          <w:tcPr>
            <w:tcW w:w="5" w:type="pct"/>
            <w:shd w:val="clear" w:color="auto" w:fill="auto"/>
            <w:vAlign w:val="bottom"/>
          </w:tcPr>
          <w:p w14:paraId="67536224" w14:textId="77777777" w:rsidR="001B77DD" w:rsidRDefault="001B77DD">
            <w:pPr>
              <w:rPr>
                <w:rFonts w:ascii="宋体"/>
              </w:rPr>
            </w:pPr>
          </w:p>
        </w:tc>
        <w:tc>
          <w:tcPr>
            <w:tcW w:w="50" w:type="pct"/>
            <w:shd w:val="clear" w:color="auto" w:fill="auto"/>
            <w:vAlign w:val="bottom"/>
          </w:tcPr>
          <w:p w14:paraId="67536225" w14:textId="77777777" w:rsidR="001B77DD" w:rsidRDefault="001B77DD">
            <w:pPr>
              <w:rPr>
                <w:rFonts w:ascii="宋体"/>
              </w:rPr>
            </w:pPr>
          </w:p>
        </w:tc>
        <w:tc>
          <w:tcPr>
            <w:tcW w:w="4398" w:type="pct"/>
            <w:shd w:val="clear" w:color="auto" w:fill="auto"/>
            <w:vAlign w:val="bottom"/>
          </w:tcPr>
          <w:p w14:paraId="67536226" w14:textId="77777777" w:rsidR="001B77DD" w:rsidRDefault="001B77DD">
            <w:pPr>
              <w:rPr>
                <w:rFonts w:ascii="宋体"/>
              </w:rPr>
            </w:pPr>
          </w:p>
        </w:tc>
        <w:tc>
          <w:tcPr>
            <w:tcW w:w="5" w:type="pct"/>
            <w:shd w:val="clear" w:color="auto" w:fill="auto"/>
            <w:vAlign w:val="bottom"/>
          </w:tcPr>
          <w:p w14:paraId="67536227" w14:textId="77777777" w:rsidR="001B77DD" w:rsidRDefault="001B77DD">
            <w:pPr>
              <w:rPr>
                <w:rFonts w:ascii="宋体"/>
              </w:rPr>
            </w:pPr>
          </w:p>
        </w:tc>
      </w:tr>
      <w:tr w:rsidR="001B77DD" w14:paraId="6753622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229" w14:textId="77777777" w:rsidR="001B77DD" w:rsidRDefault="00BF0A28">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22A" w14:textId="77777777" w:rsidR="001B77DD" w:rsidRDefault="00BF0A28">
            <w:pPr>
              <w:textAlignment w:val="bottom"/>
            </w:pPr>
            <w:r>
              <w:rPr>
                <w:rFonts w:ascii="Arial" w:eastAsia="宋体" w:hAnsi="Arial" w:cs="Arial"/>
                <w:color w:val="0068B5"/>
                <w:sz w:val="28"/>
                <w:szCs w:val="28"/>
              </w:rPr>
              <w:t xml:space="preserve">Basis of </w:t>
            </w:r>
            <w:r>
              <w:rPr>
                <w:rFonts w:ascii="Arial" w:eastAsia="宋体" w:hAnsi="Arial" w:cs="Arial"/>
                <w:color w:val="0068B5"/>
                <w:sz w:val="28"/>
                <w:szCs w:val="28"/>
              </w:rPr>
              <w:t>Presentation</w:t>
            </w:r>
          </w:p>
        </w:tc>
      </w:tr>
    </w:tbl>
    <w:p w14:paraId="6753622C" w14:textId="77777777" w:rsidR="001B77DD" w:rsidRDefault="00BF0A28">
      <w:pPr>
        <w:spacing w:after="180"/>
      </w:pPr>
      <w:r>
        <w:rPr>
          <w:rFonts w:ascii="Arial" w:eastAsia="宋体" w:hAnsi="Arial" w:cs="Arial"/>
          <w:color w:val="262626"/>
          <w:sz w:val="18"/>
          <w:szCs w:val="18"/>
        </w:rPr>
        <w:t>We have a 52- or 53-week fiscal year that ends on the last Saturday in December. Fiscal years 2021, 2020, and 2019 were 52-week fiscal years; 2022</w:t>
      </w:r>
      <w:r>
        <w:rPr>
          <w:rFonts w:ascii="Arial" w:eastAsia="宋体" w:hAnsi="Arial" w:cs="Arial"/>
          <w:color w:val="262626"/>
          <w:sz w:val="16"/>
          <w:szCs w:val="16"/>
        </w:rPr>
        <w:t xml:space="preserve"> </w:t>
      </w:r>
      <w:r>
        <w:rPr>
          <w:rFonts w:ascii="Arial" w:eastAsia="宋体" w:hAnsi="Arial" w:cs="Arial"/>
          <w:color w:val="262626"/>
          <w:sz w:val="18"/>
          <w:szCs w:val="18"/>
        </w:rPr>
        <w:t>is a 53-week fiscal year. Our Consolidated Financial Statements include the accounts of Intel a</w:t>
      </w:r>
      <w:r>
        <w:rPr>
          <w:rFonts w:ascii="Arial" w:eastAsia="宋体" w:hAnsi="Arial" w:cs="Arial"/>
          <w:color w:val="262626"/>
          <w:sz w:val="18"/>
          <w:szCs w:val="18"/>
        </w:rPr>
        <w:t>nd our subsidiaries. We have eliminated intercompany accounts and transactions. We have reclassified certain prior period amounts to conform to current period presentation.</w:t>
      </w:r>
    </w:p>
    <w:p w14:paraId="6753622D" w14:textId="77777777" w:rsidR="001B77DD" w:rsidRDefault="00BF0A28">
      <w:pPr>
        <w:spacing w:after="180"/>
      </w:pPr>
      <w:r>
        <w:rPr>
          <w:rFonts w:ascii="Arial" w:eastAsia="宋体" w:hAnsi="Arial" w:cs="Arial"/>
          <w:color w:val="0068B5"/>
        </w:rPr>
        <w:t>Use of Estimates</w:t>
      </w:r>
    </w:p>
    <w:p w14:paraId="6753622E" w14:textId="77777777" w:rsidR="001B77DD" w:rsidRDefault="00BF0A28">
      <w:pPr>
        <w:spacing w:after="180"/>
      </w:pPr>
      <w:r>
        <w:rPr>
          <w:rFonts w:ascii="Arial" w:eastAsia="宋体" w:hAnsi="Arial" w:cs="Arial"/>
          <w:color w:val="262626"/>
          <w:sz w:val="18"/>
          <w:szCs w:val="18"/>
        </w:rPr>
        <w:t xml:space="preserve">The preparation of Consolidated Financial Statements in </w:t>
      </w:r>
      <w:r>
        <w:rPr>
          <w:rFonts w:ascii="Arial" w:eastAsia="宋体" w:hAnsi="Arial" w:cs="Arial"/>
          <w:color w:val="262626"/>
          <w:sz w:val="18"/>
          <w:szCs w:val="18"/>
        </w:rPr>
        <w:t>conformity with US GAAP requires us to make estimates and judgments that affect the amounts reported in our Consolidated Financial Statements and the accompanying notes. The actual results that we experience may differ materially from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1B77DD" w14:paraId="67536235" w14:textId="77777777">
        <w:tc>
          <w:tcPr>
            <w:tcW w:w="50" w:type="pct"/>
            <w:shd w:val="clear" w:color="auto" w:fill="auto"/>
            <w:vAlign w:val="bottom"/>
          </w:tcPr>
          <w:p w14:paraId="6753622F" w14:textId="77777777" w:rsidR="001B77DD" w:rsidRDefault="001B77DD">
            <w:pPr>
              <w:rPr>
                <w:rFonts w:ascii="宋体"/>
              </w:rPr>
            </w:pPr>
          </w:p>
        </w:tc>
        <w:tc>
          <w:tcPr>
            <w:tcW w:w="491" w:type="pct"/>
            <w:shd w:val="clear" w:color="auto" w:fill="auto"/>
            <w:vAlign w:val="bottom"/>
          </w:tcPr>
          <w:p w14:paraId="67536230" w14:textId="77777777" w:rsidR="001B77DD" w:rsidRDefault="001B77DD">
            <w:pPr>
              <w:rPr>
                <w:rFonts w:ascii="宋体"/>
              </w:rPr>
            </w:pPr>
          </w:p>
        </w:tc>
        <w:tc>
          <w:tcPr>
            <w:tcW w:w="5" w:type="pct"/>
            <w:shd w:val="clear" w:color="auto" w:fill="auto"/>
            <w:vAlign w:val="bottom"/>
          </w:tcPr>
          <w:p w14:paraId="67536231" w14:textId="77777777" w:rsidR="001B77DD" w:rsidRDefault="001B77DD">
            <w:pPr>
              <w:rPr>
                <w:rFonts w:ascii="宋体"/>
              </w:rPr>
            </w:pPr>
          </w:p>
        </w:tc>
        <w:tc>
          <w:tcPr>
            <w:tcW w:w="50" w:type="pct"/>
            <w:shd w:val="clear" w:color="auto" w:fill="auto"/>
            <w:vAlign w:val="bottom"/>
          </w:tcPr>
          <w:p w14:paraId="67536232" w14:textId="77777777" w:rsidR="001B77DD" w:rsidRDefault="001B77DD">
            <w:pPr>
              <w:rPr>
                <w:rFonts w:ascii="宋体"/>
              </w:rPr>
            </w:pPr>
          </w:p>
        </w:tc>
        <w:tc>
          <w:tcPr>
            <w:tcW w:w="4398" w:type="pct"/>
            <w:shd w:val="clear" w:color="auto" w:fill="auto"/>
            <w:vAlign w:val="bottom"/>
          </w:tcPr>
          <w:p w14:paraId="67536233" w14:textId="77777777" w:rsidR="001B77DD" w:rsidRDefault="001B77DD">
            <w:pPr>
              <w:rPr>
                <w:rFonts w:ascii="宋体"/>
              </w:rPr>
            </w:pPr>
          </w:p>
        </w:tc>
        <w:tc>
          <w:tcPr>
            <w:tcW w:w="5" w:type="pct"/>
            <w:shd w:val="clear" w:color="auto" w:fill="auto"/>
            <w:vAlign w:val="bottom"/>
          </w:tcPr>
          <w:p w14:paraId="67536234" w14:textId="77777777" w:rsidR="001B77DD" w:rsidRDefault="001B77DD">
            <w:pPr>
              <w:rPr>
                <w:rFonts w:ascii="宋体"/>
              </w:rPr>
            </w:pPr>
          </w:p>
        </w:tc>
      </w:tr>
      <w:tr w:rsidR="001B77DD" w14:paraId="67536238"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236" w14:textId="77777777" w:rsidR="001B77DD" w:rsidRDefault="00BF0A28">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237" w14:textId="77777777" w:rsidR="001B77DD" w:rsidRDefault="00BF0A28">
            <w:pPr>
              <w:textAlignment w:val="bottom"/>
            </w:pPr>
            <w:r>
              <w:rPr>
                <w:rFonts w:ascii="Arial" w:eastAsia="宋体" w:hAnsi="Arial" w:cs="Arial"/>
                <w:color w:val="0068B5"/>
                <w:sz w:val="28"/>
                <w:szCs w:val="28"/>
              </w:rPr>
              <w:t>Accounting Policies</w:t>
            </w:r>
          </w:p>
        </w:tc>
      </w:tr>
    </w:tbl>
    <w:p w14:paraId="67536239" w14:textId="77777777" w:rsidR="001B77DD" w:rsidRDefault="00BF0A28">
      <w:pPr>
        <w:spacing w:before="180" w:after="180"/>
      </w:pPr>
      <w:r>
        <w:rPr>
          <w:rFonts w:ascii="Arial" w:eastAsia="宋体" w:hAnsi="Arial" w:cs="Arial"/>
          <w:color w:val="0068B5"/>
        </w:rPr>
        <w:t>Revenue Recognition</w:t>
      </w:r>
    </w:p>
    <w:p w14:paraId="6753623A" w14:textId="77777777" w:rsidR="001B77DD" w:rsidRDefault="00BF0A28">
      <w:pPr>
        <w:spacing w:after="180"/>
      </w:pPr>
      <w:r>
        <w:rPr>
          <w:rFonts w:ascii="Arial" w:eastAsia="宋体" w:hAnsi="Arial" w:cs="Arial"/>
          <w:color w:val="262626"/>
          <w:sz w:val="18"/>
          <w:szCs w:val="18"/>
        </w:rPr>
        <w:t>We recognize net product revenue when we satisfy performance obligations as evidenced by the transfer of control of our products or services to customers. Substantially all of our revenue is derived from product sales. In accordance with contract terms, re</w:t>
      </w:r>
      <w:r>
        <w:rPr>
          <w:rFonts w:ascii="Arial" w:eastAsia="宋体" w:hAnsi="Arial" w:cs="Arial"/>
          <w:color w:val="262626"/>
          <w:sz w:val="18"/>
          <w:szCs w:val="18"/>
        </w:rPr>
        <w:t xml:space="preserve">venue for product sales is recognized at the time of product shipment from our facilities or delivery to the customer location, as determined by the agreed upon shipping terms. </w:t>
      </w:r>
    </w:p>
    <w:p w14:paraId="6753623B" w14:textId="77777777" w:rsidR="001B77DD" w:rsidRDefault="00BF0A28">
      <w:pPr>
        <w:spacing w:after="180"/>
      </w:pPr>
      <w:r>
        <w:rPr>
          <w:rFonts w:ascii="Arial" w:eastAsia="宋体" w:hAnsi="Arial" w:cs="Arial"/>
          <w:color w:val="262626"/>
          <w:sz w:val="18"/>
          <w:szCs w:val="18"/>
        </w:rPr>
        <w:t>We measure revenue based on the amount of consideration we expect to be entitl</w:t>
      </w:r>
      <w:r>
        <w:rPr>
          <w:rFonts w:ascii="Arial" w:eastAsia="宋体" w:hAnsi="Arial" w:cs="Arial"/>
          <w:color w:val="262626"/>
          <w:sz w:val="18"/>
          <w:szCs w:val="18"/>
        </w:rPr>
        <w:t>ed to in exchange for products or services. Variable consideration is estimated and reflected as an adjustment to the transaction price. We determine variable consideration, which consists primarily of various sales price concessions, by estimating the mos</w:t>
      </w:r>
      <w:r>
        <w:rPr>
          <w:rFonts w:ascii="Arial" w:eastAsia="宋体" w:hAnsi="Arial" w:cs="Arial"/>
          <w:color w:val="262626"/>
          <w:sz w:val="18"/>
          <w:szCs w:val="18"/>
        </w:rPr>
        <w:t xml:space="preserve">t likely amount of consideration we expect to receive from the customer based on historical analysis of customer purchase volumes. Sales rebates earned by customers are offset against their receivable balances. Rebates earned by customers when they do not </w:t>
      </w:r>
      <w:r>
        <w:rPr>
          <w:rFonts w:ascii="Arial" w:eastAsia="宋体" w:hAnsi="Arial" w:cs="Arial"/>
          <w:color w:val="262626"/>
          <w:sz w:val="18"/>
          <w:szCs w:val="18"/>
        </w:rPr>
        <w:t>have outstanding receivable balances are recorded within other accrued liabilities.</w:t>
      </w:r>
    </w:p>
    <w:p w14:paraId="6753623C" w14:textId="77777777" w:rsidR="001B77DD" w:rsidRDefault="00BF0A28">
      <w:pPr>
        <w:spacing w:after="180"/>
      </w:pPr>
      <w:r>
        <w:rPr>
          <w:rFonts w:ascii="Arial" w:eastAsia="宋体" w:hAnsi="Arial" w:cs="Arial"/>
          <w:color w:val="262626"/>
          <w:sz w:val="18"/>
          <w:szCs w:val="18"/>
        </w:rPr>
        <w:t>We make payments to our customers through cooperative advertising programs for marketing activities for some of our products. We generally record the payment as a reduction</w:t>
      </w:r>
      <w:r>
        <w:rPr>
          <w:rFonts w:ascii="Arial" w:eastAsia="宋体" w:hAnsi="Arial" w:cs="Arial"/>
          <w:color w:val="262626"/>
          <w:sz w:val="18"/>
          <w:szCs w:val="18"/>
        </w:rPr>
        <w:t xml:space="preserve"> in revenue in the period that the revenue is earned, unless the payment is for a distinct service, which we record as expense when the marketing activities occur.</w:t>
      </w:r>
    </w:p>
    <w:p w14:paraId="6753623D" w14:textId="77777777" w:rsidR="001B77DD" w:rsidRDefault="00BF0A28">
      <w:pPr>
        <w:spacing w:before="180" w:after="180"/>
      </w:pPr>
      <w:r>
        <w:rPr>
          <w:rFonts w:ascii="Arial" w:eastAsia="宋体" w:hAnsi="Arial" w:cs="Arial"/>
          <w:color w:val="0068B5"/>
        </w:rPr>
        <w:t>Inventories</w:t>
      </w:r>
    </w:p>
    <w:p w14:paraId="6753623E" w14:textId="77777777" w:rsidR="001B77DD" w:rsidRDefault="00BF0A28">
      <w:pPr>
        <w:spacing w:after="180"/>
      </w:pPr>
      <w:r>
        <w:rPr>
          <w:rFonts w:ascii="Arial" w:eastAsia="宋体" w:hAnsi="Arial" w:cs="Arial"/>
          <w:color w:val="262626"/>
          <w:sz w:val="18"/>
          <w:szCs w:val="18"/>
        </w:rPr>
        <w:t>We compute inventory cost on a first-in, first-out basis. Our process and produc</w:t>
      </w:r>
      <w:r>
        <w:rPr>
          <w:rFonts w:ascii="Arial" w:eastAsia="宋体" w:hAnsi="Arial" w:cs="Arial"/>
          <w:color w:val="262626"/>
          <w:sz w:val="18"/>
          <w:szCs w:val="18"/>
        </w:rPr>
        <w:t>t development life cycle corresponds with substantive engineering milestones. These engineering milestones are regularly and consistently applied in assessing the point at which our activities and associated costs change in nature from R&amp;D to cost of sales</w:t>
      </w:r>
      <w:r>
        <w:rPr>
          <w:rFonts w:ascii="Arial" w:eastAsia="宋体" w:hAnsi="Arial" w:cs="Arial"/>
          <w:color w:val="262626"/>
          <w:sz w:val="18"/>
          <w:szCs w:val="18"/>
        </w:rPr>
        <w:t xml:space="preserve">, and when cost of sales can be capitalized as inventory. </w:t>
      </w:r>
    </w:p>
    <w:p w14:paraId="6753623F" w14:textId="77777777" w:rsidR="001B77DD" w:rsidRDefault="00BF0A28">
      <w:pPr>
        <w:spacing w:after="180"/>
      </w:pPr>
      <w:r>
        <w:rPr>
          <w:rFonts w:ascii="Arial" w:eastAsia="宋体" w:hAnsi="Arial" w:cs="Arial"/>
          <w:color w:val="262626"/>
          <w:sz w:val="18"/>
          <w:szCs w:val="18"/>
        </w:rPr>
        <w:t>For a product to be manufactured in high volumes and sold to our customers under our standard warranty, it must meet our rigorous technical quality specifications. This milestone is known as PRQ. W</w:t>
      </w:r>
      <w:r>
        <w:rPr>
          <w:rFonts w:ascii="Arial" w:eastAsia="宋体" w:hAnsi="Arial" w:cs="Arial"/>
          <w:color w:val="262626"/>
          <w:sz w:val="18"/>
          <w:szCs w:val="18"/>
        </w:rPr>
        <w:t>e have identified PRQ as the point at which the costs incurred to manufacture our products are included in the valuation of inventory. A single PRQ has previously valued inventory up to $870 million in the quarter the PRQ milestone was achieved. Prior to P</w:t>
      </w:r>
      <w:r>
        <w:rPr>
          <w:rFonts w:ascii="Arial" w:eastAsia="宋体" w:hAnsi="Arial" w:cs="Arial"/>
          <w:color w:val="262626"/>
          <w:sz w:val="18"/>
          <w:szCs w:val="18"/>
        </w:rPr>
        <w:t>RQ, costs that do not meet the criteria for R&amp;D are included in cost of sales in the period incurred.</w:t>
      </w:r>
    </w:p>
    <w:p w14:paraId="67536240" w14:textId="77777777" w:rsidR="001B77DD" w:rsidRDefault="00BF0A28">
      <w:pPr>
        <w:spacing w:after="180"/>
      </w:pPr>
      <w:r>
        <w:rPr>
          <w:rFonts w:ascii="Arial" w:eastAsia="宋体" w:hAnsi="Arial" w:cs="Arial"/>
          <w:color w:val="262626"/>
          <w:sz w:val="18"/>
          <w:szCs w:val="18"/>
        </w:rPr>
        <w:t>The valuation of inventory includes determining which fixed production overhead costs can be included in inventory based on the normal capacity of our man</w:t>
      </w:r>
      <w:r>
        <w:rPr>
          <w:rFonts w:ascii="Arial" w:eastAsia="宋体" w:hAnsi="Arial" w:cs="Arial"/>
          <w:color w:val="262626"/>
          <w:sz w:val="18"/>
          <w:szCs w:val="18"/>
        </w:rPr>
        <w:t>ufacturing and assembly and test facilities. We apply our historical loadings compared to our total available capacity in a statistical model to determine our normal capacity level. If the factory loadings are below the established normal capacity level, a</w:t>
      </w:r>
      <w:r>
        <w:rPr>
          <w:rFonts w:ascii="Arial" w:eastAsia="宋体" w:hAnsi="Arial" w:cs="Arial"/>
          <w:color w:val="262626"/>
          <w:sz w:val="18"/>
          <w:szCs w:val="18"/>
        </w:rPr>
        <w:t xml:space="preserve"> portion of our fixed production overhead costs would not be included in the cost of inventory; instead, it would be recognized as cost of sales in that period. We refer to these costs as excess capacity charges. Excess capacity charges are insignificant i</w:t>
      </w:r>
      <w:r>
        <w:rPr>
          <w:rFonts w:ascii="Arial" w:eastAsia="宋体" w:hAnsi="Arial" w:cs="Arial"/>
          <w:color w:val="262626"/>
          <w:sz w:val="18"/>
          <w:szCs w:val="18"/>
        </w:rPr>
        <w:t>n the years presented. Charges in years prior to those presented have ranged up to $1.1 billion taken in connection with the 2009 economic recession.</w:t>
      </w:r>
    </w:p>
    <w:p w14:paraId="67536241" w14:textId="77777777" w:rsidR="001B77DD" w:rsidRDefault="00BF0A28">
      <w:pPr>
        <w:spacing w:after="180"/>
      </w:pPr>
      <w:r>
        <w:rPr>
          <w:rFonts w:ascii="Arial" w:eastAsia="宋体" w:hAnsi="Arial" w:cs="Arial"/>
          <w:color w:val="262626"/>
          <w:sz w:val="18"/>
          <w:szCs w:val="18"/>
        </w:rPr>
        <w:t>Inventory is valued at the lower of cost or net realizable value, based upon assumptions about future dema</w:t>
      </w:r>
      <w:r>
        <w:rPr>
          <w:rFonts w:ascii="Arial" w:eastAsia="宋体" w:hAnsi="Arial" w:cs="Arial"/>
          <w:color w:val="262626"/>
          <w:sz w:val="18"/>
          <w:szCs w:val="18"/>
        </w:rPr>
        <w:t>nd and market conditions. Product-specific facts and circumstances reviewed in the inventory valuation process include a review of our customer base, the stage of the product life cycle, variations in market pricing, and an assessment of selling price in r</w:t>
      </w:r>
      <w:r>
        <w:rPr>
          <w:rFonts w:ascii="Arial" w:eastAsia="宋体" w:hAnsi="Arial" w:cs="Arial"/>
          <w:color w:val="262626"/>
          <w:sz w:val="18"/>
          <w:szCs w:val="18"/>
        </w:rPr>
        <w:t>elation to product cost. Lower of cost or net realizable value inventory reserves fluctuate as we ramp new process technologies, with costs improving over time due to scale and improved yields. Additionally, inventory valuation is impacted by cyclical chan</w:t>
      </w:r>
      <w:r>
        <w:rPr>
          <w:rFonts w:ascii="Arial" w:eastAsia="宋体" w:hAnsi="Arial" w:cs="Arial"/>
          <w:color w:val="262626"/>
          <w:sz w:val="18"/>
          <w:szCs w:val="18"/>
        </w:rPr>
        <w:t>ges in market conditions and the associated pricing environment.</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24E" w14:textId="77777777">
        <w:tc>
          <w:tcPr>
            <w:tcW w:w="50" w:type="pct"/>
            <w:shd w:val="clear" w:color="auto" w:fill="auto"/>
            <w:vAlign w:val="bottom"/>
          </w:tcPr>
          <w:p w14:paraId="67536242" w14:textId="77777777" w:rsidR="001B77DD" w:rsidRDefault="001B77DD">
            <w:pPr>
              <w:rPr>
                <w:rFonts w:ascii="宋体"/>
              </w:rPr>
            </w:pPr>
          </w:p>
        </w:tc>
        <w:tc>
          <w:tcPr>
            <w:tcW w:w="276" w:type="pct"/>
            <w:shd w:val="clear" w:color="auto" w:fill="auto"/>
            <w:vAlign w:val="bottom"/>
          </w:tcPr>
          <w:p w14:paraId="67536243" w14:textId="77777777" w:rsidR="001B77DD" w:rsidRDefault="001B77DD">
            <w:pPr>
              <w:rPr>
                <w:rFonts w:ascii="宋体"/>
              </w:rPr>
            </w:pPr>
          </w:p>
        </w:tc>
        <w:tc>
          <w:tcPr>
            <w:tcW w:w="5" w:type="pct"/>
            <w:shd w:val="clear" w:color="auto" w:fill="auto"/>
            <w:vAlign w:val="bottom"/>
          </w:tcPr>
          <w:p w14:paraId="67536244" w14:textId="77777777" w:rsidR="001B77DD" w:rsidRDefault="001B77DD">
            <w:pPr>
              <w:rPr>
                <w:rFonts w:ascii="宋体"/>
              </w:rPr>
            </w:pPr>
          </w:p>
        </w:tc>
        <w:tc>
          <w:tcPr>
            <w:tcW w:w="50" w:type="pct"/>
            <w:shd w:val="clear" w:color="auto" w:fill="auto"/>
            <w:vAlign w:val="bottom"/>
          </w:tcPr>
          <w:p w14:paraId="67536245" w14:textId="77777777" w:rsidR="001B77DD" w:rsidRDefault="001B77DD">
            <w:pPr>
              <w:rPr>
                <w:rFonts w:ascii="宋体"/>
              </w:rPr>
            </w:pPr>
          </w:p>
        </w:tc>
        <w:tc>
          <w:tcPr>
            <w:tcW w:w="940" w:type="pct"/>
            <w:shd w:val="clear" w:color="auto" w:fill="auto"/>
            <w:vAlign w:val="bottom"/>
          </w:tcPr>
          <w:p w14:paraId="67536246" w14:textId="77777777" w:rsidR="001B77DD" w:rsidRDefault="001B77DD">
            <w:pPr>
              <w:rPr>
                <w:rFonts w:ascii="宋体"/>
              </w:rPr>
            </w:pPr>
          </w:p>
        </w:tc>
        <w:tc>
          <w:tcPr>
            <w:tcW w:w="5" w:type="pct"/>
            <w:shd w:val="clear" w:color="auto" w:fill="auto"/>
            <w:vAlign w:val="bottom"/>
          </w:tcPr>
          <w:p w14:paraId="67536247" w14:textId="77777777" w:rsidR="001B77DD" w:rsidRDefault="001B77DD">
            <w:pPr>
              <w:rPr>
                <w:rFonts w:ascii="宋体"/>
              </w:rPr>
            </w:pPr>
          </w:p>
        </w:tc>
        <w:tc>
          <w:tcPr>
            <w:tcW w:w="50" w:type="pct"/>
            <w:shd w:val="clear" w:color="auto" w:fill="auto"/>
            <w:vAlign w:val="bottom"/>
          </w:tcPr>
          <w:p w14:paraId="67536248" w14:textId="77777777" w:rsidR="001B77DD" w:rsidRDefault="001B77DD">
            <w:pPr>
              <w:rPr>
                <w:rFonts w:ascii="宋体"/>
              </w:rPr>
            </w:pPr>
          </w:p>
        </w:tc>
        <w:tc>
          <w:tcPr>
            <w:tcW w:w="1837" w:type="pct"/>
            <w:shd w:val="clear" w:color="auto" w:fill="auto"/>
            <w:vAlign w:val="bottom"/>
          </w:tcPr>
          <w:p w14:paraId="67536249" w14:textId="77777777" w:rsidR="001B77DD" w:rsidRDefault="001B77DD">
            <w:pPr>
              <w:rPr>
                <w:rFonts w:ascii="宋体"/>
              </w:rPr>
            </w:pPr>
          </w:p>
        </w:tc>
        <w:tc>
          <w:tcPr>
            <w:tcW w:w="5" w:type="pct"/>
            <w:shd w:val="clear" w:color="auto" w:fill="auto"/>
            <w:vAlign w:val="bottom"/>
          </w:tcPr>
          <w:p w14:paraId="6753624A" w14:textId="77777777" w:rsidR="001B77DD" w:rsidRDefault="001B77DD">
            <w:pPr>
              <w:rPr>
                <w:rFonts w:ascii="宋体"/>
              </w:rPr>
            </w:pPr>
          </w:p>
        </w:tc>
        <w:tc>
          <w:tcPr>
            <w:tcW w:w="50" w:type="pct"/>
            <w:shd w:val="clear" w:color="auto" w:fill="auto"/>
            <w:vAlign w:val="bottom"/>
          </w:tcPr>
          <w:p w14:paraId="6753624B" w14:textId="77777777" w:rsidR="001B77DD" w:rsidRDefault="001B77DD">
            <w:pPr>
              <w:rPr>
                <w:rFonts w:ascii="宋体"/>
              </w:rPr>
            </w:pPr>
          </w:p>
        </w:tc>
        <w:tc>
          <w:tcPr>
            <w:tcW w:w="1724" w:type="pct"/>
            <w:shd w:val="clear" w:color="auto" w:fill="auto"/>
            <w:vAlign w:val="bottom"/>
          </w:tcPr>
          <w:p w14:paraId="6753624C" w14:textId="77777777" w:rsidR="001B77DD" w:rsidRDefault="001B77DD">
            <w:pPr>
              <w:rPr>
                <w:rFonts w:ascii="宋体"/>
              </w:rPr>
            </w:pPr>
          </w:p>
        </w:tc>
        <w:tc>
          <w:tcPr>
            <w:tcW w:w="5" w:type="pct"/>
            <w:shd w:val="clear" w:color="auto" w:fill="auto"/>
            <w:vAlign w:val="bottom"/>
          </w:tcPr>
          <w:p w14:paraId="6753624D" w14:textId="77777777" w:rsidR="001B77DD" w:rsidRDefault="001B77DD">
            <w:pPr>
              <w:rPr>
                <w:rFonts w:ascii="宋体"/>
              </w:rPr>
            </w:pPr>
          </w:p>
        </w:tc>
      </w:tr>
      <w:tr w:rsidR="001B77DD" w14:paraId="67536253"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4F"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27" wp14:editId="67538F28">
                  <wp:extent cx="304800" cy="304800"/>
                  <wp:effectExtent l="0" t="0" r="0" b="0"/>
                  <wp:docPr id="200" name="图片 28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8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50"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251"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52" w14:textId="77777777" w:rsidR="001B77DD" w:rsidRDefault="00BF0A28">
            <w:pPr>
              <w:jc w:val="right"/>
              <w:textAlignment w:val="center"/>
            </w:pPr>
            <w:r>
              <w:rPr>
                <w:rFonts w:ascii="Arial" w:eastAsia="宋体" w:hAnsi="Arial" w:cs="Arial"/>
                <w:color w:val="262626"/>
                <w:sz w:val="16"/>
                <w:szCs w:val="16"/>
              </w:rPr>
              <w:t>77</w:t>
            </w:r>
          </w:p>
        </w:tc>
      </w:tr>
    </w:tbl>
    <w:p w14:paraId="67536254" w14:textId="77777777" w:rsidR="001B77DD" w:rsidRDefault="00BF0A28">
      <w:r>
        <w:pict w14:anchorId="67538F29">
          <v:rect id="_x0000_i1103" style="width:415.3pt;height:1.5pt" o:hralign="center" o:hrstd="t" o:hr="t" fillcolor="#a0a0a0" stroked="f"/>
        </w:pict>
      </w:r>
    </w:p>
    <w:p w14:paraId="67536255" w14:textId="77777777" w:rsidR="001B77DD" w:rsidRDefault="00BF0A28">
      <w:pPr>
        <w:jc w:val="right"/>
      </w:pPr>
      <w:hyperlink r:id="rId165" w:anchor="i6c9ced68f6b24d58a3dcf326e8c3c699_16" w:history="1">
        <w:r>
          <w:rPr>
            <w:rStyle w:val="a5"/>
            <w:rFonts w:ascii="Arial" w:eastAsia="宋体" w:hAnsi="Arial" w:cs="Arial"/>
            <w:b/>
            <w:bCs/>
            <w:sz w:val="16"/>
            <w:szCs w:val="16"/>
          </w:rPr>
          <w:t>Table of Contents</w:t>
        </w:r>
      </w:hyperlink>
    </w:p>
    <w:p w14:paraId="67536256" w14:textId="77777777" w:rsidR="001B77DD" w:rsidRDefault="001B77DD">
      <w:pPr>
        <w:jc w:val="right"/>
      </w:pPr>
    </w:p>
    <w:p w14:paraId="67536257" w14:textId="77777777" w:rsidR="001B77DD" w:rsidRDefault="00BF0A28">
      <w:pPr>
        <w:spacing w:after="180"/>
      </w:pPr>
      <w:r>
        <w:rPr>
          <w:rFonts w:ascii="Arial" w:eastAsia="宋体" w:hAnsi="Arial" w:cs="Arial"/>
          <w:color w:val="262626"/>
          <w:sz w:val="18"/>
          <w:szCs w:val="18"/>
        </w:rPr>
        <w:t>The valuation of inventory also requires us to estimate obsolete and excess invento</w:t>
      </w:r>
      <w:r>
        <w:rPr>
          <w:rFonts w:ascii="Arial" w:eastAsia="宋体" w:hAnsi="Arial" w:cs="Arial"/>
          <w:color w:val="262626"/>
          <w:sz w:val="18"/>
          <w:szCs w:val="18"/>
        </w:rPr>
        <w:t xml:space="preserve">ry, as well as inventory that is not of saleable quality. We use the demand forecast to develop our short-term manufacturing plans to enable consistency between inventory valuations and build decisions. For certain new products, we have limited historical </w:t>
      </w:r>
      <w:r>
        <w:rPr>
          <w:rFonts w:ascii="Arial" w:eastAsia="宋体" w:hAnsi="Arial" w:cs="Arial"/>
          <w:color w:val="262626"/>
          <w:sz w:val="18"/>
          <w:szCs w:val="18"/>
        </w:rPr>
        <w:t>data when developing these demand forecasts. We compare the estimate of future demand to work in process and finished goods inventory levels to determine the amount, if any, of obsolete or excess inventory. When our demand forecast for specific products is</w:t>
      </w:r>
      <w:r>
        <w:rPr>
          <w:rFonts w:ascii="Arial" w:eastAsia="宋体" w:hAnsi="Arial" w:cs="Arial"/>
          <w:color w:val="262626"/>
          <w:sz w:val="18"/>
          <w:szCs w:val="18"/>
        </w:rPr>
        <w:t xml:space="preserve"> greater than actual demand and we fail to reduce manufacturing output accordingly, we write off amounts considered to be excess inventory. </w:t>
      </w:r>
    </w:p>
    <w:p w14:paraId="67536258" w14:textId="77777777" w:rsidR="001B77DD" w:rsidRDefault="00BF0A28">
      <w:pPr>
        <w:spacing w:before="180" w:after="180"/>
      </w:pPr>
      <w:r>
        <w:rPr>
          <w:rFonts w:ascii="Arial" w:eastAsia="宋体" w:hAnsi="Arial" w:cs="Arial"/>
          <w:color w:val="0068B5"/>
        </w:rPr>
        <w:t>Property, Plant and Equipment</w:t>
      </w:r>
    </w:p>
    <w:p w14:paraId="67536259" w14:textId="77777777" w:rsidR="001B77DD" w:rsidRDefault="00BF0A28">
      <w:pPr>
        <w:spacing w:after="180"/>
      </w:pPr>
      <w:r>
        <w:rPr>
          <w:rFonts w:ascii="Arial" w:eastAsia="宋体" w:hAnsi="Arial" w:cs="Arial"/>
          <w:color w:val="262626"/>
          <w:sz w:val="18"/>
          <w:szCs w:val="18"/>
        </w:rPr>
        <w:t>We compute depreciation using the straight-line method over the estimated useful life</w:t>
      </w:r>
      <w:r>
        <w:rPr>
          <w:rFonts w:ascii="Arial" w:eastAsia="宋体" w:hAnsi="Arial" w:cs="Arial"/>
          <w:color w:val="262626"/>
          <w:sz w:val="18"/>
          <w:szCs w:val="18"/>
        </w:rPr>
        <w:t xml:space="preserve"> of assets. We also capitalize interest on borrowings related to eligible capital expenditures. Capitalized interest is added to the cost of qualified assets and depreciated together with that asset cost. We record capital-related government grants earned </w:t>
      </w:r>
      <w:r>
        <w:rPr>
          <w:rFonts w:ascii="Arial" w:eastAsia="宋体" w:hAnsi="Arial" w:cs="Arial"/>
          <w:color w:val="262626"/>
          <w:sz w:val="18"/>
          <w:szCs w:val="18"/>
        </w:rPr>
        <w:t>as a reduction to property, plant and equipment.</w:t>
      </w:r>
    </w:p>
    <w:p w14:paraId="6753625A" w14:textId="77777777" w:rsidR="001B77DD" w:rsidRDefault="00BF0A28">
      <w:pPr>
        <w:spacing w:after="180"/>
      </w:pPr>
      <w:r>
        <w:rPr>
          <w:rFonts w:ascii="Arial" w:eastAsia="宋体" w:hAnsi="Arial" w:cs="Arial"/>
          <w:color w:val="262626"/>
          <w:sz w:val="18"/>
          <w:szCs w:val="18"/>
        </w:rPr>
        <w:t>We evaluate the period over which we expect to recover the economic value of our property, plant and equipment, considering factors such as the process technology cadence between node transitions, changes in</w:t>
      </w:r>
      <w:r>
        <w:rPr>
          <w:rFonts w:ascii="Arial" w:eastAsia="宋体" w:hAnsi="Arial" w:cs="Arial"/>
          <w:color w:val="262626"/>
          <w:sz w:val="18"/>
          <w:szCs w:val="18"/>
        </w:rPr>
        <w:t xml:space="preserve"> machinery and equipment technology, and re-use of machinery and tools across each generation of process technology. As we make manufacturing process conversions and other factory planning decisions, we use assumptions involving the use of management judgm</w:t>
      </w:r>
      <w:r>
        <w:rPr>
          <w:rFonts w:ascii="Arial" w:eastAsia="宋体" w:hAnsi="Arial" w:cs="Arial"/>
          <w:color w:val="262626"/>
          <w:sz w:val="18"/>
          <w:szCs w:val="18"/>
        </w:rPr>
        <w:t>ents regarding the remaining useful lives of assets, primarily process-specific semiconductor manufacturing tools and building improvements. When we determine that the useful lives of assets are shorter or longer than we had originally estimated, we adjust</w:t>
      </w:r>
      <w:r>
        <w:rPr>
          <w:rFonts w:ascii="Arial" w:eastAsia="宋体" w:hAnsi="Arial" w:cs="Arial"/>
          <w:color w:val="262626"/>
          <w:sz w:val="18"/>
          <w:szCs w:val="18"/>
        </w:rPr>
        <w:t xml:space="preserve"> the rate of depreciation to reflect the assets' revised useful lives.</w:t>
      </w:r>
    </w:p>
    <w:p w14:paraId="6753625B" w14:textId="77777777" w:rsidR="001B77DD" w:rsidRDefault="00BF0A28">
      <w:pPr>
        <w:spacing w:after="180"/>
      </w:pPr>
      <w:r>
        <w:rPr>
          <w:rFonts w:ascii="Arial" w:eastAsia="宋体" w:hAnsi="Arial" w:cs="Arial"/>
          <w:color w:val="262626"/>
          <w:sz w:val="18"/>
          <w:szCs w:val="18"/>
        </w:rPr>
        <w:t>Assets are categorized and evaluated for impairment at the lowest level of identifiable cash flows. Factors that we consider in deciding when to perform an impairment review include sig</w:t>
      </w:r>
      <w:r>
        <w:rPr>
          <w:rFonts w:ascii="Arial" w:eastAsia="宋体" w:hAnsi="Arial" w:cs="Arial"/>
          <w:color w:val="262626"/>
          <w:sz w:val="18"/>
          <w:szCs w:val="18"/>
        </w:rPr>
        <w:t>nificant under-performance of a business or product line in relation to expectations, significant negative industry or economic trends, and significant changes or planned changes in our use and fungibility of the assets. If an asset grouping carrying value</w:t>
      </w:r>
      <w:r>
        <w:rPr>
          <w:rFonts w:ascii="Arial" w:eastAsia="宋体" w:hAnsi="Arial" w:cs="Arial"/>
          <w:color w:val="262626"/>
          <w:sz w:val="18"/>
          <w:szCs w:val="18"/>
        </w:rPr>
        <w:t xml:space="preserve"> is not recoverable through the related undiscounted cash flows, the asset grouping is considered to be impaired. </w:t>
      </w:r>
    </w:p>
    <w:p w14:paraId="6753625C" w14:textId="77777777" w:rsidR="001B77DD" w:rsidRDefault="00BF0A28">
      <w:pPr>
        <w:spacing w:before="180" w:after="180"/>
      </w:pPr>
      <w:r>
        <w:rPr>
          <w:rFonts w:ascii="Arial" w:eastAsia="宋体" w:hAnsi="Arial" w:cs="Arial"/>
          <w:color w:val="0068B5"/>
        </w:rPr>
        <w:t>Fair Value</w:t>
      </w:r>
    </w:p>
    <w:p w14:paraId="6753625D" w14:textId="77777777" w:rsidR="001B77DD" w:rsidRDefault="00BF0A28">
      <w:pPr>
        <w:spacing w:after="180"/>
      </w:pPr>
      <w:r>
        <w:rPr>
          <w:rFonts w:ascii="Arial" w:eastAsia="宋体" w:hAnsi="Arial" w:cs="Arial"/>
          <w:color w:val="262626"/>
          <w:sz w:val="18"/>
          <w:szCs w:val="18"/>
        </w:rPr>
        <w:t xml:space="preserve">When determining fair value, we consider the principal or most advantageous market in which we would transact, as well as </w:t>
      </w:r>
      <w:r>
        <w:rPr>
          <w:rFonts w:ascii="Arial" w:eastAsia="宋体" w:hAnsi="Arial" w:cs="Arial"/>
          <w:color w:val="262626"/>
          <w:sz w:val="18"/>
          <w:szCs w:val="18"/>
        </w:rPr>
        <w:t>assumptions that market participants would use when pricing the asset or liability. Our financial assets are measured and recorded at fair value on a recurring basis, except for equity securities measured using the measurement alternative, equity method in</w:t>
      </w:r>
      <w:r>
        <w:rPr>
          <w:rFonts w:ascii="Arial" w:eastAsia="宋体" w:hAnsi="Arial" w:cs="Arial"/>
          <w:color w:val="262626"/>
          <w:sz w:val="18"/>
          <w:szCs w:val="18"/>
        </w:rPr>
        <w:t>vestments, and grants receivable. We assess fair value hierarchy levels for our issued debt and fixed-income investment portfolio based on the underlying instrument type.</w:t>
      </w:r>
    </w:p>
    <w:p w14:paraId="6753625E" w14:textId="77777777" w:rsidR="001B77DD" w:rsidRDefault="00BF0A28">
      <w:pPr>
        <w:spacing w:after="120"/>
      </w:pPr>
      <w:r>
        <w:rPr>
          <w:rFonts w:ascii="Arial" w:eastAsia="宋体" w:hAnsi="Arial" w:cs="Arial"/>
          <w:color w:val="262626"/>
          <w:sz w:val="18"/>
          <w:szCs w:val="18"/>
        </w:rPr>
        <w:t xml:space="preserve">The three levels of inputs that may be used to measure fair value are: </w:t>
      </w:r>
    </w:p>
    <w:p w14:paraId="6753625F"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Level 1</w:t>
      </w:r>
      <w:r>
        <w:rPr>
          <w:rFonts w:ascii="Arial" w:eastAsia="宋体" w:hAnsi="Arial" w:cs="Arial"/>
          <w:color w:val="0068B5"/>
          <w:sz w:val="20"/>
          <w:szCs w:val="20"/>
        </w:rPr>
        <w:t>.</w:t>
      </w:r>
      <w:r>
        <w:rPr>
          <w:rFonts w:ascii="Arial" w:eastAsia="宋体" w:hAnsi="Arial" w:cs="Arial"/>
          <w:color w:val="0068B5"/>
          <w:sz w:val="18"/>
          <w:szCs w:val="18"/>
        </w:rPr>
        <w:t xml:space="preserve"> </w:t>
      </w:r>
      <w:r>
        <w:rPr>
          <w:rFonts w:ascii="Arial" w:eastAsia="宋体" w:hAnsi="Arial" w:cs="Arial"/>
          <w:color w:val="262626"/>
          <w:sz w:val="18"/>
          <w:szCs w:val="18"/>
        </w:rPr>
        <w:t>Quo</w:t>
      </w:r>
      <w:r>
        <w:rPr>
          <w:rFonts w:ascii="Arial" w:eastAsia="宋体" w:hAnsi="Arial" w:cs="Arial"/>
          <w:color w:val="262626"/>
          <w:sz w:val="18"/>
          <w:szCs w:val="18"/>
        </w:rPr>
        <w:t>ted prices in active markets for identical assets or liabilities. We evaluate security-specific market data when determining whether a market is active.</w:t>
      </w:r>
    </w:p>
    <w:p w14:paraId="67536260"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Level 2.</w:t>
      </w:r>
      <w:r>
        <w:rPr>
          <w:rFonts w:ascii="Arial" w:eastAsia="宋体" w:hAnsi="Arial" w:cs="Arial"/>
          <w:i/>
          <w:iCs/>
          <w:color w:val="262626"/>
          <w:sz w:val="18"/>
          <w:szCs w:val="18"/>
        </w:rPr>
        <w:t xml:space="preserve"> </w:t>
      </w:r>
      <w:r>
        <w:rPr>
          <w:rFonts w:ascii="Arial" w:eastAsia="宋体" w:hAnsi="Arial" w:cs="Arial"/>
          <w:color w:val="262626"/>
          <w:sz w:val="18"/>
          <w:szCs w:val="18"/>
        </w:rPr>
        <w:t xml:space="preserve">Observable inputs other than Level 1 prices, such as quoted prices for similar assets or </w:t>
      </w:r>
      <w:r>
        <w:rPr>
          <w:rFonts w:ascii="Arial" w:eastAsia="宋体" w:hAnsi="Arial" w:cs="Arial"/>
          <w:color w:val="262626"/>
          <w:sz w:val="18"/>
          <w:szCs w:val="18"/>
        </w:rPr>
        <w:t xml:space="preserve">liabilities, quoted prices in less active markets, or model-derived valuations. All significant inputs used in our valuations, such as discounted cash flows, are observable or can be derived principally from or corroborated with observable market data for </w:t>
      </w:r>
      <w:r>
        <w:rPr>
          <w:rFonts w:ascii="Arial" w:eastAsia="宋体" w:hAnsi="Arial" w:cs="Arial"/>
          <w:color w:val="262626"/>
          <w:sz w:val="18"/>
          <w:szCs w:val="18"/>
        </w:rPr>
        <w:t>substantially the full term of the assets or liabilities. We use LIBOR-based yield curves, overnight indexed swap curves, currency spot and forward rates, and credit ratings as significant inputs in our valuations. Level 2 inputs also include non-binding m</w:t>
      </w:r>
      <w:r>
        <w:rPr>
          <w:rFonts w:ascii="Arial" w:eastAsia="宋体" w:hAnsi="Arial" w:cs="Arial"/>
          <w:color w:val="262626"/>
          <w:sz w:val="18"/>
          <w:szCs w:val="18"/>
        </w:rPr>
        <w:t>arket consensus prices, as well as quoted prices that were adjusted for security-specific restrictions. When we use non-binding market consensus prices, we corroborate them with quoted market prices for similar instruments or compare them to output from in</w:t>
      </w:r>
      <w:r>
        <w:rPr>
          <w:rFonts w:ascii="Arial" w:eastAsia="宋体" w:hAnsi="Arial" w:cs="Arial"/>
          <w:color w:val="262626"/>
          <w:sz w:val="18"/>
          <w:szCs w:val="18"/>
        </w:rPr>
        <w:t>ternally developed pricing models such as discounted cash flow models.</w:t>
      </w:r>
    </w:p>
    <w:p w14:paraId="67536261" w14:textId="77777777" w:rsidR="001B77DD" w:rsidRDefault="00BF0A28">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Level 3.</w:t>
      </w:r>
      <w:r>
        <w:rPr>
          <w:rFonts w:ascii="Arial" w:eastAsia="宋体" w:hAnsi="Arial" w:cs="Arial"/>
          <w:i/>
          <w:iCs/>
          <w:color w:val="262626"/>
          <w:sz w:val="18"/>
          <w:szCs w:val="18"/>
        </w:rPr>
        <w:t xml:space="preserve"> </w:t>
      </w:r>
      <w:r>
        <w:rPr>
          <w:rFonts w:ascii="Arial" w:eastAsia="宋体" w:hAnsi="Arial" w:cs="Arial"/>
          <w:color w:val="262626"/>
          <w:sz w:val="18"/>
          <w:szCs w:val="18"/>
        </w:rPr>
        <w:t>Unobservable inputs to the valuation methodology that are significant to the measurement of the fair value of assets or liabilities. We monitor and review the inputs and resul</w:t>
      </w:r>
      <w:r>
        <w:rPr>
          <w:rFonts w:ascii="Arial" w:eastAsia="宋体" w:hAnsi="Arial" w:cs="Arial"/>
          <w:color w:val="262626"/>
          <w:sz w:val="18"/>
          <w:szCs w:val="18"/>
        </w:rPr>
        <w:t>ts of these valuation models to help ensure the fair value measurements are reasonable and consistent with market experience in similar asset classes. Level 3 inputs also include non-binding market consensus prices or non-binding broker quotes that we were</w:t>
      </w:r>
      <w:r>
        <w:rPr>
          <w:rFonts w:ascii="Arial" w:eastAsia="宋体" w:hAnsi="Arial" w:cs="Arial"/>
          <w:color w:val="262626"/>
          <w:sz w:val="18"/>
          <w:szCs w:val="18"/>
        </w:rPr>
        <w:t xml:space="preserve"> unable to corroborate with observable market data.</w:t>
      </w:r>
    </w:p>
    <w:p w14:paraId="67536262" w14:textId="77777777" w:rsidR="001B77DD" w:rsidRDefault="00BF0A28">
      <w:pPr>
        <w:spacing w:before="180" w:after="180"/>
      </w:pPr>
      <w:r>
        <w:rPr>
          <w:rFonts w:ascii="Arial" w:eastAsia="宋体" w:hAnsi="Arial" w:cs="Arial"/>
          <w:color w:val="0068B5"/>
        </w:rPr>
        <w:t>Debt Investments</w:t>
      </w:r>
    </w:p>
    <w:p w14:paraId="67536263" w14:textId="77777777" w:rsidR="001B77DD" w:rsidRDefault="00BF0A28">
      <w:pPr>
        <w:spacing w:after="180"/>
      </w:pPr>
      <w:r>
        <w:rPr>
          <w:rFonts w:ascii="Arial" w:eastAsia="宋体" w:hAnsi="Arial" w:cs="Arial"/>
          <w:color w:val="262626"/>
          <w:sz w:val="18"/>
          <w:szCs w:val="18"/>
        </w:rPr>
        <w:t>We consider all highly liquid debt investments with original maturities from the date of purchase of three months or less as cash equivalents. Cash equivalents can include investments suc</w:t>
      </w:r>
      <w:r>
        <w:rPr>
          <w:rFonts w:ascii="Arial" w:eastAsia="宋体" w:hAnsi="Arial" w:cs="Arial"/>
          <w:color w:val="262626"/>
          <w:sz w:val="18"/>
          <w:szCs w:val="18"/>
        </w:rPr>
        <w:t>h as corporate debt, financial institution instruments, government debt, and reverse repurchase agreements.</w:t>
      </w:r>
    </w:p>
    <w:p w14:paraId="67536264" w14:textId="77777777" w:rsidR="001B77DD" w:rsidRDefault="00BF0A28">
      <w:pPr>
        <w:spacing w:after="180"/>
      </w:pPr>
      <w:r>
        <w:rPr>
          <w:rFonts w:ascii="Arial" w:eastAsia="宋体" w:hAnsi="Arial" w:cs="Arial"/>
          <w:color w:val="262626"/>
          <w:sz w:val="18"/>
          <w:szCs w:val="18"/>
        </w:rPr>
        <w:t>Marketable debt investments are generally designated as trading assets when a market risk is economically hedged at inception with a related derivat</w:t>
      </w:r>
      <w:r>
        <w:rPr>
          <w:rFonts w:ascii="Arial" w:eastAsia="宋体" w:hAnsi="Arial" w:cs="Arial"/>
          <w:color w:val="262626"/>
          <w:sz w:val="18"/>
          <w:szCs w:val="18"/>
        </w:rPr>
        <w:t>ive instrument, or when the marketable debt investment itself is used to economically hedge currency exchange rate risk from remeasurement. Investments designated as trading assets are reported at fair value. Gains or losses on these investments arising fr</w:t>
      </w:r>
      <w:r>
        <w:rPr>
          <w:rFonts w:ascii="Arial" w:eastAsia="宋体" w:hAnsi="Arial" w:cs="Arial"/>
          <w:color w:val="262626"/>
          <w:sz w:val="18"/>
          <w:szCs w:val="18"/>
        </w:rPr>
        <w:t xml:space="preserve">om changes in fair value due to interest rate and currency market fluctuations and credit market volatility, largely offset by losses or gains on the related derivative instruments and balance sheet remeasurement, are recorded in interest and other, net.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271" w14:textId="77777777">
        <w:tc>
          <w:tcPr>
            <w:tcW w:w="50" w:type="pct"/>
            <w:shd w:val="clear" w:color="auto" w:fill="auto"/>
            <w:vAlign w:val="bottom"/>
          </w:tcPr>
          <w:p w14:paraId="67536265" w14:textId="77777777" w:rsidR="001B77DD" w:rsidRDefault="001B77DD">
            <w:pPr>
              <w:rPr>
                <w:rFonts w:ascii="宋体"/>
              </w:rPr>
            </w:pPr>
          </w:p>
        </w:tc>
        <w:tc>
          <w:tcPr>
            <w:tcW w:w="276" w:type="pct"/>
            <w:shd w:val="clear" w:color="auto" w:fill="auto"/>
            <w:vAlign w:val="bottom"/>
          </w:tcPr>
          <w:p w14:paraId="67536266" w14:textId="77777777" w:rsidR="001B77DD" w:rsidRDefault="001B77DD">
            <w:pPr>
              <w:rPr>
                <w:rFonts w:ascii="宋体"/>
              </w:rPr>
            </w:pPr>
          </w:p>
        </w:tc>
        <w:tc>
          <w:tcPr>
            <w:tcW w:w="5" w:type="pct"/>
            <w:shd w:val="clear" w:color="auto" w:fill="auto"/>
            <w:vAlign w:val="bottom"/>
          </w:tcPr>
          <w:p w14:paraId="67536267" w14:textId="77777777" w:rsidR="001B77DD" w:rsidRDefault="001B77DD">
            <w:pPr>
              <w:rPr>
                <w:rFonts w:ascii="宋体"/>
              </w:rPr>
            </w:pPr>
          </w:p>
        </w:tc>
        <w:tc>
          <w:tcPr>
            <w:tcW w:w="50" w:type="pct"/>
            <w:shd w:val="clear" w:color="auto" w:fill="auto"/>
            <w:vAlign w:val="bottom"/>
          </w:tcPr>
          <w:p w14:paraId="67536268" w14:textId="77777777" w:rsidR="001B77DD" w:rsidRDefault="001B77DD">
            <w:pPr>
              <w:rPr>
                <w:rFonts w:ascii="宋体"/>
              </w:rPr>
            </w:pPr>
          </w:p>
        </w:tc>
        <w:tc>
          <w:tcPr>
            <w:tcW w:w="940" w:type="pct"/>
            <w:shd w:val="clear" w:color="auto" w:fill="auto"/>
            <w:vAlign w:val="bottom"/>
          </w:tcPr>
          <w:p w14:paraId="67536269" w14:textId="77777777" w:rsidR="001B77DD" w:rsidRDefault="001B77DD">
            <w:pPr>
              <w:rPr>
                <w:rFonts w:ascii="宋体"/>
              </w:rPr>
            </w:pPr>
          </w:p>
        </w:tc>
        <w:tc>
          <w:tcPr>
            <w:tcW w:w="5" w:type="pct"/>
            <w:shd w:val="clear" w:color="auto" w:fill="auto"/>
            <w:vAlign w:val="bottom"/>
          </w:tcPr>
          <w:p w14:paraId="6753626A" w14:textId="77777777" w:rsidR="001B77DD" w:rsidRDefault="001B77DD">
            <w:pPr>
              <w:rPr>
                <w:rFonts w:ascii="宋体"/>
              </w:rPr>
            </w:pPr>
          </w:p>
        </w:tc>
        <w:tc>
          <w:tcPr>
            <w:tcW w:w="50" w:type="pct"/>
            <w:shd w:val="clear" w:color="auto" w:fill="auto"/>
            <w:vAlign w:val="bottom"/>
          </w:tcPr>
          <w:p w14:paraId="6753626B" w14:textId="77777777" w:rsidR="001B77DD" w:rsidRDefault="001B77DD">
            <w:pPr>
              <w:rPr>
                <w:rFonts w:ascii="宋体"/>
              </w:rPr>
            </w:pPr>
          </w:p>
        </w:tc>
        <w:tc>
          <w:tcPr>
            <w:tcW w:w="1837" w:type="pct"/>
            <w:shd w:val="clear" w:color="auto" w:fill="auto"/>
            <w:vAlign w:val="bottom"/>
          </w:tcPr>
          <w:p w14:paraId="6753626C" w14:textId="77777777" w:rsidR="001B77DD" w:rsidRDefault="001B77DD">
            <w:pPr>
              <w:rPr>
                <w:rFonts w:ascii="宋体"/>
              </w:rPr>
            </w:pPr>
          </w:p>
        </w:tc>
        <w:tc>
          <w:tcPr>
            <w:tcW w:w="5" w:type="pct"/>
            <w:shd w:val="clear" w:color="auto" w:fill="auto"/>
            <w:vAlign w:val="bottom"/>
          </w:tcPr>
          <w:p w14:paraId="6753626D" w14:textId="77777777" w:rsidR="001B77DD" w:rsidRDefault="001B77DD">
            <w:pPr>
              <w:rPr>
                <w:rFonts w:ascii="宋体"/>
              </w:rPr>
            </w:pPr>
          </w:p>
        </w:tc>
        <w:tc>
          <w:tcPr>
            <w:tcW w:w="50" w:type="pct"/>
            <w:shd w:val="clear" w:color="auto" w:fill="auto"/>
            <w:vAlign w:val="bottom"/>
          </w:tcPr>
          <w:p w14:paraId="6753626E" w14:textId="77777777" w:rsidR="001B77DD" w:rsidRDefault="001B77DD">
            <w:pPr>
              <w:rPr>
                <w:rFonts w:ascii="宋体"/>
              </w:rPr>
            </w:pPr>
          </w:p>
        </w:tc>
        <w:tc>
          <w:tcPr>
            <w:tcW w:w="1724" w:type="pct"/>
            <w:shd w:val="clear" w:color="auto" w:fill="auto"/>
            <w:vAlign w:val="bottom"/>
          </w:tcPr>
          <w:p w14:paraId="6753626F" w14:textId="77777777" w:rsidR="001B77DD" w:rsidRDefault="001B77DD">
            <w:pPr>
              <w:rPr>
                <w:rFonts w:ascii="宋体"/>
              </w:rPr>
            </w:pPr>
          </w:p>
        </w:tc>
        <w:tc>
          <w:tcPr>
            <w:tcW w:w="5" w:type="pct"/>
            <w:shd w:val="clear" w:color="auto" w:fill="auto"/>
            <w:vAlign w:val="bottom"/>
          </w:tcPr>
          <w:p w14:paraId="67536270" w14:textId="77777777" w:rsidR="001B77DD" w:rsidRDefault="001B77DD">
            <w:pPr>
              <w:rPr>
                <w:rFonts w:ascii="宋体"/>
              </w:rPr>
            </w:pPr>
          </w:p>
        </w:tc>
      </w:tr>
      <w:tr w:rsidR="001B77DD" w14:paraId="67536276"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72"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2A" wp14:editId="67538F2B">
                  <wp:extent cx="304800" cy="304800"/>
                  <wp:effectExtent l="0" t="0" r="0" b="0"/>
                  <wp:docPr id="201" name="图片 28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8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73"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274"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75" w14:textId="77777777" w:rsidR="001B77DD" w:rsidRDefault="00BF0A28">
            <w:pPr>
              <w:jc w:val="right"/>
              <w:textAlignment w:val="center"/>
            </w:pPr>
            <w:r>
              <w:rPr>
                <w:rFonts w:ascii="Arial" w:eastAsia="宋体" w:hAnsi="Arial" w:cs="Arial"/>
                <w:color w:val="262626"/>
                <w:sz w:val="16"/>
                <w:szCs w:val="16"/>
              </w:rPr>
              <w:t>78</w:t>
            </w:r>
          </w:p>
        </w:tc>
      </w:tr>
    </w:tbl>
    <w:p w14:paraId="67536277" w14:textId="77777777" w:rsidR="001B77DD" w:rsidRDefault="00BF0A28">
      <w:r>
        <w:pict w14:anchorId="67538F2C">
          <v:rect id="_x0000_i1104" style="width:415.3pt;height:1.5pt" o:hralign="center" o:hrstd="t" o:hr="t" fillcolor="#a0a0a0" stroked="f"/>
        </w:pict>
      </w:r>
    </w:p>
    <w:p w14:paraId="67536278" w14:textId="77777777" w:rsidR="001B77DD" w:rsidRDefault="00BF0A28">
      <w:pPr>
        <w:jc w:val="right"/>
      </w:pPr>
      <w:hyperlink r:id="rId166" w:anchor="i6c9ced68f6b24d58a3dcf326e8c3c699_16" w:history="1">
        <w:r>
          <w:rPr>
            <w:rStyle w:val="a5"/>
            <w:rFonts w:ascii="Arial" w:eastAsia="宋体" w:hAnsi="Arial" w:cs="Arial"/>
            <w:b/>
            <w:bCs/>
            <w:sz w:val="16"/>
            <w:szCs w:val="16"/>
          </w:rPr>
          <w:t>Table of Contents</w:t>
        </w:r>
      </w:hyperlink>
    </w:p>
    <w:p w14:paraId="67536279" w14:textId="77777777" w:rsidR="001B77DD" w:rsidRDefault="001B77DD">
      <w:pPr>
        <w:jc w:val="right"/>
      </w:pPr>
    </w:p>
    <w:p w14:paraId="6753627A" w14:textId="77777777" w:rsidR="001B77DD" w:rsidRDefault="00BF0A28">
      <w:pPr>
        <w:spacing w:after="180"/>
      </w:pPr>
      <w:r>
        <w:rPr>
          <w:rFonts w:ascii="Arial" w:eastAsia="宋体" w:hAnsi="Arial" w:cs="Arial"/>
          <w:color w:val="262626"/>
          <w:sz w:val="18"/>
          <w:szCs w:val="18"/>
        </w:rPr>
        <w:t xml:space="preserve">Marketable debt investments are considered available-for-sale investments when the </w:t>
      </w:r>
      <w:r>
        <w:rPr>
          <w:rFonts w:ascii="Arial" w:eastAsia="宋体" w:hAnsi="Arial" w:cs="Arial"/>
          <w:color w:val="262626"/>
          <w:sz w:val="18"/>
          <w:szCs w:val="18"/>
        </w:rPr>
        <w:t>interest rate and foreign currency risks are not hedged at the inception of the investment or when our criteria for designation as trading assets are not met. Available-for-sale debt investments with original maturities of approximately three months or les</w:t>
      </w:r>
      <w:r>
        <w:rPr>
          <w:rFonts w:ascii="Arial" w:eastAsia="宋体" w:hAnsi="Arial" w:cs="Arial"/>
          <w:color w:val="262626"/>
          <w:sz w:val="18"/>
          <w:szCs w:val="18"/>
        </w:rPr>
        <w:t>s from the date of purchase are classified within cash and cash equivalents. Available-for-sale debt investments with original maturities at the date of purchase greater than approximately three months and remaining maturities of less than one year are cla</w:t>
      </w:r>
      <w:r>
        <w:rPr>
          <w:rFonts w:ascii="Arial" w:eastAsia="宋体" w:hAnsi="Arial" w:cs="Arial"/>
          <w:color w:val="262626"/>
          <w:sz w:val="18"/>
          <w:szCs w:val="18"/>
        </w:rPr>
        <w:t>ssified as short-term investments. Available-for-sale debt investments with remaining maturities beyond one year are classified as other long-term investments. Available-for-sale debt investments are reported at fair value, with unrealized gains or losses,</w:t>
      </w:r>
      <w:r>
        <w:rPr>
          <w:rFonts w:ascii="Arial" w:eastAsia="宋体" w:hAnsi="Arial" w:cs="Arial"/>
          <w:color w:val="262626"/>
          <w:sz w:val="18"/>
          <w:szCs w:val="18"/>
        </w:rPr>
        <w:t xml:space="preserve"> net of tax, recorded in accumulated other comprehensive income (loss). We determine the cost of the investment sold based on an average cost basis at the individual security level, and record the interest income and realized gains or losses on the sale of</w:t>
      </w:r>
      <w:r>
        <w:rPr>
          <w:rFonts w:ascii="Arial" w:eastAsia="宋体" w:hAnsi="Arial" w:cs="Arial"/>
          <w:color w:val="262626"/>
          <w:sz w:val="18"/>
          <w:szCs w:val="18"/>
        </w:rPr>
        <w:t xml:space="preserve"> these investments in interest and other, net.</w:t>
      </w:r>
    </w:p>
    <w:p w14:paraId="6753627B" w14:textId="77777777" w:rsidR="001B77DD" w:rsidRDefault="00BF0A28">
      <w:pPr>
        <w:spacing w:after="180"/>
      </w:pPr>
      <w:r>
        <w:rPr>
          <w:rFonts w:ascii="Arial" w:eastAsia="宋体" w:hAnsi="Arial" w:cs="Arial"/>
          <w:color w:val="262626"/>
          <w:sz w:val="18"/>
          <w:szCs w:val="18"/>
        </w:rPr>
        <w:t>Our available-for-sale debt investments are subject to periodic impairment reviews. For investments in an unrealized loss position, we determine whether a credit loss exists by considering information about th</w:t>
      </w:r>
      <w:r>
        <w:rPr>
          <w:rFonts w:ascii="Arial" w:eastAsia="宋体" w:hAnsi="Arial" w:cs="Arial"/>
          <w:color w:val="262626"/>
          <w:sz w:val="18"/>
          <w:szCs w:val="18"/>
        </w:rPr>
        <w:t>e collectability of the instrument, current market conditions, and reasonable and supportable forecasts of economic conditions. We recognize an allowance for credit losses, up to the amount of the unrealized loss when appropriate, and write down the amorti</w:t>
      </w:r>
      <w:r>
        <w:rPr>
          <w:rFonts w:ascii="Arial" w:eastAsia="宋体" w:hAnsi="Arial" w:cs="Arial"/>
          <w:color w:val="262626"/>
          <w:sz w:val="18"/>
          <w:szCs w:val="18"/>
        </w:rPr>
        <w:t xml:space="preserve">zed cost basis of the investment if it is more likely than not we will be required or we intend to sell the investment before recovery of its amortized cost basis. Allowances for credit losses and write-downs are recognized in interest and other, net, and </w:t>
      </w:r>
      <w:r>
        <w:rPr>
          <w:rFonts w:ascii="Arial" w:eastAsia="宋体" w:hAnsi="Arial" w:cs="Arial"/>
          <w:color w:val="262626"/>
          <w:sz w:val="18"/>
          <w:szCs w:val="18"/>
        </w:rPr>
        <w:t>unrealized losses not related to credit losses are recognized in other comprehensive income (loss).</w:t>
      </w:r>
    </w:p>
    <w:p w14:paraId="6753627C" w14:textId="77777777" w:rsidR="001B77DD" w:rsidRDefault="00BF0A28">
      <w:pPr>
        <w:spacing w:before="180" w:after="180"/>
      </w:pPr>
      <w:r>
        <w:rPr>
          <w:rFonts w:ascii="Arial" w:eastAsia="宋体" w:hAnsi="Arial" w:cs="Arial"/>
          <w:color w:val="0068B5"/>
        </w:rPr>
        <w:t>Equity Investments</w:t>
      </w:r>
    </w:p>
    <w:p w14:paraId="6753627D" w14:textId="77777777" w:rsidR="001B77DD" w:rsidRDefault="00BF0A28">
      <w:pPr>
        <w:spacing w:after="120"/>
      </w:pPr>
      <w:r>
        <w:rPr>
          <w:rFonts w:ascii="Arial" w:eastAsia="宋体" w:hAnsi="Arial" w:cs="Arial"/>
          <w:color w:val="262626"/>
          <w:sz w:val="18"/>
          <w:szCs w:val="18"/>
        </w:rPr>
        <w:t>We regularly invest in equity securities of public and private companies to promote business and strategic objectives. Equity investments</w:t>
      </w:r>
      <w:r>
        <w:rPr>
          <w:rFonts w:ascii="Arial" w:eastAsia="宋体" w:hAnsi="Arial" w:cs="Arial"/>
          <w:color w:val="262626"/>
          <w:sz w:val="18"/>
          <w:szCs w:val="18"/>
        </w:rPr>
        <w:t xml:space="preserve"> are measured and recorded as follows: </w:t>
      </w:r>
    </w:p>
    <w:p w14:paraId="6753627E"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Marketable equity securities</w:t>
      </w:r>
      <w:r>
        <w:rPr>
          <w:rFonts w:ascii="Arial" w:eastAsia="宋体" w:hAnsi="Arial" w:cs="Arial"/>
          <w:color w:val="262626"/>
          <w:sz w:val="18"/>
          <w:szCs w:val="18"/>
        </w:rPr>
        <w:t xml:space="preserve"> are equity securities with RDFV that are measured and recorded at fair value on a recurring basis with changes in fair value, whether realized or unrealized, recorded through the income </w:t>
      </w:r>
      <w:r>
        <w:rPr>
          <w:rFonts w:ascii="Arial" w:eastAsia="宋体" w:hAnsi="Arial" w:cs="Arial"/>
          <w:color w:val="262626"/>
          <w:sz w:val="18"/>
          <w:szCs w:val="18"/>
        </w:rPr>
        <w:t xml:space="preserve">statement. </w:t>
      </w:r>
    </w:p>
    <w:p w14:paraId="6753627F"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equity securities</w:t>
      </w:r>
      <w:r>
        <w:rPr>
          <w:rFonts w:ascii="Arial" w:eastAsia="宋体" w:hAnsi="Arial" w:cs="Arial"/>
          <w:i/>
          <w:iCs/>
          <w:color w:val="262626"/>
          <w:sz w:val="18"/>
          <w:szCs w:val="18"/>
        </w:rPr>
        <w:t xml:space="preserve"> </w:t>
      </w:r>
      <w:r>
        <w:rPr>
          <w:rFonts w:ascii="Arial" w:eastAsia="宋体" w:hAnsi="Arial" w:cs="Arial"/>
          <w:color w:val="262626"/>
          <w:sz w:val="18"/>
          <w:szCs w:val="18"/>
        </w:rPr>
        <w:t>are equity securities without RDFV that are measured and recorded using a measurement alternative that measures the securities at cost minus impairment, if any, plus or minus changes resulting from qualifying o</w:t>
      </w:r>
      <w:r>
        <w:rPr>
          <w:rFonts w:ascii="Arial" w:eastAsia="宋体" w:hAnsi="Arial" w:cs="Arial"/>
          <w:color w:val="262626"/>
          <w:sz w:val="18"/>
          <w:szCs w:val="18"/>
        </w:rPr>
        <w:t>bservable price changes.</w:t>
      </w:r>
    </w:p>
    <w:p w14:paraId="67536280" w14:textId="77777777" w:rsidR="001B77DD" w:rsidRDefault="00BF0A28">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Equity method investments</w:t>
      </w:r>
      <w:r>
        <w:rPr>
          <w:rFonts w:ascii="Arial" w:eastAsia="宋体" w:hAnsi="Arial" w:cs="Arial"/>
          <w:color w:val="262626"/>
          <w:sz w:val="20"/>
          <w:szCs w:val="20"/>
        </w:rPr>
        <w:t xml:space="preserve"> </w:t>
      </w:r>
      <w:r>
        <w:rPr>
          <w:rFonts w:ascii="Arial" w:eastAsia="宋体" w:hAnsi="Arial" w:cs="Arial"/>
          <w:color w:val="262626"/>
          <w:sz w:val="18"/>
          <w:szCs w:val="18"/>
        </w:rPr>
        <w:t xml:space="preserve">are equity securities in investees we do not control but over which we have the ability to exercise significant influence. Equity method investments are measured at cost minus impairment, if any, plus </w:t>
      </w:r>
      <w:r>
        <w:rPr>
          <w:rFonts w:ascii="Arial" w:eastAsia="宋体" w:hAnsi="Arial" w:cs="Arial"/>
          <w:color w:val="262626"/>
          <w:sz w:val="18"/>
          <w:szCs w:val="18"/>
        </w:rPr>
        <w:t>or minus our share of equity method investee income or loss. Our proportionate share of the income or loss from equity method investments is recognized on a one-quarter lag.</w:t>
      </w:r>
    </w:p>
    <w:p w14:paraId="67536281" w14:textId="77777777" w:rsidR="001B77DD" w:rsidRDefault="00BF0A28">
      <w:pPr>
        <w:spacing w:after="180"/>
      </w:pPr>
      <w:r>
        <w:rPr>
          <w:rFonts w:ascii="Arial" w:eastAsia="宋体" w:hAnsi="Arial" w:cs="Arial"/>
          <w:color w:val="262626"/>
          <w:sz w:val="18"/>
          <w:szCs w:val="18"/>
        </w:rPr>
        <w:t>Realized and unrealized gains and losses resulting from changes in fair value or the sale of our equity investments are recorded in gains (losses) on equity investments, net. The carrying value of our non-marketable equity securities is adjusted for qualif</w:t>
      </w:r>
      <w:r>
        <w:rPr>
          <w:rFonts w:ascii="Arial" w:eastAsia="宋体" w:hAnsi="Arial" w:cs="Arial"/>
          <w:color w:val="262626"/>
          <w:sz w:val="18"/>
          <w:szCs w:val="18"/>
        </w:rPr>
        <w:t xml:space="preserve">ying observable price changes resulting from the issuance of similar or identical securities in an orderly transaction by the same issuer. Determining whether an observed transaction is similar to a security within our portfolio requires judgment based on </w:t>
      </w:r>
      <w:r>
        <w:rPr>
          <w:rFonts w:ascii="Arial" w:eastAsia="宋体" w:hAnsi="Arial" w:cs="Arial"/>
          <w:color w:val="262626"/>
          <w:sz w:val="18"/>
          <w:szCs w:val="18"/>
        </w:rPr>
        <w:t>the rights and preferences of the securities. Recording upward and downward adjustments to the carrying value of our equity securities as a result of observable price changes requires quantitative assessments of the fair value of our securities using vario</w:t>
      </w:r>
      <w:r>
        <w:rPr>
          <w:rFonts w:ascii="Arial" w:eastAsia="宋体" w:hAnsi="Arial" w:cs="Arial"/>
          <w:color w:val="262626"/>
          <w:sz w:val="18"/>
          <w:szCs w:val="18"/>
        </w:rPr>
        <w:t xml:space="preserve">us valuation methodologies and involves the use of estimates. </w:t>
      </w:r>
    </w:p>
    <w:p w14:paraId="67536282" w14:textId="77777777" w:rsidR="001B77DD" w:rsidRDefault="00BF0A28">
      <w:pPr>
        <w:spacing w:after="120"/>
      </w:pPr>
      <w:r>
        <w:rPr>
          <w:rFonts w:ascii="Arial" w:eastAsia="宋体" w:hAnsi="Arial" w:cs="Arial"/>
          <w:color w:val="262626"/>
          <w:sz w:val="18"/>
          <w:szCs w:val="18"/>
        </w:rPr>
        <w:t>Non-marketable equity securities and equity method investments (collectively referred to as non-marketable equity investments) are also subject to periodic impairment reviews. Our quarterly imp</w:t>
      </w:r>
      <w:r>
        <w:rPr>
          <w:rFonts w:ascii="Arial" w:eastAsia="宋体" w:hAnsi="Arial" w:cs="Arial"/>
          <w:color w:val="262626"/>
          <w:sz w:val="18"/>
          <w:szCs w:val="18"/>
        </w:rPr>
        <w:t>airment analysis considers both qualitative and quantitative factors that may have a significant impact on the investee's fair value. Qualitative factors considered include the investee's financial condition and business outlook, industry and sector perfor</w:t>
      </w:r>
      <w:r>
        <w:rPr>
          <w:rFonts w:ascii="Arial" w:eastAsia="宋体" w:hAnsi="Arial" w:cs="Arial"/>
          <w:color w:val="262626"/>
          <w:sz w:val="18"/>
          <w:szCs w:val="18"/>
        </w:rPr>
        <w:t>mance, market for technology, operational and financing cash flow activities, and other relevant events and factors affecting the investee. When indicators of impairment exist, we prepare quantitative assessments of the fair value of our non-marketable equ</w:t>
      </w:r>
      <w:r>
        <w:rPr>
          <w:rFonts w:ascii="Arial" w:eastAsia="宋体" w:hAnsi="Arial" w:cs="Arial"/>
          <w:color w:val="262626"/>
          <w:sz w:val="18"/>
          <w:szCs w:val="18"/>
        </w:rPr>
        <w:t xml:space="preserve">ity investments using both the market and income approaches, which require judgment and the use of estimates, including discount rates, investee revenue and costs, and comparable market data of private and public companies, among others. </w:t>
      </w:r>
    </w:p>
    <w:p w14:paraId="67536283" w14:textId="77777777" w:rsidR="001B77DD" w:rsidRDefault="00BF0A28">
      <w:pPr>
        <w:spacing w:after="60"/>
        <w:ind w:hanging="360"/>
      </w:pPr>
      <w:r>
        <w:rPr>
          <w:rFonts w:ascii="Arial" w:eastAsia="宋体" w:hAnsi="Arial" w:cs="Arial"/>
          <w:b/>
          <w:bCs/>
          <w:color w:val="0068B5"/>
          <w:sz w:val="20"/>
          <w:szCs w:val="20"/>
        </w:rPr>
        <w:t>▪</w:t>
      </w:r>
      <w:r>
        <w:rPr>
          <w:rFonts w:ascii="Arial" w:eastAsia="宋体" w:hAnsi="Arial" w:cs="Arial"/>
          <w:color w:val="0068B5"/>
          <w:sz w:val="18"/>
          <w:szCs w:val="18"/>
        </w:rPr>
        <w:t>Non-marketable e</w:t>
      </w:r>
      <w:r>
        <w:rPr>
          <w:rFonts w:ascii="Arial" w:eastAsia="宋体" w:hAnsi="Arial" w:cs="Arial"/>
          <w:color w:val="0068B5"/>
          <w:sz w:val="18"/>
          <w:szCs w:val="18"/>
        </w:rPr>
        <w:t>quity securities</w:t>
      </w:r>
      <w:r>
        <w:rPr>
          <w:rFonts w:ascii="Arial" w:eastAsia="宋体" w:hAnsi="Arial" w:cs="Arial"/>
          <w:color w:val="262626"/>
          <w:sz w:val="18"/>
          <w:szCs w:val="18"/>
        </w:rPr>
        <w:t xml:space="preserve"> are tested for impairment using a qualitative model similar to the model used for goodwill and long-lived assets. Upon determining that an impairment may exist, the security's fair value is calculated and compared to its carrying value and</w:t>
      </w:r>
      <w:r>
        <w:rPr>
          <w:rFonts w:ascii="Arial" w:eastAsia="宋体" w:hAnsi="Arial" w:cs="Arial"/>
          <w:color w:val="262626"/>
          <w:sz w:val="18"/>
          <w:szCs w:val="18"/>
        </w:rPr>
        <w:t xml:space="preserve"> an impairment is recognized immediately if the carrying value exceeds the fair value.</w:t>
      </w:r>
    </w:p>
    <w:p w14:paraId="67536284" w14:textId="77777777" w:rsidR="001B77DD" w:rsidRDefault="00BF0A28">
      <w:pPr>
        <w:spacing w:after="180"/>
        <w:ind w:hanging="360"/>
      </w:pPr>
      <w:r>
        <w:rPr>
          <w:rFonts w:ascii="Arial" w:eastAsia="宋体" w:hAnsi="Arial" w:cs="Arial"/>
          <w:b/>
          <w:bCs/>
          <w:color w:val="0068B5"/>
          <w:sz w:val="20"/>
          <w:szCs w:val="20"/>
        </w:rPr>
        <w:t>▪</w:t>
      </w:r>
      <w:r>
        <w:rPr>
          <w:rFonts w:ascii="Arial" w:eastAsia="宋体" w:hAnsi="Arial" w:cs="Arial"/>
          <w:color w:val="0068B5"/>
          <w:sz w:val="18"/>
          <w:szCs w:val="18"/>
        </w:rPr>
        <w:t>Equity method investments</w:t>
      </w:r>
      <w:r>
        <w:rPr>
          <w:rFonts w:ascii="Arial" w:eastAsia="宋体" w:hAnsi="Arial" w:cs="Arial"/>
          <w:color w:val="262626"/>
          <w:sz w:val="18"/>
          <w:szCs w:val="18"/>
        </w:rPr>
        <w:t xml:space="preserve"> are subject to periodic impairment reviews using the other-than-temporary impairment model, which considers the severity and duration of a dec</w:t>
      </w:r>
      <w:r>
        <w:rPr>
          <w:rFonts w:ascii="Arial" w:eastAsia="宋体" w:hAnsi="Arial" w:cs="Arial"/>
          <w:color w:val="262626"/>
          <w:sz w:val="18"/>
          <w:szCs w:val="18"/>
        </w:rPr>
        <w:t xml:space="preserve">line in fair value below cost and our ability and intent to hold the investment for a sufficient period of time to allow for recovery. </w:t>
      </w:r>
    </w:p>
    <w:p w14:paraId="67536285" w14:textId="77777777" w:rsidR="001B77DD" w:rsidRDefault="00BF0A28">
      <w:pPr>
        <w:spacing w:after="180"/>
      </w:pPr>
      <w:r>
        <w:rPr>
          <w:rFonts w:ascii="Arial" w:eastAsia="宋体" w:hAnsi="Arial" w:cs="Arial"/>
          <w:color w:val="262626"/>
          <w:sz w:val="18"/>
          <w:szCs w:val="18"/>
        </w:rPr>
        <w:t>Impairments of equity investments are recorded in gains (losses) on equity investments, net.</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292" w14:textId="77777777">
        <w:tc>
          <w:tcPr>
            <w:tcW w:w="50" w:type="pct"/>
            <w:shd w:val="clear" w:color="auto" w:fill="auto"/>
            <w:vAlign w:val="bottom"/>
          </w:tcPr>
          <w:p w14:paraId="67536286" w14:textId="77777777" w:rsidR="001B77DD" w:rsidRDefault="001B77DD">
            <w:pPr>
              <w:rPr>
                <w:rFonts w:ascii="宋体"/>
              </w:rPr>
            </w:pPr>
          </w:p>
        </w:tc>
        <w:tc>
          <w:tcPr>
            <w:tcW w:w="276" w:type="pct"/>
            <w:shd w:val="clear" w:color="auto" w:fill="auto"/>
            <w:vAlign w:val="bottom"/>
          </w:tcPr>
          <w:p w14:paraId="67536287" w14:textId="77777777" w:rsidR="001B77DD" w:rsidRDefault="001B77DD">
            <w:pPr>
              <w:rPr>
                <w:rFonts w:ascii="宋体"/>
              </w:rPr>
            </w:pPr>
          </w:p>
        </w:tc>
        <w:tc>
          <w:tcPr>
            <w:tcW w:w="5" w:type="pct"/>
            <w:shd w:val="clear" w:color="auto" w:fill="auto"/>
            <w:vAlign w:val="bottom"/>
          </w:tcPr>
          <w:p w14:paraId="67536288" w14:textId="77777777" w:rsidR="001B77DD" w:rsidRDefault="001B77DD">
            <w:pPr>
              <w:rPr>
                <w:rFonts w:ascii="宋体"/>
              </w:rPr>
            </w:pPr>
          </w:p>
        </w:tc>
        <w:tc>
          <w:tcPr>
            <w:tcW w:w="50" w:type="pct"/>
            <w:shd w:val="clear" w:color="auto" w:fill="auto"/>
            <w:vAlign w:val="bottom"/>
          </w:tcPr>
          <w:p w14:paraId="67536289" w14:textId="77777777" w:rsidR="001B77DD" w:rsidRDefault="001B77DD">
            <w:pPr>
              <w:rPr>
                <w:rFonts w:ascii="宋体"/>
              </w:rPr>
            </w:pPr>
          </w:p>
        </w:tc>
        <w:tc>
          <w:tcPr>
            <w:tcW w:w="940" w:type="pct"/>
            <w:shd w:val="clear" w:color="auto" w:fill="auto"/>
            <w:vAlign w:val="bottom"/>
          </w:tcPr>
          <w:p w14:paraId="6753628A" w14:textId="77777777" w:rsidR="001B77DD" w:rsidRDefault="001B77DD">
            <w:pPr>
              <w:rPr>
                <w:rFonts w:ascii="宋体"/>
              </w:rPr>
            </w:pPr>
          </w:p>
        </w:tc>
        <w:tc>
          <w:tcPr>
            <w:tcW w:w="5" w:type="pct"/>
            <w:shd w:val="clear" w:color="auto" w:fill="auto"/>
            <w:vAlign w:val="bottom"/>
          </w:tcPr>
          <w:p w14:paraId="6753628B" w14:textId="77777777" w:rsidR="001B77DD" w:rsidRDefault="001B77DD">
            <w:pPr>
              <w:rPr>
                <w:rFonts w:ascii="宋体"/>
              </w:rPr>
            </w:pPr>
          </w:p>
        </w:tc>
        <w:tc>
          <w:tcPr>
            <w:tcW w:w="50" w:type="pct"/>
            <w:shd w:val="clear" w:color="auto" w:fill="auto"/>
            <w:vAlign w:val="bottom"/>
          </w:tcPr>
          <w:p w14:paraId="6753628C" w14:textId="77777777" w:rsidR="001B77DD" w:rsidRDefault="001B77DD">
            <w:pPr>
              <w:rPr>
                <w:rFonts w:ascii="宋体"/>
              </w:rPr>
            </w:pPr>
          </w:p>
        </w:tc>
        <w:tc>
          <w:tcPr>
            <w:tcW w:w="1837" w:type="pct"/>
            <w:shd w:val="clear" w:color="auto" w:fill="auto"/>
            <w:vAlign w:val="bottom"/>
          </w:tcPr>
          <w:p w14:paraId="6753628D" w14:textId="77777777" w:rsidR="001B77DD" w:rsidRDefault="001B77DD">
            <w:pPr>
              <w:rPr>
                <w:rFonts w:ascii="宋体"/>
              </w:rPr>
            </w:pPr>
          </w:p>
        </w:tc>
        <w:tc>
          <w:tcPr>
            <w:tcW w:w="5" w:type="pct"/>
            <w:shd w:val="clear" w:color="auto" w:fill="auto"/>
            <w:vAlign w:val="bottom"/>
          </w:tcPr>
          <w:p w14:paraId="6753628E" w14:textId="77777777" w:rsidR="001B77DD" w:rsidRDefault="001B77DD">
            <w:pPr>
              <w:rPr>
                <w:rFonts w:ascii="宋体"/>
              </w:rPr>
            </w:pPr>
          </w:p>
        </w:tc>
        <w:tc>
          <w:tcPr>
            <w:tcW w:w="50" w:type="pct"/>
            <w:shd w:val="clear" w:color="auto" w:fill="auto"/>
            <w:vAlign w:val="bottom"/>
          </w:tcPr>
          <w:p w14:paraId="6753628F" w14:textId="77777777" w:rsidR="001B77DD" w:rsidRDefault="001B77DD">
            <w:pPr>
              <w:rPr>
                <w:rFonts w:ascii="宋体"/>
              </w:rPr>
            </w:pPr>
          </w:p>
        </w:tc>
        <w:tc>
          <w:tcPr>
            <w:tcW w:w="1724" w:type="pct"/>
            <w:shd w:val="clear" w:color="auto" w:fill="auto"/>
            <w:vAlign w:val="bottom"/>
          </w:tcPr>
          <w:p w14:paraId="67536290" w14:textId="77777777" w:rsidR="001B77DD" w:rsidRDefault="001B77DD">
            <w:pPr>
              <w:rPr>
                <w:rFonts w:ascii="宋体"/>
              </w:rPr>
            </w:pPr>
          </w:p>
        </w:tc>
        <w:tc>
          <w:tcPr>
            <w:tcW w:w="5" w:type="pct"/>
            <w:shd w:val="clear" w:color="auto" w:fill="auto"/>
            <w:vAlign w:val="bottom"/>
          </w:tcPr>
          <w:p w14:paraId="67536291" w14:textId="77777777" w:rsidR="001B77DD" w:rsidRDefault="001B77DD">
            <w:pPr>
              <w:rPr>
                <w:rFonts w:ascii="宋体"/>
              </w:rPr>
            </w:pPr>
          </w:p>
        </w:tc>
      </w:tr>
      <w:tr w:rsidR="001B77DD" w14:paraId="67536297"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93"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2D" wp14:editId="67538F2E">
                  <wp:extent cx="304800" cy="304800"/>
                  <wp:effectExtent l="0" t="0" r="0" b="0"/>
                  <wp:docPr id="203" name="图片 28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8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94"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295"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96" w14:textId="77777777" w:rsidR="001B77DD" w:rsidRDefault="00BF0A28">
            <w:pPr>
              <w:jc w:val="right"/>
              <w:textAlignment w:val="center"/>
            </w:pPr>
            <w:r>
              <w:rPr>
                <w:rFonts w:ascii="Arial" w:eastAsia="宋体" w:hAnsi="Arial" w:cs="Arial"/>
                <w:color w:val="262626"/>
                <w:sz w:val="16"/>
                <w:szCs w:val="16"/>
              </w:rPr>
              <w:t>79</w:t>
            </w:r>
          </w:p>
        </w:tc>
      </w:tr>
    </w:tbl>
    <w:p w14:paraId="67536298" w14:textId="77777777" w:rsidR="001B77DD" w:rsidRDefault="00BF0A28">
      <w:r>
        <w:pict w14:anchorId="67538F2F">
          <v:rect id="_x0000_i1105" style="width:415.3pt;height:1.5pt" o:hralign="center" o:hrstd="t" o:hr="t" fillcolor="#a0a0a0" stroked="f"/>
        </w:pict>
      </w:r>
    </w:p>
    <w:p w14:paraId="67536299" w14:textId="77777777" w:rsidR="001B77DD" w:rsidRDefault="00BF0A28">
      <w:pPr>
        <w:jc w:val="right"/>
      </w:pPr>
      <w:hyperlink r:id="rId167" w:anchor="i6c9ced68f6b24d58a3dcf326e8c3c699_16" w:history="1">
        <w:r>
          <w:rPr>
            <w:rStyle w:val="a5"/>
            <w:rFonts w:ascii="Arial" w:eastAsia="宋体" w:hAnsi="Arial" w:cs="Arial"/>
            <w:b/>
            <w:bCs/>
            <w:sz w:val="16"/>
            <w:szCs w:val="16"/>
          </w:rPr>
          <w:t>Table of Contents</w:t>
        </w:r>
      </w:hyperlink>
    </w:p>
    <w:p w14:paraId="6753629A" w14:textId="77777777" w:rsidR="001B77DD" w:rsidRDefault="001B77DD">
      <w:pPr>
        <w:jc w:val="right"/>
      </w:pPr>
    </w:p>
    <w:p w14:paraId="6753629B" w14:textId="77777777" w:rsidR="001B77DD" w:rsidRDefault="00BF0A28">
      <w:pPr>
        <w:spacing w:before="180" w:after="180"/>
      </w:pPr>
      <w:r>
        <w:rPr>
          <w:rFonts w:ascii="Arial" w:eastAsia="宋体" w:hAnsi="Arial" w:cs="Arial"/>
          <w:color w:val="0068B5"/>
        </w:rPr>
        <w:t>Derivative Financial Instruments</w:t>
      </w:r>
    </w:p>
    <w:p w14:paraId="6753629C" w14:textId="77777777" w:rsidR="001B77DD" w:rsidRDefault="00BF0A28">
      <w:pPr>
        <w:spacing w:after="180"/>
      </w:pPr>
      <w:r>
        <w:rPr>
          <w:rFonts w:ascii="Arial" w:eastAsia="宋体" w:hAnsi="Arial" w:cs="Arial"/>
          <w:color w:val="262626"/>
          <w:sz w:val="18"/>
          <w:szCs w:val="18"/>
        </w:rPr>
        <w:t xml:space="preserve">Our primary objective for holding </w:t>
      </w:r>
      <w:r>
        <w:rPr>
          <w:rFonts w:ascii="Arial" w:eastAsia="宋体" w:hAnsi="Arial" w:cs="Arial"/>
          <w:color w:val="262626"/>
          <w:sz w:val="18"/>
          <w:szCs w:val="18"/>
        </w:rPr>
        <w:t>derivative financial instruments is to manage currency exchange rate risk and interest rate risk, and, to a lesser extent, equity market risk, commodity price risk, and credit risk. We enter into master netting arrangements to mitigate credit risk in deriv</w:t>
      </w:r>
      <w:r>
        <w:rPr>
          <w:rFonts w:ascii="Arial" w:eastAsia="宋体" w:hAnsi="Arial" w:cs="Arial"/>
          <w:color w:val="262626"/>
          <w:sz w:val="18"/>
          <w:szCs w:val="18"/>
        </w:rPr>
        <w:t>ative transactions by permitting net settlement of transactions with the same counterparty. We also enter into collateral security arrangements with certain of our counterparties to exchange cash collateral when the net fair value of certain derivative ins</w:t>
      </w:r>
      <w:r>
        <w:rPr>
          <w:rFonts w:ascii="Arial" w:eastAsia="宋体" w:hAnsi="Arial" w:cs="Arial"/>
          <w:color w:val="262626"/>
          <w:sz w:val="18"/>
          <w:szCs w:val="18"/>
        </w:rPr>
        <w:t>truments fluctuates from contractually established thresholds. For presentation on our Consolidated Balance Sheets, we do not offset fair value amounts recognized for derivative instruments under master netting arrangements. Our derivative financial instru</w:t>
      </w:r>
      <w:r>
        <w:rPr>
          <w:rFonts w:ascii="Arial" w:eastAsia="宋体" w:hAnsi="Arial" w:cs="Arial"/>
          <w:color w:val="262626"/>
          <w:sz w:val="18"/>
          <w:szCs w:val="18"/>
        </w:rPr>
        <w:t>ments, including related collateral amounts, are presented at fair value on a gross basis and are included in other current assets, other long-term assets, other accrued liabilities, or other long-term liabilities.</w:t>
      </w:r>
    </w:p>
    <w:p w14:paraId="6753629D" w14:textId="77777777" w:rsidR="001B77DD" w:rsidRDefault="00BF0A28">
      <w:pPr>
        <w:spacing w:after="180"/>
      </w:pPr>
      <w:r>
        <w:rPr>
          <w:rFonts w:ascii="Arial" w:eastAsia="宋体" w:hAnsi="Arial" w:cs="Arial"/>
          <w:color w:val="0068B5"/>
          <w:sz w:val="18"/>
          <w:szCs w:val="18"/>
        </w:rPr>
        <w:t>Cash flow hedges</w:t>
      </w:r>
      <w:r>
        <w:rPr>
          <w:rFonts w:ascii="Arial" w:eastAsia="宋体" w:hAnsi="Arial" w:cs="Arial"/>
          <w:color w:val="262626"/>
          <w:sz w:val="18"/>
          <w:szCs w:val="18"/>
        </w:rPr>
        <w:t xml:space="preserve"> use foreign currency con</w:t>
      </w:r>
      <w:r>
        <w:rPr>
          <w:rFonts w:ascii="Arial" w:eastAsia="宋体" w:hAnsi="Arial" w:cs="Arial"/>
          <w:color w:val="262626"/>
          <w:sz w:val="18"/>
          <w:szCs w:val="18"/>
        </w:rPr>
        <w:t>tracts, such as currency forwards and currency interest rate swaps, to hedge exposures for variability in the US-dollar equivalent of non-US-dollar-denominated cash flows associated with our forecasted operating and capital purchases spending.</w:t>
      </w:r>
    </w:p>
    <w:p w14:paraId="6753629E" w14:textId="77777777" w:rsidR="001B77DD" w:rsidRDefault="00BF0A28">
      <w:pPr>
        <w:spacing w:after="180"/>
      </w:pPr>
      <w:r>
        <w:rPr>
          <w:rFonts w:ascii="Arial" w:eastAsia="宋体" w:hAnsi="Arial" w:cs="Arial"/>
          <w:color w:val="262626"/>
          <w:sz w:val="18"/>
          <w:szCs w:val="18"/>
        </w:rPr>
        <w:t>The after-ta</w:t>
      </w:r>
      <w:r>
        <w:rPr>
          <w:rFonts w:ascii="Arial" w:eastAsia="宋体" w:hAnsi="Arial" w:cs="Arial"/>
          <w:color w:val="262626"/>
          <w:sz w:val="18"/>
          <w:szCs w:val="18"/>
        </w:rPr>
        <w:t>x gains or losses from the effective portion of a cash flow hedge is reported as a component of accumulated other comprehensive income (loss) and reclassified into earnings in the same period or periods in which the hedged transaction affects earnings, and</w:t>
      </w:r>
      <w:r>
        <w:rPr>
          <w:rFonts w:ascii="Arial" w:eastAsia="宋体" w:hAnsi="Arial" w:cs="Arial"/>
          <w:color w:val="262626"/>
          <w:sz w:val="18"/>
          <w:szCs w:val="18"/>
        </w:rPr>
        <w:t xml:space="preserve"> in the same line item on the Consolidated Statements of Income as the impact of the hedge transaction. For foreign currency contracts hedging our capital purchases, forward points are excluded from the hedge effectiveness assessment, and are recognized in</w:t>
      </w:r>
      <w:r>
        <w:rPr>
          <w:rFonts w:ascii="Arial" w:eastAsia="宋体" w:hAnsi="Arial" w:cs="Arial"/>
          <w:color w:val="262626"/>
          <w:sz w:val="18"/>
          <w:szCs w:val="18"/>
        </w:rPr>
        <w:t xml:space="preserve"> earnings in the same income statement line item used to present the earnings effect of the hedged item. If the cash flow hedge transactions become improbable, the corresponding amounts deferred in accumulated other comprehensive income (loss) would be imm</w:t>
      </w:r>
      <w:r>
        <w:rPr>
          <w:rFonts w:ascii="Arial" w:eastAsia="宋体" w:hAnsi="Arial" w:cs="Arial"/>
          <w:color w:val="262626"/>
          <w:sz w:val="18"/>
          <w:szCs w:val="18"/>
        </w:rPr>
        <w:t>ediately reclassified to interest and other, net. These derivatives are classified in the Consolidated Statements of Cash Flows in the same section as the underlying item.</w:t>
      </w:r>
    </w:p>
    <w:p w14:paraId="6753629F" w14:textId="77777777" w:rsidR="001B77DD" w:rsidRDefault="00BF0A28">
      <w:pPr>
        <w:spacing w:after="180"/>
      </w:pPr>
      <w:r>
        <w:rPr>
          <w:rFonts w:ascii="Arial" w:eastAsia="宋体" w:hAnsi="Arial" w:cs="Arial"/>
          <w:color w:val="0068B5"/>
          <w:sz w:val="18"/>
          <w:szCs w:val="18"/>
        </w:rPr>
        <w:t>Fair value hedges</w:t>
      </w:r>
      <w:r>
        <w:rPr>
          <w:rFonts w:ascii="Arial" w:eastAsia="宋体" w:hAnsi="Arial" w:cs="Arial"/>
          <w:color w:val="262626"/>
          <w:sz w:val="18"/>
          <w:szCs w:val="18"/>
        </w:rPr>
        <w:t xml:space="preserve"> use interest rate contracts, such as interest rate swaps, to hedge</w:t>
      </w:r>
      <w:r>
        <w:rPr>
          <w:rFonts w:ascii="Arial" w:eastAsia="宋体" w:hAnsi="Arial" w:cs="Arial"/>
          <w:color w:val="262626"/>
          <w:sz w:val="18"/>
          <w:szCs w:val="18"/>
        </w:rPr>
        <w:t xml:space="preserve"> against changes in the fair value on certain of our fixed-rate indebtedness attributable to changes in the benchmark interest rate. The gains or losses on these hedges, as well as the offsetting losses or gains related to the changes in the fair value of </w:t>
      </w:r>
      <w:r>
        <w:rPr>
          <w:rFonts w:ascii="Arial" w:eastAsia="宋体" w:hAnsi="Arial" w:cs="Arial"/>
          <w:color w:val="262626"/>
          <w:sz w:val="18"/>
          <w:szCs w:val="18"/>
        </w:rPr>
        <w:t>the underlying hedged item attributable to the hedged risk, are recognized in earnings in the current period, primarily in interest and other, net. These derivatives are classified in the Consolidated Statements of Cash Flows in the same section as the und</w:t>
      </w:r>
      <w:r>
        <w:rPr>
          <w:rFonts w:ascii="Arial" w:eastAsia="宋体" w:hAnsi="Arial" w:cs="Arial"/>
          <w:color w:val="262626"/>
          <w:sz w:val="18"/>
          <w:szCs w:val="18"/>
        </w:rPr>
        <w:t>erlying item, primarily within cash flows from financing activities.</w:t>
      </w:r>
    </w:p>
    <w:p w14:paraId="675362A0" w14:textId="77777777" w:rsidR="001B77DD" w:rsidRDefault="00BF0A28">
      <w:pPr>
        <w:spacing w:after="180"/>
      </w:pPr>
      <w:r>
        <w:rPr>
          <w:rFonts w:ascii="Arial" w:eastAsia="宋体" w:hAnsi="Arial" w:cs="Arial"/>
          <w:color w:val="0068B5"/>
          <w:sz w:val="18"/>
          <w:szCs w:val="18"/>
        </w:rPr>
        <w:t>Non-designated hedges</w:t>
      </w:r>
      <w:r>
        <w:rPr>
          <w:rFonts w:ascii="Arial" w:eastAsia="宋体" w:hAnsi="Arial" w:cs="Arial"/>
          <w:color w:val="262626"/>
          <w:sz w:val="18"/>
          <w:szCs w:val="18"/>
        </w:rPr>
        <w:t xml:space="preserve"> use foreign currency contracts to economically hedge the functional currency equivalent cash flows of recognized monetary assets and liabilities, non-US-dollar-denom</w:t>
      </w:r>
      <w:r>
        <w:rPr>
          <w:rFonts w:ascii="Arial" w:eastAsia="宋体" w:hAnsi="Arial" w:cs="Arial"/>
          <w:color w:val="262626"/>
          <w:sz w:val="18"/>
          <w:szCs w:val="18"/>
        </w:rPr>
        <w:t xml:space="preserve">inated debt instruments classified as trading assets, and non-US-dollar-denominated loans receivable recognized at fair value. We also use interest rate contracts to hedge interest rate risk related to our US-dollar-denominated fixed-rate debt investments </w:t>
      </w:r>
      <w:r>
        <w:rPr>
          <w:rFonts w:ascii="Arial" w:eastAsia="宋体" w:hAnsi="Arial" w:cs="Arial"/>
          <w:color w:val="262626"/>
          <w:sz w:val="18"/>
          <w:szCs w:val="18"/>
        </w:rPr>
        <w:t>classified as trading assets. The change in fair value of these derivatives is recorded through earnings in the line item on the Consolidated Statements of Income to which the derivatives most closely relate, primarily in interest and other, net. Changes i</w:t>
      </w:r>
      <w:r>
        <w:rPr>
          <w:rFonts w:ascii="Arial" w:eastAsia="宋体" w:hAnsi="Arial" w:cs="Arial"/>
          <w:color w:val="262626"/>
          <w:sz w:val="18"/>
          <w:szCs w:val="18"/>
        </w:rPr>
        <w:t xml:space="preserve">n the fair value of the underlying assets and liabilities associated with the hedged risk are generally offset by the changes in the fair value of the related derivatives. </w:t>
      </w:r>
    </w:p>
    <w:p w14:paraId="675362A1" w14:textId="77777777" w:rsidR="001B77DD" w:rsidRDefault="00BF0A28">
      <w:pPr>
        <w:spacing w:before="180" w:after="180"/>
      </w:pPr>
      <w:r>
        <w:rPr>
          <w:rFonts w:ascii="Arial" w:eastAsia="宋体" w:hAnsi="Arial" w:cs="Arial"/>
          <w:color w:val="0068B5"/>
        </w:rPr>
        <w:t>Loans Receivable</w:t>
      </w:r>
    </w:p>
    <w:p w14:paraId="675362A2" w14:textId="77777777" w:rsidR="001B77DD" w:rsidRDefault="00BF0A28">
      <w:pPr>
        <w:spacing w:after="180"/>
      </w:pPr>
      <w:r>
        <w:rPr>
          <w:rFonts w:ascii="Arial" w:eastAsia="宋体" w:hAnsi="Arial" w:cs="Arial"/>
          <w:color w:val="262626"/>
          <w:sz w:val="18"/>
          <w:szCs w:val="18"/>
        </w:rPr>
        <w:t>We elect the fair value option when the interest rate or foreign c</w:t>
      </w:r>
      <w:r>
        <w:rPr>
          <w:rFonts w:ascii="Arial" w:eastAsia="宋体" w:hAnsi="Arial" w:cs="Arial"/>
          <w:color w:val="262626"/>
          <w:sz w:val="18"/>
          <w:szCs w:val="18"/>
        </w:rPr>
        <w:t>urrency exchange rate risk is economically hedged at the inception of the loan with a related derivative instrument. When the fair value option is not elected, the loans are carried at amortized cost. We measure interest income for all loans receivable usi</w:t>
      </w:r>
      <w:r>
        <w:rPr>
          <w:rFonts w:ascii="Arial" w:eastAsia="宋体" w:hAnsi="Arial" w:cs="Arial"/>
          <w:color w:val="262626"/>
          <w:sz w:val="18"/>
          <w:szCs w:val="18"/>
        </w:rPr>
        <w:t xml:space="preserve">ng the interest method, which is based on the effective yield of the loans rather than the stated coupon rate. We classify our loans within other current and long-term assets. </w:t>
      </w:r>
    </w:p>
    <w:p w14:paraId="675362A3" w14:textId="77777777" w:rsidR="001B77DD" w:rsidRDefault="00BF0A28">
      <w:pPr>
        <w:spacing w:before="180" w:after="180"/>
      </w:pPr>
      <w:r>
        <w:rPr>
          <w:rFonts w:ascii="Arial" w:eastAsia="宋体" w:hAnsi="Arial" w:cs="Arial"/>
          <w:color w:val="0068B5"/>
        </w:rPr>
        <w:t>Credit Risk</w:t>
      </w:r>
    </w:p>
    <w:p w14:paraId="675362A4" w14:textId="77777777" w:rsidR="001B77DD" w:rsidRDefault="00BF0A28">
      <w:pPr>
        <w:spacing w:after="180"/>
      </w:pPr>
      <w:r>
        <w:rPr>
          <w:rFonts w:ascii="Arial" w:eastAsia="宋体" w:hAnsi="Arial" w:cs="Arial"/>
          <w:color w:val="262626"/>
          <w:sz w:val="18"/>
          <w:szCs w:val="18"/>
        </w:rPr>
        <w:t>Financial instruments that potentially subject us to concentrations</w:t>
      </w:r>
      <w:r>
        <w:rPr>
          <w:rFonts w:ascii="Arial" w:eastAsia="宋体" w:hAnsi="Arial" w:cs="Arial"/>
          <w:color w:val="262626"/>
          <w:sz w:val="18"/>
          <w:szCs w:val="18"/>
        </w:rPr>
        <w:t xml:space="preserve"> of credit risk consist principally of investments in debt instruments, derivative financial instruments, loans receivable, reverse repurchase agreements, and trade receivables. We generally place investments with high-credit-quality counterparties and, by</w:t>
      </w:r>
      <w:r>
        <w:rPr>
          <w:rFonts w:ascii="Arial" w:eastAsia="宋体" w:hAnsi="Arial" w:cs="Arial"/>
          <w:color w:val="262626"/>
          <w:sz w:val="18"/>
          <w:szCs w:val="18"/>
        </w:rPr>
        <w:t xml:space="preserve"> policy, we limit the amount of credit exposure to any one counterparty based on our analysis of that counterparty's relative credit standing. As required per our investment policy, substantially all of our investments in debt instruments are in investment</w:t>
      </w:r>
      <w:r>
        <w:rPr>
          <w:rFonts w:ascii="Arial" w:eastAsia="宋体" w:hAnsi="Arial" w:cs="Arial"/>
          <w:color w:val="262626"/>
          <w:sz w:val="18"/>
          <w:szCs w:val="18"/>
        </w:rPr>
        <w:t xml:space="preserve">-grade instruments. Credit-rating criteria for derivative instruments are similar to those for other investments. </w:t>
      </w:r>
    </w:p>
    <w:p w14:paraId="675362A5" w14:textId="77777777" w:rsidR="001B77DD" w:rsidRDefault="00BF0A28">
      <w:pPr>
        <w:spacing w:after="180"/>
      </w:pPr>
      <w:r>
        <w:rPr>
          <w:rFonts w:ascii="Arial" w:eastAsia="宋体" w:hAnsi="Arial" w:cs="Arial"/>
          <w:color w:val="262626"/>
          <w:sz w:val="18"/>
          <w:szCs w:val="18"/>
        </w:rPr>
        <w:t xml:space="preserve">We enter into master netting arrangements to mitigate credit risk in derivative transactions by permitting net settlement of </w:t>
      </w:r>
      <w:r>
        <w:rPr>
          <w:rFonts w:ascii="Arial" w:eastAsia="宋体" w:hAnsi="Arial" w:cs="Arial"/>
          <w:color w:val="262626"/>
          <w:sz w:val="18"/>
          <w:szCs w:val="18"/>
        </w:rPr>
        <w:t>transactions with the same counterparty. Due to master netting arrangements, the amounts subject to credit risk related to derivative instruments are generally limited to the amounts, if any, by which the counterparty's obligations exceed our obligations w</w:t>
      </w:r>
      <w:r>
        <w:rPr>
          <w:rFonts w:ascii="Arial" w:eastAsia="宋体" w:hAnsi="Arial" w:cs="Arial"/>
          <w:color w:val="262626"/>
          <w:sz w:val="18"/>
          <w:szCs w:val="18"/>
        </w:rPr>
        <w:t>ith that counterparty. As of December 25, 2021, our total credit exposure to any single counterparty, excluding money market funds invested in US treasury and US agency securities and reverse repurchase agreements collateralized by treasury and agency secu</w:t>
      </w:r>
      <w:r>
        <w:rPr>
          <w:rFonts w:ascii="Arial" w:eastAsia="宋体" w:hAnsi="Arial" w:cs="Arial"/>
          <w:color w:val="262626"/>
          <w:sz w:val="18"/>
          <w:szCs w:val="18"/>
        </w:rPr>
        <w:t xml:space="preserve">rities, did not exceed $2.6 billion. To further reduce credit risk, we enter into collateral security arrangements with certain of our derivative counterparties and obtain and secure collateral from counterparties against obligations, including securities </w:t>
      </w:r>
      <w:r>
        <w:rPr>
          <w:rFonts w:ascii="Arial" w:eastAsia="宋体" w:hAnsi="Arial" w:cs="Arial"/>
          <w:color w:val="262626"/>
          <w:sz w:val="18"/>
          <w:szCs w:val="18"/>
        </w:rPr>
        <w:t>lending transactions when we deem it appropriate. Cash collateral exchanged under our collateral security arrangements are included in other current assets, other long-term assets, other accrued liabilities, or other long-term liabilities. For reverse repu</w:t>
      </w:r>
      <w:r>
        <w:rPr>
          <w:rFonts w:ascii="Arial" w:eastAsia="宋体" w:hAnsi="Arial" w:cs="Arial"/>
          <w:color w:val="262626"/>
          <w:sz w:val="18"/>
          <w:szCs w:val="18"/>
        </w:rPr>
        <w:t>rchase agreements collateralized by other securities, we do not record the collateral as an asset or a liability unless the collateral is repledged.</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2B2" w14:textId="77777777">
        <w:tc>
          <w:tcPr>
            <w:tcW w:w="50" w:type="pct"/>
            <w:shd w:val="clear" w:color="auto" w:fill="auto"/>
            <w:vAlign w:val="bottom"/>
          </w:tcPr>
          <w:p w14:paraId="675362A6" w14:textId="77777777" w:rsidR="001B77DD" w:rsidRDefault="001B77DD">
            <w:pPr>
              <w:rPr>
                <w:rFonts w:ascii="宋体"/>
              </w:rPr>
            </w:pPr>
          </w:p>
        </w:tc>
        <w:tc>
          <w:tcPr>
            <w:tcW w:w="276" w:type="pct"/>
            <w:shd w:val="clear" w:color="auto" w:fill="auto"/>
            <w:vAlign w:val="bottom"/>
          </w:tcPr>
          <w:p w14:paraId="675362A7" w14:textId="77777777" w:rsidR="001B77DD" w:rsidRDefault="001B77DD">
            <w:pPr>
              <w:rPr>
                <w:rFonts w:ascii="宋体"/>
              </w:rPr>
            </w:pPr>
          </w:p>
        </w:tc>
        <w:tc>
          <w:tcPr>
            <w:tcW w:w="5" w:type="pct"/>
            <w:shd w:val="clear" w:color="auto" w:fill="auto"/>
            <w:vAlign w:val="bottom"/>
          </w:tcPr>
          <w:p w14:paraId="675362A8" w14:textId="77777777" w:rsidR="001B77DD" w:rsidRDefault="001B77DD">
            <w:pPr>
              <w:rPr>
                <w:rFonts w:ascii="宋体"/>
              </w:rPr>
            </w:pPr>
          </w:p>
        </w:tc>
        <w:tc>
          <w:tcPr>
            <w:tcW w:w="50" w:type="pct"/>
            <w:shd w:val="clear" w:color="auto" w:fill="auto"/>
            <w:vAlign w:val="bottom"/>
          </w:tcPr>
          <w:p w14:paraId="675362A9" w14:textId="77777777" w:rsidR="001B77DD" w:rsidRDefault="001B77DD">
            <w:pPr>
              <w:rPr>
                <w:rFonts w:ascii="宋体"/>
              </w:rPr>
            </w:pPr>
          </w:p>
        </w:tc>
        <w:tc>
          <w:tcPr>
            <w:tcW w:w="940" w:type="pct"/>
            <w:shd w:val="clear" w:color="auto" w:fill="auto"/>
            <w:vAlign w:val="bottom"/>
          </w:tcPr>
          <w:p w14:paraId="675362AA" w14:textId="77777777" w:rsidR="001B77DD" w:rsidRDefault="001B77DD">
            <w:pPr>
              <w:rPr>
                <w:rFonts w:ascii="宋体"/>
              </w:rPr>
            </w:pPr>
          </w:p>
        </w:tc>
        <w:tc>
          <w:tcPr>
            <w:tcW w:w="5" w:type="pct"/>
            <w:shd w:val="clear" w:color="auto" w:fill="auto"/>
            <w:vAlign w:val="bottom"/>
          </w:tcPr>
          <w:p w14:paraId="675362AB" w14:textId="77777777" w:rsidR="001B77DD" w:rsidRDefault="001B77DD">
            <w:pPr>
              <w:rPr>
                <w:rFonts w:ascii="宋体"/>
              </w:rPr>
            </w:pPr>
          </w:p>
        </w:tc>
        <w:tc>
          <w:tcPr>
            <w:tcW w:w="50" w:type="pct"/>
            <w:shd w:val="clear" w:color="auto" w:fill="auto"/>
            <w:vAlign w:val="bottom"/>
          </w:tcPr>
          <w:p w14:paraId="675362AC" w14:textId="77777777" w:rsidR="001B77DD" w:rsidRDefault="001B77DD">
            <w:pPr>
              <w:rPr>
                <w:rFonts w:ascii="宋体"/>
              </w:rPr>
            </w:pPr>
          </w:p>
        </w:tc>
        <w:tc>
          <w:tcPr>
            <w:tcW w:w="1837" w:type="pct"/>
            <w:shd w:val="clear" w:color="auto" w:fill="auto"/>
            <w:vAlign w:val="bottom"/>
          </w:tcPr>
          <w:p w14:paraId="675362AD" w14:textId="77777777" w:rsidR="001B77DD" w:rsidRDefault="001B77DD">
            <w:pPr>
              <w:rPr>
                <w:rFonts w:ascii="宋体"/>
              </w:rPr>
            </w:pPr>
          </w:p>
        </w:tc>
        <w:tc>
          <w:tcPr>
            <w:tcW w:w="5" w:type="pct"/>
            <w:shd w:val="clear" w:color="auto" w:fill="auto"/>
            <w:vAlign w:val="bottom"/>
          </w:tcPr>
          <w:p w14:paraId="675362AE" w14:textId="77777777" w:rsidR="001B77DD" w:rsidRDefault="001B77DD">
            <w:pPr>
              <w:rPr>
                <w:rFonts w:ascii="宋体"/>
              </w:rPr>
            </w:pPr>
          </w:p>
        </w:tc>
        <w:tc>
          <w:tcPr>
            <w:tcW w:w="50" w:type="pct"/>
            <w:shd w:val="clear" w:color="auto" w:fill="auto"/>
            <w:vAlign w:val="bottom"/>
          </w:tcPr>
          <w:p w14:paraId="675362AF" w14:textId="77777777" w:rsidR="001B77DD" w:rsidRDefault="001B77DD">
            <w:pPr>
              <w:rPr>
                <w:rFonts w:ascii="宋体"/>
              </w:rPr>
            </w:pPr>
          </w:p>
        </w:tc>
        <w:tc>
          <w:tcPr>
            <w:tcW w:w="1724" w:type="pct"/>
            <w:shd w:val="clear" w:color="auto" w:fill="auto"/>
            <w:vAlign w:val="bottom"/>
          </w:tcPr>
          <w:p w14:paraId="675362B0" w14:textId="77777777" w:rsidR="001B77DD" w:rsidRDefault="001B77DD">
            <w:pPr>
              <w:rPr>
                <w:rFonts w:ascii="宋体"/>
              </w:rPr>
            </w:pPr>
          </w:p>
        </w:tc>
        <w:tc>
          <w:tcPr>
            <w:tcW w:w="5" w:type="pct"/>
            <w:shd w:val="clear" w:color="auto" w:fill="auto"/>
            <w:vAlign w:val="bottom"/>
          </w:tcPr>
          <w:p w14:paraId="675362B1" w14:textId="77777777" w:rsidR="001B77DD" w:rsidRDefault="001B77DD">
            <w:pPr>
              <w:rPr>
                <w:rFonts w:ascii="宋体"/>
              </w:rPr>
            </w:pPr>
          </w:p>
        </w:tc>
      </w:tr>
      <w:tr w:rsidR="001B77DD" w14:paraId="675362B7"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B3"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30" wp14:editId="67538F31">
                  <wp:extent cx="304800" cy="304800"/>
                  <wp:effectExtent l="0" t="0" r="0" b="0"/>
                  <wp:docPr id="204" name="图片 28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8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B4"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2B5"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B6" w14:textId="77777777" w:rsidR="001B77DD" w:rsidRDefault="00BF0A28">
            <w:pPr>
              <w:jc w:val="right"/>
              <w:textAlignment w:val="center"/>
            </w:pPr>
            <w:r>
              <w:rPr>
                <w:rFonts w:ascii="Arial" w:eastAsia="宋体" w:hAnsi="Arial" w:cs="Arial"/>
                <w:color w:val="262626"/>
                <w:sz w:val="16"/>
                <w:szCs w:val="16"/>
              </w:rPr>
              <w:t>80</w:t>
            </w:r>
          </w:p>
        </w:tc>
      </w:tr>
    </w:tbl>
    <w:p w14:paraId="675362B8" w14:textId="77777777" w:rsidR="001B77DD" w:rsidRDefault="00BF0A28">
      <w:r>
        <w:pict w14:anchorId="67538F32">
          <v:rect id="_x0000_i1106" style="width:415.3pt;height:1.5pt" o:hralign="center" o:hrstd="t" o:hr="t" fillcolor="#a0a0a0" stroked="f"/>
        </w:pict>
      </w:r>
    </w:p>
    <w:p w14:paraId="675362B9" w14:textId="77777777" w:rsidR="001B77DD" w:rsidRDefault="00BF0A28">
      <w:pPr>
        <w:jc w:val="right"/>
      </w:pPr>
      <w:hyperlink r:id="rId168" w:anchor="i6c9ced68f6b24d58a3dcf326e8c3c699_16" w:history="1">
        <w:r>
          <w:rPr>
            <w:rStyle w:val="a5"/>
            <w:rFonts w:ascii="Arial" w:eastAsia="宋体" w:hAnsi="Arial" w:cs="Arial"/>
            <w:b/>
            <w:bCs/>
            <w:sz w:val="16"/>
            <w:szCs w:val="16"/>
          </w:rPr>
          <w:t>Table of Contents</w:t>
        </w:r>
      </w:hyperlink>
    </w:p>
    <w:p w14:paraId="675362BA" w14:textId="77777777" w:rsidR="001B77DD" w:rsidRDefault="001B77DD">
      <w:pPr>
        <w:jc w:val="right"/>
      </w:pPr>
    </w:p>
    <w:p w14:paraId="675362BB" w14:textId="77777777" w:rsidR="001B77DD" w:rsidRDefault="00BF0A28">
      <w:pPr>
        <w:spacing w:after="180"/>
      </w:pPr>
      <w:r>
        <w:rPr>
          <w:rFonts w:ascii="Arial" w:eastAsia="宋体" w:hAnsi="Arial" w:cs="Arial"/>
          <w:color w:val="262626"/>
          <w:sz w:val="18"/>
          <w:szCs w:val="18"/>
        </w:rPr>
        <w:t>A substantial majority</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of our trade receivables are derived from sales to OEMs and </w:t>
      </w:r>
      <w:r>
        <w:rPr>
          <w:rFonts w:ascii="Arial" w:eastAsia="宋体" w:hAnsi="Arial" w:cs="Arial"/>
          <w:color w:val="262626"/>
          <w:sz w:val="18"/>
          <w:szCs w:val="18"/>
        </w:rPr>
        <w:t>ODMs. We also have accounts receivable derived from sales to industrial and communications equipment manufacturers in the computing and communications industries. We believe the net accounts receivable balances from our three largest customers (42% as of D</w:t>
      </w:r>
      <w:r>
        <w:rPr>
          <w:rFonts w:ascii="Arial" w:eastAsia="宋体" w:hAnsi="Arial" w:cs="Arial"/>
          <w:color w:val="262626"/>
          <w:sz w:val="18"/>
          <w:szCs w:val="18"/>
        </w:rPr>
        <w:t xml:space="preserve">ecember 25, 2021) do not represent a significant credit risk, based on cash flow forecasts, balance sheet analysis, and past collection experience. </w:t>
      </w:r>
    </w:p>
    <w:p w14:paraId="675362BC" w14:textId="77777777" w:rsidR="001B77DD" w:rsidRDefault="00BF0A28">
      <w:pPr>
        <w:spacing w:after="180"/>
      </w:pPr>
      <w:r>
        <w:rPr>
          <w:rFonts w:ascii="Arial" w:eastAsia="宋体" w:hAnsi="Arial" w:cs="Arial"/>
          <w:color w:val="262626"/>
          <w:sz w:val="18"/>
          <w:szCs w:val="18"/>
        </w:rPr>
        <w:t>We have adopted credit policies and standards intended to accommodate industry growth and inherent risk. We</w:t>
      </w:r>
      <w:r>
        <w:rPr>
          <w:rFonts w:ascii="Arial" w:eastAsia="宋体" w:hAnsi="Arial" w:cs="Arial"/>
          <w:color w:val="262626"/>
          <w:sz w:val="18"/>
          <w:szCs w:val="18"/>
        </w:rPr>
        <w:t xml:space="preserve"> believe credit risks are moderated by the financial stability of our major customers. We assess credit risk through quantitative and qualitative analysis. From this analysis, we establish shipping and credit limits, and determine whether we will seek to u</w:t>
      </w:r>
      <w:r>
        <w:rPr>
          <w:rFonts w:ascii="Arial" w:eastAsia="宋体" w:hAnsi="Arial" w:cs="Arial"/>
          <w:color w:val="262626"/>
          <w:sz w:val="18"/>
          <w:szCs w:val="18"/>
        </w:rPr>
        <w:t>se one or more credit support protection devices, such as obtaining a parent guarantee, standby letter of credit, or credit insurance.</w:t>
      </w:r>
    </w:p>
    <w:p w14:paraId="675362BD" w14:textId="77777777" w:rsidR="001B77DD" w:rsidRDefault="00BF0A28">
      <w:pPr>
        <w:spacing w:before="180" w:after="180"/>
      </w:pPr>
      <w:r>
        <w:rPr>
          <w:rFonts w:ascii="Arial" w:eastAsia="宋体" w:hAnsi="Arial" w:cs="Arial"/>
          <w:color w:val="0068B5"/>
        </w:rPr>
        <w:t>Business Combinations</w:t>
      </w:r>
    </w:p>
    <w:p w14:paraId="675362BE" w14:textId="77777777" w:rsidR="001B77DD" w:rsidRDefault="00BF0A28">
      <w:pPr>
        <w:spacing w:after="120"/>
      </w:pPr>
      <w:r>
        <w:rPr>
          <w:rFonts w:ascii="Arial" w:eastAsia="宋体" w:hAnsi="Arial" w:cs="Arial"/>
          <w:color w:val="262626"/>
          <w:sz w:val="18"/>
          <w:szCs w:val="18"/>
        </w:rPr>
        <w:t xml:space="preserve">We allocate the purchase price paid for assets acquired and liabilities assumed in </w:t>
      </w:r>
      <w:r>
        <w:rPr>
          <w:rFonts w:ascii="Arial" w:eastAsia="宋体" w:hAnsi="Arial" w:cs="Arial"/>
          <w:color w:val="262626"/>
          <w:sz w:val="18"/>
          <w:szCs w:val="18"/>
        </w:rPr>
        <w:t>connection with our acquisitions based on their estimated fair values at the time of acquisition. This allocation involves a number of assumptions, estimates, and judgments in determining the fair value of the following:</w:t>
      </w:r>
    </w:p>
    <w:p w14:paraId="675362BF"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inventory; property, plant and equ</w:t>
      </w:r>
      <w:r>
        <w:rPr>
          <w:rFonts w:ascii="Arial" w:eastAsia="宋体" w:hAnsi="Arial" w:cs="Arial"/>
          <w:color w:val="262626"/>
          <w:sz w:val="18"/>
          <w:szCs w:val="18"/>
        </w:rPr>
        <w:t xml:space="preserve">ipment; pre-existing liabilities or legal claims; and contingent consideration, each as may be applicable; </w:t>
      </w:r>
    </w:p>
    <w:p w14:paraId="675362C0"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intangible assets, including the valuation methodology, estimations of future cash flows, discount rates, market segment growth rates, and our assu</w:t>
      </w:r>
      <w:r>
        <w:rPr>
          <w:rFonts w:ascii="Arial" w:eastAsia="宋体" w:hAnsi="Arial" w:cs="Arial"/>
          <w:color w:val="262626"/>
          <w:sz w:val="18"/>
          <w:szCs w:val="18"/>
        </w:rPr>
        <w:t>med market segment share, as well as the estimated useful life of intangible assets;</w:t>
      </w:r>
    </w:p>
    <w:p w14:paraId="675362C1"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deferred tax assets and liabilities, uncertain tax positions, and tax-related valuation allowances, which are initially estimated as of the acquisition date; and</w:t>
      </w:r>
    </w:p>
    <w:p w14:paraId="675362C2"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goodwill as measured as the excess of consideration transferred over the net of the acquisition date fair values of the assets acquired and the liabilities assumed.</w:t>
      </w:r>
    </w:p>
    <w:p w14:paraId="675362C3" w14:textId="77777777" w:rsidR="001B77DD" w:rsidRDefault="00BF0A28">
      <w:pPr>
        <w:spacing w:after="180"/>
      </w:pPr>
      <w:r>
        <w:rPr>
          <w:rFonts w:ascii="Arial" w:eastAsia="宋体" w:hAnsi="Arial" w:cs="Arial"/>
          <w:color w:val="262626"/>
          <w:sz w:val="18"/>
          <w:szCs w:val="18"/>
        </w:rPr>
        <w:t>Our assumptions and estimates are based upon comparable market data and information obtaine</w:t>
      </w:r>
      <w:r>
        <w:rPr>
          <w:rFonts w:ascii="Arial" w:eastAsia="宋体" w:hAnsi="Arial" w:cs="Arial"/>
          <w:color w:val="262626"/>
          <w:sz w:val="18"/>
          <w:szCs w:val="18"/>
        </w:rPr>
        <w:t>d from our management and the management of the acquired companies. We allocate goodwill to the reporting units of the business that are expected to benefit from the business combination.</w:t>
      </w:r>
    </w:p>
    <w:p w14:paraId="675362C4" w14:textId="77777777" w:rsidR="001B77DD" w:rsidRDefault="00BF0A28">
      <w:pPr>
        <w:spacing w:before="180" w:after="180"/>
      </w:pPr>
      <w:r>
        <w:rPr>
          <w:rFonts w:ascii="Arial" w:eastAsia="宋体" w:hAnsi="Arial" w:cs="Arial"/>
          <w:color w:val="0068B5"/>
        </w:rPr>
        <w:t>Goodwill</w:t>
      </w:r>
    </w:p>
    <w:p w14:paraId="675362C5" w14:textId="77777777" w:rsidR="001B77DD" w:rsidRDefault="00BF0A28">
      <w:pPr>
        <w:spacing w:after="180"/>
      </w:pPr>
      <w:r>
        <w:rPr>
          <w:rFonts w:ascii="Arial" w:eastAsia="宋体" w:hAnsi="Arial" w:cs="Arial"/>
          <w:color w:val="262626"/>
          <w:sz w:val="18"/>
          <w:szCs w:val="18"/>
        </w:rPr>
        <w:t>We perform an annual impairment assessment of goodwill at t</w:t>
      </w:r>
      <w:r>
        <w:rPr>
          <w:rFonts w:ascii="Arial" w:eastAsia="宋体" w:hAnsi="Arial" w:cs="Arial"/>
          <w:color w:val="262626"/>
          <w:sz w:val="18"/>
          <w:szCs w:val="18"/>
        </w:rPr>
        <w:t>he reporting unit level in the fourth quarter of each year, or more frequently if indicators of potential impairment exist. The analysis may include both qualitative and quantitative factors to assess the likelihood of an impairment. The reporting unit's c</w:t>
      </w:r>
      <w:r>
        <w:rPr>
          <w:rFonts w:ascii="Arial" w:eastAsia="宋体" w:hAnsi="Arial" w:cs="Arial"/>
          <w:color w:val="262626"/>
          <w:sz w:val="18"/>
          <w:szCs w:val="18"/>
        </w:rPr>
        <w:t xml:space="preserve">arrying value used in an impairment test represents the assignment of various assets and liabilities, excluding certain corporate assets and liabilities, such as cash, investments, and debt. </w:t>
      </w:r>
    </w:p>
    <w:p w14:paraId="675362C6" w14:textId="77777777" w:rsidR="001B77DD" w:rsidRDefault="00BF0A28">
      <w:pPr>
        <w:spacing w:after="180"/>
      </w:pPr>
      <w:r>
        <w:rPr>
          <w:rFonts w:ascii="Arial" w:eastAsia="宋体" w:hAnsi="Arial" w:cs="Arial"/>
          <w:color w:val="262626"/>
          <w:sz w:val="18"/>
          <w:szCs w:val="18"/>
        </w:rPr>
        <w:t xml:space="preserve">Qualitative factors include industry and market considerations, </w:t>
      </w:r>
      <w:r>
        <w:rPr>
          <w:rFonts w:ascii="Arial" w:eastAsia="宋体" w:hAnsi="Arial" w:cs="Arial"/>
          <w:color w:val="262626"/>
          <w:sz w:val="18"/>
          <w:szCs w:val="18"/>
        </w:rPr>
        <w:t>overall financial performance, and other relevant events and factors affecting the reporting unit. Additionally, as part of this assessment, we may perform a quantitative analysis to support the qualitative factors above by applying sensitivities to assump</w:t>
      </w:r>
      <w:r>
        <w:rPr>
          <w:rFonts w:ascii="Arial" w:eastAsia="宋体" w:hAnsi="Arial" w:cs="Arial"/>
          <w:color w:val="262626"/>
          <w:sz w:val="18"/>
          <w:szCs w:val="18"/>
        </w:rPr>
        <w:t>tions and inputs used in measuring a reporting unit's fair value.</w:t>
      </w:r>
    </w:p>
    <w:p w14:paraId="675362C7" w14:textId="77777777" w:rsidR="001B77DD" w:rsidRDefault="00BF0A28">
      <w:pPr>
        <w:spacing w:after="180"/>
      </w:pPr>
      <w:r>
        <w:rPr>
          <w:rFonts w:ascii="Arial" w:eastAsia="宋体" w:hAnsi="Arial" w:cs="Arial"/>
          <w:color w:val="262626"/>
          <w:sz w:val="18"/>
          <w:szCs w:val="18"/>
        </w:rPr>
        <w:t>Our quantitative impairment test considers both the income approach and the market approach to estimate a reporting unit's fair value. Significant estimates include market segment growth rat</w:t>
      </w:r>
      <w:r>
        <w:rPr>
          <w:rFonts w:ascii="Arial" w:eastAsia="宋体" w:hAnsi="Arial" w:cs="Arial"/>
          <w:color w:val="262626"/>
          <w:sz w:val="18"/>
          <w:szCs w:val="18"/>
        </w:rPr>
        <w:t>es, our assumed market segment share, estimated gross margins, operating expenses, and discount rates based on a reporting unit's weighted average cost of capital.</w:t>
      </w:r>
    </w:p>
    <w:p w14:paraId="675362C8" w14:textId="77777777" w:rsidR="001B77DD" w:rsidRDefault="00BF0A28">
      <w:pPr>
        <w:spacing w:after="180"/>
      </w:pPr>
      <w:r>
        <w:rPr>
          <w:rFonts w:ascii="Arial" w:eastAsia="宋体" w:hAnsi="Arial" w:cs="Arial"/>
          <w:color w:val="262626"/>
          <w:sz w:val="18"/>
          <w:szCs w:val="18"/>
        </w:rPr>
        <w:t>We test the reasonableness of the inputs and outcomes of our discounted cash flow analysis a</w:t>
      </w:r>
      <w:r>
        <w:rPr>
          <w:rFonts w:ascii="Arial" w:eastAsia="宋体" w:hAnsi="Arial" w:cs="Arial"/>
          <w:color w:val="262626"/>
          <w:sz w:val="18"/>
          <w:szCs w:val="18"/>
        </w:rPr>
        <w:t xml:space="preserve">gainst available market data. In the current year, the fair value for all of our reporting units substantially exceeds their carrying value, and our annual qualitative assessment did not indicate that a more detailed quantitative analysis was necessary. </w:t>
      </w:r>
    </w:p>
    <w:p w14:paraId="675362C9" w14:textId="77777777" w:rsidR="001B77DD" w:rsidRDefault="00BF0A28">
      <w:pPr>
        <w:spacing w:before="180" w:after="180"/>
      </w:pPr>
      <w:r>
        <w:rPr>
          <w:rFonts w:ascii="Arial" w:eastAsia="宋体" w:hAnsi="Arial" w:cs="Arial"/>
          <w:color w:val="0068B5"/>
        </w:rPr>
        <w:t>I</w:t>
      </w:r>
      <w:r>
        <w:rPr>
          <w:rFonts w:ascii="Arial" w:eastAsia="宋体" w:hAnsi="Arial" w:cs="Arial"/>
          <w:color w:val="0068B5"/>
        </w:rPr>
        <w:t>dentified Intangible Assets</w:t>
      </w:r>
    </w:p>
    <w:p w14:paraId="675362CA" w14:textId="77777777" w:rsidR="001B77DD" w:rsidRDefault="00BF0A28">
      <w:pPr>
        <w:spacing w:after="180"/>
      </w:pPr>
      <w:r>
        <w:rPr>
          <w:rFonts w:ascii="Arial" w:eastAsia="宋体" w:hAnsi="Arial" w:cs="Arial"/>
          <w:color w:val="262626"/>
          <w:sz w:val="18"/>
          <w:szCs w:val="18"/>
        </w:rPr>
        <w:t>We amortize acquisition-related intangible assets that are subject to amortization over their estimated useful life. Acquisition-related in-process R&amp;D assets represent the fair value of incomplete R&amp;D projects that had not reac</w:t>
      </w:r>
      <w:r>
        <w:rPr>
          <w:rFonts w:ascii="Arial" w:eastAsia="宋体" w:hAnsi="Arial" w:cs="Arial"/>
          <w:color w:val="262626"/>
          <w:sz w:val="18"/>
          <w:szCs w:val="18"/>
        </w:rPr>
        <w:t>hed technological feasibility as of the date of acquisition; initially, these are classified as in-process R&amp;D and are not subject to amortization. Once these R&amp;D projects are completed, the asset balances are transferred from in-process R&amp;D to acquisition</w:t>
      </w:r>
      <w:r>
        <w:rPr>
          <w:rFonts w:ascii="Arial" w:eastAsia="宋体" w:hAnsi="Arial" w:cs="Arial"/>
          <w:color w:val="262626"/>
          <w:sz w:val="18"/>
          <w:szCs w:val="18"/>
        </w:rPr>
        <w:t>-related developed technology and are subject to amortization from that point forward. The asset balances relating to projects that are abandoned after acquisition are impaired and expensed to R&amp;D.</w:t>
      </w:r>
    </w:p>
    <w:p w14:paraId="675362CB" w14:textId="77777777" w:rsidR="001B77DD" w:rsidRDefault="00BF0A28">
      <w:pPr>
        <w:spacing w:after="180"/>
      </w:pPr>
      <w:r>
        <w:rPr>
          <w:rFonts w:ascii="Arial" w:eastAsia="宋体" w:hAnsi="Arial" w:cs="Arial"/>
          <w:color w:val="262626"/>
          <w:sz w:val="18"/>
          <w:szCs w:val="18"/>
        </w:rPr>
        <w:t xml:space="preserve">We perform a quarterly review of significant finite-lived </w:t>
      </w:r>
      <w:r>
        <w:rPr>
          <w:rFonts w:ascii="Arial" w:eastAsia="宋体" w:hAnsi="Arial" w:cs="Arial"/>
          <w:color w:val="262626"/>
          <w:sz w:val="18"/>
          <w:szCs w:val="18"/>
        </w:rPr>
        <w:t>identified intangible assets to determine whether facts and circumstances indicate that the carrying amount may not be recoverable. These reviews can be affected by various factors, including external factors such as industry and economic trends, and inter</w:t>
      </w:r>
      <w:r>
        <w:rPr>
          <w:rFonts w:ascii="Arial" w:eastAsia="宋体" w:hAnsi="Arial" w:cs="Arial"/>
          <w:color w:val="262626"/>
          <w:sz w:val="18"/>
          <w:szCs w:val="18"/>
        </w:rPr>
        <w:t xml:space="preserve">nal factors such as changes in our business strategy and our forecasts for specific product lines. </w:t>
      </w:r>
    </w:p>
    <w:p w14:paraId="675362CC" w14:textId="77777777" w:rsidR="001B77DD" w:rsidRDefault="00BF0A28">
      <w:pPr>
        <w:spacing w:before="180" w:after="180"/>
      </w:pPr>
      <w:r>
        <w:rPr>
          <w:rFonts w:ascii="Arial" w:eastAsia="宋体" w:hAnsi="Arial" w:cs="Arial"/>
          <w:color w:val="0068B5"/>
        </w:rPr>
        <w:t>Employee Equity Incentive Plans</w:t>
      </w:r>
    </w:p>
    <w:p w14:paraId="675362CD" w14:textId="77777777" w:rsidR="001B77DD" w:rsidRDefault="00BF0A28">
      <w:pPr>
        <w:spacing w:after="180"/>
      </w:pPr>
      <w:r>
        <w:rPr>
          <w:rFonts w:ascii="Arial" w:eastAsia="宋体" w:hAnsi="Arial" w:cs="Arial"/>
          <w:color w:val="262626"/>
          <w:sz w:val="18"/>
          <w:szCs w:val="18"/>
        </w:rPr>
        <w:t>We use the straight-line amortization method to recognize share-based compensation expense over the service period of the aw</w:t>
      </w:r>
      <w:r>
        <w:rPr>
          <w:rFonts w:ascii="Arial" w:eastAsia="宋体" w:hAnsi="Arial" w:cs="Arial"/>
          <w:color w:val="262626"/>
          <w:sz w:val="18"/>
          <w:szCs w:val="18"/>
        </w:rPr>
        <w:t xml:space="preserve">ard, net of estimated forfeitures. Upon exercise, cancellation, forfeiture, or expiration of stock options, or upon vesting or forfeiture of RSUs, we eliminate deferred tax assets for options and RSUs with multiple vesting dates for each vesting period on </w:t>
      </w:r>
      <w:r>
        <w:rPr>
          <w:rFonts w:ascii="Arial" w:eastAsia="宋体" w:hAnsi="Arial" w:cs="Arial"/>
          <w:color w:val="262626"/>
          <w:sz w:val="18"/>
          <w:szCs w:val="18"/>
        </w:rPr>
        <w:t>a first-in, first-out basis as if each vesting period were a separate award.</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2DA" w14:textId="77777777">
        <w:tc>
          <w:tcPr>
            <w:tcW w:w="50" w:type="pct"/>
            <w:shd w:val="clear" w:color="auto" w:fill="auto"/>
            <w:vAlign w:val="bottom"/>
          </w:tcPr>
          <w:p w14:paraId="675362CE" w14:textId="77777777" w:rsidR="001B77DD" w:rsidRDefault="001B77DD">
            <w:pPr>
              <w:rPr>
                <w:rFonts w:ascii="宋体"/>
              </w:rPr>
            </w:pPr>
          </w:p>
        </w:tc>
        <w:tc>
          <w:tcPr>
            <w:tcW w:w="276" w:type="pct"/>
            <w:shd w:val="clear" w:color="auto" w:fill="auto"/>
            <w:vAlign w:val="bottom"/>
          </w:tcPr>
          <w:p w14:paraId="675362CF" w14:textId="77777777" w:rsidR="001B77DD" w:rsidRDefault="001B77DD">
            <w:pPr>
              <w:rPr>
                <w:rFonts w:ascii="宋体"/>
              </w:rPr>
            </w:pPr>
          </w:p>
        </w:tc>
        <w:tc>
          <w:tcPr>
            <w:tcW w:w="5" w:type="pct"/>
            <w:shd w:val="clear" w:color="auto" w:fill="auto"/>
            <w:vAlign w:val="bottom"/>
          </w:tcPr>
          <w:p w14:paraId="675362D0" w14:textId="77777777" w:rsidR="001B77DD" w:rsidRDefault="001B77DD">
            <w:pPr>
              <w:rPr>
                <w:rFonts w:ascii="宋体"/>
              </w:rPr>
            </w:pPr>
          </w:p>
        </w:tc>
        <w:tc>
          <w:tcPr>
            <w:tcW w:w="50" w:type="pct"/>
            <w:shd w:val="clear" w:color="auto" w:fill="auto"/>
            <w:vAlign w:val="bottom"/>
          </w:tcPr>
          <w:p w14:paraId="675362D1" w14:textId="77777777" w:rsidR="001B77DD" w:rsidRDefault="001B77DD">
            <w:pPr>
              <w:rPr>
                <w:rFonts w:ascii="宋体"/>
              </w:rPr>
            </w:pPr>
          </w:p>
        </w:tc>
        <w:tc>
          <w:tcPr>
            <w:tcW w:w="940" w:type="pct"/>
            <w:shd w:val="clear" w:color="auto" w:fill="auto"/>
            <w:vAlign w:val="bottom"/>
          </w:tcPr>
          <w:p w14:paraId="675362D2" w14:textId="77777777" w:rsidR="001B77DD" w:rsidRDefault="001B77DD">
            <w:pPr>
              <w:rPr>
                <w:rFonts w:ascii="宋体"/>
              </w:rPr>
            </w:pPr>
          </w:p>
        </w:tc>
        <w:tc>
          <w:tcPr>
            <w:tcW w:w="5" w:type="pct"/>
            <w:shd w:val="clear" w:color="auto" w:fill="auto"/>
            <w:vAlign w:val="bottom"/>
          </w:tcPr>
          <w:p w14:paraId="675362D3" w14:textId="77777777" w:rsidR="001B77DD" w:rsidRDefault="001B77DD">
            <w:pPr>
              <w:rPr>
                <w:rFonts w:ascii="宋体"/>
              </w:rPr>
            </w:pPr>
          </w:p>
        </w:tc>
        <w:tc>
          <w:tcPr>
            <w:tcW w:w="50" w:type="pct"/>
            <w:shd w:val="clear" w:color="auto" w:fill="auto"/>
            <w:vAlign w:val="bottom"/>
          </w:tcPr>
          <w:p w14:paraId="675362D4" w14:textId="77777777" w:rsidR="001B77DD" w:rsidRDefault="001B77DD">
            <w:pPr>
              <w:rPr>
                <w:rFonts w:ascii="宋体"/>
              </w:rPr>
            </w:pPr>
          </w:p>
        </w:tc>
        <w:tc>
          <w:tcPr>
            <w:tcW w:w="1837" w:type="pct"/>
            <w:shd w:val="clear" w:color="auto" w:fill="auto"/>
            <w:vAlign w:val="bottom"/>
          </w:tcPr>
          <w:p w14:paraId="675362D5" w14:textId="77777777" w:rsidR="001B77DD" w:rsidRDefault="001B77DD">
            <w:pPr>
              <w:rPr>
                <w:rFonts w:ascii="宋体"/>
              </w:rPr>
            </w:pPr>
          </w:p>
        </w:tc>
        <w:tc>
          <w:tcPr>
            <w:tcW w:w="5" w:type="pct"/>
            <w:shd w:val="clear" w:color="auto" w:fill="auto"/>
            <w:vAlign w:val="bottom"/>
          </w:tcPr>
          <w:p w14:paraId="675362D6" w14:textId="77777777" w:rsidR="001B77DD" w:rsidRDefault="001B77DD">
            <w:pPr>
              <w:rPr>
                <w:rFonts w:ascii="宋体"/>
              </w:rPr>
            </w:pPr>
          </w:p>
        </w:tc>
        <w:tc>
          <w:tcPr>
            <w:tcW w:w="50" w:type="pct"/>
            <w:shd w:val="clear" w:color="auto" w:fill="auto"/>
            <w:vAlign w:val="bottom"/>
          </w:tcPr>
          <w:p w14:paraId="675362D7" w14:textId="77777777" w:rsidR="001B77DD" w:rsidRDefault="001B77DD">
            <w:pPr>
              <w:rPr>
                <w:rFonts w:ascii="宋体"/>
              </w:rPr>
            </w:pPr>
          </w:p>
        </w:tc>
        <w:tc>
          <w:tcPr>
            <w:tcW w:w="1724" w:type="pct"/>
            <w:shd w:val="clear" w:color="auto" w:fill="auto"/>
            <w:vAlign w:val="bottom"/>
          </w:tcPr>
          <w:p w14:paraId="675362D8" w14:textId="77777777" w:rsidR="001B77DD" w:rsidRDefault="001B77DD">
            <w:pPr>
              <w:rPr>
                <w:rFonts w:ascii="宋体"/>
              </w:rPr>
            </w:pPr>
          </w:p>
        </w:tc>
        <w:tc>
          <w:tcPr>
            <w:tcW w:w="5" w:type="pct"/>
            <w:shd w:val="clear" w:color="auto" w:fill="auto"/>
            <w:vAlign w:val="bottom"/>
          </w:tcPr>
          <w:p w14:paraId="675362D9" w14:textId="77777777" w:rsidR="001B77DD" w:rsidRDefault="001B77DD">
            <w:pPr>
              <w:rPr>
                <w:rFonts w:ascii="宋体"/>
              </w:rPr>
            </w:pPr>
          </w:p>
        </w:tc>
      </w:tr>
      <w:tr w:rsidR="001B77DD" w14:paraId="675362DF"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DB"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33" wp14:editId="67538F34">
                  <wp:extent cx="304800" cy="304800"/>
                  <wp:effectExtent l="0" t="0" r="0" b="0"/>
                  <wp:docPr id="205" name="图片 29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9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DC"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2DD"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2DE" w14:textId="77777777" w:rsidR="001B77DD" w:rsidRDefault="00BF0A28">
            <w:pPr>
              <w:jc w:val="right"/>
              <w:textAlignment w:val="center"/>
            </w:pPr>
            <w:r>
              <w:rPr>
                <w:rFonts w:ascii="Arial" w:eastAsia="宋体" w:hAnsi="Arial" w:cs="Arial"/>
                <w:color w:val="262626"/>
                <w:sz w:val="16"/>
                <w:szCs w:val="16"/>
              </w:rPr>
              <w:t>81</w:t>
            </w:r>
          </w:p>
        </w:tc>
      </w:tr>
    </w:tbl>
    <w:p w14:paraId="675362E0" w14:textId="77777777" w:rsidR="001B77DD" w:rsidRDefault="00BF0A28">
      <w:r>
        <w:pict w14:anchorId="67538F35">
          <v:rect id="_x0000_i1107" style="width:415.3pt;height:1.5pt" o:hralign="center" o:hrstd="t" o:hr="t" fillcolor="#a0a0a0" stroked="f"/>
        </w:pict>
      </w:r>
    </w:p>
    <w:p w14:paraId="675362E1" w14:textId="77777777" w:rsidR="001B77DD" w:rsidRDefault="00BF0A28">
      <w:pPr>
        <w:jc w:val="right"/>
      </w:pPr>
      <w:hyperlink r:id="rId169" w:anchor="i6c9ced68f6b24d58a3dcf326e8c3c699_16" w:history="1">
        <w:r>
          <w:rPr>
            <w:rStyle w:val="a5"/>
            <w:rFonts w:ascii="Arial" w:eastAsia="宋体" w:hAnsi="Arial" w:cs="Arial"/>
            <w:b/>
            <w:bCs/>
            <w:sz w:val="16"/>
            <w:szCs w:val="16"/>
          </w:rPr>
          <w:t>Table of Contents</w:t>
        </w:r>
      </w:hyperlink>
    </w:p>
    <w:p w14:paraId="675362E2" w14:textId="77777777" w:rsidR="001B77DD" w:rsidRDefault="001B77DD">
      <w:pPr>
        <w:jc w:val="right"/>
      </w:pPr>
    </w:p>
    <w:p w14:paraId="675362E3" w14:textId="77777777" w:rsidR="001B77DD" w:rsidRDefault="00BF0A28">
      <w:pPr>
        <w:spacing w:after="180"/>
      </w:pPr>
      <w:r>
        <w:rPr>
          <w:rFonts w:ascii="Arial" w:eastAsia="宋体" w:hAnsi="Arial" w:cs="Arial"/>
          <w:color w:val="262626"/>
          <w:sz w:val="18"/>
          <w:szCs w:val="18"/>
        </w:rPr>
        <w:t>For the majority of RSUs granted, the number of shares of common stock issued on th</w:t>
      </w:r>
      <w:r>
        <w:rPr>
          <w:rFonts w:ascii="Arial" w:eastAsia="宋体" w:hAnsi="Arial" w:cs="Arial"/>
          <w:color w:val="262626"/>
          <w:sz w:val="18"/>
          <w:szCs w:val="18"/>
        </w:rPr>
        <w:t>e date the RSUs vest is net of the minimum statutory withholding requirements that we pay in cash to the appropriate taxing authorities on behalf of our employees. The obligation to pay the relevant taxing authority is contingent upon continued employment.</w:t>
      </w:r>
      <w:r>
        <w:rPr>
          <w:rFonts w:ascii="Arial" w:eastAsia="宋体" w:hAnsi="Arial" w:cs="Arial"/>
          <w:color w:val="262626"/>
          <w:sz w:val="18"/>
          <w:szCs w:val="18"/>
        </w:rPr>
        <w:t xml:space="preserve"> In addition, the amount of the obligation is unknown, as it is based in part on the market price of our common stock when the awards vest.</w:t>
      </w:r>
    </w:p>
    <w:p w14:paraId="675362E4" w14:textId="77777777" w:rsidR="001B77DD" w:rsidRDefault="00BF0A28">
      <w:pPr>
        <w:spacing w:before="180" w:after="180"/>
      </w:pPr>
      <w:r>
        <w:rPr>
          <w:rFonts w:ascii="Arial" w:eastAsia="宋体" w:hAnsi="Arial" w:cs="Arial"/>
          <w:color w:val="0068B5"/>
        </w:rPr>
        <w:t>Income Taxes</w:t>
      </w:r>
    </w:p>
    <w:p w14:paraId="675362E5" w14:textId="77777777" w:rsidR="001B77DD" w:rsidRDefault="00BF0A28">
      <w:pPr>
        <w:spacing w:after="180"/>
      </w:pPr>
      <w:r>
        <w:rPr>
          <w:rFonts w:ascii="Arial" w:eastAsia="宋体" w:hAnsi="Arial" w:cs="Arial"/>
          <w:color w:val="262626"/>
          <w:sz w:val="18"/>
          <w:szCs w:val="18"/>
        </w:rPr>
        <w:t>We compute the provision for income taxes using the asset and liability method, under which deferred ta</w:t>
      </w:r>
      <w:r>
        <w:rPr>
          <w:rFonts w:ascii="Arial" w:eastAsia="宋体" w:hAnsi="Arial" w:cs="Arial"/>
          <w:color w:val="262626"/>
          <w:sz w:val="18"/>
          <w:szCs w:val="18"/>
        </w:rPr>
        <w:t>x assets and liabilities are recognized for the expected future tax consequences of temporary differences between the financial reporting and tax bases of assets and liabilities, and for operating losses and tax credit carryforwards. We measure deferred ta</w:t>
      </w:r>
      <w:r>
        <w:rPr>
          <w:rFonts w:ascii="Arial" w:eastAsia="宋体" w:hAnsi="Arial" w:cs="Arial"/>
          <w:color w:val="262626"/>
          <w:sz w:val="18"/>
          <w:szCs w:val="18"/>
        </w:rPr>
        <w:t xml:space="preserve">x assets and liabilities using the currently enacted tax rates that apply to taxable income in effect for the years in which those tax assets are expected to be realized or settled. </w:t>
      </w:r>
    </w:p>
    <w:p w14:paraId="675362E6" w14:textId="77777777" w:rsidR="001B77DD" w:rsidRDefault="00BF0A28">
      <w:pPr>
        <w:spacing w:after="180"/>
      </w:pPr>
      <w:r>
        <w:rPr>
          <w:rFonts w:ascii="Arial" w:eastAsia="宋体" w:hAnsi="Arial" w:cs="Arial"/>
          <w:color w:val="262626"/>
          <w:sz w:val="18"/>
          <w:szCs w:val="18"/>
        </w:rPr>
        <w:t>We assess the likelihood that we will be able to recover our deferred tax</w:t>
      </w:r>
      <w:r>
        <w:rPr>
          <w:rFonts w:ascii="Arial" w:eastAsia="宋体" w:hAnsi="Arial" w:cs="Arial"/>
          <w:color w:val="262626"/>
          <w:sz w:val="18"/>
          <w:szCs w:val="18"/>
        </w:rPr>
        <w:t xml:space="preserve"> assets. If recovery is not likely, we must increase our provision for taxes by recording a valuation allowance against the deferred tax assets that we estimate will not ultimately be recoverable. We believe that we will ultimately recover the deferred tax</w:t>
      </w:r>
      <w:r>
        <w:rPr>
          <w:rFonts w:ascii="Arial" w:eastAsia="宋体" w:hAnsi="Arial" w:cs="Arial"/>
          <w:color w:val="262626"/>
          <w:sz w:val="18"/>
          <w:szCs w:val="18"/>
        </w:rPr>
        <w:t xml:space="preserve"> assets recorded on our Consolidated Balance Sheets. Recovery of a portion of our deferred tax assets is affected by management's plans with respect to holding or disposing of certain investments; therefore, such changes could also affect our future provis</w:t>
      </w:r>
      <w:r>
        <w:rPr>
          <w:rFonts w:ascii="Arial" w:eastAsia="宋体" w:hAnsi="Arial" w:cs="Arial"/>
          <w:color w:val="262626"/>
          <w:sz w:val="18"/>
          <w:szCs w:val="18"/>
        </w:rPr>
        <w:t>ion for taxes.</w:t>
      </w:r>
    </w:p>
    <w:p w14:paraId="675362E7" w14:textId="77777777" w:rsidR="001B77DD" w:rsidRDefault="00BF0A28">
      <w:pPr>
        <w:spacing w:after="180"/>
      </w:pPr>
      <w:r>
        <w:rPr>
          <w:rFonts w:ascii="Arial" w:eastAsia="宋体" w:hAnsi="Arial" w:cs="Arial"/>
          <w:color w:val="262626"/>
          <w:sz w:val="18"/>
          <w:szCs w:val="18"/>
        </w:rPr>
        <w:t>We recognize tax benefits from uncertain tax positions only if (based on the technical merits of the position) it is more likely than not that the tax positions will be sustained on examination by the tax authority. The tax benefits recogniz</w:t>
      </w:r>
      <w:r>
        <w:rPr>
          <w:rFonts w:ascii="Arial" w:eastAsia="宋体" w:hAnsi="Arial" w:cs="Arial"/>
          <w:color w:val="262626"/>
          <w:sz w:val="18"/>
          <w:szCs w:val="18"/>
        </w:rPr>
        <w:t xml:space="preserve">ed in the financial statements from such positions are measured based on the largest amount that is more than 50% likely to be realized upon ultimate settlement. We recognize interest and penalties related to unrecognized tax benefits within the provision </w:t>
      </w:r>
      <w:r>
        <w:rPr>
          <w:rFonts w:ascii="Arial" w:eastAsia="宋体" w:hAnsi="Arial" w:cs="Arial"/>
          <w:color w:val="262626"/>
          <w:sz w:val="18"/>
          <w:szCs w:val="18"/>
        </w:rPr>
        <w:t>for taxes on the Consolidated Statements of Income.</w:t>
      </w:r>
    </w:p>
    <w:p w14:paraId="675362E8" w14:textId="77777777" w:rsidR="001B77DD" w:rsidRDefault="00BF0A28">
      <w:pPr>
        <w:spacing w:after="180"/>
      </w:pPr>
      <w:r>
        <w:rPr>
          <w:rFonts w:ascii="Arial" w:eastAsia="宋体" w:hAnsi="Arial" w:cs="Arial"/>
          <w:color w:val="262626"/>
          <w:sz w:val="18"/>
          <w:szCs w:val="18"/>
        </w:rPr>
        <w:t xml:space="preserve">We recognize the tax impact of including certain foreign earnings in US taxable income as a period cost. We have recognized deferred income taxes for local country income and withholding taxes that could </w:t>
      </w:r>
      <w:r>
        <w:rPr>
          <w:rFonts w:ascii="Arial" w:eastAsia="宋体" w:hAnsi="Arial" w:cs="Arial"/>
          <w:color w:val="262626"/>
          <w:sz w:val="18"/>
          <w:szCs w:val="18"/>
        </w:rPr>
        <w:t>be incurred on distributions of certain non-US earnings or for outside basis differences in our subsidiaries, because we do not plan to indefinitely reinvest such earnings and basis differences. Remittances of non-US earnings are based on estimates and jud</w:t>
      </w:r>
      <w:r>
        <w:rPr>
          <w:rFonts w:ascii="Arial" w:eastAsia="宋体" w:hAnsi="Arial" w:cs="Arial"/>
          <w:color w:val="262626"/>
          <w:sz w:val="18"/>
          <w:szCs w:val="18"/>
        </w:rPr>
        <w:t>gments of projected cash flow needs, as well as the working capital and investment requirements of our non-US and US operations. Material changes in our estimates of cash, working capital, and investment needs in various jurisdictions could require repatri</w:t>
      </w:r>
      <w:r>
        <w:rPr>
          <w:rFonts w:ascii="Arial" w:eastAsia="宋体" w:hAnsi="Arial" w:cs="Arial"/>
          <w:color w:val="262626"/>
          <w:sz w:val="18"/>
          <w:szCs w:val="18"/>
        </w:rPr>
        <w:t xml:space="preserve">ation of indefinitely reinvested non-US earnings, which could be subject to applicable non-US income and withholding taxes. </w:t>
      </w:r>
    </w:p>
    <w:p w14:paraId="675362E9" w14:textId="77777777" w:rsidR="001B77DD" w:rsidRDefault="00BF0A28">
      <w:pPr>
        <w:spacing w:before="180" w:after="180"/>
      </w:pPr>
      <w:r>
        <w:rPr>
          <w:rFonts w:ascii="Arial" w:eastAsia="宋体" w:hAnsi="Arial" w:cs="Arial"/>
          <w:color w:val="0068B5"/>
        </w:rPr>
        <w:t>Leases</w:t>
      </w:r>
    </w:p>
    <w:p w14:paraId="675362EA" w14:textId="77777777" w:rsidR="001B77DD" w:rsidRDefault="00BF0A28">
      <w:pPr>
        <w:spacing w:after="180"/>
      </w:pPr>
      <w:r>
        <w:rPr>
          <w:rFonts w:ascii="Arial" w:eastAsia="宋体" w:hAnsi="Arial" w:cs="Arial"/>
          <w:color w:val="262626"/>
          <w:sz w:val="18"/>
          <w:szCs w:val="18"/>
        </w:rPr>
        <w:t>Leases consist of real property and machinery and equipment. Our lease terms may include options to extend when it is reason</w:t>
      </w:r>
      <w:r>
        <w:rPr>
          <w:rFonts w:ascii="Arial" w:eastAsia="宋体" w:hAnsi="Arial" w:cs="Arial"/>
          <w:color w:val="262626"/>
          <w:sz w:val="18"/>
          <w:szCs w:val="18"/>
        </w:rPr>
        <w:t xml:space="preserve">ably certain that we will exercise that option. We have lease agreements with lease and non-lease components, and the non-lease components are accounted for separately and not included in our leased assets and corresponding liabilities. Payments on leases </w:t>
      </w:r>
      <w:r>
        <w:rPr>
          <w:rFonts w:ascii="Arial" w:eastAsia="宋体" w:hAnsi="Arial" w:cs="Arial"/>
          <w:color w:val="262626"/>
          <w:sz w:val="18"/>
          <w:szCs w:val="18"/>
        </w:rPr>
        <w:t>may be fixed or variable, and variable lease payments are based on output of the underlying leased assets.</w:t>
      </w:r>
    </w:p>
    <w:p w14:paraId="675362EB" w14:textId="77777777" w:rsidR="001B77DD" w:rsidRDefault="00BF0A28">
      <w:pPr>
        <w:spacing w:before="180" w:after="180"/>
      </w:pPr>
      <w:r>
        <w:rPr>
          <w:rFonts w:ascii="Arial" w:eastAsia="宋体" w:hAnsi="Arial" w:cs="Arial"/>
          <w:color w:val="0068B5"/>
        </w:rPr>
        <w:t>Loss Contingencies</w:t>
      </w:r>
    </w:p>
    <w:p w14:paraId="675362EC" w14:textId="77777777" w:rsidR="001B77DD" w:rsidRDefault="00BF0A28">
      <w:pPr>
        <w:spacing w:after="180"/>
      </w:pPr>
      <w:r>
        <w:rPr>
          <w:rFonts w:ascii="Arial" w:eastAsia="宋体" w:hAnsi="Arial" w:cs="Arial"/>
          <w:color w:val="262626"/>
          <w:sz w:val="18"/>
          <w:szCs w:val="18"/>
        </w:rPr>
        <w:t>We are subject to loss contingencies, including various legal and regulatory proceedings, asserted and potential claims, liabiliti</w:t>
      </w:r>
      <w:r>
        <w:rPr>
          <w:rFonts w:ascii="Arial" w:eastAsia="宋体" w:hAnsi="Arial" w:cs="Arial"/>
          <w:color w:val="262626"/>
          <w:sz w:val="18"/>
          <w:szCs w:val="18"/>
        </w:rPr>
        <w:t>es related to repair or replacement of parts in connection with product defects, as well as product warranties and potential asset impairments that arise in the ordinary course of business. An estimated loss from such contingencies is recognized as a charg</w:t>
      </w:r>
      <w:r>
        <w:rPr>
          <w:rFonts w:ascii="Arial" w:eastAsia="宋体" w:hAnsi="Arial" w:cs="Arial"/>
          <w:color w:val="262626"/>
          <w:sz w:val="18"/>
          <w:szCs w:val="18"/>
        </w:rPr>
        <w:t>e to income if it is probable that a liability has been incurred and the amount of the loss can be reasonably estimated. We evaluate developments that could affect the amount of liability that has been previously accrued and reasonably possible losses disc</w:t>
      </w:r>
      <w:r>
        <w:rPr>
          <w:rFonts w:ascii="Arial" w:eastAsia="宋体" w:hAnsi="Arial" w:cs="Arial"/>
          <w:color w:val="262626"/>
          <w:sz w:val="18"/>
          <w:szCs w:val="18"/>
        </w:rPr>
        <w:t>losed, and make adjustments as appropriate. Significant judgment is required to determine both likelihood of there being, and the estimated amount of, a loss related to such matters.</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1B77DD" w14:paraId="675362F3" w14:textId="77777777">
        <w:tc>
          <w:tcPr>
            <w:tcW w:w="50" w:type="pct"/>
            <w:shd w:val="clear" w:color="auto" w:fill="auto"/>
            <w:vAlign w:val="bottom"/>
          </w:tcPr>
          <w:p w14:paraId="675362ED" w14:textId="77777777" w:rsidR="001B77DD" w:rsidRDefault="001B77DD">
            <w:pPr>
              <w:rPr>
                <w:rFonts w:ascii="宋体"/>
              </w:rPr>
            </w:pPr>
          </w:p>
        </w:tc>
        <w:tc>
          <w:tcPr>
            <w:tcW w:w="491" w:type="pct"/>
            <w:shd w:val="clear" w:color="auto" w:fill="auto"/>
            <w:vAlign w:val="bottom"/>
          </w:tcPr>
          <w:p w14:paraId="675362EE" w14:textId="77777777" w:rsidR="001B77DD" w:rsidRDefault="001B77DD">
            <w:pPr>
              <w:rPr>
                <w:rFonts w:ascii="宋体"/>
              </w:rPr>
            </w:pPr>
          </w:p>
        </w:tc>
        <w:tc>
          <w:tcPr>
            <w:tcW w:w="5" w:type="pct"/>
            <w:shd w:val="clear" w:color="auto" w:fill="auto"/>
            <w:vAlign w:val="bottom"/>
          </w:tcPr>
          <w:p w14:paraId="675362EF" w14:textId="77777777" w:rsidR="001B77DD" w:rsidRDefault="001B77DD">
            <w:pPr>
              <w:rPr>
                <w:rFonts w:ascii="宋体"/>
              </w:rPr>
            </w:pPr>
          </w:p>
        </w:tc>
        <w:tc>
          <w:tcPr>
            <w:tcW w:w="50" w:type="pct"/>
            <w:shd w:val="clear" w:color="auto" w:fill="auto"/>
            <w:vAlign w:val="bottom"/>
          </w:tcPr>
          <w:p w14:paraId="675362F0" w14:textId="77777777" w:rsidR="001B77DD" w:rsidRDefault="001B77DD">
            <w:pPr>
              <w:rPr>
                <w:rFonts w:ascii="宋体"/>
              </w:rPr>
            </w:pPr>
          </w:p>
        </w:tc>
        <w:tc>
          <w:tcPr>
            <w:tcW w:w="4398" w:type="pct"/>
            <w:shd w:val="clear" w:color="auto" w:fill="auto"/>
            <w:vAlign w:val="bottom"/>
          </w:tcPr>
          <w:p w14:paraId="675362F1" w14:textId="77777777" w:rsidR="001B77DD" w:rsidRDefault="001B77DD">
            <w:pPr>
              <w:rPr>
                <w:rFonts w:ascii="宋体"/>
              </w:rPr>
            </w:pPr>
          </w:p>
        </w:tc>
        <w:tc>
          <w:tcPr>
            <w:tcW w:w="5" w:type="pct"/>
            <w:shd w:val="clear" w:color="auto" w:fill="auto"/>
            <w:vAlign w:val="bottom"/>
          </w:tcPr>
          <w:p w14:paraId="675362F2" w14:textId="77777777" w:rsidR="001B77DD" w:rsidRDefault="001B77DD">
            <w:pPr>
              <w:rPr>
                <w:rFonts w:ascii="宋体"/>
              </w:rPr>
            </w:pPr>
          </w:p>
        </w:tc>
      </w:tr>
      <w:tr w:rsidR="001B77DD" w14:paraId="675362F6"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2F4" w14:textId="77777777" w:rsidR="001B77DD" w:rsidRDefault="00BF0A28">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2F5" w14:textId="77777777" w:rsidR="001B77DD" w:rsidRDefault="00BF0A28">
            <w:pPr>
              <w:textAlignment w:val="bottom"/>
            </w:pPr>
            <w:r>
              <w:rPr>
                <w:rFonts w:ascii="Arial" w:eastAsia="宋体" w:hAnsi="Arial" w:cs="Arial"/>
                <w:color w:val="0068B5"/>
                <w:sz w:val="28"/>
                <w:szCs w:val="28"/>
              </w:rPr>
              <w:t>Operating Segments</w:t>
            </w:r>
          </w:p>
        </w:tc>
      </w:tr>
    </w:tbl>
    <w:p w14:paraId="675362F7" w14:textId="77777777" w:rsidR="001B77DD" w:rsidRDefault="00BF0A28">
      <w:pPr>
        <w:spacing w:before="80" w:after="120"/>
      </w:pPr>
      <w:r>
        <w:rPr>
          <w:rFonts w:ascii="Arial" w:eastAsia="宋体" w:hAnsi="Arial" w:cs="Arial"/>
          <w:color w:val="262626"/>
          <w:sz w:val="18"/>
          <w:szCs w:val="18"/>
        </w:rPr>
        <w:t xml:space="preserve">We manage our business </w:t>
      </w:r>
      <w:r>
        <w:rPr>
          <w:rFonts w:ascii="Arial" w:eastAsia="宋体" w:hAnsi="Arial" w:cs="Arial"/>
          <w:color w:val="262626"/>
          <w:sz w:val="18"/>
          <w:szCs w:val="18"/>
        </w:rPr>
        <w:t>through the following operating segments:</w:t>
      </w:r>
    </w:p>
    <w:p w14:paraId="675362F8"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CCG</w:t>
      </w:r>
    </w:p>
    <w:p w14:paraId="675362F9"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DCG</w:t>
      </w:r>
    </w:p>
    <w:p w14:paraId="675362FA"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IOTG</w:t>
      </w:r>
    </w:p>
    <w:p w14:paraId="675362FB"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Mobileye</w:t>
      </w:r>
    </w:p>
    <w:p w14:paraId="675362FC"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NSG</w:t>
      </w:r>
    </w:p>
    <w:p w14:paraId="675362FD"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PSG</w:t>
      </w:r>
    </w:p>
    <w:p w14:paraId="675362FE" w14:textId="77777777" w:rsidR="001B77DD" w:rsidRDefault="00BF0A28">
      <w:pPr>
        <w:spacing w:after="180"/>
      </w:pPr>
      <w:r>
        <w:rPr>
          <w:rFonts w:ascii="Arial" w:eastAsia="宋体" w:hAnsi="Arial" w:cs="Arial"/>
          <w:color w:val="262626"/>
          <w:sz w:val="18"/>
          <w:szCs w:val="18"/>
        </w:rPr>
        <w:t>We derive a substantial majority of our revenue from platform products, which are our principal products and considered as one class of product. We offer platform products that i</w:t>
      </w:r>
      <w:r>
        <w:rPr>
          <w:rFonts w:ascii="Arial" w:eastAsia="宋体" w:hAnsi="Arial" w:cs="Arial"/>
          <w:color w:val="262626"/>
          <w:sz w:val="18"/>
          <w:szCs w:val="18"/>
        </w:rPr>
        <w:t>ncorporate various components and technologies, including a microprocessor and chipset, a stand-alone SoC, or a multichip package, based on Intel architecture. Platform products are used in various form factors across our CCG, DCG, and IOTG operating segme</w:t>
      </w:r>
      <w:r>
        <w:rPr>
          <w:rFonts w:ascii="Arial" w:eastAsia="宋体" w:hAnsi="Arial" w:cs="Arial"/>
          <w:color w:val="262626"/>
          <w:sz w:val="18"/>
          <w:szCs w:val="18"/>
        </w:rPr>
        <w:t>nts. Our non-platform, or adjacent, products can be combined with platform products to form comprehensive platform solutions to meet customer needs.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30B" w14:textId="77777777">
        <w:tc>
          <w:tcPr>
            <w:tcW w:w="50" w:type="pct"/>
            <w:shd w:val="clear" w:color="auto" w:fill="auto"/>
            <w:vAlign w:val="bottom"/>
          </w:tcPr>
          <w:p w14:paraId="675362FF" w14:textId="77777777" w:rsidR="001B77DD" w:rsidRDefault="001B77DD">
            <w:pPr>
              <w:rPr>
                <w:rFonts w:ascii="宋体"/>
              </w:rPr>
            </w:pPr>
          </w:p>
        </w:tc>
        <w:tc>
          <w:tcPr>
            <w:tcW w:w="276" w:type="pct"/>
            <w:shd w:val="clear" w:color="auto" w:fill="auto"/>
            <w:vAlign w:val="bottom"/>
          </w:tcPr>
          <w:p w14:paraId="67536300" w14:textId="77777777" w:rsidR="001B77DD" w:rsidRDefault="001B77DD">
            <w:pPr>
              <w:rPr>
                <w:rFonts w:ascii="宋体"/>
              </w:rPr>
            </w:pPr>
          </w:p>
        </w:tc>
        <w:tc>
          <w:tcPr>
            <w:tcW w:w="5" w:type="pct"/>
            <w:shd w:val="clear" w:color="auto" w:fill="auto"/>
            <w:vAlign w:val="bottom"/>
          </w:tcPr>
          <w:p w14:paraId="67536301" w14:textId="77777777" w:rsidR="001B77DD" w:rsidRDefault="001B77DD">
            <w:pPr>
              <w:rPr>
                <w:rFonts w:ascii="宋体"/>
              </w:rPr>
            </w:pPr>
          </w:p>
        </w:tc>
        <w:tc>
          <w:tcPr>
            <w:tcW w:w="50" w:type="pct"/>
            <w:shd w:val="clear" w:color="auto" w:fill="auto"/>
            <w:vAlign w:val="bottom"/>
          </w:tcPr>
          <w:p w14:paraId="67536302" w14:textId="77777777" w:rsidR="001B77DD" w:rsidRDefault="001B77DD">
            <w:pPr>
              <w:rPr>
                <w:rFonts w:ascii="宋体"/>
              </w:rPr>
            </w:pPr>
          </w:p>
        </w:tc>
        <w:tc>
          <w:tcPr>
            <w:tcW w:w="940" w:type="pct"/>
            <w:shd w:val="clear" w:color="auto" w:fill="auto"/>
            <w:vAlign w:val="bottom"/>
          </w:tcPr>
          <w:p w14:paraId="67536303" w14:textId="77777777" w:rsidR="001B77DD" w:rsidRDefault="001B77DD">
            <w:pPr>
              <w:rPr>
                <w:rFonts w:ascii="宋体"/>
              </w:rPr>
            </w:pPr>
          </w:p>
        </w:tc>
        <w:tc>
          <w:tcPr>
            <w:tcW w:w="5" w:type="pct"/>
            <w:shd w:val="clear" w:color="auto" w:fill="auto"/>
            <w:vAlign w:val="bottom"/>
          </w:tcPr>
          <w:p w14:paraId="67536304" w14:textId="77777777" w:rsidR="001B77DD" w:rsidRDefault="001B77DD">
            <w:pPr>
              <w:rPr>
                <w:rFonts w:ascii="宋体"/>
              </w:rPr>
            </w:pPr>
          </w:p>
        </w:tc>
        <w:tc>
          <w:tcPr>
            <w:tcW w:w="50" w:type="pct"/>
            <w:shd w:val="clear" w:color="auto" w:fill="auto"/>
            <w:vAlign w:val="bottom"/>
          </w:tcPr>
          <w:p w14:paraId="67536305" w14:textId="77777777" w:rsidR="001B77DD" w:rsidRDefault="001B77DD">
            <w:pPr>
              <w:rPr>
                <w:rFonts w:ascii="宋体"/>
              </w:rPr>
            </w:pPr>
          </w:p>
        </w:tc>
        <w:tc>
          <w:tcPr>
            <w:tcW w:w="1837" w:type="pct"/>
            <w:shd w:val="clear" w:color="auto" w:fill="auto"/>
            <w:vAlign w:val="bottom"/>
          </w:tcPr>
          <w:p w14:paraId="67536306" w14:textId="77777777" w:rsidR="001B77DD" w:rsidRDefault="001B77DD">
            <w:pPr>
              <w:rPr>
                <w:rFonts w:ascii="宋体"/>
              </w:rPr>
            </w:pPr>
          </w:p>
        </w:tc>
        <w:tc>
          <w:tcPr>
            <w:tcW w:w="5" w:type="pct"/>
            <w:shd w:val="clear" w:color="auto" w:fill="auto"/>
            <w:vAlign w:val="bottom"/>
          </w:tcPr>
          <w:p w14:paraId="67536307" w14:textId="77777777" w:rsidR="001B77DD" w:rsidRDefault="001B77DD">
            <w:pPr>
              <w:rPr>
                <w:rFonts w:ascii="宋体"/>
              </w:rPr>
            </w:pPr>
          </w:p>
        </w:tc>
        <w:tc>
          <w:tcPr>
            <w:tcW w:w="50" w:type="pct"/>
            <w:shd w:val="clear" w:color="auto" w:fill="auto"/>
            <w:vAlign w:val="bottom"/>
          </w:tcPr>
          <w:p w14:paraId="67536308" w14:textId="77777777" w:rsidR="001B77DD" w:rsidRDefault="001B77DD">
            <w:pPr>
              <w:rPr>
                <w:rFonts w:ascii="宋体"/>
              </w:rPr>
            </w:pPr>
          </w:p>
        </w:tc>
        <w:tc>
          <w:tcPr>
            <w:tcW w:w="1724" w:type="pct"/>
            <w:shd w:val="clear" w:color="auto" w:fill="auto"/>
            <w:vAlign w:val="bottom"/>
          </w:tcPr>
          <w:p w14:paraId="67536309" w14:textId="77777777" w:rsidR="001B77DD" w:rsidRDefault="001B77DD">
            <w:pPr>
              <w:rPr>
                <w:rFonts w:ascii="宋体"/>
              </w:rPr>
            </w:pPr>
          </w:p>
        </w:tc>
        <w:tc>
          <w:tcPr>
            <w:tcW w:w="5" w:type="pct"/>
            <w:shd w:val="clear" w:color="auto" w:fill="auto"/>
            <w:vAlign w:val="bottom"/>
          </w:tcPr>
          <w:p w14:paraId="6753630A" w14:textId="77777777" w:rsidR="001B77DD" w:rsidRDefault="001B77DD">
            <w:pPr>
              <w:rPr>
                <w:rFonts w:ascii="宋体"/>
              </w:rPr>
            </w:pPr>
          </w:p>
        </w:tc>
      </w:tr>
      <w:tr w:rsidR="001B77DD" w14:paraId="67536310"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30C"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36" wp14:editId="67538F37">
                  <wp:extent cx="304800" cy="304800"/>
                  <wp:effectExtent l="0" t="0" r="0" b="0"/>
                  <wp:docPr id="206" name="图片 29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9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30D"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30E"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30F" w14:textId="77777777" w:rsidR="001B77DD" w:rsidRDefault="00BF0A28">
            <w:pPr>
              <w:jc w:val="right"/>
              <w:textAlignment w:val="center"/>
            </w:pPr>
            <w:r>
              <w:rPr>
                <w:rFonts w:ascii="Arial" w:eastAsia="宋体" w:hAnsi="Arial" w:cs="Arial"/>
                <w:color w:val="262626"/>
                <w:sz w:val="16"/>
                <w:szCs w:val="16"/>
              </w:rPr>
              <w:t>82</w:t>
            </w:r>
          </w:p>
        </w:tc>
      </w:tr>
    </w:tbl>
    <w:p w14:paraId="67536311" w14:textId="77777777" w:rsidR="001B77DD" w:rsidRDefault="00BF0A28">
      <w:r>
        <w:pict w14:anchorId="67538F38">
          <v:rect id="_x0000_i1108" style="width:415.3pt;height:1.5pt" o:hralign="center" o:hrstd="t" o:hr="t" fillcolor="#a0a0a0" stroked="f"/>
        </w:pict>
      </w:r>
    </w:p>
    <w:p w14:paraId="67536312" w14:textId="77777777" w:rsidR="001B77DD" w:rsidRDefault="00BF0A28">
      <w:pPr>
        <w:jc w:val="right"/>
      </w:pPr>
      <w:hyperlink r:id="rId170" w:anchor="i6c9ced68f6b24d58a3dcf326e8c3c699_16" w:history="1">
        <w:r>
          <w:rPr>
            <w:rStyle w:val="a5"/>
            <w:rFonts w:ascii="Arial" w:eastAsia="宋体" w:hAnsi="Arial" w:cs="Arial"/>
            <w:b/>
            <w:bCs/>
            <w:sz w:val="16"/>
            <w:szCs w:val="16"/>
          </w:rPr>
          <w:t>Table of Contents</w:t>
        </w:r>
      </w:hyperlink>
    </w:p>
    <w:p w14:paraId="67536313" w14:textId="77777777" w:rsidR="001B77DD" w:rsidRDefault="001B77DD">
      <w:pPr>
        <w:jc w:val="right"/>
      </w:pPr>
    </w:p>
    <w:p w14:paraId="67536314" w14:textId="77777777" w:rsidR="001B77DD" w:rsidRDefault="00BF0A28">
      <w:pPr>
        <w:spacing w:after="180"/>
      </w:pPr>
      <w:r>
        <w:rPr>
          <w:rFonts w:ascii="Arial" w:eastAsia="宋体" w:hAnsi="Arial" w:cs="Arial"/>
          <w:color w:val="262626"/>
          <w:sz w:val="18"/>
          <w:szCs w:val="18"/>
        </w:rPr>
        <w:t>CCG and DCG are our reportable operating segments. IOTG, Mobileye, NSG, and PSG do not meet the quantitative thresholds to qualify as reportable operating segments; however, we have elected to disclose the results of these non-reportable operating segments</w:t>
      </w:r>
      <w:r>
        <w:rPr>
          <w:rFonts w:ascii="Arial" w:eastAsia="宋体" w:hAnsi="Arial" w:cs="Arial"/>
          <w:color w:val="262626"/>
          <w:sz w:val="18"/>
          <w:szCs w:val="18"/>
        </w:rPr>
        <w:t>. Our Internet of Things portfolio, presented as Internet of Things, is comprised of the IOTG and Mobileye operating segments. For 2021, the results of our Intel Optane memory business are included in our DCG operating segment, and our NSG segment is compr</w:t>
      </w:r>
      <w:r>
        <w:rPr>
          <w:rFonts w:ascii="Arial" w:eastAsia="宋体" w:hAnsi="Arial" w:cs="Arial"/>
          <w:color w:val="262626"/>
          <w:sz w:val="18"/>
          <w:szCs w:val="18"/>
        </w:rPr>
        <w:t xml:space="preserve">ised of our NAND memory business to align to the pending divestiture of our NAND memory business. Refer to "Note 10 : Acquisitions and Divestitures" within Notes to Consolidated Financial Statements for further information on the divestiture. </w:t>
      </w:r>
    </w:p>
    <w:p w14:paraId="67536315" w14:textId="77777777" w:rsidR="001B77DD" w:rsidRDefault="00BF0A28">
      <w:pPr>
        <w:spacing w:after="180"/>
      </w:pPr>
      <w:r>
        <w:rPr>
          <w:rFonts w:ascii="Arial" w:eastAsia="宋体" w:hAnsi="Arial" w:cs="Arial"/>
          <w:color w:val="262626"/>
          <w:sz w:val="18"/>
          <w:szCs w:val="18"/>
        </w:rPr>
        <w:t>We have sale</w:t>
      </w:r>
      <w:r>
        <w:rPr>
          <w:rFonts w:ascii="Arial" w:eastAsia="宋体" w:hAnsi="Arial" w:cs="Arial"/>
          <w:color w:val="262626"/>
          <w:sz w:val="18"/>
          <w:szCs w:val="18"/>
        </w:rPr>
        <w:t>s and marketing, manufacturing, engineering, finance, and administration groups. Expenses for these groups are generally allocated to the operating segments.</w:t>
      </w:r>
    </w:p>
    <w:p w14:paraId="67536316" w14:textId="77777777" w:rsidR="001B77DD" w:rsidRDefault="00BF0A28">
      <w:pPr>
        <w:spacing w:after="120"/>
      </w:pPr>
      <w:r>
        <w:rPr>
          <w:rFonts w:ascii="Arial" w:eastAsia="宋体" w:hAnsi="Arial" w:cs="Arial"/>
          <w:color w:val="262626"/>
          <w:sz w:val="18"/>
          <w:szCs w:val="18"/>
        </w:rPr>
        <w:t>We have an "all other" category that includes revenue, expenses, and charges such as:</w:t>
      </w:r>
    </w:p>
    <w:p w14:paraId="67536317"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results of operations from non-reportable segments not otherwise presented; </w:t>
      </w:r>
    </w:p>
    <w:p w14:paraId="67536318"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historical results of operations from divested businesses; </w:t>
      </w:r>
    </w:p>
    <w:p w14:paraId="67536319"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results of operations of start-up businesses that support our initiatives, including our foundry business; </w:t>
      </w:r>
    </w:p>
    <w:p w14:paraId="6753631A"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amounts </w:t>
      </w:r>
      <w:r>
        <w:rPr>
          <w:rFonts w:ascii="Arial" w:eastAsia="宋体" w:hAnsi="Arial" w:cs="Arial"/>
          <w:color w:val="262626"/>
          <w:sz w:val="18"/>
          <w:szCs w:val="18"/>
        </w:rPr>
        <w:t xml:space="preserve">included within restructuring and other charges; </w:t>
      </w:r>
    </w:p>
    <w:p w14:paraId="6753631B"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 portion of employee benefits, compensation, and other expenses not allocated to the operating segments; and </w:t>
      </w:r>
    </w:p>
    <w:p w14:paraId="6753631C"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acquisition-related costs, including amortization and any impairment of acquisition-related i</w:t>
      </w:r>
      <w:r>
        <w:rPr>
          <w:rFonts w:ascii="Arial" w:eastAsia="宋体" w:hAnsi="Arial" w:cs="Arial"/>
          <w:color w:val="262626"/>
          <w:sz w:val="18"/>
          <w:szCs w:val="18"/>
        </w:rPr>
        <w:t xml:space="preserve">ntangibles and goodwill. </w:t>
      </w:r>
    </w:p>
    <w:p w14:paraId="6753631D" w14:textId="77777777" w:rsidR="001B77DD" w:rsidRDefault="00BF0A28">
      <w:pPr>
        <w:spacing w:after="180"/>
      </w:pPr>
      <w:r>
        <w:rPr>
          <w:rFonts w:ascii="Arial" w:eastAsia="宋体" w:hAnsi="Arial" w:cs="Arial"/>
          <w:color w:val="262626"/>
          <w:sz w:val="18"/>
          <w:szCs w:val="18"/>
        </w:rPr>
        <w:t>The CODM, who is our CEO, allocates resources to and assesses the performance of each operating segment using information about the operating segment's revenue and operating income (loss). The CODM does not evaluate operating segm</w:t>
      </w:r>
      <w:r>
        <w:rPr>
          <w:rFonts w:ascii="Arial" w:eastAsia="宋体" w:hAnsi="Arial" w:cs="Arial"/>
          <w:color w:val="262626"/>
          <w:sz w:val="18"/>
          <w:szCs w:val="18"/>
        </w:rPr>
        <w:t>ents using discrete asset information and we do not identify or allocate assets by operating segments. Based on the interchangeable nature of our manufacturing and assembly and test assets, most of the related depreciation expense is not directly identifia</w:t>
      </w:r>
      <w:r>
        <w:rPr>
          <w:rFonts w:ascii="Arial" w:eastAsia="宋体" w:hAnsi="Arial" w:cs="Arial"/>
          <w:color w:val="262626"/>
          <w:sz w:val="18"/>
          <w:szCs w:val="18"/>
        </w:rPr>
        <w:t>ble within our operating segments, as it is included in overhead cost pools and subsequently absorbed into inventory as each product passes through our manufacturing process. Because our products are then sold across multiple operating segments, it is impr</w:t>
      </w:r>
      <w:r>
        <w:rPr>
          <w:rFonts w:ascii="Arial" w:eastAsia="宋体" w:hAnsi="Arial" w:cs="Arial"/>
          <w:color w:val="262626"/>
          <w:sz w:val="18"/>
          <w:szCs w:val="18"/>
        </w:rPr>
        <w:t xml:space="preserve">acticable to determine the total depreciation expense included as a component of each operating segment's operating income (loss) results. Operating segments do not record inter-segment revenue. We do not allocate gains and losses from equity investments, </w:t>
      </w:r>
      <w:r>
        <w:rPr>
          <w:rFonts w:ascii="Arial" w:eastAsia="宋体" w:hAnsi="Arial" w:cs="Arial"/>
          <w:color w:val="262626"/>
          <w:sz w:val="18"/>
          <w:szCs w:val="18"/>
        </w:rPr>
        <w:t>interest and other income, or taxes to operating segments. Although the CODM uses operating income to evaluate the segments, operating costs included in one segment may benefit other segments. The accounting policies for segment reporting are the same as f</w:t>
      </w:r>
      <w:r>
        <w:rPr>
          <w:rFonts w:ascii="Arial" w:eastAsia="宋体" w:hAnsi="Arial" w:cs="Arial"/>
          <w:color w:val="262626"/>
          <w:sz w:val="18"/>
          <w:szCs w:val="18"/>
        </w:rPr>
        <w:t>or Intel as a whole.</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32A" w14:textId="77777777">
        <w:tc>
          <w:tcPr>
            <w:tcW w:w="50" w:type="pct"/>
            <w:shd w:val="clear" w:color="auto" w:fill="auto"/>
            <w:vAlign w:val="bottom"/>
          </w:tcPr>
          <w:p w14:paraId="6753631E" w14:textId="77777777" w:rsidR="001B77DD" w:rsidRDefault="001B77DD">
            <w:pPr>
              <w:rPr>
                <w:rFonts w:ascii="宋体"/>
              </w:rPr>
            </w:pPr>
          </w:p>
        </w:tc>
        <w:tc>
          <w:tcPr>
            <w:tcW w:w="276" w:type="pct"/>
            <w:shd w:val="clear" w:color="auto" w:fill="auto"/>
            <w:vAlign w:val="bottom"/>
          </w:tcPr>
          <w:p w14:paraId="6753631F" w14:textId="77777777" w:rsidR="001B77DD" w:rsidRDefault="001B77DD">
            <w:pPr>
              <w:rPr>
                <w:rFonts w:ascii="宋体"/>
              </w:rPr>
            </w:pPr>
          </w:p>
        </w:tc>
        <w:tc>
          <w:tcPr>
            <w:tcW w:w="5" w:type="pct"/>
            <w:shd w:val="clear" w:color="auto" w:fill="auto"/>
            <w:vAlign w:val="bottom"/>
          </w:tcPr>
          <w:p w14:paraId="67536320" w14:textId="77777777" w:rsidR="001B77DD" w:rsidRDefault="001B77DD">
            <w:pPr>
              <w:rPr>
                <w:rFonts w:ascii="宋体"/>
              </w:rPr>
            </w:pPr>
          </w:p>
        </w:tc>
        <w:tc>
          <w:tcPr>
            <w:tcW w:w="50" w:type="pct"/>
            <w:shd w:val="clear" w:color="auto" w:fill="auto"/>
            <w:vAlign w:val="bottom"/>
          </w:tcPr>
          <w:p w14:paraId="67536321" w14:textId="77777777" w:rsidR="001B77DD" w:rsidRDefault="001B77DD">
            <w:pPr>
              <w:rPr>
                <w:rFonts w:ascii="宋体"/>
              </w:rPr>
            </w:pPr>
          </w:p>
        </w:tc>
        <w:tc>
          <w:tcPr>
            <w:tcW w:w="940" w:type="pct"/>
            <w:shd w:val="clear" w:color="auto" w:fill="auto"/>
            <w:vAlign w:val="bottom"/>
          </w:tcPr>
          <w:p w14:paraId="67536322" w14:textId="77777777" w:rsidR="001B77DD" w:rsidRDefault="001B77DD">
            <w:pPr>
              <w:rPr>
                <w:rFonts w:ascii="宋体"/>
              </w:rPr>
            </w:pPr>
          </w:p>
        </w:tc>
        <w:tc>
          <w:tcPr>
            <w:tcW w:w="5" w:type="pct"/>
            <w:shd w:val="clear" w:color="auto" w:fill="auto"/>
            <w:vAlign w:val="bottom"/>
          </w:tcPr>
          <w:p w14:paraId="67536323" w14:textId="77777777" w:rsidR="001B77DD" w:rsidRDefault="001B77DD">
            <w:pPr>
              <w:rPr>
                <w:rFonts w:ascii="宋体"/>
              </w:rPr>
            </w:pPr>
          </w:p>
        </w:tc>
        <w:tc>
          <w:tcPr>
            <w:tcW w:w="50" w:type="pct"/>
            <w:shd w:val="clear" w:color="auto" w:fill="auto"/>
            <w:vAlign w:val="bottom"/>
          </w:tcPr>
          <w:p w14:paraId="67536324" w14:textId="77777777" w:rsidR="001B77DD" w:rsidRDefault="001B77DD">
            <w:pPr>
              <w:rPr>
                <w:rFonts w:ascii="宋体"/>
              </w:rPr>
            </w:pPr>
          </w:p>
        </w:tc>
        <w:tc>
          <w:tcPr>
            <w:tcW w:w="1837" w:type="pct"/>
            <w:shd w:val="clear" w:color="auto" w:fill="auto"/>
            <w:vAlign w:val="bottom"/>
          </w:tcPr>
          <w:p w14:paraId="67536325" w14:textId="77777777" w:rsidR="001B77DD" w:rsidRDefault="001B77DD">
            <w:pPr>
              <w:rPr>
                <w:rFonts w:ascii="宋体"/>
              </w:rPr>
            </w:pPr>
          </w:p>
        </w:tc>
        <w:tc>
          <w:tcPr>
            <w:tcW w:w="5" w:type="pct"/>
            <w:shd w:val="clear" w:color="auto" w:fill="auto"/>
            <w:vAlign w:val="bottom"/>
          </w:tcPr>
          <w:p w14:paraId="67536326" w14:textId="77777777" w:rsidR="001B77DD" w:rsidRDefault="001B77DD">
            <w:pPr>
              <w:rPr>
                <w:rFonts w:ascii="宋体"/>
              </w:rPr>
            </w:pPr>
          </w:p>
        </w:tc>
        <w:tc>
          <w:tcPr>
            <w:tcW w:w="50" w:type="pct"/>
            <w:shd w:val="clear" w:color="auto" w:fill="auto"/>
            <w:vAlign w:val="bottom"/>
          </w:tcPr>
          <w:p w14:paraId="67536327" w14:textId="77777777" w:rsidR="001B77DD" w:rsidRDefault="001B77DD">
            <w:pPr>
              <w:rPr>
                <w:rFonts w:ascii="宋体"/>
              </w:rPr>
            </w:pPr>
          </w:p>
        </w:tc>
        <w:tc>
          <w:tcPr>
            <w:tcW w:w="1724" w:type="pct"/>
            <w:shd w:val="clear" w:color="auto" w:fill="auto"/>
            <w:vAlign w:val="bottom"/>
          </w:tcPr>
          <w:p w14:paraId="67536328" w14:textId="77777777" w:rsidR="001B77DD" w:rsidRDefault="001B77DD">
            <w:pPr>
              <w:rPr>
                <w:rFonts w:ascii="宋体"/>
              </w:rPr>
            </w:pPr>
          </w:p>
        </w:tc>
        <w:tc>
          <w:tcPr>
            <w:tcW w:w="5" w:type="pct"/>
            <w:shd w:val="clear" w:color="auto" w:fill="auto"/>
            <w:vAlign w:val="bottom"/>
          </w:tcPr>
          <w:p w14:paraId="67536329" w14:textId="77777777" w:rsidR="001B77DD" w:rsidRDefault="001B77DD">
            <w:pPr>
              <w:rPr>
                <w:rFonts w:ascii="宋体"/>
              </w:rPr>
            </w:pPr>
          </w:p>
        </w:tc>
      </w:tr>
      <w:tr w:rsidR="001B77DD" w14:paraId="6753632F"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32B"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39" wp14:editId="67538F3A">
                  <wp:extent cx="304800" cy="304800"/>
                  <wp:effectExtent l="0" t="0" r="0" b="0"/>
                  <wp:docPr id="207" name="图片 29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9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32C"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32D"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32E" w14:textId="77777777" w:rsidR="001B77DD" w:rsidRDefault="00BF0A28">
            <w:pPr>
              <w:jc w:val="right"/>
              <w:textAlignment w:val="center"/>
            </w:pPr>
            <w:r>
              <w:rPr>
                <w:rFonts w:ascii="Arial" w:eastAsia="宋体" w:hAnsi="Arial" w:cs="Arial"/>
                <w:color w:val="262626"/>
                <w:sz w:val="16"/>
                <w:szCs w:val="16"/>
              </w:rPr>
              <w:t>83</w:t>
            </w:r>
          </w:p>
        </w:tc>
      </w:tr>
    </w:tbl>
    <w:p w14:paraId="67536330" w14:textId="77777777" w:rsidR="001B77DD" w:rsidRDefault="00BF0A28">
      <w:r>
        <w:pict w14:anchorId="67538F3B">
          <v:rect id="_x0000_i1109" style="width:415.3pt;height:1.5pt" o:hralign="center" o:hrstd="t" o:hr="t" fillcolor="#a0a0a0" stroked="f"/>
        </w:pict>
      </w:r>
    </w:p>
    <w:p w14:paraId="67536331" w14:textId="77777777" w:rsidR="001B77DD" w:rsidRDefault="00BF0A28">
      <w:pPr>
        <w:jc w:val="right"/>
      </w:pPr>
      <w:hyperlink r:id="rId171" w:anchor="i6c9ced68f6b24d58a3dcf326e8c3c699_16" w:history="1">
        <w:r>
          <w:rPr>
            <w:rStyle w:val="a5"/>
            <w:rFonts w:ascii="Arial" w:eastAsia="宋体" w:hAnsi="Arial" w:cs="Arial"/>
            <w:b/>
            <w:bCs/>
            <w:sz w:val="16"/>
            <w:szCs w:val="16"/>
          </w:rPr>
          <w:t>Table of Contents</w:t>
        </w:r>
      </w:hyperlink>
    </w:p>
    <w:p w14:paraId="67536332" w14:textId="77777777" w:rsidR="001B77DD" w:rsidRDefault="001B77DD">
      <w:pPr>
        <w:jc w:val="right"/>
      </w:pPr>
    </w:p>
    <w:p w14:paraId="67536333" w14:textId="77777777" w:rsidR="001B77DD" w:rsidRDefault="00BF0A28">
      <w:pPr>
        <w:spacing w:after="12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1B77DD" w14:paraId="67536349" w14:textId="77777777">
        <w:tc>
          <w:tcPr>
            <w:tcW w:w="50" w:type="pct"/>
            <w:shd w:val="clear" w:color="auto" w:fill="auto"/>
            <w:vAlign w:val="bottom"/>
          </w:tcPr>
          <w:p w14:paraId="67536334" w14:textId="77777777" w:rsidR="001B77DD" w:rsidRDefault="001B77DD">
            <w:pPr>
              <w:rPr>
                <w:rFonts w:ascii="宋体"/>
              </w:rPr>
            </w:pPr>
          </w:p>
        </w:tc>
        <w:tc>
          <w:tcPr>
            <w:tcW w:w="3059" w:type="pct"/>
            <w:shd w:val="clear" w:color="auto" w:fill="auto"/>
            <w:vAlign w:val="bottom"/>
          </w:tcPr>
          <w:p w14:paraId="67536335" w14:textId="77777777" w:rsidR="001B77DD" w:rsidRDefault="001B77DD">
            <w:pPr>
              <w:rPr>
                <w:rFonts w:ascii="宋体"/>
              </w:rPr>
            </w:pPr>
          </w:p>
        </w:tc>
        <w:tc>
          <w:tcPr>
            <w:tcW w:w="5" w:type="pct"/>
            <w:shd w:val="clear" w:color="auto" w:fill="auto"/>
            <w:vAlign w:val="bottom"/>
          </w:tcPr>
          <w:p w14:paraId="67536336" w14:textId="77777777" w:rsidR="001B77DD" w:rsidRDefault="001B77DD">
            <w:pPr>
              <w:rPr>
                <w:rFonts w:ascii="宋体"/>
              </w:rPr>
            </w:pPr>
          </w:p>
        </w:tc>
        <w:tc>
          <w:tcPr>
            <w:tcW w:w="5" w:type="pct"/>
            <w:shd w:val="clear" w:color="auto" w:fill="auto"/>
            <w:vAlign w:val="bottom"/>
          </w:tcPr>
          <w:p w14:paraId="67536337" w14:textId="77777777" w:rsidR="001B77DD" w:rsidRDefault="001B77DD">
            <w:pPr>
              <w:rPr>
                <w:rFonts w:ascii="宋体"/>
              </w:rPr>
            </w:pPr>
          </w:p>
        </w:tc>
        <w:tc>
          <w:tcPr>
            <w:tcW w:w="24" w:type="pct"/>
            <w:shd w:val="clear" w:color="auto" w:fill="auto"/>
            <w:vAlign w:val="bottom"/>
          </w:tcPr>
          <w:p w14:paraId="67536338" w14:textId="77777777" w:rsidR="001B77DD" w:rsidRDefault="001B77DD">
            <w:pPr>
              <w:rPr>
                <w:rFonts w:ascii="宋体"/>
              </w:rPr>
            </w:pPr>
          </w:p>
        </w:tc>
        <w:tc>
          <w:tcPr>
            <w:tcW w:w="5" w:type="pct"/>
            <w:shd w:val="clear" w:color="auto" w:fill="auto"/>
            <w:vAlign w:val="bottom"/>
          </w:tcPr>
          <w:p w14:paraId="67536339" w14:textId="77777777" w:rsidR="001B77DD" w:rsidRDefault="001B77DD">
            <w:pPr>
              <w:rPr>
                <w:rFonts w:ascii="宋体"/>
              </w:rPr>
            </w:pPr>
          </w:p>
        </w:tc>
        <w:tc>
          <w:tcPr>
            <w:tcW w:w="50" w:type="pct"/>
            <w:shd w:val="clear" w:color="auto" w:fill="auto"/>
            <w:vAlign w:val="bottom"/>
          </w:tcPr>
          <w:p w14:paraId="6753633A" w14:textId="77777777" w:rsidR="001B77DD" w:rsidRDefault="001B77DD">
            <w:pPr>
              <w:rPr>
                <w:rFonts w:ascii="宋体"/>
              </w:rPr>
            </w:pPr>
          </w:p>
        </w:tc>
        <w:tc>
          <w:tcPr>
            <w:tcW w:w="539" w:type="pct"/>
            <w:shd w:val="clear" w:color="auto" w:fill="auto"/>
            <w:vAlign w:val="bottom"/>
          </w:tcPr>
          <w:p w14:paraId="6753633B" w14:textId="77777777" w:rsidR="001B77DD" w:rsidRDefault="001B77DD">
            <w:pPr>
              <w:rPr>
                <w:rFonts w:ascii="宋体"/>
              </w:rPr>
            </w:pPr>
          </w:p>
        </w:tc>
        <w:tc>
          <w:tcPr>
            <w:tcW w:w="5" w:type="pct"/>
            <w:shd w:val="clear" w:color="auto" w:fill="auto"/>
            <w:vAlign w:val="bottom"/>
          </w:tcPr>
          <w:p w14:paraId="6753633C" w14:textId="77777777" w:rsidR="001B77DD" w:rsidRDefault="001B77DD">
            <w:pPr>
              <w:rPr>
                <w:rFonts w:ascii="宋体"/>
              </w:rPr>
            </w:pPr>
          </w:p>
        </w:tc>
        <w:tc>
          <w:tcPr>
            <w:tcW w:w="5" w:type="pct"/>
            <w:shd w:val="clear" w:color="auto" w:fill="auto"/>
            <w:vAlign w:val="bottom"/>
          </w:tcPr>
          <w:p w14:paraId="6753633D" w14:textId="77777777" w:rsidR="001B77DD" w:rsidRDefault="001B77DD">
            <w:pPr>
              <w:rPr>
                <w:rFonts w:ascii="宋体"/>
              </w:rPr>
            </w:pPr>
          </w:p>
        </w:tc>
        <w:tc>
          <w:tcPr>
            <w:tcW w:w="24" w:type="pct"/>
            <w:shd w:val="clear" w:color="auto" w:fill="auto"/>
            <w:vAlign w:val="bottom"/>
          </w:tcPr>
          <w:p w14:paraId="6753633E" w14:textId="77777777" w:rsidR="001B77DD" w:rsidRDefault="001B77DD">
            <w:pPr>
              <w:rPr>
                <w:rFonts w:ascii="宋体"/>
              </w:rPr>
            </w:pPr>
          </w:p>
        </w:tc>
        <w:tc>
          <w:tcPr>
            <w:tcW w:w="5" w:type="pct"/>
            <w:shd w:val="clear" w:color="auto" w:fill="auto"/>
            <w:vAlign w:val="bottom"/>
          </w:tcPr>
          <w:p w14:paraId="6753633F" w14:textId="77777777" w:rsidR="001B77DD" w:rsidRDefault="001B77DD">
            <w:pPr>
              <w:rPr>
                <w:rFonts w:ascii="宋体"/>
              </w:rPr>
            </w:pPr>
          </w:p>
        </w:tc>
        <w:tc>
          <w:tcPr>
            <w:tcW w:w="50" w:type="pct"/>
            <w:shd w:val="clear" w:color="auto" w:fill="auto"/>
            <w:vAlign w:val="bottom"/>
          </w:tcPr>
          <w:p w14:paraId="67536340" w14:textId="77777777" w:rsidR="001B77DD" w:rsidRDefault="001B77DD">
            <w:pPr>
              <w:rPr>
                <w:rFonts w:ascii="宋体"/>
              </w:rPr>
            </w:pPr>
          </w:p>
        </w:tc>
        <w:tc>
          <w:tcPr>
            <w:tcW w:w="539" w:type="pct"/>
            <w:shd w:val="clear" w:color="auto" w:fill="auto"/>
            <w:vAlign w:val="bottom"/>
          </w:tcPr>
          <w:p w14:paraId="67536341" w14:textId="77777777" w:rsidR="001B77DD" w:rsidRDefault="001B77DD">
            <w:pPr>
              <w:rPr>
                <w:rFonts w:ascii="宋体"/>
              </w:rPr>
            </w:pPr>
          </w:p>
        </w:tc>
        <w:tc>
          <w:tcPr>
            <w:tcW w:w="5" w:type="pct"/>
            <w:shd w:val="clear" w:color="auto" w:fill="auto"/>
            <w:vAlign w:val="bottom"/>
          </w:tcPr>
          <w:p w14:paraId="67536342" w14:textId="77777777" w:rsidR="001B77DD" w:rsidRDefault="001B77DD">
            <w:pPr>
              <w:rPr>
                <w:rFonts w:ascii="宋体"/>
              </w:rPr>
            </w:pPr>
          </w:p>
        </w:tc>
        <w:tc>
          <w:tcPr>
            <w:tcW w:w="5" w:type="pct"/>
            <w:shd w:val="clear" w:color="auto" w:fill="auto"/>
            <w:vAlign w:val="bottom"/>
          </w:tcPr>
          <w:p w14:paraId="67536343" w14:textId="77777777" w:rsidR="001B77DD" w:rsidRDefault="001B77DD">
            <w:pPr>
              <w:rPr>
                <w:rFonts w:ascii="宋体"/>
              </w:rPr>
            </w:pPr>
          </w:p>
        </w:tc>
        <w:tc>
          <w:tcPr>
            <w:tcW w:w="24" w:type="pct"/>
            <w:shd w:val="clear" w:color="auto" w:fill="auto"/>
            <w:vAlign w:val="bottom"/>
          </w:tcPr>
          <w:p w14:paraId="67536344" w14:textId="77777777" w:rsidR="001B77DD" w:rsidRDefault="001B77DD">
            <w:pPr>
              <w:rPr>
                <w:rFonts w:ascii="宋体"/>
              </w:rPr>
            </w:pPr>
          </w:p>
        </w:tc>
        <w:tc>
          <w:tcPr>
            <w:tcW w:w="5" w:type="pct"/>
            <w:shd w:val="clear" w:color="auto" w:fill="auto"/>
            <w:vAlign w:val="bottom"/>
          </w:tcPr>
          <w:p w14:paraId="67536345" w14:textId="77777777" w:rsidR="001B77DD" w:rsidRDefault="001B77DD">
            <w:pPr>
              <w:rPr>
                <w:rFonts w:ascii="宋体"/>
              </w:rPr>
            </w:pPr>
          </w:p>
        </w:tc>
        <w:tc>
          <w:tcPr>
            <w:tcW w:w="50" w:type="pct"/>
            <w:shd w:val="clear" w:color="auto" w:fill="auto"/>
            <w:vAlign w:val="bottom"/>
          </w:tcPr>
          <w:p w14:paraId="67536346" w14:textId="77777777" w:rsidR="001B77DD" w:rsidRDefault="001B77DD">
            <w:pPr>
              <w:rPr>
                <w:rFonts w:ascii="宋体"/>
              </w:rPr>
            </w:pPr>
          </w:p>
        </w:tc>
        <w:tc>
          <w:tcPr>
            <w:tcW w:w="539" w:type="pct"/>
            <w:shd w:val="clear" w:color="auto" w:fill="auto"/>
            <w:vAlign w:val="bottom"/>
          </w:tcPr>
          <w:p w14:paraId="67536347" w14:textId="77777777" w:rsidR="001B77DD" w:rsidRDefault="001B77DD">
            <w:pPr>
              <w:rPr>
                <w:rFonts w:ascii="宋体"/>
              </w:rPr>
            </w:pPr>
          </w:p>
        </w:tc>
        <w:tc>
          <w:tcPr>
            <w:tcW w:w="5" w:type="pct"/>
            <w:shd w:val="clear" w:color="auto" w:fill="auto"/>
            <w:vAlign w:val="bottom"/>
          </w:tcPr>
          <w:p w14:paraId="67536348" w14:textId="77777777" w:rsidR="001B77DD" w:rsidRDefault="001B77DD">
            <w:pPr>
              <w:rPr>
                <w:rFonts w:ascii="宋体"/>
              </w:rPr>
            </w:pPr>
          </w:p>
        </w:tc>
      </w:tr>
      <w:tr w:rsidR="001B77DD" w14:paraId="67536351" w14:textId="77777777">
        <w:tc>
          <w:tcPr>
            <w:tcW w:w="0" w:type="auto"/>
            <w:gridSpan w:val="3"/>
            <w:shd w:val="clear" w:color="auto" w:fill="auto"/>
            <w:tcMar>
              <w:top w:w="40" w:type="dxa"/>
              <w:left w:w="20" w:type="dxa"/>
              <w:bottom w:w="40" w:type="dxa"/>
              <w:right w:w="20" w:type="dxa"/>
            </w:tcMar>
            <w:vAlign w:val="bottom"/>
          </w:tcPr>
          <w:p w14:paraId="6753634A"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634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34C"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34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34E"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34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350"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359" w14:textId="77777777">
        <w:tc>
          <w:tcPr>
            <w:tcW w:w="0" w:type="auto"/>
            <w:gridSpan w:val="3"/>
            <w:tcBorders>
              <w:top w:val="single" w:sz="8" w:space="0" w:color="0068B5"/>
            </w:tcBorders>
            <w:shd w:val="clear" w:color="auto" w:fill="auto"/>
            <w:tcMar>
              <w:top w:w="40" w:type="dxa"/>
              <w:left w:w="20" w:type="dxa"/>
              <w:bottom w:w="40" w:type="dxa"/>
              <w:right w:w="20" w:type="dxa"/>
            </w:tcMar>
          </w:tcPr>
          <w:p w14:paraId="67536352" w14:textId="77777777" w:rsidR="001B77DD" w:rsidRDefault="00BF0A28">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7536353"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35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55"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35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57"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358" w14:textId="77777777" w:rsidR="001B77DD" w:rsidRDefault="001B77DD">
            <w:pPr>
              <w:rPr>
                <w:rFonts w:ascii="宋体"/>
              </w:rPr>
            </w:pPr>
          </w:p>
        </w:tc>
      </w:tr>
      <w:tr w:rsidR="001B77DD" w14:paraId="67536361" w14:textId="77777777">
        <w:tc>
          <w:tcPr>
            <w:tcW w:w="0" w:type="auto"/>
            <w:gridSpan w:val="3"/>
            <w:shd w:val="clear" w:color="auto" w:fill="auto"/>
            <w:tcMar>
              <w:top w:w="40" w:type="dxa"/>
              <w:left w:w="155" w:type="dxa"/>
              <w:bottom w:w="40" w:type="dxa"/>
              <w:right w:w="20" w:type="dxa"/>
            </w:tcMar>
          </w:tcPr>
          <w:p w14:paraId="6753635A" w14:textId="77777777" w:rsidR="001B77DD" w:rsidRDefault="00BF0A28">
            <w:pPr>
              <w:textAlignment w:val="top"/>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vAlign w:val="bottom"/>
          </w:tcPr>
          <w:p w14:paraId="6753635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5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5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5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5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60" w14:textId="77777777" w:rsidR="001B77DD" w:rsidRDefault="001B77DD">
            <w:pPr>
              <w:rPr>
                <w:rFonts w:ascii="宋体"/>
              </w:rPr>
            </w:pPr>
          </w:p>
        </w:tc>
      </w:tr>
      <w:tr w:rsidR="001B77DD" w14:paraId="6753636F" w14:textId="77777777">
        <w:tc>
          <w:tcPr>
            <w:tcW w:w="0" w:type="auto"/>
            <w:gridSpan w:val="3"/>
            <w:shd w:val="clear" w:color="auto" w:fill="auto"/>
            <w:tcMar>
              <w:top w:w="40" w:type="dxa"/>
              <w:left w:w="245" w:type="dxa"/>
              <w:bottom w:w="40" w:type="dxa"/>
              <w:right w:w="20" w:type="dxa"/>
            </w:tcMar>
          </w:tcPr>
          <w:p w14:paraId="67536362" w14:textId="77777777" w:rsidR="001B77DD" w:rsidRDefault="00BF0A28">
            <w:pPr>
              <w:textAlignment w:val="top"/>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vAlign w:val="bottom"/>
          </w:tcPr>
          <w:p w14:paraId="6753636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364"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6365" w14:textId="77777777" w:rsidR="001B77DD" w:rsidRDefault="00BF0A28">
            <w:pPr>
              <w:jc w:val="right"/>
              <w:textAlignment w:val="bottom"/>
            </w:pPr>
            <w:r>
              <w:rPr>
                <w:rFonts w:ascii="Arial" w:eastAsia="宋体" w:hAnsi="Arial" w:cs="Arial"/>
                <w:color w:val="0068B5"/>
                <w:sz w:val="18"/>
                <w:szCs w:val="18"/>
              </w:rPr>
              <w:t>37,376 </w:t>
            </w:r>
          </w:p>
        </w:tc>
        <w:tc>
          <w:tcPr>
            <w:tcW w:w="0" w:type="auto"/>
            <w:shd w:val="clear" w:color="auto" w:fill="auto"/>
            <w:tcMar>
              <w:top w:w="40" w:type="dxa"/>
              <w:left w:w="0" w:type="dxa"/>
              <w:bottom w:w="40" w:type="dxa"/>
              <w:right w:w="20" w:type="dxa"/>
            </w:tcMar>
            <w:vAlign w:val="bottom"/>
          </w:tcPr>
          <w:p w14:paraId="6753636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6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368"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369" w14:textId="77777777" w:rsidR="001B77DD" w:rsidRDefault="00BF0A28">
            <w:pPr>
              <w:jc w:val="right"/>
              <w:textAlignment w:val="bottom"/>
            </w:pPr>
            <w:r>
              <w:rPr>
                <w:rFonts w:ascii="Arial" w:eastAsia="宋体" w:hAnsi="Arial" w:cs="Arial"/>
                <w:color w:val="262626"/>
                <w:sz w:val="18"/>
                <w:szCs w:val="18"/>
              </w:rPr>
              <w:t>35,642 </w:t>
            </w:r>
          </w:p>
        </w:tc>
        <w:tc>
          <w:tcPr>
            <w:tcW w:w="0" w:type="auto"/>
            <w:shd w:val="clear" w:color="auto" w:fill="auto"/>
            <w:tcMar>
              <w:top w:w="40" w:type="dxa"/>
              <w:left w:w="0" w:type="dxa"/>
              <w:bottom w:w="40" w:type="dxa"/>
              <w:right w:w="20" w:type="dxa"/>
            </w:tcMar>
            <w:vAlign w:val="bottom"/>
          </w:tcPr>
          <w:p w14:paraId="6753636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6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36C"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36D" w14:textId="77777777" w:rsidR="001B77DD" w:rsidRDefault="00BF0A28">
            <w:pPr>
              <w:jc w:val="right"/>
              <w:textAlignment w:val="bottom"/>
            </w:pPr>
            <w:r>
              <w:rPr>
                <w:rFonts w:ascii="Arial" w:eastAsia="宋体" w:hAnsi="Arial" w:cs="Arial"/>
                <w:color w:val="262626"/>
                <w:sz w:val="18"/>
                <w:szCs w:val="18"/>
              </w:rPr>
              <w:t>32,681 </w:t>
            </w:r>
          </w:p>
        </w:tc>
        <w:tc>
          <w:tcPr>
            <w:tcW w:w="0" w:type="auto"/>
            <w:shd w:val="clear" w:color="auto" w:fill="auto"/>
            <w:tcMar>
              <w:top w:w="40" w:type="dxa"/>
              <w:left w:w="0" w:type="dxa"/>
              <w:bottom w:w="40" w:type="dxa"/>
              <w:right w:w="20" w:type="dxa"/>
            </w:tcMar>
            <w:vAlign w:val="bottom"/>
          </w:tcPr>
          <w:p w14:paraId="6753636E" w14:textId="77777777" w:rsidR="001B77DD" w:rsidRDefault="001B77DD">
            <w:pPr>
              <w:jc w:val="right"/>
              <w:rPr>
                <w:rFonts w:ascii="宋体"/>
              </w:rPr>
            </w:pPr>
          </w:p>
        </w:tc>
      </w:tr>
      <w:tr w:rsidR="001B77DD" w14:paraId="6753637A" w14:textId="77777777">
        <w:tc>
          <w:tcPr>
            <w:tcW w:w="0" w:type="auto"/>
            <w:gridSpan w:val="3"/>
            <w:shd w:val="clear" w:color="auto" w:fill="auto"/>
            <w:tcMar>
              <w:top w:w="40" w:type="dxa"/>
              <w:left w:w="245" w:type="dxa"/>
              <w:bottom w:w="40" w:type="dxa"/>
              <w:right w:w="20" w:type="dxa"/>
            </w:tcMar>
          </w:tcPr>
          <w:p w14:paraId="67536370" w14:textId="77777777" w:rsidR="001B77DD" w:rsidRDefault="00BF0A28">
            <w:pPr>
              <w:textAlignment w:val="top"/>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vAlign w:val="bottom"/>
          </w:tcPr>
          <w:p w14:paraId="6753637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72" w14:textId="77777777" w:rsidR="001B77DD" w:rsidRDefault="00BF0A28">
            <w:pPr>
              <w:jc w:val="right"/>
              <w:textAlignment w:val="bottom"/>
            </w:pPr>
            <w:r>
              <w:rPr>
                <w:rFonts w:ascii="Arial" w:eastAsia="宋体" w:hAnsi="Arial" w:cs="Arial"/>
                <w:color w:val="0068B5"/>
                <w:sz w:val="18"/>
                <w:szCs w:val="18"/>
              </w:rPr>
              <w:t>3,135 </w:t>
            </w:r>
          </w:p>
        </w:tc>
        <w:tc>
          <w:tcPr>
            <w:tcW w:w="0" w:type="auto"/>
            <w:shd w:val="clear" w:color="auto" w:fill="auto"/>
            <w:tcMar>
              <w:top w:w="40" w:type="dxa"/>
              <w:left w:w="0" w:type="dxa"/>
              <w:bottom w:w="40" w:type="dxa"/>
              <w:right w:w="20" w:type="dxa"/>
            </w:tcMar>
            <w:vAlign w:val="bottom"/>
          </w:tcPr>
          <w:p w14:paraId="6753637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7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75" w14:textId="77777777" w:rsidR="001B77DD" w:rsidRDefault="00BF0A28">
            <w:pPr>
              <w:jc w:val="right"/>
              <w:textAlignment w:val="bottom"/>
            </w:pPr>
            <w:r>
              <w:rPr>
                <w:rFonts w:ascii="Arial" w:eastAsia="宋体" w:hAnsi="Arial" w:cs="Arial"/>
                <w:color w:val="262626"/>
                <w:sz w:val="18"/>
                <w:szCs w:val="18"/>
              </w:rPr>
              <w:t>4,415 </w:t>
            </w:r>
          </w:p>
        </w:tc>
        <w:tc>
          <w:tcPr>
            <w:tcW w:w="0" w:type="auto"/>
            <w:shd w:val="clear" w:color="auto" w:fill="auto"/>
            <w:tcMar>
              <w:top w:w="40" w:type="dxa"/>
              <w:left w:w="0" w:type="dxa"/>
              <w:bottom w:w="40" w:type="dxa"/>
              <w:right w:w="20" w:type="dxa"/>
            </w:tcMar>
            <w:vAlign w:val="bottom"/>
          </w:tcPr>
          <w:p w14:paraId="6753637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7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78" w14:textId="77777777" w:rsidR="001B77DD" w:rsidRDefault="00BF0A28">
            <w:pPr>
              <w:jc w:val="right"/>
              <w:textAlignment w:val="bottom"/>
            </w:pPr>
            <w:r>
              <w:rPr>
                <w:rFonts w:ascii="Arial" w:eastAsia="宋体" w:hAnsi="Arial" w:cs="Arial"/>
                <w:color w:val="262626"/>
                <w:sz w:val="18"/>
                <w:szCs w:val="18"/>
              </w:rPr>
              <w:t>4,465 </w:t>
            </w:r>
          </w:p>
        </w:tc>
        <w:tc>
          <w:tcPr>
            <w:tcW w:w="0" w:type="auto"/>
            <w:shd w:val="clear" w:color="auto" w:fill="auto"/>
            <w:tcMar>
              <w:top w:w="40" w:type="dxa"/>
              <w:left w:w="0" w:type="dxa"/>
              <w:bottom w:w="40" w:type="dxa"/>
              <w:right w:w="20" w:type="dxa"/>
            </w:tcMar>
            <w:vAlign w:val="bottom"/>
          </w:tcPr>
          <w:p w14:paraId="67536379" w14:textId="77777777" w:rsidR="001B77DD" w:rsidRDefault="001B77DD">
            <w:pPr>
              <w:jc w:val="right"/>
              <w:rPr>
                <w:rFonts w:ascii="宋体"/>
              </w:rPr>
            </w:pPr>
          </w:p>
        </w:tc>
      </w:tr>
      <w:tr w:rsidR="001B77DD" w14:paraId="67536385" w14:textId="77777777">
        <w:tc>
          <w:tcPr>
            <w:tcW w:w="0" w:type="auto"/>
            <w:gridSpan w:val="3"/>
            <w:shd w:val="clear" w:color="auto" w:fill="auto"/>
            <w:tcMar>
              <w:top w:w="0" w:type="dxa"/>
              <w:left w:w="20" w:type="dxa"/>
              <w:bottom w:w="0" w:type="dxa"/>
              <w:right w:w="20" w:type="dxa"/>
            </w:tcMar>
            <w:vAlign w:val="bottom"/>
          </w:tcPr>
          <w:p w14:paraId="6753637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7C"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7D" w14:textId="77777777" w:rsidR="001B77DD" w:rsidRDefault="00BF0A28">
            <w:pPr>
              <w:jc w:val="right"/>
              <w:textAlignment w:val="bottom"/>
            </w:pPr>
            <w:r>
              <w:rPr>
                <w:rFonts w:ascii="Arial" w:eastAsia="宋体" w:hAnsi="Arial" w:cs="Arial"/>
                <w:b/>
                <w:bCs/>
                <w:color w:val="0068B5"/>
                <w:sz w:val="18"/>
                <w:szCs w:val="18"/>
              </w:rPr>
              <w:t>40,511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7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80" w14:textId="77777777" w:rsidR="001B77DD" w:rsidRDefault="00BF0A28">
            <w:pPr>
              <w:jc w:val="right"/>
              <w:textAlignment w:val="bottom"/>
            </w:pPr>
            <w:r>
              <w:rPr>
                <w:rFonts w:ascii="Arial" w:eastAsia="宋体" w:hAnsi="Arial" w:cs="Arial"/>
                <w:b/>
                <w:bCs/>
                <w:color w:val="262626"/>
                <w:sz w:val="18"/>
                <w:szCs w:val="18"/>
              </w:rPr>
              <w:t>40,057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8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8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83" w14:textId="77777777" w:rsidR="001B77DD" w:rsidRDefault="00BF0A28">
            <w:pPr>
              <w:jc w:val="right"/>
              <w:textAlignment w:val="bottom"/>
            </w:pPr>
            <w:r>
              <w:rPr>
                <w:rFonts w:ascii="Arial" w:eastAsia="宋体" w:hAnsi="Arial" w:cs="Arial"/>
                <w:b/>
                <w:bCs/>
                <w:color w:val="262626"/>
                <w:sz w:val="18"/>
                <w:szCs w:val="18"/>
              </w:rPr>
              <w:t>37,146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84" w14:textId="77777777" w:rsidR="001B77DD" w:rsidRDefault="001B77DD">
            <w:pPr>
              <w:jc w:val="right"/>
              <w:rPr>
                <w:rFonts w:ascii="宋体"/>
              </w:rPr>
            </w:pPr>
          </w:p>
        </w:tc>
      </w:tr>
      <w:tr w:rsidR="001B77DD" w14:paraId="6753638D" w14:textId="77777777">
        <w:tc>
          <w:tcPr>
            <w:tcW w:w="0" w:type="auto"/>
            <w:gridSpan w:val="3"/>
            <w:shd w:val="clear" w:color="auto" w:fill="auto"/>
            <w:tcMar>
              <w:top w:w="40" w:type="dxa"/>
              <w:left w:w="155" w:type="dxa"/>
              <w:bottom w:w="40" w:type="dxa"/>
              <w:right w:w="20" w:type="dxa"/>
            </w:tcMar>
          </w:tcPr>
          <w:p w14:paraId="67536386" w14:textId="77777777" w:rsidR="001B77DD" w:rsidRDefault="00BF0A28">
            <w:pPr>
              <w:textAlignment w:val="top"/>
            </w:pPr>
            <w:r>
              <w:rPr>
                <w:rFonts w:ascii="Arial" w:eastAsia="宋体" w:hAnsi="Arial" w:cs="Arial"/>
                <w:b/>
                <w:bCs/>
                <w:color w:val="262626"/>
                <w:sz w:val="18"/>
                <w:szCs w:val="18"/>
              </w:rPr>
              <w:t>Data Cente</w:t>
            </w:r>
            <w:r>
              <w:rPr>
                <w:rFonts w:ascii="Arial" w:eastAsia="宋体" w:hAnsi="Arial" w:cs="Arial"/>
                <w:b/>
                <w:bCs/>
                <w:color w:val="262626"/>
                <w:sz w:val="18"/>
                <w:szCs w:val="18"/>
              </w:rPr>
              <w:t>r Group</w:t>
            </w:r>
          </w:p>
        </w:tc>
        <w:tc>
          <w:tcPr>
            <w:tcW w:w="0" w:type="auto"/>
            <w:gridSpan w:val="3"/>
            <w:shd w:val="clear" w:color="auto" w:fill="auto"/>
            <w:tcMar>
              <w:top w:w="0" w:type="dxa"/>
              <w:left w:w="20" w:type="dxa"/>
              <w:bottom w:w="0" w:type="dxa"/>
              <w:right w:w="20" w:type="dxa"/>
            </w:tcMar>
            <w:vAlign w:val="bottom"/>
          </w:tcPr>
          <w:p w14:paraId="6753638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8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8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8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8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8C" w14:textId="77777777" w:rsidR="001B77DD" w:rsidRDefault="001B77DD">
            <w:pPr>
              <w:rPr>
                <w:rFonts w:ascii="宋体"/>
              </w:rPr>
            </w:pPr>
          </w:p>
        </w:tc>
      </w:tr>
      <w:tr w:rsidR="001B77DD" w14:paraId="67536398" w14:textId="77777777">
        <w:tc>
          <w:tcPr>
            <w:tcW w:w="0" w:type="auto"/>
            <w:gridSpan w:val="3"/>
            <w:shd w:val="clear" w:color="auto" w:fill="auto"/>
            <w:tcMar>
              <w:top w:w="40" w:type="dxa"/>
              <w:left w:w="245" w:type="dxa"/>
              <w:bottom w:w="40" w:type="dxa"/>
              <w:right w:w="20" w:type="dxa"/>
            </w:tcMar>
          </w:tcPr>
          <w:p w14:paraId="6753638E" w14:textId="77777777" w:rsidR="001B77DD" w:rsidRDefault="00BF0A28">
            <w:pPr>
              <w:textAlignment w:val="top"/>
            </w:pPr>
            <w:r>
              <w:rPr>
                <w:rFonts w:ascii="Arial" w:eastAsia="宋体" w:hAnsi="Arial" w:cs="Arial"/>
                <w:color w:val="262626"/>
                <w:sz w:val="18"/>
                <w:szCs w:val="18"/>
              </w:rPr>
              <w:t>Platform</w:t>
            </w:r>
          </w:p>
        </w:tc>
        <w:tc>
          <w:tcPr>
            <w:tcW w:w="0" w:type="auto"/>
            <w:gridSpan w:val="3"/>
            <w:shd w:val="clear" w:color="auto" w:fill="auto"/>
            <w:tcMar>
              <w:top w:w="0" w:type="dxa"/>
              <w:left w:w="20" w:type="dxa"/>
              <w:bottom w:w="0" w:type="dxa"/>
              <w:right w:w="20" w:type="dxa"/>
            </w:tcMar>
            <w:vAlign w:val="bottom"/>
          </w:tcPr>
          <w:p w14:paraId="6753638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90" w14:textId="77777777" w:rsidR="001B77DD" w:rsidRDefault="00BF0A28">
            <w:pPr>
              <w:jc w:val="right"/>
              <w:textAlignment w:val="bottom"/>
            </w:pPr>
            <w:r>
              <w:rPr>
                <w:rFonts w:ascii="Arial" w:eastAsia="宋体" w:hAnsi="Arial" w:cs="Arial"/>
                <w:color w:val="0068B5"/>
                <w:sz w:val="18"/>
                <w:szCs w:val="18"/>
              </w:rPr>
              <w:t>22,703 </w:t>
            </w:r>
          </w:p>
        </w:tc>
        <w:tc>
          <w:tcPr>
            <w:tcW w:w="0" w:type="auto"/>
            <w:shd w:val="clear" w:color="auto" w:fill="auto"/>
            <w:tcMar>
              <w:top w:w="40" w:type="dxa"/>
              <w:left w:w="0" w:type="dxa"/>
              <w:bottom w:w="40" w:type="dxa"/>
              <w:right w:w="20" w:type="dxa"/>
            </w:tcMar>
            <w:vAlign w:val="bottom"/>
          </w:tcPr>
          <w:p w14:paraId="6753639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9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93" w14:textId="77777777" w:rsidR="001B77DD" w:rsidRDefault="00BF0A28">
            <w:pPr>
              <w:jc w:val="right"/>
              <w:textAlignment w:val="bottom"/>
            </w:pPr>
            <w:r>
              <w:rPr>
                <w:rFonts w:ascii="Arial" w:eastAsia="宋体" w:hAnsi="Arial" w:cs="Arial"/>
                <w:color w:val="262626"/>
                <w:sz w:val="18"/>
                <w:szCs w:val="18"/>
              </w:rPr>
              <w:t>23,056 </w:t>
            </w:r>
          </w:p>
        </w:tc>
        <w:tc>
          <w:tcPr>
            <w:tcW w:w="0" w:type="auto"/>
            <w:shd w:val="clear" w:color="auto" w:fill="auto"/>
            <w:tcMar>
              <w:top w:w="40" w:type="dxa"/>
              <w:left w:w="0" w:type="dxa"/>
              <w:bottom w:w="40" w:type="dxa"/>
              <w:right w:w="20" w:type="dxa"/>
            </w:tcMar>
            <w:vAlign w:val="bottom"/>
          </w:tcPr>
          <w:p w14:paraId="6753639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9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96" w14:textId="77777777" w:rsidR="001B77DD" w:rsidRDefault="00BF0A28">
            <w:pPr>
              <w:jc w:val="right"/>
              <w:textAlignment w:val="bottom"/>
            </w:pPr>
            <w:r>
              <w:rPr>
                <w:rFonts w:ascii="Arial" w:eastAsia="宋体" w:hAnsi="Arial" w:cs="Arial"/>
                <w:color w:val="262626"/>
                <w:sz w:val="18"/>
                <w:szCs w:val="18"/>
              </w:rPr>
              <w:t>21,441 </w:t>
            </w:r>
          </w:p>
        </w:tc>
        <w:tc>
          <w:tcPr>
            <w:tcW w:w="0" w:type="auto"/>
            <w:shd w:val="clear" w:color="auto" w:fill="auto"/>
            <w:tcMar>
              <w:top w:w="40" w:type="dxa"/>
              <w:left w:w="0" w:type="dxa"/>
              <w:bottom w:w="40" w:type="dxa"/>
              <w:right w:w="20" w:type="dxa"/>
            </w:tcMar>
            <w:vAlign w:val="bottom"/>
          </w:tcPr>
          <w:p w14:paraId="67536397" w14:textId="77777777" w:rsidR="001B77DD" w:rsidRDefault="001B77DD">
            <w:pPr>
              <w:jc w:val="right"/>
              <w:rPr>
                <w:rFonts w:ascii="宋体"/>
              </w:rPr>
            </w:pPr>
          </w:p>
        </w:tc>
      </w:tr>
      <w:tr w:rsidR="001B77DD" w14:paraId="675363A3" w14:textId="77777777">
        <w:tc>
          <w:tcPr>
            <w:tcW w:w="0" w:type="auto"/>
            <w:gridSpan w:val="3"/>
            <w:shd w:val="clear" w:color="auto" w:fill="auto"/>
            <w:tcMar>
              <w:top w:w="40" w:type="dxa"/>
              <w:left w:w="245" w:type="dxa"/>
              <w:bottom w:w="40" w:type="dxa"/>
              <w:right w:w="20" w:type="dxa"/>
            </w:tcMar>
          </w:tcPr>
          <w:p w14:paraId="67536399" w14:textId="77777777" w:rsidR="001B77DD" w:rsidRDefault="00BF0A28">
            <w:pPr>
              <w:textAlignment w:val="top"/>
            </w:pPr>
            <w:r>
              <w:rPr>
                <w:rFonts w:ascii="Arial" w:eastAsia="宋体" w:hAnsi="Arial" w:cs="Arial"/>
                <w:color w:val="262626"/>
                <w:sz w:val="18"/>
                <w:szCs w:val="18"/>
              </w:rPr>
              <w:t>Adjacent</w:t>
            </w:r>
          </w:p>
        </w:tc>
        <w:tc>
          <w:tcPr>
            <w:tcW w:w="0" w:type="auto"/>
            <w:gridSpan w:val="3"/>
            <w:shd w:val="clear" w:color="auto" w:fill="auto"/>
            <w:tcMar>
              <w:top w:w="0" w:type="dxa"/>
              <w:left w:w="20" w:type="dxa"/>
              <w:bottom w:w="0" w:type="dxa"/>
              <w:right w:w="20" w:type="dxa"/>
            </w:tcMar>
            <w:vAlign w:val="bottom"/>
          </w:tcPr>
          <w:p w14:paraId="6753639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9B" w14:textId="77777777" w:rsidR="001B77DD" w:rsidRDefault="00BF0A28">
            <w:pPr>
              <w:jc w:val="right"/>
              <w:textAlignment w:val="bottom"/>
            </w:pPr>
            <w:r>
              <w:rPr>
                <w:rFonts w:ascii="Arial" w:eastAsia="宋体" w:hAnsi="Arial" w:cs="Arial"/>
                <w:color w:val="0068B5"/>
                <w:sz w:val="18"/>
                <w:szCs w:val="18"/>
              </w:rPr>
              <w:t>3,118 </w:t>
            </w:r>
          </w:p>
        </w:tc>
        <w:tc>
          <w:tcPr>
            <w:tcW w:w="0" w:type="auto"/>
            <w:shd w:val="clear" w:color="auto" w:fill="auto"/>
            <w:tcMar>
              <w:top w:w="40" w:type="dxa"/>
              <w:left w:w="0" w:type="dxa"/>
              <w:bottom w:w="40" w:type="dxa"/>
              <w:right w:w="20" w:type="dxa"/>
            </w:tcMar>
            <w:vAlign w:val="bottom"/>
          </w:tcPr>
          <w:p w14:paraId="6753639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9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9E" w14:textId="77777777" w:rsidR="001B77DD" w:rsidRDefault="00BF0A28">
            <w:pPr>
              <w:jc w:val="right"/>
              <w:textAlignment w:val="bottom"/>
            </w:pPr>
            <w:r>
              <w:rPr>
                <w:rFonts w:ascii="Arial" w:eastAsia="宋体" w:hAnsi="Arial" w:cs="Arial"/>
                <w:color w:val="262626"/>
                <w:sz w:val="18"/>
                <w:szCs w:val="18"/>
              </w:rPr>
              <w:t>3,047 </w:t>
            </w:r>
          </w:p>
        </w:tc>
        <w:tc>
          <w:tcPr>
            <w:tcW w:w="0" w:type="auto"/>
            <w:shd w:val="clear" w:color="auto" w:fill="auto"/>
            <w:tcMar>
              <w:top w:w="40" w:type="dxa"/>
              <w:left w:w="0" w:type="dxa"/>
              <w:bottom w:w="40" w:type="dxa"/>
              <w:right w:w="20" w:type="dxa"/>
            </w:tcMar>
            <w:vAlign w:val="bottom"/>
          </w:tcPr>
          <w:p w14:paraId="6753639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A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A1" w14:textId="77777777" w:rsidR="001B77DD" w:rsidRDefault="00BF0A28">
            <w:pPr>
              <w:jc w:val="right"/>
              <w:textAlignment w:val="bottom"/>
            </w:pPr>
            <w:r>
              <w:rPr>
                <w:rFonts w:ascii="Arial" w:eastAsia="宋体" w:hAnsi="Arial" w:cs="Arial"/>
                <w:color w:val="262626"/>
                <w:sz w:val="18"/>
                <w:szCs w:val="18"/>
              </w:rPr>
              <w:t>2,040 </w:t>
            </w:r>
          </w:p>
        </w:tc>
        <w:tc>
          <w:tcPr>
            <w:tcW w:w="0" w:type="auto"/>
            <w:shd w:val="clear" w:color="auto" w:fill="auto"/>
            <w:tcMar>
              <w:top w:w="40" w:type="dxa"/>
              <w:left w:w="0" w:type="dxa"/>
              <w:bottom w:w="40" w:type="dxa"/>
              <w:right w:w="20" w:type="dxa"/>
            </w:tcMar>
            <w:vAlign w:val="bottom"/>
          </w:tcPr>
          <w:p w14:paraId="675363A2" w14:textId="77777777" w:rsidR="001B77DD" w:rsidRDefault="001B77DD">
            <w:pPr>
              <w:jc w:val="right"/>
              <w:rPr>
                <w:rFonts w:ascii="宋体"/>
              </w:rPr>
            </w:pPr>
          </w:p>
        </w:tc>
      </w:tr>
      <w:tr w:rsidR="001B77DD" w14:paraId="675363AE" w14:textId="77777777">
        <w:tc>
          <w:tcPr>
            <w:tcW w:w="0" w:type="auto"/>
            <w:gridSpan w:val="3"/>
            <w:shd w:val="clear" w:color="auto" w:fill="auto"/>
            <w:tcMar>
              <w:top w:w="0" w:type="dxa"/>
              <w:left w:w="20" w:type="dxa"/>
              <w:bottom w:w="0" w:type="dxa"/>
              <w:right w:w="20" w:type="dxa"/>
            </w:tcMar>
            <w:vAlign w:val="bottom"/>
          </w:tcPr>
          <w:p w14:paraId="675363A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A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A6" w14:textId="77777777" w:rsidR="001B77DD" w:rsidRDefault="00BF0A28">
            <w:pPr>
              <w:jc w:val="right"/>
              <w:textAlignment w:val="bottom"/>
            </w:pPr>
            <w:r>
              <w:rPr>
                <w:rFonts w:ascii="Arial" w:eastAsia="宋体" w:hAnsi="Arial" w:cs="Arial"/>
                <w:b/>
                <w:bCs/>
                <w:color w:val="0068B5"/>
                <w:sz w:val="18"/>
                <w:szCs w:val="18"/>
              </w:rPr>
              <w:t>25,821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A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A8"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A9" w14:textId="77777777" w:rsidR="001B77DD" w:rsidRDefault="00BF0A28">
            <w:pPr>
              <w:jc w:val="right"/>
              <w:textAlignment w:val="bottom"/>
            </w:pPr>
            <w:r>
              <w:rPr>
                <w:rFonts w:ascii="Arial" w:eastAsia="宋体" w:hAnsi="Arial" w:cs="Arial"/>
                <w:b/>
                <w:bCs/>
                <w:color w:val="262626"/>
                <w:sz w:val="18"/>
                <w:szCs w:val="18"/>
              </w:rPr>
              <w:t>26,103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A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AB"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AC" w14:textId="77777777" w:rsidR="001B77DD" w:rsidRDefault="00BF0A28">
            <w:pPr>
              <w:jc w:val="right"/>
              <w:textAlignment w:val="bottom"/>
            </w:pPr>
            <w:r>
              <w:rPr>
                <w:rFonts w:ascii="Arial" w:eastAsia="宋体" w:hAnsi="Arial" w:cs="Arial"/>
                <w:b/>
                <w:bCs/>
                <w:color w:val="262626"/>
                <w:sz w:val="18"/>
                <w:szCs w:val="18"/>
              </w:rPr>
              <w:t>23,481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AD" w14:textId="77777777" w:rsidR="001B77DD" w:rsidRDefault="001B77DD">
            <w:pPr>
              <w:jc w:val="right"/>
              <w:rPr>
                <w:rFonts w:ascii="宋体"/>
              </w:rPr>
            </w:pPr>
          </w:p>
        </w:tc>
      </w:tr>
      <w:tr w:rsidR="001B77DD" w14:paraId="675363B6" w14:textId="77777777">
        <w:tc>
          <w:tcPr>
            <w:tcW w:w="0" w:type="auto"/>
            <w:gridSpan w:val="3"/>
            <w:shd w:val="clear" w:color="auto" w:fill="auto"/>
            <w:tcMar>
              <w:top w:w="40" w:type="dxa"/>
              <w:left w:w="155" w:type="dxa"/>
              <w:bottom w:w="40" w:type="dxa"/>
              <w:right w:w="20" w:type="dxa"/>
            </w:tcMar>
          </w:tcPr>
          <w:p w14:paraId="675363AF" w14:textId="77777777" w:rsidR="001B77DD" w:rsidRDefault="00BF0A28">
            <w:pPr>
              <w:textAlignment w:val="top"/>
            </w:pPr>
            <w:r>
              <w:rPr>
                <w:rFonts w:ascii="Arial" w:eastAsia="宋体" w:hAnsi="Arial" w:cs="Arial"/>
                <w:b/>
                <w:bCs/>
                <w:color w:val="262626"/>
                <w:sz w:val="18"/>
                <w:szCs w:val="18"/>
              </w:rPr>
              <w:t>Internet o</w:t>
            </w:r>
            <w:r>
              <w:rPr>
                <w:rFonts w:ascii="Arial" w:eastAsia="宋体" w:hAnsi="Arial" w:cs="Arial"/>
                <w:b/>
                <w:bCs/>
                <w:color w:val="262626"/>
                <w:sz w:val="18"/>
                <w:szCs w:val="18"/>
              </w:rPr>
              <w:t xml:space="preserve">f Things </w:t>
            </w:r>
          </w:p>
        </w:tc>
        <w:tc>
          <w:tcPr>
            <w:tcW w:w="0" w:type="auto"/>
            <w:gridSpan w:val="3"/>
            <w:shd w:val="clear" w:color="auto" w:fill="auto"/>
            <w:tcMar>
              <w:top w:w="0" w:type="dxa"/>
              <w:left w:w="20" w:type="dxa"/>
              <w:bottom w:w="0" w:type="dxa"/>
              <w:right w:w="20" w:type="dxa"/>
            </w:tcMar>
            <w:vAlign w:val="bottom"/>
          </w:tcPr>
          <w:p w14:paraId="675363B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B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B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B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B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B5" w14:textId="77777777" w:rsidR="001B77DD" w:rsidRDefault="001B77DD">
            <w:pPr>
              <w:rPr>
                <w:rFonts w:ascii="宋体"/>
              </w:rPr>
            </w:pPr>
          </w:p>
        </w:tc>
      </w:tr>
      <w:tr w:rsidR="001B77DD" w14:paraId="675363C1" w14:textId="77777777">
        <w:tc>
          <w:tcPr>
            <w:tcW w:w="0" w:type="auto"/>
            <w:gridSpan w:val="3"/>
            <w:shd w:val="clear" w:color="auto" w:fill="auto"/>
            <w:tcMar>
              <w:top w:w="40" w:type="dxa"/>
              <w:left w:w="245" w:type="dxa"/>
              <w:bottom w:w="40" w:type="dxa"/>
              <w:right w:w="20" w:type="dxa"/>
            </w:tcMar>
          </w:tcPr>
          <w:p w14:paraId="675363B7" w14:textId="77777777" w:rsidR="001B77DD" w:rsidRDefault="00BF0A28">
            <w:pPr>
              <w:textAlignment w:val="top"/>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vAlign w:val="bottom"/>
          </w:tcPr>
          <w:p w14:paraId="675363B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B9" w14:textId="77777777" w:rsidR="001B77DD" w:rsidRDefault="00BF0A28">
            <w:pPr>
              <w:jc w:val="right"/>
              <w:textAlignment w:val="bottom"/>
            </w:pPr>
            <w:r>
              <w:rPr>
                <w:rFonts w:ascii="Arial" w:eastAsia="宋体" w:hAnsi="Arial" w:cs="Arial"/>
                <w:color w:val="0068B5"/>
                <w:sz w:val="18"/>
                <w:szCs w:val="18"/>
              </w:rPr>
              <w:t>3,998 </w:t>
            </w:r>
          </w:p>
        </w:tc>
        <w:tc>
          <w:tcPr>
            <w:tcW w:w="0" w:type="auto"/>
            <w:shd w:val="clear" w:color="auto" w:fill="auto"/>
            <w:tcMar>
              <w:top w:w="40" w:type="dxa"/>
              <w:left w:w="0" w:type="dxa"/>
              <w:bottom w:w="40" w:type="dxa"/>
              <w:right w:w="20" w:type="dxa"/>
            </w:tcMar>
            <w:vAlign w:val="bottom"/>
          </w:tcPr>
          <w:p w14:paraId="675363B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B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BC" w14:textId="77777777" w:rsidR="001B77DD" w:rsidRDefault="00BF0A28">
            <w:pPr>
              <w:jc w:val="right"/>
              <w:textAlignment w:val="bottom"/>
            </w:pPr>
            <w:r>
              <w:rPr>
                <w:rFonts w:ascii="Arial" w:eastAsia="宋体" w:hAnsi="Arial" w:cs="Arial"/>
                <w:color w:val="262626"/>
                <w:sz w:val="18"/>
                <w:szCs w:val="18"/>
              </w:rPr>
              <w:t>3,007 </w:t>
            </w:r>
          </w:p>
        </w:tc>
        <w:tc>
          <w:tcPr>
            <w:tcW w:w="0" w:type="auto"/>
            <w:shd w:val="clear" w:color="auto" w:fill="auto"/>
            <w:tcMar>
              <w:top w:w="40" w:type="dxa"/>
              <w:left w:w="0" w:type="dxa"/>
              <w:bottom w:w="40" w:type="dxa"/>
              <w:right w:w="20" w:type="dxa"/>
            </w:tcMar>
            <w:vAlign w:val="bottom"/>
          </w:tcPr>
          <w:p w14:paraId="675363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B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BF" w14:textId="77777777" w:rsidR="001B77DD" w:rsidRDefault="00BF0A28">
            <w:pPr>
              <w:jc w:val="right"/>
              <w:textAlignment w:val="bottom"/>
            </w:pPr>
            <w:r>
              <w:rPr>
                <w:rFonts w:ascii="Arial" w:eastAsia="宋体" w:hAnsi="Arial" w:cs="Arial"/>
                <w:color w:val="262626"/>
                <w:sz w:val="18"/>
                <w:szCs w:val="18"/>
              </w:rPr>
              <w:t>3,821 </w:t>
            </w:r>
          </w:p>
        </w:tc>
        <w:tc>
          <w:tcPr>
            <w:tcW w:w="0" w:type="auto"/>
            <w:shd w:val="clear" w:color="auto" w:fill="auto"/>
            <w:tcMar>
              <w:top w:w="40" w:type="dxa"/>
              <w:left w:w="0" w:type="dxa"/>
              <w:bottom w:w="40" w:type="dxa"/>
              <w:right w:w="20" w:type="dxa"/>
            </w:tcMar>
            <w:vAlign w:val="bottom"/>
          </w:tcPr>
          <w:p w14:paraId="675363C0" w14:textId="77777777" w:rsidR="001B77DD" w:rsidRDefault="001B77DD">
            <w:pPr>
              <w:jc w:val="right"/>
              <w:rPr>
                <w:rFonts w:ascii="宋体"/>
              </w:rPr>
            </w:pPr>
          </w:p>
        </w:tc>
      </w:tr>
      <w:tr w:rsidR="001B77DD" w14:paraId="675363CC" w14:textId="77777777">
        <w:tc>
          <w:tcPr>
            <w:tcW w:w="0" w:type="auto"/>
            <w:gridSpan w:val="3"/>
            <w:shd w:val="clear" w:color="auto" w:fill="auto"/>
            <w:tcMar>
              <w:top w:w="40" w:type="dxa"/>
              <w:left w:w="245" w:type="dxa"/>
              <w:bottom w:w="40" w:type="dxa"/>
              <w:right w:w="20" w:type="dxa"/>
            </w:tcMar>
          </w:tcPr>
          <w:p w14:paraId="675363C2" w14:textId="77777777" w:rsidR="001B77DD" w:rsidRDefault="00BF0A28">
            <w:pPr>
              <w:textAlignment w:val="top"/>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675363C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C4" w14:textId="77777777" w:rsidR="001B77DD" w:rsidRDefault="00BF0A28">
            <w:pPr>
              <w:jc w:val="right"/>
              <w:textAlignment w:val="bottom"/>
            </w:pPr>
            <w:r>
              <w:rPr>
                <w:rFonts w:ascii="Arial" w:eastAsia="宋体" w:hAnsi="Arial" w:cs="Arial"/>
                <w:color w:val="0068B5"/>
                <w:sz w:val="18"/>
                <w:szCs w:val="18"/>
              </w:rPr>
              <w:t>1,386 </w:t>
            </w:r>
          </w:p>
        </w:tc>
        <w:tc>
          <w:tcPr>
            <w:tcW w:w="0" w:type="auto"/>
            <w:shd w:val="clear" w:color="auto" w:fill="auto"/>
            <w:tcMar>
              <w:top w:w="40" w:type="dxa"/>
              <w:left w:w="0" w:type="dxa"/>
              <w:bottom w:w="40" w:type="dxa"/>
              <w:right w:w="20" w:type="dxa"/>
            </w:tcMar>
            <w:vAlign w:val="bottom"/>
          </w:tcPr>
          <w:p w14:paraId="675363C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C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C7" w14:textId="77777777" w:rsidR="001B77DD" w:rsidRDefault="00BF0A28">
            <w:pPr>
              <w:jc w:val="right"/>
              <w:textAlignment w:val="bottom"/>
            </w:pPr>
            <w:r>
              <w:rPr>
                <w:rFonts w:ascii="Arial" w:eastAsia="宋体" w:hAnsi="Arial" w:cs="Arial"/>
                <w:color w:val="262626"/>
                <w:sz w:val="18"/>
                <w:szCs w:val="18"/>
              </w:rPr>
              <w:t>967 </w:t>
            </w:r>
          </w:p>
        </w:tc>
        <w:tc>
          <w:tcPr>
            <w:tcW w:w="0" w:type="auto"/>
            <w:shd w:val="clear" w:color="auto" w:fill="auto"/>
            <w:tcMar>
              <w:top w:w="40" w:type="dxa"/>
              <w:left w:w="0" w:type="dxa"/>
              <w:bottom w:w="40" w:type="dxa"/>
              <w:right w:w="20" w:type="dxa"/>
            </w:tcMar>
            <w:vAlign w:val="bottom"/>
          </w:tcPr>
          <w:p w14:paraId="675363C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C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CA" w14:textId="77777777" w:rsidR="001B77DD" w:rsidRDefault="00BF0A28">
            <w:pPr>
              <w:jc w:val="right"/>
              <w:textAlignment w:val="bottom"/>
            </w:pPr>
            <w:r>
              <w:rPr>
                <w:rFonts w:ascii="Arial" w:eastAsia="宋体" w:hAnsi="Arial" w:cs="Arial"/>
                <w:color w:val="262626"/>
                <w:sz w:val="18"/>
                <w:szCs w:val="18"/>
              </w:rPr>
              <w:t>879 </w:t>
            </w:r>
          </w:p>
        </w:tc>
        <w:tc>
          <w:tcPr>
            <w:tcW w:w="0" w:type="auto"/>
            <w:shd w:val="clear" w:color="auto" w:fill="auto"/>
            <w:tcMar>
              <w:top w:w="40" w:type="dxa"/>
              <w:left w:w="0" w:type="dxa"/>
              <w:bottom w:w="40" w:type="dxa"/>
              <w:right w:w="20" w:type="dxa"/>
            </w:tcMar>
            <w:vAlign w:val="bottom"/>
          </w:tcPr>
          <w:p w14:paraId="675363CB" w14:textId="77777777" w:rsidR="001B77DD" w:rsidRDefault="001B77DD">
            <w:pPr>
              <w:jc w:val="right"/>
              <w:rPr>
                <w:rFonts w:ascii="宋体"/>
              </w:rPr>
            </w:pPr>
          </w:p>
        </w:tc>
      </w:tr>
      <w:tr w:rsidR="001B77DD" w14:paraId="675363D7" w14:textId="77777777">
        <w:tc>
          <w:tcPr>
            <w:tcW w:w="0" w:type="auto"/>
            <w:gridSpan w:val="3"/>
            <w:shd w:val="clear" w:color="auto" w:fill="auto"/>
            <w:tcMar>
              <w:top w:w="0" w:type="dxa"/>
              <w:left w:w="20" w:type="dxa"/>
              <w:bottom w:w="0" w:type="dxa"/>
              <w:right w:w="20" w:type="dxa"/>
            </w:tcMar>
            <w:vAlign w:val="bottom"/>
          </w:tcPr>
          <w:p w14:paraId="675363C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CE"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CF" w14:textId="77777777" w:rsidR="001B77DD" w:rsidRDefault="00BF0A28">
            <w:pPr>
              <w:jc w:val="right"/>
              <w:textAlignment w:val="bottom"/>
            </w:pPr>
            <w:r>
              <w:rPr>
                <w:rFonts w:ascii="Arial" w:eastAsia="宋体" w:hAnsi="Arial" w:cs="Arial"/>
                <w:b/>
                <w:bCs/>
                <w:color w:val="0068B5"/>
                <w:sz w:val="18"/>
                <w:szCs w:val="18"/>
              </w:rPr>
              <w:t>5,384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D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D1"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D2" w14:textId="77777777" w:rsidR="001B77DD" w:rsidRDefault="00BF0A28">
            <w:pPr>
              <w:jc w:val="right"/>
              <w:textAlignment w:val="bottom"/>
            </w:pPr>
            <w:r>
              <w:rPr>
                <w:rFonts w:ascii="Arial" w:eastAsia="宋体" w:hAnsi="Arial" w:cs="Arial"/>
                <w:b/>
                <w:bCs/>
                <w:color w:val="262626"/>
                <w:sz w:val="18"/>
                <w:szCs w:val="18"/>
              </w:rPr>
              <w:t>3,974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D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D4"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3D5" w14:textId="77777777" w:rsidR="001B77DD" w:rsidRDefault="00BF0A28">
            <w:pPr>
              <w:jc w:val="right"/>
              <w:textAlignment w:val="bottom"/>
            </w:pPr>
            <w:r>
              <w:rPr>
                <w:rFonts w:ascii="Arial" w:eastAsia="宋体" w:hAnsi="Arial" w:cs="Arial"/>
                <w:b/>
                <w:bCs/>
                <w:color w:val="262626"/>
                <w:sz w:val="18"/>
                <w:szCs w:val="18"/>
              </w:rPr>
              <w:t>4,700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3D6" w14:textId="77777777" w:rsidR="001B77DD" w:rsidRDefault="001B77DD">
            <w:pPr>
              <w:jc w:val="right"/>
              <w:rPr>
                <w:rFonts w:ascii="宋体"/>
              </w:rPr>
            </w:pPr>
          </w:p>
        </w:tc>
      </w:tr>
      <w:tr w:rsidR="001B77DD" w14:paraId="675363DF" w14:textId="77777777">
        <w:trPr>
          <w:trHeight w:val="280"/>
        </w:trPr>
        <w:tc>
          <w:tcPr>
            <w:tcW w:w="0" w:type="auto"/>
            <w:gridSpan w:val="3"/>
            <w:shd w:val="clear" w:color="auto" w:fill="auto"/>
            <w:tcMar>
              <w:top w:w="0" w:type="dxa"/>
              <w:left w:w="20" w:type="dxa"/>
              <w:bottom w:w="0" w:type="dxa"/>
              <w:right w:w="20" w:type="dxa"/>
            </w:tcMar>
            <w:vAlign w:val="bottom"/>
          </w:tcPr>
          <w:p w14:paraId="675363D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D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D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D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D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D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3DE" w14:textId="77777777" w:rsidR="001B77DD" w:rsidRDefault="001B77DD">
            <w:pPr>
              <w:rPr>
                <w:rFonts w:ascii="宋体"/>
              </w:rPr>
            </w:pPr>
          </w:p>
        </w:tc>
      </w:tr>
      <w:tr w:rsidR="001B77DD" w14:paraId="675363EA" w14:textId="77777777">
        <w:tc>
          <w:tcPr>
            <w:tcW w:w="0" w:type="auto"/>
            <w:gridSpan w:val="3"/>
            <w:shd w:val="clear" w:color="auto" w:fill="auto"/>
            <w:tcMar>
              <w:top w:w="40" w:type="dxa"/>
              <w:left w:w="155" w:type="dxa"/>
              <w:bottom w:w="40" w:type="dxa"/>
              <w:right w:w="20" w:type="dxa"/>
            </w:tcMar>
          </w:tcPr>
          <w:p w14:paraId="675363E0" w14:textId="77777777" w:rsidR="001B77DD" w:rsidRDefault="00BF0A28">
            <w:pPr>
              <w:textAlignment w:val="top"/>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vAlign w:val="bottom"/>
          </w:tcPr>
          <w:p w14:paraId="675363E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E2" w14:textId="77777777" w:rsidR="001B77DD" w:rsidRDefault="00BF0A28">
            <w:pPr>
              <w:jc w:val="right"/>
              <w:textAlignment w:val="bottom"/>
            </w:pPr>
            <w:r>
              <w:rPr>
                <w:rFonts w:ascii="Arial" w:eastAsia="宋体" w:hAnsi="Arial" w:cs="Arial"/>
                <w:b/>
                <w:bCs/>
                <w:color w:val="0068B5"/>
                <w:sz w:val="18"/>
                <w:szCs w:val="18"/>
              </w:rPr>
              <w:t>4,306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3E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E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E5" w14:textId="77777777" w:rsidR="001B77DD" w:rsidRDefault="00BF0A28">
            <w:pPr>
              <w:jc w:val="right"/>
              <w:textAlignment w:val="bottom"/>
            </w:pPr>
            <w:r>
              <w:rPr>
                <w:rFonts w:ascii="Arial" w:eastAsia="宋体" w:hAnsi="Arial" w:cs="Arial"/>
                <w:b/>
                <w:bCs/>
                <w:color w:val="262626"/>
                <w:sz w:val="18"/>
                <w:szCs w:val="18"/>
              </w:rPr>
              <w:t>5,358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3E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E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E8" w14:textId="77777777" w:rsidR="001B77DD" w:rsidRDefault="00BF0A28">
            <w:pPr>
              <w:jc w:val="right"/>
              <w:textAlignment w:val="bottom"/>
            </w:pPr>
            <w:r>
              <w:rPr>
                <w:rFonts w:ascii="Arial" w:eastAsia="宋体" w:hAnsi="Arial" w:cs="Arial"/>
                <w:b/>
                <w:bCs/>
                <w:color w:val="262626"/>
                <w:sz w:val="18"/>
                <w:szCs w:val="18"/>
              </w:rPr>
              <w:t>4,362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3E9" w14:textId="77777777" w:rsidR="001B77DD" w:rsidRDefault="001B77DD">
            <w:pPr>
              <w:jc w:val="right"/>
              <w:rPr>
                <w:rFonts w:ascii="宋体"/>
              </w:rPr>
            </w:pPr>
          </w:p>
        </w:tc>
      </w:tr>
      <w:tr w:rsidR="001B77DD" w14:paraId="675363F5" w14:textId="77777777">
        <w:tc>
          <w:tcPr>
            <w:tcW w:w="0" w:type="auto"/>
            <w:gridSpan w:val="3"/>
            <w:shd w:val="clear" w:color="auto" w:fill="auto"/>
            <w:tcMar>
              <w:top w:w="40" w:type="dxa"/>
              <w:left w:w="155" w:type="dxa"/>
              <w:bottom w:w="40" w:type="dxa"/>
              <w:right w:w="20" w:type="dxa"/>
            </w:tcMar>
          </w:tcPr>
          <w:p w14:paraId="675363EB" w14:textId="77777777" w:rsidR="001B77DD" w:rsidRDefault="00BF0A28">
            <w:pPr>
              <w:textAlignment w:val="top"/>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vAlign w:val="bottom"/>
          </w:tcPr>
          <w:p w14:paraId="675363E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ED" w14:textId="77777777" w:rsidR="001B77DD" w:rsidRDefault="00BF0A28">
            <w:pPr>
              <w:jc w:val="right"/>
              <w:textAlignment w:val="bottom"/>
            </w:pPr>
            <w:r>
              <w:rPr>
                <w:rFonts w:ascii="Arial" w:eastAsia="宋体" w:hAnsi="Arial" w:cs="Arial"/>
                <w:b/>
                <w:bCs/>
                <w:color w:val="0068B5"/>
                <w:sz w:val="18"/>
                <w:szCs w:val="18"/>
              </w:rPr>
              <w:t>1,934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3E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E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F0" w14:textId="77777777" w:rsidR="001B77DD" w:rsidRDefault="00BF0A28">
            <w:pPr>
              <w:jc w:val="right"/>
              <w:textAlignment w:val="bottom"/>
            </w:pPr>
            <w:r>
              <w:rPr>
                <w:rFonts w:ascii="Arial" w:eastAsia="宋体" w:hAnsi="Arial" w:cs="Arial"/>
                <w:b/>
                <w:bCs/>
                <w:color w:val="262626"/>
                <w:sz w:val="18"/>
                <w:szCs w:val="18"/>
              </w:rPr>
              <w:t>1,853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3F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F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F3" w14:textId="77777777" w:rsidR="001B77DD" w:rsidRDefault="00BF0A28">
            <w:pPr>
              <w:jc w:val="right"/>
              <w:textAlignment w:val="bottom"/>
            </w:pPr>
            <w:r>
              <w:rPr>
                <w:rFonts w:ascii="Arial" w:eastAsia="宋体" w:hAnsi="Arial" w:cs="Arial"/>
                <w:b/>
                <w:bCs/>
                <w:color w:val="262626"/>
                <w:sz w:val="18"/>
                <w:szCs w:val="18"/>
              </w:rPr>
              <w:t>1,987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3F4" w14:textId="77777777" w:rsidR="001B77DD" w:rsidRDefault="001B77DD">
            <w:pPr>
              <w:jc w:val="right"/>
              <w:rPr>
                <w:rFonts w:ascii="宋体"/>
              </w:rPr>
            </w:pPr>
          </w:p>
        </w:tc>
      </w:tr>
      <w:tr w:rsidR="001B77DD" w14:paraId="67536400" w14:textId="77777777">
        <w:tc>
          <w:tcPr>
            <w:tcW w:w="0" w:type="auto"/>
            <w:gridSpan w:val="3"/>
            <w:shd w:val="clear" w:color="auto" w:fill="auto"/>
            <w:tcMar>
              <w:top w:w="40" w:type="dxa"/>
              <w:left w:w="155" w:type="dxa"/>
              <w:bottom w:w="40" w:type="dxa"/>
              <w:right w:w="20" w:type="dxa"/>
            </w:tcMar>
          </w:tcPr>
          <w:p w14:paraId="675363F6" w14:textId="77777777" w:rsidR="001B77DD" w:rsidRDefault="00BF0A28">
            <w:pPr>
              <w:textAlignment w:val="top"/>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675363F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F8" w14:textId="77777777" w:rsidR="001B77DD" w:rsidRDefault="00BF0A28">
            <w:pPr>
              <w:jc w:val="right"/>
              <w:textAlignment w:val="bottom"/>
            </w:pPr>
            <w:r>
              <w:rPr>
                <w:rFonts w:ascii="Arial" w:eastAsia="宋体" w:hAnsi="Arial" w:cs="Arial"/>
                <w:b/>
                <w:bCs/>
                <w:color w:val="0068B5"/>
                <w:sz w:val="18"/>
                <w:szCs w:val="18"/>
              </w:rPr>
              <w:t>1,068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3F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F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FB" w14:textId="77777777" w:rsidR="001B77DD" w:rsidRDefault="00BF0A28">
            <w:pPr>
              <w:jc w:val="right"/>
              <w:textAlignment w:val="bottom"/>
            </w:pPr>
            <w:r>
              <w:rPr>
                <w:rFonts w:ascii="Arial" w:eastAsia="宋体" w:hAnsi="Arial" w:cs="Arial"/>
                <w:b/>
                <w:bCs/>
                <w:color w:val="262626"/>
                <w:sz w:val="18"/>
                <w:szCs w:val="18"/>
              </w:rPr>
              <w:t>522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3F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3F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3FE" w14:textId="77777777" w:rsidR="001B77DD" w:rsidRDefault="00BF0A28">
            <w:pPr>
              <w:jc w:val="right"/>
              <w:textAlignment w:val="bottom"/>
            </w:pPr>
            <w:r>
              <w:rPr>
                <w:rFonts w:ascii="Arial" w:eastAsia="宋体" w:hAnsi="Arial" w:cs="Arial"/>
                <w:b/>
                <w:bCs/>
                <w:color w:val="262626"/>
                <w:sz w:val="18"/>
                <w:szCs w:val="18"/>
              </w:rPr>
              <w:t>289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3FF" w14:textId="77777777" w:rsidR="001B77DD" w:rsidRDefault="001B77DD">
            <w:pPr>
              <w:jc w:val="right"/>
              <w:rPr>
                <w:rFonts w:ascii="宋体"/>
              </w:rPr>
            </w:pPr>
          </w:p>
        </w:tc>
      </w:tr>
      <w:tr w:rsidR="001B77DD" w14:paraId="6753640E" w14:textId="77777777">
        <w:tc>
          <w:tcPr>
            <w:tcW w:w="0" w:type="auto"/>
            <w:gridSpan w:val="3"/>
            <w:shd w:val="clear" w:color="auto" w:fill="auto"/>
            <w:tcMar>
              <w:top w:w="40" w:type="dxa"/>
              <w:left w:w="20" w:type="dxa"/>
              <w:bottom w:w="40" w:type="dxa"/>
              <w:right w:w="20" w:type="dxa"/>
            </w:tcMar>
          </w:tcPr>
          <w:p w14:paraId="67536401" w14:textId="77777777" w:rsidR="001B77DD" w:rsidRDefault="00BF0A28">
            <w:pPr>
              <w:textAlignment w:val="top"/>
            </w:pPr>
            <w:r>
              <w:rPr>
                <w:rFonts w:ascii="Arial" w:eastAsia="宋体" w:hAnsi="Arial" w:cs="Arial"/>
                <w:b/>
                <w:bCs/>
                <w:color w:val="262626"/>
                <w:sz w:val="18"/>
                <w:szCs w:val="18"/>
              </w:rPr>
              <w:t>Total net revenue</w:t>
            </w:r>
          </w:p>
        </w:tc>
        <w:tc>
          <w:tcPr>
            <w:tcW w:w="0" w:type="auto"/>
            <w:gridSpan w:val="3"/>
            <w:shd w:val="clear" w:color="auto" w:fill="auto"/>
            <w:tcMar>
              <w:top w:w="0" w:type="dxa"/>
              <w:left w:w="20" w:type="dxa"/>
              <w:bottom w:w="0" w:type="dxa"/>
              <w:right w:w="20" w:type="dxa"/>
            </w:tcMar>
            <w:vAlign w:val="bottom"/>
          </w:tcPr>
          <w:p w14:paraId="67536402"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403"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404" w14:textId="77777777" w:rsidR="001B77DD" w:rsidRDefault="00BF0A28">
            <w:pPr>
              <w:jc w:val="right"/>
              <w:textAlignment w:val="bottom"/>
            </w:pPr>
            <w:r>
              <w:rPr>
                <w:rFonts w:ascii="Arial" w:eastAsia="宋体" w:hAnsi="Arial" w:cs="Arial"/>
                <w:b/>
                <w:bCs/>
                <w:color w:val="0068B5"/>
                <w:sz w:val="18"/>
                <w:szCs w:val="18"/>
              </w:rPr>
              <w:t>79,024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40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06"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40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408" w14:textId="77777777" w:rsidR="001B77DD" w:rsidRDefault="00BF0A28">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40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0A"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40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40C" w14:textId="77777777" w:rsidR="001B77DD" w:rsidRDefault="00BF0A28">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40D" w14:textId="77777777" w:rsidR="001B77DD" w:rsidRDefault="001B77DD">
            <w:pPr>
              <w:jc w:val="right"/>
              <w:rPr>
                <w:rFonts w:ascii="宋体"/>
              </w:rPr>
            </w:pPr>
          </w:p>
        </w:tc>
      </w:tr>
      <w:tr w:rsidR="001B77DD" w14:paraId="67536416" w14:textId="77777777">
        <w:trPr>
          <w:trHeight w:val="180"/>
        </w:trPr>
        <w:tc>
          <w:tcPr>
            <w:tcW w:w="0" w:type="auto"/>
            <w:gridSpan w:val="3"/>
            <w:shd w:val="clear" w:color="auto" w:fill="auto"/>
            <w:tcMar>
              <w:top w:w="0" w:type="dxa"/>
              <w:left w:w="20" w:type="dxa"/>
              <w:bottom w:w="0" w:type="dxa"/>
              <w:right w:w="20" w:type="dxa"/>
            </w:tcMar>
            <w:vAlign w:val="bottom"/>
          </w:tcPr>
          <w:p w14:paraId="6753640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10"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641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12"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641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14"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6415" w14:textId="77777777" w:rsidR="001B77DD" w:rsidRDefault="001B77DD">
            <w:pPr>
              <w:rPr>
                <w:rFonts w:ascii="宋体"/>
              </w:rPr>
            </w:pPr>
          </w:p>
        </w:tc>
      </w:tr>
      <w:tr w:rsidR="001B77DD" w14:paraId="6753641E" w14:textId="77777777">
        <w:tc>
          <w:tcPr>
            <w:tcW w:w="0" w:type="auto"/>
            <w:gridSpan w:val="3"/>
            <w:shd w:val="clear" w:color="auto" w:fill="auto"/>
            <w:tcMar>
              <w:top w:w="40" w:type="dxa"/>
              <w:left w:w="20" w:type="dxa"/>
              <w:bottom w:w="40" w:type="dxa"/>
              <w:right w:w="20" w:type="dxa"/>
            </w:tcMar>
          </w:tcPr>
          <w:p w14:paraId="67536417" w14:textId="77777777" w:rsidR="001B77DD" w:rsidRDefault="00BF0A28">
            <w:pPr>
              <w:textAlignment w:val="top"/>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6753641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1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1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1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1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1D" w14:textId="77777777" w:rsidR="001B77DD" w:rsidRDefault="001B77DD">
            <w:pPr>
              <w:rPr>
                <w:rFonts w:ascii="宋体"/>
              </w:rPr>
            </w:pPr>
          </w:p>
        </w:tc>
      </w:tr>
      <w:tr w:rsidR="001B77DD" w14:paraId="6753642C" w14:textId="77777777">
        <w:tc>
          <w:tcPr>
            <w:tcW w:w="0" w:type="auto"/>
            <w:gridSpan w:val="3"/>
            <w:shd w:val="clear" w:color="auto" w:fill="auto"/>
            <w:tcMar>
              <w:top w:w="40" w:type="dxa"/>
              <w:left w:w="155" w:type="dxa"/>
              <w:bottom w:w="40" w:type="dxa"/>
              <w:right w:w="20" w:type="dxa"/>
            </w:tcMar>
          </w:tcPr>
          <w:p w14:paraId="6753641F" w14:textId="77777777" w:rsidR="001B77DD" w:rsidRDefault="00BF0A28">
            <w:pPr>
              <w:textAlignment w:val="top"/>
            </w:pPr>
            <w:r>
              <w:rPr>
                <w:rFonts w:ascii="Arial" w:eastAsia="宋体" w:hAnsi="Arial" w:cs="Arial"/>
                <w:b/>
                <w:bCs/>
                <w:color w:val="262626"/>
                <w:sz w:val="18"/>
                <w:szCs w:val="18"/>
              </w:rPr>
              <w:t>Client Computing Group</w:t>
            </w:r>
          </w:p>
        </w:tc>
        <w:tc>
          <w:tcPr>
            <w:tcW w:w="0" w:type="auto"/>
            <w:gridSpan w:val="3"/>
            <w:shd w:val="clear" w:color="auto" w:fill="auto"/>
            <w:tcMar>
              <w:top w:w="0" w:type="dxa"/>
              <w:left w:w="20" w:type="dxa"/>
              <w:bottom w:w="0" w:type="dxa"/>
              <w:right w:w="20" w:type="dxa"/>
            </w:tcMar>
            <w:vAlign w:val="bottom"/>
          </w:tcPr>
          <w:p w14:paraId="6753642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421" w14:textId="77777777" w:rsidR="001B77DD" w:rsidRDefault="00BF0A2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7536422" w14:textId="77777777" w:rsidR="001B77DD" w:rsidRDefault="00BF0A28">
            <w:pPr>
              <w:jc w:val="right"/>
              <w:textAlignment w:val="bottom"/>
            </w:pPr>
            <w:r>
              <w:rPr>
                <w:rFonts w:ascii="Arial" w:eastAsia="宋体" w:hAnsi="Arial" w:cs="Arial"/>
                <w:b/>
                <w:bCs/>
                <w:color w:val="0068B5"/>
                <w:sz w:val="18"/>
                <w:szCs w:val="18"/>
              </w:rPr>
              <w:t>14,672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42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24"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425"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6426" w14:textId="77777777" w:rsidR="001B77DD" w:rsidRDefault="00BF0A28">
            <w:pPr>
              <w:jc w:val="right"/>
              <w:textAlignment w:val="bottom"/>
            </w:pPr>
            <w:r>
              <w:rPr>
                <w:rFonts w:ascii="Arial" w:eastAsia="宋体" w:hAnsi="Arial" w:cs="Arial"/>
                <w:b/>
                <w:bCs/>
                <w:color w:val="262626"/>
                <w:sz w:val="18"/>
                <w:szCs w:val="18"/>
              </w:rPr>
              <w:t>15,129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42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2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429"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642A" w14:textId="77777777" w:rsidR="001B77DD" w:rsidRDefault="00BF0A28">
            <w:pPr>
              <w:jc w:val="right"/>
              <w:textAlignment w:val="bottom"/>
            </w:pPr>
            <w:r>
              <w:rPr>
                <w:rFonts w:ascii="Arial" w:eastAsia="宋体" w:hAnsi="Arial" w:cs="Arial"/>
                <w:b/>
                <w:bCs/>
                <w:color w:val="262626"/>
                <w:sz w:val="18"/>
                <w:szCs w:val="18"/>
              </w:rPr>
              <w:t>15,202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42B" w14:textId="77777777" w:rsidR="001B77DD" w:rsidRDefault="001B77DD">
            <w:pPr>
              <w:jc w:val="right"/>
              <w:rPr>
                <w:rFonts w:ascii="宋体"/>
              </w:rPr>
            </w:pPr>
          </w:p>
        </w:tc>
      </w:tr>
      <w:tr w:rsidR="001B77DD" w14:paraId="67536437" w14:textId="77777777">
        <w:tc>
          <w:tcPr>
            <w:tcW w:w="0" w:type="auto"/>
            <w:gridSpan w:val="3"/>
            <w:shd w:val="clear" w:color="auto" w:fill="auto"/>
            <w:tcMar>
              <w:top w:w="40" w:type="dxa"/>
              <w:left w:w="155" w:type="dxa"/>
              <w:bottom w:w="40" w:type="dxa"/>
              <w:right w:w="20" w:type="dxa"/>
            </w:tcMar>
          </w:tcPr>
          <w:p w14:paraId="6753642D" w14:textId="77777777" w:rsidR="001B77DD" w:rsidRDefault="00BF0A28">
            <w:pPr>
              <w:textAlignment w:val="top"/>
            </w:pPr>
            <w:r>
              <w:rPr>
                <w:rFonts w:ascii="Arial" w:eastAsia="宋体" w:hAnsi="Arial" w:cs="Arial"/>
                <w:b/>
                <w:bCs/>
                <w:color w:val="262626"/>
                <w:sz w:val="18"/>
                <w:szCs w:val="18"/>
              </w:rPr>
              <w:t>Data Center Group</w:t>
            </w:r>
          </w:p>
        </w:tc>
        <w:tc>
          <w:tcPr>
            <w:tcW w:w="0" w:type="auto"/>
            <w:gridSpan w:val="3"/>
            <w:shd w:val="clear" w:color="auto" w:fill="auto"/>
            <w:tcMar>
              <w:top w:w="0" w:type="dxa"/>
              <w:left w:w="20" w:type="dxa"/>
              <w:bottom w:w="0" w:type="dxa"/>
              <w:right w:w="20" w:type="dxa"/>
            </w:tcMar>
            <w:vAlign w:val="bottom"/>
          </w:tcPr>
          <w:p w14:paraId="6753642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2F" w14:textId="77777777" w:rsidR="001B77DD" w:rsidRDefault="00BF0A28">
            <w:pPr>
              <w:jc w:val="right"/>
              <w:textAlignment w:val="bottom"/>
            </w:pPr>
            <w:r>
              <w:rPr>
                <w:rFonts w:ascii="Arial" w:eastAsia="宋体" w:hAnsi="Arial" w:cs="Arial"/>
                <w:b/>
                <w:bCs/>
                <w:color w:val="0068B5"/>
                <w:sz w:val="18"/>
                <w:szCs w:val="18"/>
              </w:rPr>
              <w:t>6,997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43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3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32" w14:textId="77777777" w:rsidR="001B77DD" w:rsidRDefault="00BF0A28">
            <w:pPr>
              <w:jc w:val="right"/>
              <w:textAlignment w:val="bottom"/>
            </w:pPr>
            <w:r>
              <w:rPr>
                <w:rFonts w:ascii="Arial" w:eastAsia="宋体" w:hAnsi="Arial" w:cs="Arial"/>
                <w:b/>
                <w:bCs/>
                <w:color w:val="262626"/>
                <w:sz w:val="18"/>
                <w:szCs w:val="18"/>
              </w:rPr>
              <w:t>10,571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43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3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35" w14:textId="77777777" w:rsidR="001B77DD" w:rsidRDefault="00BF0A28">
            <w:pPr>
              <w:jc w:val="right"/>
              <w:textAlignment w:val="bottom"/>
            </w:pPr>
            <w:r>
              <w:rPr>
                <w:rFonts w:ascii="Arial" w:eastAsia="宋体" w:hAnsi="Arial" w:cs="Arial"/>
                <w:b/>
                <w:bCs/>
                <w:color w:val="262626"/>
                <w:sz w:val="18"/>
                <w:szCs w:val="18"/>
              </w:rPr>
              <w:t>10,227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436" w14:textId="77777777" w:rsidR="001B77DD" w:rsidRDefault="001B77DD">
            <w:pPr>
              <w:jc w:val="right"/>
              <w:rPr>
                <w:rFonts w:ascii="宋体"/>
              </w:rPr>
            </w:pPr>
          </w:p>
        </w:tc>
      </w:tr>
      <w:tr w:rsidR="001B77DD" w14:paraId="6753643F" w14:textId="77777777">
        <w:trPr>
          <w:hidden/>
        </w:trPr>
        <w:tc>
          <w:tcPr>
            <w:tcW w:w="0" w:type="auto"/>
            <w:gridSpan w:val="3"/>
            <w:shd w:val="clear" w:color="auto" w:fill="auto"/>
            <w:vAlign w:val="bottom"/>
          </w:tcPr>
          <w:p w14:paraId="67536438" w14:textId="77777777" w:rsidR="001B77DD" w:rsidRDefault="001B77DD">
            <w:pPr>
              <w:rPr>
                <w:rFonts w:ascii="宋体"/>
                <w:vanish/>
              </w:rPr>
            </w:pPr>
          </w:p>
        </w:tc>
        <w:tc>
          <w:tcPr>
            <w:tcW w:w="0" w:type="auto"/>
            <w:gridSpan w:val="3"/>
            <w:shd w:val="clear" w:color="auto" w:fill="auto"/>
            <w:vAlign w:val="bottom"/>
          </w:tcPr>
          <w:p w14:paraId="67536439" w14:textId="77777777" w:rsidR="001B77DD" w:rsidRDefault="001B77DD">
            <w:pPr>
              <w:rPr>
                <w:rFonts w:ascii="宋体"/>
                <w:vanish/>
              </w:rPr>
            </w:pPr>
          </w:p>
        </w:tc>
        <w:tc>
          <w:tcPr>
            <w:tcW w:w="0" w:type="auto"/>
            <w:gridSpan w:val="3"/>
            <w:shd w:val="clear" w:color="auto" w:fill="auto"/>
            <w:vAlign w:val="bottom"/>
          </w:tcPr>
          <w:p w14:paraId="6753643A" w14:textId="77777777" w:rsidR="001B77DD" w:rsidRDefault="001B77DD">
            <w:pPr>
              <w:rPr>
                <w:rFonts w:ascii="宋体"/>
                <w:vanish/>
              </w:rPr>
            </w:pPr>
          </w:p>
        </w:tc>
        <w:tc>
          <w:tcPr>
            <w:tcW w:w="0" w:type="auto"/>
            <w:gridSpan w:val="3"/>
            <w:shd w:val="clear" w:color="auto" w:fill="auto"/>
            <w:vAlign w:val="bottom"/>
          </w:tcPr>
          <w:p w14:paraId="6753643B" w14:textId="77777777" w:rsidR="001B77DD" w:rsidRDefault="001B77DD">
            <w:pPr>
              <w:rPr>
                <w:rFonts w:ascii="宋体"/>
                <w:vanish/>
              </w:rPr>
            </w:pPr>
          </w:p>
        </w:tc>
        <w:tc>
          <w:tcPr>
            <w:tcW w:w="0" w:type="auto"/>
            <w:gridSpan w:val="3"/>
            <w:shd w:val="clear" w:color="auto" w:fill="auto"/>
            <w:vAlign w:val="bottom"/>
          </w:tcPr>
          <w:p w14:paraId="6753643C" w14:textId="77777777" w:rsidR="001B77DD" w:rsidRDefault="001B77DD">
            <w:pPr>
              <w:rPr>
                <w:rFonts w:ascii="宋体"/>
                <w:vanish/>
              </w:rPr>
            </w:pPr>
          </w:p>
        </w:tc>
        <w:tc>
          <w:tcPr>
            <w:tcW w:w="0" w:type="auto"/>
            <w:gridSpan w:val="3"/>
            <w:shd w:val="clear" w:color="auto" w:fill="auto"/>
            <w:vAlign w:val="bottom"/>
          </w:tcPr>
          <w:p w14:paraId="6753643D" w14:textId="77777777" w:rsidR="001B77DD" w:rsidRDefault="001B77DD">
            <w:pPr>
              <w:rPr>
                <w:rFonts w:ascii="宋体"/>
                <w:vanish/>
              </w:rPr>
            </w:pPr>
          </w:p>
        </w:tc>
        <w:tc>
          <w:tcPr>
            <w:tcW w:w="0" w:type="auto"/>
            <w:gridSpan w:val="3"/>
            <w:shd w:val="clear" w:color="auto" w:fill="auto"/>
            <w:vAlign w:val="bottom"/>
          </w:tcPr>
          <w:p w14:paraId="6753643E" w14:textId="77777777" w:rsidR="001B77DD" w:rsidRDefault="001B77DD">
            <w:pPr>
              <w:rPr>
                <w:rFonts w:ascii="宋体"/>
                <w:vanish/>
              </w:rPr>
            </w:pPr>
          </w:p>
        </w:tc>
      </w:tr>
      <w:tr w:rsidR="001B77DD" w14:paraId="67536447" w14:textId="77777777">
        <w:tc>
          <w:tcPr>
            <w:tcW w:w="0" w:type="auto"/>
            <w:gridSpan w:val="3"/>
            <w:shd w:val="clear" w:color="auto" w:fill="auto"/>
            <w:tcMar>
              <w:top w:w="40" w:type="dxa"/>
              <w:left w:w="155" w:type="dxa"/>
              <w:bottom w:w="40" w:type="dxa"/>
              <w:right w:w="20" w:type="dxa"/>
            </w:tcMar>
          </w:tcPr>
          <w:p w14:paraId="67536440" w14:textId="77777777" w:rsidR="001B77DD" w:rsidRDefault="00BF0A28">
            <w:pPr>
              <w:textAlignment w:val="top"/>
            </w:pPr>
            <w:r>
              <w:rPr>
                <w:rFonts w:ascii="Arial" w:eastAsia="宋体" w:hAnsi="Arial" w:cs="Arial"/>
                <w:b/>
                <w:bCs/>
                <w:color w:val="262626"/>
                <w:sz w:val="18"/>
                <w:szCs w:val="18"/>
              </w:rPr>
              <w:t>Internet of Things</w:t>
            </w:r>
          </w:p>
        </w:tc>
        <w:tc>
          <w:tcPr>
            <w:tcW w:w="0" w:type="auto"/>
            <w:gridSpan w:val="3"/>
            <w:shd w:val="clear" w:color="auto" w:fill="auto"/>
            <w:tcMar>
              <w:top w:w="0" w:type="dxa"/>
              <w:left w:w="20" w:type="dxa"/>
              <w:bottom w:w="0" w:type="dxa"/>
              <w:right w:w="20" w:type="dxa"/>
            </w:tcMar>
            <w:vAlign w:val="bottom"/>
          </w:tcPr>
          <w:p w14:paraId="6753644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4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4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4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4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46" w14:textId="77777777" w:rsidR="001B77DD" w:rsidRDefault="001B77DD">
            <w:pPr>
              <w:rPr>
                <w:rFonts w:ascii="宋体"/>
              </w:rPr>
            </w:pPr>
          </w:p>
        </w:tc>
      </w:tr>
      <w:tr w:rsidR="001B77DD" w14:paraId="67536452" w14:textId="77777777">
        <w:tc>
          <w:tcPr>
            <w:tcW w:w="0" w:type="auto"/>
            <w:gridSpan w:val="3"/>
            <w:shd w:val="clear" w:color="auto" w:fill="auto"/>
            <w:tcMar>
              <w:top w:w="40" w:type="dxa"/>
              <w:left w:w="245" w:type="dxa"/>
              <w:bottom w:w="40" w:type="dxa"/>
              <w:right w:w="20" w:type="dxa"/>
            </w:tcMar>
          </w:tcPr>
          <w:p w14:paraId="67536448" w14:textId="77777777" w:rsidR="001B77DD" w:rsidRDefault="00BF0A28">
            <w:pPr>
              <w:textAlignment w:val="top"/>
            </w:pPr>
            <w:r>
              <w:rPr>
                <w:rFonts w:ascii="Arial" w:eastAsia="宋体" w:hAnsi="Arial" w:cs="Arial"/>
                <w:color w:val="262626"/>
                <w:sz w:val="18"/>
                <w:szCs w:val="18"/>
              </w:rPr>
              <w:t>IOTG</w:t>
            </w:r>
          </w:p>
        </w:tc>
        <w:tc>
          <w:tcPr>
            <w:tcW w:w="0" w:type="auto"/>
            <w:gridSpan w:val="3"/>
            <w:shd w:val="clear" w:color="auto" w:fill="auto"/>
            <w:tcMar>
              <w:top w:w="0" w:type="dxa"/>
              <w:left w:w="20" w:type="dxa"/>
              <w:bottom w:w="0" w:type="dxa"/>
              <w:right w:w="20" w:type="dxa"/>
            </w:tcMar>
            <w:vAlign w:val="bottom"/>
          </w:tcPr>
          <w:p w14:paraId="6753644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4A" w14:textId="77777777" w:rsidR="001B77DD" w:rsidRDefault="00BF0A28">
            <w:pPr>
              <w:jc w:val="right"/>
              <w:textAlignment w:val="bottom"/>
            </w:pPr>
            <w:r>
              <w:rPr>
                <w:rFonts w:ascii="Arial" w:eastAsia="宋体" w:hAnsi="Arial" w:cs="Arial"/>
                <w:color w:val="0068B5"/>
                <w:sz w:val="18"/>
                <w:szCs w:val="18"/>
              </w:rPr>
              <w:t>1,045 </w:t>
            </w:r>
          </w:p>
        </w:tc>
        <w:tc>
          <w:tcPr>
            <w:tcW w:w="0" w:type="auto"/>
            <w:shd w:val="clear" w:color="auto" w:fill="auto"/>
            <w:tcMar>
              <w:top w:w="40" w:type="dxa"/>
              <w:left w:w="0" w:type="dxa"/>
              <w:bottom w:w="40" w:type="dxa"/>
              <w:right w:w="20" w:type="dxa"/>
            </w:tcMar>
            <w:vAlign w:val="bottom"/>
          </w:tcPr>
          <w:p w14:paraId="6753644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4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4D" w14:textId="77777777" w:rsidR="001B77DD" w:rsidRDefault="00BF0A28">
            <w:pPr>
              <w:jc w:val="right"/>
              <w:textAlignment w:val="bottom"/>
            </w:pPr>
            <w:r>
              <w:rPr>
                <w:rFonts w:ascii="Arial" w:eastAsia="宋体" w:hAnsi="Arial" w:cs="Arial"/>
                <w:color w:val="262626"/>
                <w:sz w:val="18"/>
                <w:szCs w:val="18"/>
              </w:rPr>
              <w:t>497 </w:t>
            </w:r>
          </w:p>
        </w:tc>
        <w:tc>
          <w:tcPr>
            <w:tcW w:w="0" w:type="auto"/>
            <w:shd w:val="clear" w:color="auto" w:fill="auto"/>
            <w:tcMar>
              <w:top w:w="40" w:type="dxa"/>
              <w:left w:w="0" w:type="dxa"/>
              <w:bottom w:w="40" w:type="dxa"/>
              <w:right w:w="20" w:type="dxa"/>
            </w:tcMar>
            <w:vAlign w:val="bottom"/>
          </w:tcPr>
          <w:p w14:paraId="6753644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4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50" w14:textId="77777777" w:rsidR="001B77DD" w:rsidRDefault="00BF0A28">
            <w:pPr>
              <w:jc w:val="right"/>
              <w:textAlignment w:val="bottom"/>
            </w:pPr>
            <w:r>
              <w:rPr>
                <w:rFonts w:ascii="Arial" w:eastAsia="宋体" w:hAnsi="Arial" w:cs="Arial"/>
                <w:color w:val="262626"/>
                <w:sz w:val="18"/>
                <w:szCs w:val="18"/>
              </w:rPr>
              <w:t>1,097 </w:t>
            </w:r>
          </w:p>
        </w:tc>
        <w:tc>
          <w:tcPr>
            <w:tcW w:w="0" w:type="auto"/>
            <w:shd w:val="clear" w:color="auto" w:fill="auto"/>
            <w:tcMar>
              <w:top w:w="40" w:type="dxa"/>
              <w:left w:w="0" w:type="dxa"/>
              <w:bottom w:w="40" w:type="dxa"/>
              <w:right w:w="20" w:type="dxa"/>
            </w:tcMar>
            <w:vAlign w:val="bottom"/>
          </w:tcPr>
          <w:p w14:paraId="67536451" w14:textId="77777777" w:rsidR="001B77DD" w:rsidRDefault="001B77DD">
            <w:pPr>
              <w:jc w:val="right"/>
              <w:rPr>
                <w:rFonts w:ascii="宋体"/>
              </w:rPr>
            </w:pPr>
          </w:p>
        </w:tc>
      </w:tr>
      <w:tr w:rsidR="001B77DD" w14:paraId="6753645D" w14:textId="77777777">
        <w:tc>
          <w:tcPr>
            <w:tcW w:w="0" w:type="auto"/>
            <w:gridSpan w:val="3"/>
            <w:shd w:val="clear" w:color="auto" w:fill="auto"/>
            <w:tcMar>
              <w:top w:w="40" w:type="dxa"/>
              <w:left w:w="245" w:type="dxa"/>
              <w:bottom w:w="40" w:type="dxa"/>
              <w:right w:w="20" w:type="dxa"/>
            </w:tcMar>
          </w:tcPr>
          <w:p w14:paraId="67536453" w14:textId="77777777" w:rsidR="001B77DD" w:rsidRDefault="00BF0A28">
            <w:pPr>
              <w:textAlignment w:val="top"/>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6753645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55" w14:textId="77777777" w:rsidR="001B77DD" w:rsidRDefault="00BF0A28">
            <w:pPr>
              <w:jc w:val="right"/>
              <w:textAlignment w:val="bottom"/>
            </w:pPr>
            <w:r>
              <w:rPr>
                <w:rFonts w:ascii="Arial" w:eastAsia="宋体" w:hAnsi="Arial" w:cs="Arial"/>
                <w:color w:val="0068B5"/>
                <w:sz w:val="18"/>
                <w:szCs w:val="18"/>
              </w:rPr>
              <w:t>460 </w:t>
            </w:r>
          </w:p>
        </w:tc>
        <w:tc>
          <w:tcPr>
            <w:tcW w:w="0" w:type="auto"/>
            <w:shd w:val="clear" w:color="auto" w:fill="auto"/>
            <w:tcMar>
              <w:top w:w="40" w:type="dxa"/>
              <w:left w:w="0" w:type="dxa"/>
              <w:bottom w:w="40" w:type="dxa"/>
              <w:right w:w="20" w:type="dxa"/>
            </w:tcMar>
            <w:vAlign w:val="bottom"/>
          </w:tcPr>
          <w:p w14:paraId="6753645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5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58" w14:textId="77777777" w:rsidR="001B77DD" w:rsidRDefault="00BF0A28">
            <w:pPr>
              <w:jc w:val="right"/>
              <w:textAlignment w:val="bottom"/>
            </w:pPr>
            <w:r>
              <w:rPr>
                <w:rFonts w:ascii="Arial" w:eastAsia="宋体" w:hAnsi="Arial" w:cs="Arial"/>
                <w:color w:val="262626"/>
                <w:sz w:val="18"/>
                <w:szCs w:val="18"/>
              </w:rPr>
              <w:t>241 </w:t>
            </w:r>
          </w:p>
        </w:tc>
        <w:tc>
          <w:tcPr>
            <w:tcW w:w="0" w:type="auto"/>
            <w:shd w:val="clear" w:color="auto" w:fill="auto"/>
            <w:tcMar>
              <w:top w:w="40" w:type="dxa"/>
              <w:left w:w="0" w:type="dxa"/>
              <w:bottom w:w="40" w:type="dxa"/>
              <w:right w:w="20" w:type="dxa"/>
            </w:tcMar>
            <w:vAlign w:val="bottom"/>
          </w:tcPr>
          <w:p w14:paraId="6753645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5B" w14:textId="77777777" w:rsidR="001B77DD" w:rsidRDefault="00BF0A28">
            <w:pPr>
              <w:jc w:val="right"/>
              <w:textAlignment w:val="bottom"/>
            </w:pPr>
            <w:r>
              <w:rPr>
                <w:rFonts w:ascii="Arial" w:eastAsia="宋体" w:hAnsi="Arial" w:cs="Arial"/>
                <w:color w:val="262626"/>
                <w:sz w:val="18"/>
                <w:szCs w:val="18"/>
              </w:rPr>
              <w:t>245 </w:t>
            </w:r>
          </w:p>
        </w:tc>
        <w:tc>
          <w:tcPr>
            <w:tcW w:w="0" w:type="auto"/>
            <w:shd w:val="clear" w:color="auto" w:fill="auto"/>
            <w:tcMar>
              <w:top w:w="40" w:type="dxa"/>
              <w:left w:w="0" w:type="dxa"/>
              <w:bottom w:w="40" w:type="dxa"/>
              <w:right w:w="20" w:type="dxa"/>
            </w:tcMar>
            <w:vAlign w:val="bottom"/>
          </w:tcPr>
          <w:p w14:paraId="6753645C" w14:textId="77777777" w:rsidR="001B77DD" w:rsidRDefault="001B77DD">
            <w:pPr>
              <w:jc w:val="right"/>
              <w:rPr>
                <w:rFonts w:ascii="宋体"/>
              </w:rPr>
            </w:pPr>
          </w:p>
        </w:tc>
      </w:tr>
      <w:tr w:rsidR="001B77DD" w14:paraId="67536468" w14:textId="77777777">
        <w:tc>
          <w:tcPr>
            <w:tcW w:w="0" w:type="auto"/>
            <w:gridSpan w:val="3"/>
            <w:shd w:val="clear" w:color="auto" w:fill="auto"/>
            <w:tcMar>
              <w:top w:w="0" w:type="dxa"/>
              <w:left w:w="20" w:type="dxa"/>
              <w:bottom w:w="0" w:type="dxa"/>
              <w:right w:w="20" w:type="dxa"/>
            </w:tcMar>
            <w:vAlign w:val="bottom"/>
          </w:tcPr>
          <w:p w14:paraId="6753645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5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460" w14:textId="77777777" w:rsidR="001B77DD" w:rsidRDefault="00BF0A28">
            <w:pPr>
              <w:jc w:val="right"/>
              <w:textAlignment w:val="bottom"/>
            </w:pPr>
            <w:r>
              <w:rPr>
                <w:rFonts w:ascii="Arial" w:eastAsia="宋体" w:hAnsi="Arial" w:cs="Arial"/>
                <w:b/>
                <w:bCs/>
                <w:color w:val="0068B5"/>
                <w:sz w:val="18"/>
                <w:szCs w:val="18"/>
              </w:rPr>
              <w:t>1,505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46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6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463" w14:textId="77777777" w:rsidR="001B77DD" w:rsidRDefault="00BF0A28">
            <w:pPr>
              <w:jc w:val="right"/>
              <w:textAlignment w:val="bottom"/>
            </w:pPr>
            <w:r>
              <w:rPr>
                <w:rFonts w:ascii="Arial" w:eastAsia="宋体" w:hAnsi="Arial" w:cs="Arial"/>
                <w:b/>
                <w:bCs/>
                <w:color w:val="262626"/>
                <w:sz w:val="18"/>
                <w:szCs w:val="18"/>
              </w:rPr>
              <w:t>738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46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6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466" w14:textId="77777777" w:rsidR="001B77DD" w:rsidRDefault="00BF0A28">
            <w:pPr>
              <w:jc w:val="right"/>
              <w:textAlignment w:val="bottom"/>
            </w:pPr>
            <w:r>
              <w:rPr>
                <w:rFonts w:ascii="Arial" w:eastAsia="宋体" w:hAnsi="Arial" w:cs="Arial"/>
                <w:b/>
                <w:bCs/>
                <w:color w:val="262626"/>
                <w:sz w:val="18"/>
                <w:szCs w:val="18"/>
              </w:rPr>
              <w:t>1,342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467" w14:textId="77777777" w:rsidR="001B77DD" w:rsidRDefault="001B77DD">
            <w:pPr>
              <w:jc w:val="right"/>
              <w:rPr>
                <w:rFonts w:ascii="宋体"/>
              </w:rPr>
            </w:pPr>
          </w:p>
        </w:tc>
      </w:tr>
      <w:tr w:rsidR="001B77DD" w14:paraId="67536470" w14:textId="77777777">
        <w:trPr>
          <w:trHeight w:val="280"/>
        </w:trPr>
        <w:tc>
          <w:tcPr>
            <w:tcW w:w="0" w:type="auto"/>
            <w:gridSpan w:val="3"/>
            <w:shd w:val="clear" w:color="auto" w:fill="auto"/>
            <w:tcMar>
              <w:top w:w="0" w:type="dxa"/>
              <w:left w:w="20" w:type="dxa"/>
              <w:bottom w:w="0" w:type="dxa"/>
              <w:right w:w="20" w:type="dxa"/>
            </w:tcMar>
            <w:vAlign w:val="bottom"/>
          </w:tcPr>
          <w:p w14:paraId="6753646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6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6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6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6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6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6F" w14:textId="77777777" w:rsidR="001B77DD" w:rsidRDefault="001B77DD">
            <w:pPr>
              <w:rPr>
                <w:rFonts w:ascii="宋体"/>
              </w:rPr>
            </w:pPr>
          </w:p>
        </w:tc>
      </w:tr>
      <w:tr w:rsidR="001B77DD" w14:paraId="6753647B" w14:textId="77777777">
        <w:tc>
          <w:tcPr>
            <w:tcW w:w="0" w:type="auto"/>
            <w:gridSpan w:val="3"/>
            <w:shd w:val="clear" w:color="auto" w:fill="auto"/>
            <w:tcMar>
              <w:top w:w="40" w:type="dxa"/>
              <w:left w:w="155" w:type="dxa"/>
              <w:bottom w:w="40" w:type="dxa"/>
              <w:right w:w="20" w:type="dxa"/>
            </w:tcMar>
          </w:tcPr>
          <w:p w14:paraId="67536471" w14:textId="77777777" w:rsidR="001B77DD" w:rsidRDefault="00BF0A28">
            <w:pPr>
              <w:textAlignment w:val="top"/>
            </w:pPr>
            <w:r>
              <w:rPr>
                <w:rFonts w:ascii="Arial" w:eastAsia="宋体" w:hAnsi="Arial" w:cs="Arial"/>
                <w:b/>
                <w:bCs/>
                <w:color w:val="262626"/>
                <w:sz w:val="18"/>
                <w:szCs w:val="18"/>
              </w:rPr>
              <w:t>Non-Volatile Memory Solutions Group</w:t>
            </w:r>
          </w:p>
        </w:tc>
        <w:tc>
          <w:tcPr>
            <w:tcW w:w="0" w:type="auto"/>
            <w:gridSpan w:val="3"/>
            <w:shd w:val="clear" w:color="auto" w:fill="auto"/>
            <w:tcMar>
              <w:top w:w="0" w:type="dxa"/>
              <w:left w:w="20" w:type="dxa"/>
              <w:bottom w:w="0" w:type="dxa"/>
              <w:right w:w="20" w:type="dxa"/>
            </w:tcMar>
            <w:vAlign w:val="bottom"/>
          </w:tcPr>
          <w:p w14:paraId="6753647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73" w14:textId="77777777" w:rsidR="001B77DD" w:rsidRDefault="00BF0A28">
            <w:pPr>
              <w:jc w:val="right"/>
              <w:textAlignment w:val="bottom"/>
            </w:pPr>
            <w:r>
              <w:rPr>
                <w:rFonts w:ascii="Arial" w:eastAsia="宋体" w:hAnsi="Arial" w:cs="Arial"/>
                <w:b/>
                <w:bCs/>
                <w:color w:val="0068B5"/>
                <w:sz w:val="18"/>
                <w:szCs w:val="18"/>
              </w:rPr>
              <w:t>1,369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47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7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76" w14:textId="77777777" w:rsidR="001B77DD" w:rsidRDefault="00BF0A28">
            <w:pPr>
              <w:jc w:val="right"/>
              <w:textAlignment w:val="bottom"/>
            </w:pPr>
            <w:r>
              <w:rPr>
                <w:rFonts w:ascii="Arial" w:eastAsia="宋体" w:hAnsi="Arial" w:cs="Arial"/>
                <w:b/>
                <w:bCs/>
                <w:color w:val="262626"/>
                <w:sz w:val="18"/>
                <w:szCs w:val="18"/>
              </w:rPr>
              <w:t>361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47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7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79" w14:textId="77777777" w:rsidR="001B77DD" w:rsidRDefault="00BF0A28">
            <w:pPr>
              <w:jc w:val="right"/>
              <w:textAlignment w:val="bottom"/>
            </w:pPr>
            <w:r>
              <w:rPr>
                <w:rFonts w:ascii="Arial" w:eastAsia="宋体" w:hAnsi="Arial" w:cs="Arial"/>
                <w:b/>
                <w:bCs/>
                <w:color w:val="262626"/>
                <w:sz w:val="18"/>
                <w:szCs w:val="18"/>
              </w:rPr>
              <w:t>(1,176)</w:t>
            </w:r>
          </w:p>
        </w:tc>
        <w:tc>
          <w:tcPr>
            <w:tcW w:w="0" w:type="auto"/>
            <w:shd w:val="clear" w:color="auto" w:fill="auto"/>
            <w:tcMar>
              <w:top w:w="40" w:type="dxa"/>
              <w:left w:w="0" w:type="dxa"/>
              <w:bottom w:w="40" w:type="dxa"/>
              <w:right w:w="20" w:type="dxa"/>
            </w:tcMar>
            <w:vAlign w:val="bottom"/>
          </w:tcPr>
          <w:p w14:paraId="6753647A" w14:textId="77777777" w:rsidR="001B77DD" w:rsidRDefault="001B77DD">
            <w:pPr>
              <w:jc w:val="right"/>
              <w:rPr>
                <w:rFonts w:ascii="宋体"/>
              </w:rPr>
            </w:pPr>
          </w:p>
        </w:tc>
      </w:tr>
      <w:tr w:rsidR="001B77DD" w14:paraId="67536486" w14:textId="77777777">
        <w:tc>
          <w:tcPr>
            <w:tcW w:w="0" w:type="auto"/>
            <w:gridSpan w:val="3"/>
            <w:shd w:val="clear" w:color="auto" w:fill="auto"/>
            <w:tcMar>
              <w:top w:w="40" w:type="dxa"/>
              <w:left w:w="155" w:type="dxa"/>
              <w:bottom w:w="40" w:type="dxa"/>
              <w:right w:w="20" w:type="dxa"/>
            </w:tcMar>
          </w:tcPr>
          <w:p w14:paraId="6753647C" w14:textId="77777777" w:rsidR="001B77DD" w:rsidRDefault="00BF0A28">
            <w:pPr>
              <w:textAlignment w:val="top"/>
            </w:pPr>
            <w:r>
              <w:rPr>
                <w:rFonts w:ascii="Arial" w:eastAsia="宋体" w:hAnsi="Arial" w:cs="Arial"/>
                <w:b/>
                <w:bCs/>
                <w:color w:val="262626"/>
                <w:sz w:val="18"/>
                <w:szCs w:val="18"/>
              </w:rPr>
              <w:t>Programmable Solutions Group</w:t>
            </w:r>
          </w:p>
        </w:tc>
        <w:tc>
          <w:tcPr>
            <w:tcW w:w="0" w:type="auto"/>
            <w:gridSpan w:val="3"/>
            <w:shd w:val="clear" w:color="auto" w:fill="auto"/>
            <w:tcMar>
              <w:top w:w="0" w:type="dxa"/>
              <w:left w:w="20" w:type="dxa"/>
              <w:bottom w:w="0" w:type="dxa"/>
              <w:right w:w="20" w:type="dxa"/>
            </w:tcMar>
            <w:vAlign w:val="bottom"/>
          </w:tcPr>
          <w:p w14:paraId="6753647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7E" w14:textId="77777777" w:rsidR="001B77DD" w:rsidRDefault="00BF0A28">
            <w:pPr>
              <w:jc w:val="right"/>
              <w:textAlignment w:val="bottom"/>
            </w:pPr>
            <w:r>
              <w:rPr>
                <w:rFonts w:ascii="Arial" w:eastAsia="宋体" w:hAnsi="Arial" w:cs="Arial"/>
                <w:b/>
                <w:bCs/>
                <w:color w:val="0068B5"/>
                <w:sz w:val="18"/>
                <w:szCs w:val="18"/>
              </w:rPr>
              <w:t>297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47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8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81" w14:textId="77777777" w:rsidR="001B77DD" w:rsidRDefault="00BF0A28">
            <w:pPr>
              <w:jc w:val="right"/>
              <w:textAlignment w:val="bottom"/>
            </w:pPr>
            <w:r>
              <w:rPr>
                <w:rFonts w:ascii="Arial" w:eastAsia="宋体" w:hAnsi="Arial" w:cs="Arial"/>
                <w:b/>
                <w:bCs/>
                <w:color w:val="262626"/>
                <w:sz w:val="18"/>
                <w:szCs w:val="18"/>
              </w:rPr>
              <w:t>260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48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8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84" w14:textId="77777777" w:rsidR="001B77DD" w:rsidRDefault="00BF0A28">
            <w:pPr>
              <w:jc w:val="right"/>
              <w:textAlignment w:val="bottom"/>
            </w:pPr>
            <w:r>
              <w:rPr>
                <w:rFonts w:ascii="Arial" w:eastAsia="宋体" w:hAnsi="Arial" w:cs="Arial"/>
                <w:b/>
                <w:bCs/>
                <w:color w:val="262626"/>
                <w:sz w:val="18"/>
                <w:szCs w:val="18"/>
              </w:rPr>
              <w:t>318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485" w14:textId="77777777" w:rsidR="001B77DD" w:rsidRDefault="001B77DD">
            <w:pPr>
              <w:jc w:val="right"/>
              <w:rPr>
                <w:rFonts w:ascii="宋体"/>
              </w:rPr>
            </w:pPr>
          </w:p>
        </w:tc>
      </w:tr>
      <w:tr w:rsidR="001B77DD" w14:paraId="67536491" w14:textId="77777777">
        <w:tc>
          <w:tcPr>
            <w:tcW w:w="0" w:type="auto"/>
            <w:gridSpan w:val="3"/>
            <w:shd w:val="clear" w:color="auto" w:fill="auto"/>
            <w:tcMar>
              <w:top w:w="40" w:type="dxa"/>
              <w:left w:w="155" w:type="dxa"/>
              <w:bottom w:w="40" w:type="dxa"/>
              <w:right w:w="20" w:type="dxa"/>
            </w:tcMar>
          </w:tcPr>
          <w:p w14:paraId="67536487" w14:textId="77777777" w:rsidR="001B77DD" w:rsidRDefault="00BF0A28">
            <w:pPr>
              <w:textAlignment w:val="top"/>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6753648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89" w14:textId="77777777" w:rsidR="001B77DD" w:rsidRDefault="00BF0A28">
            <w:pPr>
              <w:jc w:val="right"/>
              <w:textAlignment w:val="bottom"/>
            </w:pPr>
            <w:r>
              <w:rPr>
                <w:rFonts w:ascii="Arial" w:eastAsia="宋体" w:hAnsi="Arial" w:cs="Arial"/>
                <w:b/>
                <w:bCs/>
                <w:color w:val="0068B5"/>
                <w:sz w:val="18"/>
                <w:szCs w:val="18"/>
              </w:rPr>
              <w:t>(5,384)</w:t>
            </w:r>
          </w:p>
        </w:tc>
        <w:tc>
          <w:tcPr>
            <w:tcW w:w="0" w:type="auto"/>
            <w:shd w:val="clear" w:color="auto" w:fill="auto"/>
            <w:tcMar>
              <w:top w:w="40" w:type="dxa"/>
              <w:left w:w="0" w:type="dxa"/>
              <w:bottom w:w="40" w:type="dxa"/>
              <w:right w:w="20" w:type="dxa"/>
            </w:tcMar>
            <w:vAlign w:val="bottom"/>
          </w:tcPr>
          <w:p w14:paraId="6753648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8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8C" w14:textId="77777777" w:rsidR="001B77DD" w:rsidRDefault="00BF0A28">
            <w:pPr>
              <w:jc w:val="right"/>
              <w:textAlignment w:val="bottom"/>
            </w:pPr>
            <w:r>
              <w:rPr>
                <w:rFonts w:ascii="Arial" w:eastAsia="宋体" w:hAnsi="Arial" w:cs="Arial"/>
                <w:b/>
                <w:bCs/>
                <w:color w:val="262626"/>
                <w:sz w:val="18"/>
                <w:szCs w:val="18"/>
              </w:rPr>
              <w:t>(3,381)</w:t>
            </w:r>
          </w:p>
        </w:tc>
        <w:tc>
          <w:tcPr>
            <w:tcW w:w="0" w:type="auto"/>
            <w:shd w:val="clear" w:color="auto" w:fill="auto"/>
            <w:tcMar>
              <w:top w:w="40" w:type="dxa"/>
              <w:left w:w="0" w:type="dxa"/>
              <w:bottom w:w="40" w:type="dxa"/>
              <w:right w:w="20" w:type="dxa"/>
            </w:tcMar>
            <w:vAlign w:val="bottom"/>
          </w:tcPr>
          <w:p w14:paraId="6753648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8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8F" w14:textId="77777777" w:rsidR="001B77DD" w:rsidRDefault="00BF0A28">
            <w:pPr>
              <w:jc w:val="right"/>
              <w:textAlignment w:val="bottom"/>
            </w:pPr>
            <w:r>
              <w:rPr>
                <w:rFonts w:ascii="Arial" w:eastAsia="宋体" w:hAnsi="Arial" w:cs="Arial"/>
                <w:b/>
                <w:bCs/>
                <w:color w:val="262626"/>
                <w:sz w:val="18"/>
                <w:szCs w:val="18"/>
              </w:rPr>
              <w:t>(3,878)</w:t>
            </w:r>
          </w:p>
        </w:tc>
        <w:tc>
          <w:tcPr>
            <w:tcW w:w="0" w:type="auto"/>
            <w:shd w:val="clear" w:color="auto" w:fill="auto"/>
            <w:tcMar>
              <w:top w:w="40" w:type="dxa"/>
              <w:left w:w="0" w:type="dxa"/>
              <w:bottom w:w="40" w:type="dxa"/>
              <w:right w:w="20" w:type="dxa"/>
            </w:tcMar>
            <w:vAlign w:val="bottom"/>
          </w:tcPr>
          <w:p w14:paraId="67536490" w14:textId="77777777" w:rsidR="001B77DD" w:rsidRDefault="001B77DD">
            <w:pPr>
              <w:jc w:val="right"/>
              <w:rPr>
                <w:rFonts w:ascii="宋体"/>
              </w:rPr>
            </w:pPr>
          </w:p>
        </w:tc>
      </w:tr>
      <w:tr w:rsidR="001B77DD" w14:paraId="6753649F" w14:textId="77777777">
        <w:tc>
          <w:tcPr>
            <w:tcW w:w="0" w:type="auto"/>
            <w:gridSpan w:val="3"/>
            <w:shd w:val="clear" w:color="auto" w:fill="auto"/>
            <w:tcMar>
              <w:top w:w="40" w:type="dxa"/>
              <w:left w:w="20" w:type="dxa"/>
              <w:bottom w:w="40" w:type="dxa"/>
              <w:right w:w="20" w:type="dxa"/>
            </w:tcMar>
          </w:tcPr>
          <w:p w14:paraId="67536492" w14:textId="77777777" w:rsidR="001B77DD" w:rsidRDefault="00BF0A28">
            <w:pPr>
              <w:textAlignment w:val="top"/>
            </w:pPr>
            <w:r>
              <w:rPr>
                <w:rFonts w:ascii="Arial" w:eastAsia="宋体" w:hAnsi="Arial" w:cs="Arial"/>
                <w:b/>
                <w:bCs/>
                <w:color w:val="262626"/>
                <w:sz w:val="18"/>
                <w:szCs w:val="18"/>
              </w:rPr>
              <w:t>Total operating income</w:t>
            </w:r>
          </w:p>
        </w:tc>
        <w:tc>
          <w:tcPr>
            <w:tcW w:w="0" w:type="auto"/>
            <w:gridSpan w:val="3"/>
            <w:shd w:val="clear" w:color="auto" w:fill="auto"/>
            <w:tcMar>
              <w:top w:w="0" w:type="dxa"/>
              <w:left w:w="20" w:type="dxa"/>
              <w:bottom w:w="0" w:type="dxa"/>
              <w:right w:w="20" w:type="dxa"/>
            </w:tcMar>
            <w:vAlign w:val="bottom"/>
          </w:tcPr>
          <w:p w14:paraId="67536493"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494"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495" w14:textId="77777777" w:rsidR="001B77DD" w:rsidRDefault="00BF0A28">
            <w:pPr>
              <w:jc w:val="right"/>
              <w:textAlignment w:val="bottom"/>
            </w:pPr>
            <w:r>
              <w:rPr>
                <w:rFonts w:ascii="Arial" w:eastAsia="宋体" w:hAnsi="Arial" w:cs="Arial"/>
                <w:b/>
                <w:bCs/>
                <w:color w:val="0068B5"/>
                <w:sz w:val="18"/>
                <w:szCs w:val="18"/>
              </w:rPr>
              <w:t>19,456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49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97"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498"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499" w14:textId="77777777" w:rsidR="001B77DD" w:rsidRDefault="00BF0A28">
            <w:pPr>
              <w:jc w:val="right"/>
              <w:textAlignment w:val="bottom"/>
            </w:pPr>
            <w:r>
              <w:rPr>
                <w:rFonts w:ascii="Arial" w:eastAsia="宋体" w:hAnsi="Arial" w:cs="Arial"/>
                <w:b/>
                <w:bCs/>
                <w:color w:val="262626"/>
                <w:sz w:val="18"/>
                <w:szCs w:val="18"/>
              </w:rPr>
              <w:t>23,678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49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9B"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49C"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49D" w14:textId="77777777" w:rsidR="001B77DD" w:rsidRDefault="00BF0A28">
            <w:pPr>
              <w:jc w:val="right"/>
              <w:textAlignment w:val="bottom"/>
            </w:pPr>
            <w:r>
              <w:rPr>
                <w:rFonts w:ascii="Arial" w:eastAsia="宋体" w:hAnsi="Arial" w:cs="Arial"/>
                <w:b/>
                <w:bCs/>
                <w:color w:val="262626"/>
                <w:sz w:val="18"/>
                <w:szCs w:val="18"/>
              </w:rPr>
              <w:t>22,035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49E" w14:textId="77777777" w:rsidR="001B77DD" w:rsidRDefault="001B77DD">
            <w:pPr>
              <w:jc w:val="right"/>
              <w:rPr>
                <w:rFonts w:ascii="宋体"/>
              </w:rPr>
            </w:pPr>
          </w:p>
        </w:tc>
      </w:tr>
    </w:tbl>
    <w:p w14:paraId="675364A0" w14:textId="77777777" w:rsidR="001B77DD" w:rsidRDefault="00BF0A28">
      <w:pPr>
        <w:spacing w:before="180" w:after="120"/>
      </w:pPr>
      <w:r>
        <w:rPr>
          <w:rFonts w:ascii="Arial" w:eastAsia="宋体" w:hAnsi="Arial" w:cs="Arial"/>
          <w:color w:val="262626"/>
          <w:sz w:val="18"/>
          <w:szCs w:val="18"/>
        </w:rPr>
        <w:t>Disaggregated net revenue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48"/>
        <w:gridCol w:w="38"/>
        <w:gridCol w:w="36"/>
        <w:gridCol w:w="36"/>
        <w:gridCol w:w="36"/>
        <w:gridCol w:w="121"/>
        <w:gridCol w:w="805"/>
        <w:gridCol w:w="36"/>
        <w:gridCol w:w="36"/>
        <w:gridCol w:w="36"/>
        <w:gridCol w:w="36"/>
        <w:gridCol w:w="121"/>
        <w:gridCol w:w="805"/>
        <w:gridCol w:w="36"/>
        <w:gridCol w:w="36"/>
        <w:gridCol w:w="36"/>
        <w:gridCol w:w="36"/>
        <w:gridCol w:w="121"/>
        <w:gridCol w:w="806"/>
        <w:gridCol w:w="36"/>
      </w:tblGrid>
      <w:tr w:rsidR="001B77DD" w14:paraId="675364B6" w14:textId="77777777">
        <w:tc>
          <w:tcPr>
            <w:tcW w:w="50" w:type="pct"/>
            <w:shd w:val="clear" w:color="auto" w:fill="auto"/>
            <w:vAlign w:val="bottom"/>
          </w:tcPr>
          <w:p w14:paraId="675364A1" w14:textId="77777777" w:rsidR="001B77DD" w:rsidRDefault="001B77DD">
            <w:pPr>
              <w:rPr>
                <w:rFonts w:ascii="宋体"/>
              </w:rPr>
            </w:pPr>
          </w:p>
        </w:tc>
        <w:tc>
          <w:tcPr>
            <w:tcW w:w="3059" w:type="pct"/>
            <w:shd w:val="clear" w:color="auto" w:fill="auto"/>
            <w:vAlign w:val="bottom"/>
          </w:tcPr>
          <w:p w14:paraId="675364A2" w14:textId="77777777" w:rsidR="001B77DD" w:rsidRDefault="001B77DD">
            <w:pPr>
              <w:rPr>
                <w:rFonts w:ascii="宋体"/>
              </w:rPr>
            </w:pPr>
          </w:p>
        </w:tc>
        <w:tc>
          <w:tcPr>
            <w:tcW w:w="5" w:type="pct"/>
            <w:shd w:val="clear" w:color="auto" w:fill="auto"/>
            <w:vAlign w:val="bottom"/>
          </w:tcPr>
          <w:p w14:paraId="675364A3" w14:textId="77777777" w:rsidR="001B77DD" w:rsidRDefault="001B77DD">
            <w:pPr>
              <w:rPr>
                <w:rFonts w:ascii="宋体"/>
              </w:rPr>
            </w:pPr>
          </w:p>
        </w:tc>
        <w:tc>
          <w:tcPr>
            <w:tcW w:w="5" w:type="pct"/>
            <w:shd w:val="clear" w:color="auto" w:fill="auto"/>
            <w:vAlign w:val="bottom"/>
          </w:tcPr>
          <w:p w14:paraId="675364A4" w14:textId="77777777" w:rsidR="001B77DD" w:rsidRDefault="001B77DD">
            <w:pPr>
              <w:rPr>
                <w:rFonts w:ascii="宋体"/>
              </w:rPr>
            </w:pPr>
          </w:p>
        </w:tc>
        <w:tc>
          <w:tcPr>
            <w:tcW w:w="24" w:type="pct"/>
            <w:shd w:val="clear" w:color="auto" w:fill="auto"/>
            <w:vAlign w:val="bottom"/>
          </w:tcPr>
          <w:p w14:paraId="675364A5" w14:textId="77777777" w:rsidR="001B77DD" w:rsidRDefault="001B77DD">
            <w:pPr>
              <w:rPr>
                <w:rFonts w:ascii="宋体"/>
              </w:rPr>
            </w:pPr>
          </w:p>
        </w:tc>
        <w:tc>
          <w:tcPr>
            <w:tcW w:w="5" w:type="pct"/>
            <w:shd w:val="clear" w:color="auto" w:fill="auto"/>
            <w:vAlign w:val="bottom"/>
          </w:tcPr>
          <w:p w14:paraId="675364A6" w14:textId="77777777" w:rsidR="001B77DD" w:rsidRDefault="001B77DD">
            <w:pPr>
              <w:rPr>
                <w:rFonts w:ascii="宋体"/>
              </w:rPr>
            </w:pPr>
          </w:p>
        </w:tc>
        <w:tc>
          <w:tcPr>
            <w:tcW w:w="50" w:type="pct"/>
            <w:shd w:val="clear" w:color="auto" w:fill="auto"/>
            <w:vAlign w:val="bottom"/>
          </w:tcPr>
          <w:p w14:paraId="675364A7" w14:textId="77777777" w:rsidR="001B77DD" w:rsidRDefault="001B77DD">
            <w:pPr>
              <w:rPr>
                <w:rFonts w:ascii="宋体"/>
              </w:rPr>
            </w:pPr>
          </w:p>
        </w:tc>
        <w:tc>
          <w:tcPr>
            <w:tcW w:w="539" w:type="pct"/>
            <w:shd w:val="clear" w:color="auto" w:fill="auto"/>
            <w:vAlign w:val="bottom"/>
          </w:tcPr>
          <w:p w14:paraId="675364A8" w14:textId="77777777" w:rsidR="001B77DD" w:rsidRDefault="001B77DD">
            <w:pPr>
              <w:rPr>
                <w:rFonts w:ascii="宋体"/>
              </w:rPr>
            </w:pPr>
          </w:p>
        </w:tc>
        <w:tc>
          <w:tcPr>
            <w:tcW w:w="5" w:type="pct"/>
            <w:shd w:val="clear" w:color="auto" w:fill="auto"/>
            <w:vAlign w:val="bottom"/>
          </w:tcPr>
          <w:p w14:paraId="675364A9" w14:textId="77777777" w:rsidR="001B77DD" w:rsidRDefault="001B77DD">
            <w:pPr>
              <w:rPr>
                <w:rFonts w:ascii="宋体"/>
              </w:rPr>
            </w:pPr>
          </w:p>
        </w:tc>
        <w:tc>
          <w:tcPr>
            <w:tcW w:w="5" w:type="pct"/>
            <w:shd w:val="clear" w:color="auto" w:fill="auto"/>
            <w:vAlign w:val="bottom"/>
          </w:tcPr>
          <w:p w14:paraId="675364AA" w14:textId="77777777" w:rsidR="001B77DD" w:rsidRDefault="001B77DD">
            <w:pPr>
              <w:rPr>
                <w:rFonts w:ascii="宋体"/>
              </w:rPr>
            </w:pPr>
          </w:p>
        </w:tc>
        <w:tc>
          <w:tcPr>
            <w:tcW w:w="24" w:type="pct"/>
            <w:shd w:val="clear" w:color="auto" w:fill="auto"/>
            <w:vAlign w:val="bottom"/>
          </w:tcPr>
          <w:p w14:paraId="675364AB" w14:textId="77777777" w:rsidR="001B77DD" w:rsidRDefault="001B77DD">
            <w:pPr>
              <w:rPr>
                <w:rFonts w:ascii="宋体"/>
              </w:rPr>
            </w:pPr>
          </w:p>
        </w:tc>
        <w:tc>
          <w:tcPr>
            <w:tcW w:w="5" w:type="pct"/>
            <w:shd w:val="clear" w:color="auto" w:fill="auto"/>
            <w:vAlign w:val="bottom"/>
          </w:tcPr>
          <w:p w14:paraId="675364AC" w14:textId="77777777" w:rsidR="001B77DD" w:rsidRDefault="001B77DD">
            <w:pPr>
              <w:rPr>
                <w:rFonts w:ascii="宋体"/>
              </w:rPr>
            </w:pPr>
          </w:p>
        </w:tc>
        <w:tc>
          <w:tcPr>
            <w:tcW w:w="50" w:type="pct"/>
            <w:shd w:val="clear" w:color="auto" w:fill="auto"/>
            <w:vAlign w:val="bottom"/>
          </w:tcPr>
          <w:p w14:paraId="675364AD" w14:textId="77777777" w:rsidR="001B77DD" w:rsidRDefault="001B77DD">
            <w:pPr>
              <w:rPr>
                <w:rFonts w:ascii="宋体"/>
              </w:rPr>
            </w:pPr>
          </w:p>
        </w:tc>
        <w:tc>
          <w:tcPr>
            <w:tcW w:w="539" w:type="pct"/>
            <w:shd w:val="clear" w:color="auto" w:fill="auto"/>
            <w:vAlign w:val="bottom"/>
          </w:tcPr>
          <w:p w14:paraId="675364AE" w14:textId="77777777" w:rsidR="001B77DD" w:rsidRDefault="001B77DD">
            <w:pPr>
              <w:rPr>
                <w:rFonts w:ascii="宋体"/>
              </w:rPr>
            </w:pPr>
          </w:p>
        </w:tc>
        <w:tc>
          <w:tcPr>
            <w:tcW w:w="5" w:type="pct"/>
            <w:shd w:val="clear" w:color="auto" w:fill="auto"/>
            <w:vAlign w:val="bottom"/>
          </w:tcPr>
          <w:p w14:paraId="675364AF" w14:textId="77777777" w:rsidR="001B77DD" w:rsidRDefault="001B77DD">
            <w:pPr>
              <w:rPr>
                <w:rFonts w:ascii="宋体"/>
              </w:rPr>
            </w:pPr>
          </w:p>
        </w:tc>
        <w:tc>
          <w:tcPr>
            <w:tcW w:w="5" w:type="pct"/>
            <w:shd w:val="clear" w:color="auto" w:fill="auto"/>
            <w:vAlign w:val="bottom"/>
          </w:tcPr>
          <w:p w14:paraId="675364B0" w14:textId="77777777" w:rsidR="001B77DD" w:rsidRDefault="001B77DD">
            <w:pPr>
              <w:rPr>
                <w:rFonts w:ascii="宋体"/>
              </w:rPr>
            </w:pPr>
          </w:p>
        </w:tc>
        <w:tc>
          <w:tcPr>
            <w:tcW w:w="24" w:type="pct"/>
            <w:shd w:val="clear" w:color="auto" w:fill="auto"/>
            <w:vAlign w:val="bottom"/>
          </w:tcPr>
          <w:p w14:paraId="675364B1" w14:textId="77777777" w:rsidR="001B77DD" w:rsidRDefault="001B77DD">
            <w:pPr>
              <w:rPr>
                <w:rFonts w:ascii="宋体"/>
              </w:rPr>
            </w:pPr>
          </w:p>
        </w:tc>
        <w:tc>
          <w:tcPr>
            <w:tcW w:w="5" w:type="pct"/>
            <w:shd w:val="clear" w:color="auto" w:fill="auto"/>
            <w:vAlign w:val="bottom"/>
          </w:tcPr>
          <w:p w14:paraId="675364B2" w14:textId="77777777" w:rsidR="001B77DD" w:rsidRDefault="001B77DD">
            <w:pPr>
              <w:rPr>
                <w:rFonts w:ascii="宋体"/>
              </w:rPr>
            </w:pPr>
          </w:p>
        </w:tc>
        <w:tc>
          <w:tcPr>
            <w:tcW w:w="50" w:type="pct"/>
            <w:shd w:val="clear" w:color="auto" w:fill="auto"/>
            <w:vAlign w:val="bottom"/>
          </w:tcPr>
          <w:p w14:paraId="675364B3" w14:textId="77777777" w:rsidR="001B77DD" w:rsidRDefault="001B77DD">
            <w:pPr>
              <w:rPr>
                <w:rFonts w:ascii="宋体"/>
              </w:rPr>
            </w:pPr>
          </w:p>
        </w:tc>
        <w:tc>
          <w:tcPr>
            <w:tcW w:w="539" w:type="pct"/>
            <w:shd w:val="clear" w:color="auto" w:fill="auto"/>
            <w:vAlign w:val="bottom"/>
          </w:tcPr>
          <w:p w14:paraId="675364B4" w14:textId="77777777" w:rsidR="001B77DD" w:rsidRDefault="001B77DD">
            <w:pPr>
              <w:rPr>
                <w:rFonts w:ascii="宋体"/>
              </w:rPr>
            </w:pPr>
          </w:p>
        </w:tc>
        <w:tc>
          <w:tcPr>
            <w:tcW w:w="5" w:type="pct"/>
            <w:shd w:val="clear" w:color="auto" w:fill="auto"/>
            <w:vAlign w:val="bottom"/>
          </w:tcPr>
          <w:p w14:paraId="675364B5" w14:textId="77777777" w:rsidR="001B77DD" w:rsidRDefault="001B77DD">
            <w:pPr>
              <w:rPr>
                <w:rFonts w:ascii="宋体"/>
              </w:rPr>
            </w:pPr>
          </w:p>
        </w:tc>
      </w:tr>
      <w:tr w:rsidR="001B77DD" w14:paraId="675364BE" w14:textId="77777777">
        <w:tc>
          <w:tcPr>
            <w:tcW w:w="0" w:type="auto"/>
            <w:gridSpan w:val="3"/>
            <w:shd w:val="clear" w:color="auto" w:fill="auto"/>
            <w:tcMar>
              <w:top w:w="40" w:type="dxa"/>
              <w:left w:w="20" w:type="dxa"/>
              <w:bottom w:w="40" w:type="dxa"/>
              <w:right w:w="20" w:type="dxa"/>
            </w:tcMar>
            <w:vAlign w:val="bottom"/>
          </w:tcPr>
          <w:p w14:paraId="675364B7"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675364B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4B9"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4B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4BB"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4B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4BD"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4C6" w14:textId="77777777">
        <w:tc>
          <w:tcPr>
            <w:tcW w:w="0" w:type="auto"/>
            <w:gridSpan w:val="3"/>
            <w:tcBorders>
              <w:top w:val="single" w:sz="8" w:space="0" w:color="0068B5"/>
            </w:tcBorders>
            <w:shd w:val="clear" w:color="auto" w:fill="auto"/>
            <w:tcMar>
              <w:top w:w="40" w:type="dxa"/>
              <w:left w:w="155" w:type="dxa"/>
              <w:bottom w:w="40" w:type="dxa"/>
              <w:right w:w="20" w:type="dxa"/>
            </w:tcMar>
            <w:vAlign w:val="bottom"/>
          </w:tcPr>
          <w:p w14:paraId="675364BF" w14:textId="77777777" w:rsidR="001B77DD" w:rsidRDefault="00BF0A28">
            <w:pPr>
              <w:textAlignment w:val="bottom"/>
            </w:pPr>
            <w:r>
              <w:rPr>
                <w:rFonts w:ascii="Arial" w:eastAsia="宋体" w:hAnsi="Arial" w:cs="Arial"/>
                <w:b/>
                <w:bCs/>
                <w:color w:val="262626"/>
                <w:sz w:val="18"/>
                <w:szCs w:val="18"/>
              </w:rPr>
              <w:t>Platform revenue</w:t>
            </w:r>
          </w:p>
        </w:tc>
        <w:tc>
          <w:tcPr>
            <w:tcW w:w="0" w:type="auto"/>
            <w:gridSpan w:val="3"/>
            <w:shd w:val="clear" w:color="auto" w:fill="auto"/>
            <w:tcMar>
              <w:top w:w="0" w:type="dxa"/>
              <w:left w:w="20" w:type="dxa"/>
              <w:bottom w:w="0" w:type="dxa"/>
              <w:right w:w="20" w:type="dxa"/>
            </w:tcMar>
            <w:vAlign w:val="bottom"/>
          </w:tcPr>
          <w:p w14:paraId="675364C0"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4C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C2"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4C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4C4"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4C5" w14:textId="77777777" w:rsidR="001B77DD" w:rsidRDefault="001B77DD">
            <w:pPr>
              <w:rPr>
                <w:rFonts w:ascii="宋体"/>
              </w:rPr>
            </w:pPr>
          </w:p>
        </w:tc>
      </w:tr>
      <w:tr w:rsidR="001B77DD" w14:paraId="675364D4" w14:textId="77777777">
        <w:tc>
          <w:tcPr>
            <w:tcW w:w="0" w:type="auto"/>
            <w:gridSpan w:val="3"/>
            <w:shd w:val="clear" w:color="auto" w:fill="auto"/>
            <w:tcMar>
              <w:top w:w="40" w:type="dxa"/>
              <w:left w:w="380" w:type="dxa"/>
              <w:bottom w:w="40" w:type="dxa"/>
              <w:right w:w="20" w:type="dxa"/>
            </w:tcMar>
            <w:vAlign w:val="bottom"/>
          </w:tcPr>
          <w:p w14:paraId="675364C7" w14:textId="77777777" w:rsidR="001B77DD" w:rsidRDefault="00BF0A28">
            <w:pPr>
              <w:textAlignment w:val="bottom"/>
            </w:pPr>
            <w:r>
              <w:rPr>
                <w:rFonts w:ascii="Arial" w:eastAsia="宋体" w:hAnsi="Arial" w:cs="Arial"/>
                <w:color w:val="262626"/>
                <w:sz w:val="18"/>
                <w:szCs w:val="18"/>
              </w:rPr>
              <w:t>CCG notebook platform</w:t>
            </w:r>
          </w:p>
        </w:tc>
        <w:tc>
          <w:tcPr>
            <w:tcW w:w="0" w:type="auto"/>
            <w:gridSpan w:val="3"/>
            <w:shd w:val="clear" w:color="auto" w:fill="auto"/>
            <w:tcMar>
              <w:top w:w="0" w:type="dxa"/>
              <w:left w:w="20" w:type="dxa"/>
              <w:bottom w:w="0" w:type="dxa"/>
              <w:right w:w="20" w:type="dxa"/>
            </w:tcMar>
            <w:vAlign w:val="bottom"/>
          </w:tcPr>
          <w:p w14:paraId="675364C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4C9"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64CA" w14:textId="77777777" w:rsidR="001B77DD" w:rsidRDefault="00BF0A28">
            <w:pPr>
              <w:jc w:val="right"/>
              <w:textAlignment w:val="bottom"/>
            </w:pPr>
            <w:r>
              <w:rPr>
                <w:rFonts w:ascii="Arial" w:eastAsia="宋体" w:hAnsi="Arial" w:cs="Arial"/>
                <w:color w:val="0068B5"/>
                <w:sz w:val="18"/>
                <w:szCs w:val="18"/>
              </w:rPr>
              <w:t>25,475 </w:t>
            </w:r>
          </w:p>
        </w:tc>
        <w:tc>
          <w:tcPr>
            <w:tcW w:w="0" w:type="auto"/>
            <w:shd w:val="clear" w:color="auto" w:fill="auto"/>
            <w:tcMar>
              <w:top w:w="40" w:type="dxa"/>
              <w:left w:w="0" w:type="dxa"/>
              <w:bottom w:w="40" w:type="dxa"/>
              <w:right w:w="20" w:type="dxa"/>
            </w:tcMar>
            <w:vAlign w:val="bottom"/>
          </w:tcPr>
          <w:p w14:paraId="675364C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C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4CD"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4CE" w14:textId="77777777" w:rsidR="001B77DD" w:rsidRDefault="00BF0A28">
            <w:pPr>
              <w:jc w:val="right"/>
              <w:textAlignment w:val="bottom"/>
            </w:pPr>
            <w:r>
              <w:rPr>
                <w:rFonts w:ascii="Arial" w:eastAsia="宋体" w:hAnsi="Arial" w:cs="Arial"/>
                <w:color w:val="262626"/>
                <w:sz w:val="18"/>
                <w:szCs w:val="18"/>
              </w:rPr>
              <w:t>24,903 </w:t>
            </w:r>
          </w:p>
        </w:tc>
        <w:tc>
          <w:tcPr>
            <w:tcW w:w="0" w:type="auto"/>
            <w:shd w:val="clear" w:color="auto" w:fill="auto"/>
            <w:tcMar>
              <w:top w:w="40" w:type="dxa"/>
              <w:left w:w="0" w:type="dxa"/>
              <w:bottom w:w="40" w:type="dxa"/>
              <w:right w:w="20" w:type="dxa"/>
            </w:tcMar>
            <w:vAlign w:val="bottom"/>
          </w:tcPr>
          <w:p w14:paraId="675364C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D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4D1"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4D2" w14:textId="77777777" w:rsidR="001B77DD" w:rsidRDefault="00BF0A28">
            <w:pPr>
              <w:jc w:val="right"/>
              <w:textAlignment w:val="bottom"/>
            </w:pPr>
            <w:r>
              <w:rPr>
                <w:rFonts w:ascii="Arial" w:eastAsia="宋体" w:hAnsi="Arial" w:cs="Arial"/>
                <w:color w:val="262626"/>
                <w:sz w:val="18"/>
                <w:szCs w:val="18"/>
              </w:rPr>
              <w:t>20,779 </w:t>
            </w:r>
          </w:p>
        </w:tc>
        <w:tc>
          <w:tcPr>
            <w:tcW w:w="0" w:type="auto"/>
            <w:shd w:val="clear" w:color="auto" w:fill="auto"/>
            <w:tcMar>
              <w:top w:w="40" w:type="dxa"/>
              <w:left w:w="0" w:type="dxa"/>
              <w:bottom w:w="40" w:type="dxa"/>
              <w:right w:w="20" w:type="dxa"/>
            </w:tcMar>
            <w:vAlign w:val="bottom"/>
          </w:tcPr>
          <w:p w14:paraId="675364D3" w14:textId="77777777" w:rsidR="001B77DD" w:rsidRDefault="001B77DD">
            <w:pPr>
              <w:jc w:val="right"/>
              <w:rPr>
                <w:rFonts w:ascii="宋体"/>
              </w:rPr>
            </w:pPr>
          </w:p>
        </w:tc>
      </w:tr>
      <w:tr w:rsidR="001B77DD" w14:paraId="675364DF" w14:textId="77777777">
        <w:tc>
          <w:tcPr>
            <w:tcW w:w="0" w:type="auto"/>
            <w:gridSpan w:val="3"/>
            <w:shd w:val="clear" w:color="auto" w:fill="auto"/>
            <w:tcMar>
              <w:top w:w="40" w:type="dxa"/>
              <w:left w:w="380" w:type="dxa"/>
              <w:bottom w:w="40" w:type="dxa"/>
              <w:right w:w="20" w:type="dxa"/>
            </w:tcMar>
            <w:vAlign w:val="bottom"/>
          </w:tcPr>
          <w:p w14:paraId="675364D5" w14:textId="77777777" w:rsidR="001B77DD" w:rsidRDefault="00BF0A28">
            <w:pPr>
              <w:textAlignment w:val="bottom"/>
            </w:pPr>
            <w:r>
              <w:rPr>
                <w:rFonts w:ascii="Arial" w:eastAsia="宋体" w:hAnsi="Arial" w:cs="Arial"/>
                <w:color w:val="262626"/>
                <w:sz w:val="18"/>
                <w:szCs w:val="18"/>
              </w:rPr>
              <w:t>CCG desktop platform</w:t>
            </w:r>
          </w:p>
        </w:tc>
        <w:tc>
          <w:tcPr>
            <w:tcW w:w="0" w:type="auto"/>
            <w:gridSpan w:val="3"/>
            <w:shd w:val="clear" w:color="auto" w:fill="auto"/>
            <w:tcMar>
              <w:top w:w="0" w:type="dxa"/>
              <w:left w:w="20" w:type="dxa"/>
              <w:bottom w:w="0" w:type="dxa"/>
              <w:right w:w="20" w:type="dxa"/>
            </w:tcMar>
            <w:vAlign w:val="bottom"/>
          </w:tcPr>
          <w:p w14:paraId="675364D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D7" w14:textId="77777777" w:rsidR="001B77DD" w:rsidRDefault="00BF0A28">
            <w:pPr>
              <w:jc w:val="right"/>
              <w:textAlignment w:val="bottom"/>
            </w:pPr>
            <w:r>
              <w:rPr>
                <w:rFonts w:ascii="Arial" w:eastAsia="宋体" w:hAnsi="Arial" w:cs="Arial"/>
                <w:color w:val="0068B5"/>
                <w:sz w:val="18"/>
                <w:szCs w:val="18"/>
              </w:rPr>
              <w:t>11,835 </w:t>
            </w:r>
          </w:p>
        </w:tc>
        <w:tc>
          <w:tcPr>
            <w:tcW w:w="0" w:type="auto"/>
            <w:shd w:val="clear" w:color="auto" w:fill="auto"/>
            <w:tcMar>
              <w:top w:w="40" w:type="dxa"/>
              <w:left w:w="0" w:type="dxa"/>
              <w:bottom w:w="40" w:type="dxa"/>
              <w:right w:w="20" w:type="dxa"/>
            </w:tcMar>
            <w:vAlign w:val="bottom"/>
          </w:tcPr>
          <w:p w14:paraId="675364D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D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DA" w14:textId="77777777" w:rsidR="001B77DD" w:rsidRDefault="00BF0A28">
            <w:pPr>
              <w:jc w:val="right"/>
              <w:textAlignment w:val="bottom"/>
            </w:pPr>
            <w:r>
              <w:rPr>
                <w:rFonts w:ascii="Arial" w:eastAsia="宋体" w:hAnsi="Arial" w:cs="Arial"/>
                <w:color w:val="262626"/>
                <w:sz w:val="18"/>
                <w:szCs w:val="18"/>
              </w:rPr>
              <w:t>10,692 </w:t>
            </w:r>
          </w:p>
        </w:tc>
        <w:tc>
          <w:tcPr>
            <w:tcW w:w="0" w:type="auto"/>
            <w:shd w:val="clear" w:color="auto" w:fill="auto"/>
            <w:tcMar>
              <w:top w:w="40" w:type="dxa"/>
              <w:left w:w="0" w:type="dxa"/>
              <w:bottom w:w="40" w:type="dxa"/>
              <w:right w:w="20" w:type="dxa"/>
            </w:tcMar>
            <w:vAlign w:val="bottom"/>
          </w:tcPr>
          <w:p w14:paraId="675364D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D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DD" w14:textId="77777777" w:rsidR="001B77DD" w:rsidRDefault="00BF0A28">
            <w:pPr>
              <w:jc w:val="right"/>
              <w:textAlignment w:val="bottom"/>
            </w:pPr>
            <w:r>
              <w:rPr>
                <w:rFonts w:ascii="Arial" w:eastAsia="宋体" w:hAnsi="Arial" w:cs="Arial"/>
                <w:color w:val="262626"/>
                <w:sz w:val="18"/>
                <w:szCs w:val="18"/>
              </w:rPr>
              <w:t>11,822 </w:t>
            </w:r>
          </w:p>
        </w:tc>
        <w:tc>
          <w:tcPr>
            <w:tcW w:w="0" w:type="auto"/>
            <w:shd w:val="clear" w:color="auto" w:fill="auto"/>
            <w:tcMar>
              <w:top w:w="40" w:type="dxa"/>
              <w:left w:w="0" w:type="dxa"/>
              <w:bottom w:w="40" w:type="dxa"/>
              <w:right w:w="20" w:type="dxa"/>
            </w:tcMar>
            <w:vAlign w:val="bottom"/>
          </w:tcPr>
          <w:p w14:paraId="675364DE" w14:textId="77777777" w:rsidR="001B77DD" w:rsidRDefault="001B77DD">
            <w:pPr>
              <w:jc w:val="right"/>
              <w:rPr>
                <w:rFonts w:ascii="宋体"/>
              </w:rPr>
            </w:pPr>
          </w:p>
        </w:tc>
      </w:tr>
      <w:tr w:rsidR="001B77DD" w14:paraId="675364EA" w14:textId="77777777">
        <w:tc>
          <w:tcPr>
            <w:tcW w:w="0" w:type="auto"/>
            <w:gridSpan w:val="3"/>
            <w:shd w:val="clear" w:color="auto" w:fill="auto"/>
            <w:tcMar>
              <w:top w:w="40" w:type="dxa"/>
              <w:left w:w="20" w:type="dxa"/>
              <w:bottom w:w="40" w:type="dxa"/>
              <w:right w:w="20" w:type="dxa"/>
            </w:tcMar>
            <w:vAlign w:val="bottom"/>
          </w:tcPr>
          <w:p w14:paraId="675364E0" w14:textId="77777777" w:rsidR="001B77DD" w:rsidRDefault="00BF0A28">
            <w:pPr>
              <w:textAlignment w:val="bottom"/>
            </w:pPr>
            <w:r>
              <w:rPr>
                <w:rFonts w:ascii="Arial" w:eastAsia="宋体" w:hAnsi="Arial" w:cs="Arial"/>
                <w:color w:val="262626"/>
                <w:sz w:val="18"/>
                <w:szCs w:val="18"/>
              </w:rPr>
              <w:t>CCG other platform</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675364E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E2" w14:textId="77777777" w:rsidR="001B77DD" w:rsidRDefault="00BF0A28">
            <w:pPr>
              <w:jc w:val="right"/>
              <w:textAlignment w:val="bottom"/>
            </w:pPr>
            <w:r>
              <w:rPr>
                <w:rFonts w:ascii="Arial" w:eastAsia="宋体" w:hAnsi="Arial" w:cs="Arial"/>
                <w:color w:val="0068B5"/>
                <w:sz w:val="18"/>
                <w:szCs w:val="18"/>
              </w:rPr>
              <w:t>66 </w:t>
            </w:r>
          </w:p>
        </w:tc>
        <w:tc>
          <w:tcPr>
            <w:tcW w:w="0" w:type="auto"/>
            <w:shd w:val="clear" w:color="auto" w:fill="auto"/>
            <w:tcMar>
              <w:top w:w="40" w:type="dxa"/>
              <w:left w:w="0" w:type="dxa"/>
              <w:bottom w:w="40" w:type="dxa"/>
              <w:right w:w="20" w:type="dxa"/>
            </w:tcMar>
            <w:vAlign w:val="bottom"/>
          </w:tcPr>
          <w:p w14:paraId="675364E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E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E5" w14:textId="77777777" w:rsidR="001B77DD" w:rsidRDefault="00BF0A28">
            <w:pPr>
              <w:jc w:val="right"/>
              <w:textAlignment w:val="bottom"/>
            </w:pPr>
            <w:r>
              <w:rPr>
                <w:rFonts w:ascii="Arial" w:eastAsia="宋体" w:hAnsi="Arial" w:cs="Arial"/>
                <w:color w:val="262626"/>
                <w:sz w:val="18"/>
                <w:szCs w:val="18"/>
              </w:rPr>
              <w:t>47 </w:t>
            </w:r>
          </w:p>
        </w:tc>
        <w:tc>
          <w:tcPr>
            <w:tcW w:w="0" w:type="auto"/>
            <w:shd w:val="clear" w:color="auto" w:fill="auto"/>
            <w:tcMar>
              <w:top w:w="40" w:type="dxa"/>
              <w:left w:w="0" w:type="dxa"/>
              <w:bottom w:w="40" w:type="dxa"/>
              <w:right w:w="20" w:type="dxa"/>
            </w:tcMar>
            <w:vAlign w:val="bottom"/>
          </w:tcPr>
          <w:p w14:paraId="675364E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E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E8" w14:textId="77777777" w:rsidR="001B77DD" w:rsidRDefault="00BF0A28">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675364E9" w14:textId="77777777" w:rsidR="001B77DD" w:rsidRDefault="001B77DD">
            <w:pPr>
              <w:jc w:val="right"/>
              <w:rPr>
                <w:rFonts w:ascii="宋体"/>
              </w:rPr>
            </w:pPr>
          </w:p>
        </w:tc>
      </w:tr>
      <w:tr w:rsidR="001B77DD" w14:paraId="675364F5" w14:textId="77777777">
        <w:tc>
          <w:tcPr>
            <w:tcW w:w="0" w:type="auto"/>
            <w:gridSpan w:val="3"/>
            <w:shd w:val="clear" w:color="auto" w:fill="auto"/>
            <w:tcMar>
              <w:top w:w="40" w:type="dxa"/>
              <w:left w:w="380" w:type="dxa"/>
              <w:bottom w:w="40" w:type="dxa"/>
              <w:right w:w="20" w:type="dxa"/>
            </w:tcMar>
            <w:vAlign w:val="bottom"/>
          </w:tcPr>
          <w:p w14:paraId="675364EB" w14:textId="77777777" w:rsidR="001B77DD" w:rsidRDefault="00BF0A28">
            <w:pPr>
              <w:textAlignment w:val="bottom"/>
            </w:pPr>
            <w:r>
              <w:rPr>
                <w:rFonts w:ascii="Arial" w:eastAsia="宋体" w:hAnsi="Arial" w:cs="Arial"/>
                <w:color w:val="262626"/>
                <w:sz w:val="18"/>
                <w:szCs w:val="18"/>
              </w:rPr>
              <w:t>DCG platform</w:t>
            </w:r>
          </w:p>
        </w:tc>
        <w:tc>
          <w:tcPr>
            <w:tcW w:w="0" w:type="auto"/>
            <w:gridSpan w:val="3"/>
            <w:shd w:val="clear" w:color="auto" w:fill="auto"/>
            <w:tcMar>
              <w:top w:w="0" w:type="dxa"/>
              <w:left w:w="20" w:type="dxa"/>
              <w:bottom w:w="0" w:type="dxa"/>
              <w:right w:w="20" w:type="dxa"/>
            </w:tcMar>
            <w:vAlign w:val="bottom"/>
          </w:tcPr>
          <w:p w14:paraId="675364E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ED" w14:textId="77777777" w:rsidR="001B77DD" w:rsidRDefault="00BF0A28">
            <w:pPr>
              <w:jc w:val="right"/>
              <w:textAlignment w:val="bottom"/>
            </w:pPr>
            <w:r>
              <w:rPr>
                <w:rFonts w:ascii="Arial" w:eastAsia="宋体" w:hAnsi="Arial" w:cs="Arial"/>
                <w:color w:val="0068B5"/>
                <w:sz w:val="18"/>
                <w:szCs w:val="18"/>
              </w:rPr>
              <w:t>22,703 </w:t>
            </w:r>
          </w:p>
        </w:tc>
        <w:tc>
          <w:tcPr>
            <w:tcW w:w="0" w:type="auto"/>
            <w:shd w:val="clear" w:color="auto" w:fill="auto"/>
            <w:tcMar>
              <w:top w:w="40" w:type="dxa"/>
              <w:left w:w="0" w:type="dxa"/>
              <w:bottom w:w="40" w:type="dxa"/>
              <w:right w:w="20" w:type="dxa"/>
            </w:tcMar>
            <w:vAlign w:val="bottom"/>
          </w:tcPr>
          <w:p w14:paraId="675364E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E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F0" w14:textId="77777777" w:rsidR="001B77DD" w:rsidRDefault="00BF0A28">
            <w:pPr>
              <w:jc w:val="right"/>
              <w:textAlignment w:val="bottom"/>
            </w:pPr>
            <w:r>
              <w:rPr>
                <w:rFonts w:ascii="Arial" w:eastAsia="宋体" w:hAnsi="Arial" w:cs="Arial"/>
                <w:color w:val="262626"/>
                <w:sz w:val="18"/>
                <w:szCs w:val="18"/>
              </w:rPr>
              <w:t>23,056 </w:t>
            </w:r>
          </w:p>
        </w:tc>
        <w:tc>
          <w:tcPr>
            <w:tcW w:w="0" w:type="auto"/>
            <w:shd w:val="clear" w:color="auto" w:fill="auto"/>
            <w:tcMar>
              <w:top w:w="40" w:type="dxa"/>
              <w:left w:w="0" w:type="dxa"/>
              <w:bottom w:w="40" w:type="dxa"/>
              <w:right w:w="20" w:type="dxa"/>
            </w:tcMar>
            <w:vAlign w:val="bottom"/>
          </w:tcPr>
          <w:p w14:paraId="675364F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F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F3" w14:textId="77777777" w:rsidR="001B77DD" w:rsidRDefault="00BF0A28">
            <w:pPr>
              <w:jc w:val="right"/>
              <w:textAlignment w:val="bottom"/>
            </w:pPr>
            <w:r>
              <w:rPr>
                <w:rFonts w:ascii="Arial" w:eastAsia="宋体" w:hAnsi="Arial" w:cs="Arial"/>
                <w:color w:val="262626"/>
                <w:sz w:val="18"/>
                <w:szCs w:val="18"/>
              </w:rPr>
              <w:t>21,441 </w:t>
            </w:r>
          </w:p>
        </w:tc>
        <w:tc>
          <w:tcPr>
            <w:tcW w:w="0" w:type="auto"/>
            <w:shd w:val="clear" w:color="auto" w:fill="auto"/>
            <w:tcMar>
              <w:top w:w="40" w:type="dxa"/>
              <w:left w:w="0" w:type="dxa"/>
              <w:bottom w:w="40" w:type="dxa"/>
              <w:right w:w="20" w:type="dxa"/>
            </w:tcMar>
            <w:vAlign w:val="bottom"/>
          </w:tcPr>
          <w:p w14:paraId="675364F4" w14:textId="77777777" w:rsidR="001B77DD" w:rsidRDefault="001B77DD">
            <w:pPr>
              <w:jc w:val="right"/>
              <w:rPr>
                <w:rFonts w:ascii="宋体"/>
              </w:rPr>
            </w:pPr>
          </w:p>
        </w:tc>
      </w:tr>
      <w:tr w:rsidR="001B77DD" w14:paraId="67536500" w14:textId="77777777">
        <w:tc>
          <w:tcPr>
            <w:tcW w:w="0" w:type="auto"/>
            <w:gridSpan w:val="3"/>
            <w:shd w:val="clear" w:color="auto" w:fill="auto"/>
            <w:tcMar>
              <w:top w:w="40" w:type="dxa"/>
              <w:left w:w="380" w:type="dxa"/>
              <w:bottom w:w="40" w:type="dxa"/>
              <w:right w:w="20" w:type="dxa"/>
            </w:tcMar>
            <w:vAlign w:val="bottom"/>
          </w:tcPr>
          <w:p w14:paraId="675364F6" w14:textId="77777777" w:rsidR="001B77DD" w:rsidRDefault="00BF0A28">
            <w:pPr>
              <w:textAlignment w:val="bottom"/>
            </w:pPr>
            <w:r>
              <w:rPr>
                <w:rFonts w:ascii="Arial" w:eastAsia="宋体" w:hAnsi="Arial" w:cs="Arial"/>
                <w:color w:val="262626"/>
                <w:sz w:val="18"/>
                <w:szCs w:val="18"/>
              </w:rPr>
              <w:t>IOTG platform</w:t>
            </w:r>
          </w:p>
        </w:tc>
        <w:tc>
          <w:tcPr>
            <w:tcW w:w="0" w:type="auto"/>
            <w:gridSpan w:val="3"/>
            <w:shd w:val="clear" w:color="auto" w:fill="auto"/>
            <w:tcMar>
              <w:top w:w="0" w:type="dxa"/>
              <w:left w:w="20" w:type="dxa"/>
              <w:bottom w:w="0" w:type="dxa"/>
              <w:right w:w="20" w:type="dxa"/>
            </w:tcMar>
            <w:vAlign w:val="bottom"/>
          </w:tcPr>
          <w:p w14:paraId="675364F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F8" w14:textId="77777777" w:rsidR="001B77DD" w:rsidRDefault="00BF0A28">
            <w:pPr>
              <w:jc w:val="right"/>
              <w:textAlignment w:val="bottom"/>
            </w:pPr>
            <w:r>
              <w:rPr>
                <w:rFonts w:ascii="Arial" w:eastAsia="宋体" w:hAnsi="Arial" w:cs="Arial"/>
                <w:color w:val="0068B5"/>
                <w:sz w:val="18"/>
                <w:szCs w:val="18"/>
              </w:rPr>
              <w:t>3,658 </w:t>
            </w:r>
          </w:p>
        </w:tc>
        <w:tc>
          <w:tcPr>
            <w:tcW w:w="0" w:type="auto"/>
            <w:shd w:val="clear" w:color="auto" w:fill="auto"/>
            <w:tcMar>
              <w:top w:w="40" w:type="dxa"/>
              <w:left w:w="0" w:type="dxa"/>
              <w:bottom w:w="40" w:type="dxa"/>
              <w:right w:w="20" w:type="dxa"/>
            </w:tcMar>
            <w:vAlign w:val="bottom"/>
          </w:tcPr>
          <w:p w14:paraId="675364F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F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FB" w14:textId="77777777" w:rsidR="001B77DD" w:rsidRDefault="00BF0A28">
            <w:pPr>
              <w:jc w:val="right"/>
              <w:textAlignment w:val="bottom"/>
            </w:pPr>
            <w:r>
              <w:rPr>
                <w:rFonts w:ascii="Arial" w:eastAsia="宋体" w:hAnsi="Arial" w:cs="Arial"/>
                <w:color w:val="262626"/>
                <w:sz w:val="18"/>
                <w:szCs w:val="18"/>
              </w:rPr>
              <w:t>2,705 </w:t>
            </w:r>
          </w:p>
        </w:tc>
        <w:tc>
          <w:tcPr>
            <w:tcW w:w="0" w:type="auto"/>
            <w:shd w:val="clear" w:color="auto" w:fill="auto"/>
            <w:tcMar>
              <w:top w:w="40" w:type="dxa"/>
              <w:left w:w="0" w:type="dxa"/>
              <w:bottom w:w="40" w:type="dxa"/>
              <w:right w:w="20" w:type="dxa"/>
            </w:tcMar>
            <w:vAlign w:val="bottom"/>
          </w:tcPr>
          <w:p w14:paraId="675364F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4F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4FE" w14:textId="77777777" w:rsidR="001B77DD" w:rsidRDefault="00BF0A28">
            <w:pPr>
              <w:jc w:val="right"/>
              <w:textAlignment w:val="bottom"/>
            </w:pPr>
            <w:r>
              <w:rPr>
                <w:rFonts w:ascii="Arial" w:eastAsia="宋体" w:hAnsi="Arial" w:cs="Arial"/>
                <w:color w:val="262626"/>
                <w:sz w:val="18"/>
                <w:szCs w:val="18"/>
              </w:rPr>
              <w:t>3,440 </w:t>
            </w:r>
          </w:p>
        </w:tc>
        <w:tc>
          <w:tcPr>
            <w:tcW w:w="0" w:type="auto"/>
            <w:shd w:val="clear" w:color="auto" w:fill="auto"/>
            <w:tcMar>
              <w:top w:w="40" w:type="dxa"/>
              <w:left w:w="0" w:type="dxa"/>
              <w:bottom w:w="40" w:type="dxa"/>
              <w:right w:w="20" w:type="dxa"/>
            </w:tcMar>
            <w:vAlign w:val="bottom"/>
          </w:tcPr>
          <w:p w14:paraId="675364FF" w14:textId="77777777" w:rsidR="001B77DD" w:rsidRDefault="001B77DD">
            <w:pPr>
              <w:jc w:val="right"/>
              <w:rPr>
                <w:rFonts w:ascii="宋体"/>
              </w:rPr>
            </w:pPr>
          </w:p>
        </w:tc>
      </w:tr>
      <w:tr w:rsidR="001B77DD" w14:paraId="6753650B" w14:textId="77777777">
        <w:tc>
          <w:tcPr>
            <w:tcW w:w="0" w:type="auto"/>
            <w:gridSpan w:val="3"/>
            <w:shd w:val="clear" w:color="auto" w:fill="auto"/>
            <w:tcMar>
              <w:top w:w="0" w:type="dxa"/>
              <w:left w:w="20" w:type="dxa"/>
              <w:bottom w:w="0" w:type="dxa"/>
              <w:right w:w="20" w:type="dxa"/>
            </w:tcMar>
            <w:vAlign w:val="bottom"/>
          </w:tcPr>
          <w:p w14:paraId="6753650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502" w14:textId="77777777" w:rsidR="001B77DD" w:rsidRDefault="001B77DD">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7536503" w14:textId="77777777" w:rsidR="001B77DD" w:rsidRDefault="00BF0A28">
            <w:pPr>
              <w:jc w:val="right"/>
              <w:textAlignment w:val="bottom"/>
            </w:pPr>
            <w:r>
              <w:rPr>
                <w:rFonts w:ascii="Arial" w:eastAsia="宋体" w:hAnsi="Arial" w:cs="Arial"/>
                <w:b/>
                <w:bCs/>
                <w:color w:val="0068B5"/>
                <w:sz w:val="18"/>
                <w:szCs w:val="18"/>
              </w:rPr>
              <w:t>63,737</w:t>
            </w:r>
            <w:r>
              <w:rPr>
                <w:rFonts w:ascii="Arial" w:eastAsia="宋体" w:hAnsi="Arial" w:cs="Arial"/>
                <w:color w:val="0068B5"/>
                <w:sz w:val="18"/>
                <w:szCs w:val="18"/>
              </w:rPr>
              <w:t> </w:t>
            </w:r>
          </w:p>
        </w:tc>
        <w:tc>
          <w:tcPr>
            <w:tcW w:w="0" w:type="auto"/>
            <w:tcBorders>
              <w:top w:val="single" w:sz="8" w:space="0" w:color="B6B6B6"/>
            </w:tcBorders>
            <w:shd w:val="clear" w:color="auto" w:fill="auto"/>
            <w:tcMar>
              <w:top w:w="40" w:type="dxa"/>
              <w:left w:w="0" w:type="dxa"/>
              <w:bottom w:w="40" w:type="dxa"/>
              <w:right w:w="20" w:type="dxa"/>
            </w:tcMar>
            <w:vAlign w:val="bottom"/>
          </w:tcPr>
          <w:p w14:paraId="67536504" w14:textId="77777777" w:rsidR="001B77DD" w:rsidRDefault="001B77DD">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vAlign w:val="bottom"/>
          </w:tcPr>
          <w:p w14:paraId="67536505" w14:textId="77777777" w:rsidR="001B77DD" w:rsidRDefault="001B77DD">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7536506" w14:textId="77777777" w:rsidR="001B77DD" w:rsidRDefault="00BF0A28">
            <w:pPr>
              <w:jc w:val="right"/>
              <w:textAlignment w:val="bottom"/>
            </w:pPr>
            <w:r>
              <w:rPr>
                <w:rFonts w:ascii="Arial" w:eastAsia="宋体" w:hAnsi="Arial" w:cs="Arial"/>
                <w:b/>
                <w:bCs/>
                <w:color w:val="262626"/>
                <w:sz w:val="18"/>
                <w:szCs w:val="18"/>
              </w:rPr>
              <w:t>61,403</w:t>
            </w:r>
            <w:r>
              <w:rPr>
                <w:rFonts w:ascii="Arial" w:eastAsia="宋体" w:hAnsi="Arial" w:cs="Arial"/>
                <w:color w:val="262626"/>
                <w:sz w:val="18"/>
                <w:szCs w:val="18"/>
              </w:rPr>
              <w:t> </w:t>
            </w:r>
          </w:p>
        </w:tc>
        <w:tc>
          <w:tcPr>
            <w:tcW w:w="0" w:type="auto"/>
            <w:tcBorders>
              <w:top w:val="single" w:sz="8" w:space="0" w:color="B6B6B6"/>
            </w:tcBorders>
            <w:shd w:val="clear" w:color="auto" w:fill="auto"/>
            <w:tcMar>
              <w:top w:w="40" w:type="dxa"/>
              <w:left w:w="0" w:type="dxa"/>
              <w:bottom w:w="40" w:type="dxa"/>
              <w:right w:w="20" w:type="dxa"/>
            </w:tcMar>
            <w:vAlign w:val="bottom"/>
          </w:tcPr>
          <w:p w14:paraId="67536507" w14:textId="77777777" w:rsidR="001B77DD" w:rsidRDefault="001B77DD">
            <w:pPr>
              <w:jc w:val="right"/>
              <w:rPr>
                <w:rFonts w:ascii="宋体"/>
              </w:rPr>
            </w:pPr>
          </w:p>
        </w:tc>
        <w:tc>
          <w:tcPr>
            <w:tcW w:w="0" w:type="auto"/>
            <w:gridSpan w:val="3"/>
            <w:tcBorders>
              <w:top w:val="single" w:sz="8" w:space="0" w:color="B6B6B6"/>
            </w:tcBorders>
            <w:shd w:val="clear" w:color="auto" w:fill="auto"/>
            <w:tcMar>
              <w:top w:w="0" w:type="dxa"/>
              <w:left w:w="20" w:type="dxa"/>
              <w:bottom w:w="0" w:type="dxa"/>
              <w:right w:w="20" w:type="dxa"/>
            </w:tcMar>
            <w:vAlign w:val="bottom"/>
          </w:tcPr>
          <w:p w14:paraId="67536508" w14:textId="77777777" w:rsidR="001B77DD" w:rsidRDefault="001B77DD">
            <w:pPr>
              <w:rPr>
                <w:rFonts w:ascii="宋体"/>
              </w:rPr>
            </w:pPr>
          </w:p>
        </w:tc>
        <w:tc>
          <w:tcPr>
            <w:tcW w:w="0" w:type="auto"/>
            <w:gridSpan w:val="2"/>
            <w:tcBorders>
              <w:top w:val="single" w:sz="8" w:space="0" w:color="B6B6B6"/>
            </w:tcBorders>
            <w:shd w:val="clear" w:color="auto" w:fill="auto"/>
            <w:tcMar>
              <w:top w:w="40" w:type="dxa"/>
              <w:left w:w="20" w:type="dxa"/>
              <w:bottom w:w="40" w:type="dxa"/>
              <w:right w:w="0" w:type="dxa"/>
            </w:tcMar>
            <w:vAlign w:val="bottom"/>
          </w:tcPr>
          <w:p w14:paraId="67536509" w14:textId="77777777" w:rsidR="001B77DD" w:rsidRDefault="00BF0A28">
            <w:pPr>
              <w:jc w:val="right"/>
              <w:textAlignment w:val="bottom"/>
            </w:pPr>
            <w:r>
              <w:rPr>
                <w:rFonts w:ascii="Arial" w:eastAsia="宋体" w:hAnsi="Arial" w:cs="Arial"/>
                <w:b/>
                <w:bCs/>
                <w:color w:val="262626"/>
                <w:sz w:val="18"/>
                <w:szCs w:val="18"/>
              </w:rPr>
              <w:t>57,562</w:t>
            </w:r>
            <w:r>
              <w:rPr>
                <w:rFonts w:ascii="Arial" w:eastAsia="宋体" w:hAnsi="Arial" w:cs="Arial"/>
                <w:color w:val="262626"/>
                <w:sz w:val="18"/>
                <w:szCs w:val="18"/>
              </w:rPr>
              <w:t> </w:t>
            </w:r>
          </w:p>
        </w:tc>
        <w:tc>
          <w:tcPr>
            <w:tcW w:w="0" w:type="auto"/>
            <w:tcBorders>
              <w:top w:val="single" w:sz="8" w:space="0" w:color="B6B6B6"/>
            </w:tcBorders>
            <w:shd w:val="clear" w:color="auto" w:fill="auto"/>
            <w:tcMar>
              <w:top w:w="40" w:type="dxa"/>
              <w:left w:w="0" w:type="dxa"/>
              <w:bottom w:w="40" w:type="dxa"/>
              <w:right w:w="20" w:type="dxa"/>
            </w:tcMar>
            <w:vAlign w:val="bottom"/>
          </w:tcPr>
          <w:p w14:paraId="6753650A" w14:textId="77777777" w:rsidR="001B77DD" w:rsidRDefault="001B77DD">
            <w:pPr>
              <w:jc w:val="right"/>
              <w:rPr>
                <w:rFonts w:ascii="宋体"/>
              </w:rPr>
            </w:pPr>
          </w:p>
        </w:tc>
      </w:tr>
      <w:tr w:rsidR="001B77DD" w14:paraId="67536513" w14:textId="77777777">
        <w:trPr>
          <w:hidden/>
        </w:trPr>
        <w:tc>
          <w:tcPr>
            <w:tcW w:w="0" w:type="auto"/>
            <w:gridSpan w:val="3"/>
            <w:shd w:val="clear" w:color="auto" w:fill="auto"/>
            <w:vAlign w:val="bottom"/>
          </w:tcPr>
          <w:p w14:paraId="6753650C" w14:textId="77777777" w:rsidR="001B77DD" w:rsidRDefault="001B77DD">
            <w:pPr>
              <w:rPr>
                <w:rFonts w:ascii="宋体"/>
                <w:vanish/>
              </w:rPr>
            </w:pPr>
          </w:p>
        </w:tc>
        <w:tc>
          <w:tcPr>
            <w:tcW w:w="0" w:type="auto"/>
            <w:gridSpan w:val="3"/>
            <w:shd w:val="clear" w:color="auto" w:fill="auto"/>
            <w:vAlign w:val="bottom"/>
          </w:tcPr>
          <w:p w14:paraId="6753650D" w14:textId="77777777" w:rsidR="001B77DD" w:rsidRDefault="001B77DD">
            <w:pPr>
              <w:rPr>
                <w:rFonts w:ascii="宋体"/>
                <w:vanish/>
              </w:rPr>
            </w:pPr>
          </w:p>
        </w:tc>
        <w:tc>
          <w:tcPr>
            <w:tcW w:w="0" w:type="auto"/>
            <w:gridSpan w:val="3"/>
            <w:shd w:val="clear" w:color="auto" w:fill="auto"/>
            <w:vAlign w:val="bottom"/>
          </w:tcPr>
          <w:p w14:paraId="6753650E" w14:textId="77777777" w:rsidR="001B77DD" w:rsidRDefault="001B77DD">
            <w:pPr>
              <w:rPr>
                <w:rFonts w:ascii="宋体"/>
                <w:vanish/>
              </w:rPr>
            </w:pPr>
          </w:p>
        </w:tc>
        <w:tc>
          <w:tcPr>
            <w:tcW w:w="0" w:type="auto"/>
            <w:gridSpan w:val="3"/>
            <w:shd w:val="clear" w:color="auto" w:fill="auto"/>
            <w:vAlign w:val="bottom"/>
          </w:tcPr>
          <w:p w14:paraId="6753650F" w14:textId="77777777" w:rsidR="001B77DD" w:rsidRDefault="001B77DD">
            <w:pPr>
              <w:rPr>
                <w:rFonts w:ascii="宋体"/>
                <w:vanish/>
              </w:rPr>
            </w:pPr>
          </w:p>
        </w:tc>
        <w:tc>
          <w:tcPr>
            <w:tcW w:w="0" w:type="auto"/>
            <w:gridSpan w:val="3"/>
            <w:shd w:val="clear" w:color="auto" w:fill="auto"/>
            <w:vAlign w:val="bottom"/>
          </w:tcPr>
          <w:p w14:paraId="67536510" w14:textId="77777777" w:rsidR="001B77DD" w:rsidRDefault="001B77DD">
            <w:pPr>
              <w:rPr>
                <w:rFonts w:ascii="宋体"/>
                <w:vanish/>
              </w:rPr>
            </w:pPr>
          </w:p>
        </w:tc>
        <w:tc>
          <w:tcPr>
            <w:tcW w:w="0" w:type="auto"/>
            <w:gridSpan w:val="3"/>
            <w:shd w:val="clear" w:color="auto" w:fill="auto"/>
            <w:vAlign w:val="bottom"/>
          </w:tcPr>
          <w:p w14:paraId="67536511" w14:textId="77777777" w:rsidR="001B77DD" w:rsidRDefault="001B77DD">
            <w:pPr>
              <w:rPr>
                <w:rFonts w:ascii="宋体"/>
                <w:vanish/>
              </w:rPr>
            </w:pPr>
          </w:p>
        </w:tc>
        <w:tc>
          <w:tcPr>
            <w:tcW w:w="0" w:type="auto"/>
            <w:gridSpan w:val="3"/>
            <w:shd w:val="clear" w:color="auto" w:fill="auto"/>
            <w:vAlign w:val="bottom"/>
          </w:tcPr>
          <w:p w14:paraId="67536512" w14:textId="77777777" w:rsidR="001B77DD" w:rsidRDefault="001B77DD">
            <w:pPr>
              <w:rPr>
                <w:rFonts w:ascii="宋体"/>
                <w:vanish/>
              </w:rPr>
            </w:pPr>
          </w:p>
        </w:tc>
      </w:tr>
      <w:tr w:rsidR="001B77DD" w14:paraId="6753651E" w14:textId="77777777">
        <w:tc>
          <w:tcPr>
            <w:tcW w:w="0" w:type="auto"/>
            <w:gridSpan w:val="3"/>
            <w:shd w:val="clear" w:color="auto" w:fill="auto"/>
            <w:tcMar>
              <w:top w:w="40" w:type="dxa"/>
              <w:left w:w="20" w:type="dxa"/>
              <w:bottom w:w="40" w:type="dxa"/>
              <w:right w:w="20" w:type="dxa"/>
            </w:tcMar>
            <w:vAlign w:val="bottom"/>
          </w:tcPr>
          <w:p w14:paraId="67536514" w14:textId="77777777" w:rsidR="001B77DD" w:rsidRDefault="00BF0A28">
            <w:pPr>
              <w:textAlignment w:val="bottom"/>
            </w:pPr>
            <w:r>
              <w:rPr>
                <w:rFonts w:ascii="Arial" w:eastAsia="宋体" w:hAnsi="Arial" w:cs="Arial"/>
                <w:b/>
                <w:bCs/>
                <w:color w:val="262626"/>
                <w:sz w:val="18"/>
                <w:szCs w:val="18"/>
              </w:rPr>
              <w:t>Adjacent revenue</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6753651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16" w14:textId="77777777" w:rsidR="001B77DD" w:rsidRDefault="00BF0A28">
            <w:pPr>
              <w:jc w:val="right"/>
              <w:textAlignment w:val="bottom"/>
            </w:pPr>
            <w:r>
              <w:rPr>
                <w:rFonts w:ascii="Arial" w:eastAsia="宋体" w:hAnsi="Arial" w:cs="Arial"/>
                <w:b/>
                <w:bCs/>
                <w:color w:val="0068B5"/>
                <w:sz w:val="18"/>
                <w:szCs w:val="18"/>
              </w:rPr>
              <w:t>15,287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51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1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19" w14:textId="77777777" w:rsidR="001B77DD" w:rsidRDefault="00BF0A28">
            <w:pPr>
              <w:jc w:val="right"/>
              <w:textAlignment w:val="bottom"/>
            </w:pPr>
            <w:r>
              <w:rPr>
                <w:rFonts w:ascii="Arial" w:eastAsia="宋体" w:hAnsi="Arial" w:cs="Arial"/>
                <w:b/>
                <w:bCs/>
                <w:color w:val="262626"/>
                <w:sz w:val="18"/>
                <w:szCs w:val="18"/>
              </w:rPr>
              <w:t>16,464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51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1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1C" w14:textId="77777777" w:rsidR="001B77DD" w:rsidRDefault="00BF0A28">
            <w:pPr>
              <w:jc w:val="right"/>
              <w:textAlignment w:val="bottom"/>
            </w:pPr>
            <w:r>
              <w:rPr>
                <w:rFonts w:ascii="Arial" w:eastAsia="宋体" w:hAnsi="Arial" w:cs="Arial"/>
                <w:b/>
                <w:bCs/>
                <w:color w:val="262626"/>
                <w:sz w:val="18"/>
                <w:szCs w:val="18"/>
              </w:rPr>
              <w:t>14,403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51D" w14:textId="77777777" w:rsidR="001B77DD" w:rsidRDefault="001B77DD">
            <w:pPr>
              <w:jc w:val="right"/>
              <w:rPr>
                <w:rFonts w:ascii="宋体"/>
              </w:rPr>
            </w:pPr>
          </w:p>
        </w:tc>
      </w:tr>
      <w:tr w:rsidR="001B77DD" w14:paraId="6753652C" w14:textId="77777777">
        <w:tc>
          <w:tcPr>
            <w:tcW w:w="0" w:type="auto"/>
            <w:gridSpan w:val="3"/>
            <w:shd w:val="clear" w:color="auto" w:fill="auto"/>
            <w:tcMar>
              <w:top w:w="40" w:type="dxa"/>
              <w:left w:w="20" w:type="dxa"/>
              <w:bottom w:w="40" w:type="dxa"/>
              <w:right w:w="20" w:type="dxa"/>
            </w:tcMar>
            <w:vAlign w:val="bottom"/>
          </w:tcPr>
          <w:p w14:paraId="6753651F" w14:textId="77777777" w:rsidR="001B77DD" w:rsidRDefault="00BF0A28">
            <w:pPr>
              <w:textAlignment w:val="bottom"/>
            </w:pPr>
            <w:r>
              <w:rPr>
                <w:rFonts w:ascii="Arial" w:eastAsia="宋体" w:hAnsi="Arial" w:cs="Arial"/>
                <w:b/>
                <w:bCs/>
                <w:color w:val="262626"/>
                <w:sz w:val="18"/>
                <w:szCs w:val="18"/>
              </w:rPr>
              <w:t>Total revenue</w:t>
            </w:r>
          </w:p>
        </w:tc>
        <w:tc>
          <w:tcPr>
            <w:tcW w:w="0" w:type="auto"/>
            <w:gridSpan w:val="3"/>
            <w:shd w:val="clear" w:color="auto" w:fill="auto"/>
            <w:tcMar>
              <w:top w:w="0" w:type="dxa"/>
              <w:left w:w="20" w:type="dxa"/>
              <w:bottom w:w="0" w:type="dxa"/>
              <w:right w:w="20" w:type="dxa"/>
            </w:tcMar>
            <w:vAlign w:val="bottom"/>
          </w:tcPr>
          <w:p w14:paraId="67536520"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521"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522" w14:textId="77777777" w:rsidR="001B77DD" w:rsidRDefault="00BF0A28">
            <w:pPr>
              <w:jc w:val="right"/>
              <w:textAlignment w:val="bottom"/>
            </w:pPr>
            <w:r>
              <w:rPr>
                <w:rFonts w:ascii="Arial" w:eastAsia="宋体" w:hAnsi="Arial" w:cs="Arial"/>
                <w:b/>
                <w:bCs/>
                <w:color w:val="0068B5"/>
                <w:sz w:val="18"/>
                <w:szCs w:val="18"/>
              </w:rPr>
              <w:t>79,024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52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2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525"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526" w14:textId="77777777" w:rsidR="001B77DD" w:rsidRDefault="00BF0A28">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52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2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529"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52A" w14:textId="77777777" w:rsidR="001B77DD" w:rsidRDefault="00BF0A28">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52B" w14:textId="77777777" w:rsidR="001B77DD" w:rsidRDefault="001B77DD">
            <w:pPr>
              <w:jc w:val="right"/>
              <w:rPr>
                <w:rFonts w:ascii="宋体"/>
              </w:rPr>
            </w:pPr>
          </w:p>
        </w:tc>
      </w:tr>
    </w:tbl>
    <w:p w14:paraId="6753652D" w14:textId="77777777" w:rsidR="001B77DD" w:rsidRDefault="00BF0A28">
      <w:pPr>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Includes our tablet and service provider revenue.</w:t>
      </w:r>
    </w:p>
    <w:p w14:paraId="6753652E" w14:textId="77777777" w:rsidR="001B77DD" w:rsidRDefault="00BF0A28">
      <w:pPr>
        <w:spacing w:after="180"/>
        <w:ind w:hanging="180"/>
      </w:pPr>
      <w:r>
        <w:rPr>
          <w:rFonts w:ascii="Arial" w:eastAsia="宋体" w:hAnsi="Arial" w:cs="Arial"/>
          <w:i/>
          <w:iCs/>
          <w:color w:val="262626"/>
          <w:sz w:val="10"/>
          <w:szCs w:val="10"/>
        </w:rPr>
        <w:t xml:space="preserve">2 </w:t>
      </w:r>
      <w:r>
        <w:rPr>
          <w:rFonts w:ascii="Arial" w:eastAsia="宋体" w:hAnsi="Arial" w:cs="Arial"/>
          <w:i/>
          <w:iCs/>
          <w:color w:val="262626"/>
          <w:sz w:val="16"/>
          <w:szCs w:val="16"/>
        </w:rPr>
        <w:t xml:space="preserve">Includes all of our non-platform products for CCG, DCG, and IOTG, such as modem, Ethernet, and silicon photonics, as well as </w:t>
      </w:r>
      <w:r>
        <w:rPr>
          <w:rFonts w:ascii="Arial" w:eastAsia="宋体" w:hAnsi="Arial" w:cs="Arial"/>
          <w:i/>
          <w:iCs/>
          <w:color w:val="262626"/>
          <w:sz w:val="16"/>
          <w:szCs w:val="16"/>
        </w:rPr>
        <w:t>Mobileye, NSG, and PSG products.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53B" w14:textId="77777777">
        <w:tc>
          <w:tcPr>
            <w:tcW w:w="50" w:type="pct"/>
            <w:shd w:val="clear" w:color="auto" w:fill="auto"/>
            <w:vAlign w:val="bottom"/>
          </w:tcPr>
          <w:p w14:paraId="6753652F" w14:textId="77777777" w:rsidR="001B77DD" w:rsidRDefault="001B77DD">
            <w:pPr>
              <w:rPr>
                <w:rFonts w:ascii="宋体"/>
              </w:rPr>
            </w:pPr>
          </w:p>
        </w:tc>
        <w:tc>
          <w:tcPr>
            <w:tcW w:w="276" w:type="pct"/>
            <w:shd w:val="clear" w:color="auto" w:fill="auto"/>
            <w:vAlign w:val="bottom"/>
          </w:tcPr>
          <w:p w14:paraId="67536530" w14:textId="77777777" w:rsidR="001B77DD" w:rsidRDefault="001B77DD">
            <w:pPr>
              <w:rPr>
                <w:rFonts w:ascii="宋体"/>
              </w:rPr>
            </w:pPr>
          </w:p>
        </w:tc>
        <w:tc>
          <w:tcPr>
            <w:tcW w:w="5" w:type="pct"/>
            <w:shd w:val="clear" w:color="auto" w:fill="auto"/>
            <w:vAlign w:val="bottom"/>
          </w:tcPr>
          <w:p w14:paraId="67536531" w14:textId="77777777" w:rsidR="001B77DD" w:rsidRDefault="001B77DD">
            <w:pPr>
              <w:rPr>
                <w:rFonts w:ascii="宋体"/>
              </w:rPr>
            </w:pPr>
          </w:p>
        </w:tc>
        <w:tc>
          <w:tcPr>
            <w:tcW w:w="50" w:type="pct"/>
            <w:shd w:val="clear" w:color="auto" w:fill="auto"/>
            <w:vAlign w:val="bottom"/>
          </w:tcPr>
          <w:p w14:paraId="67536532" w14:textId="77777777" w:rsidR="001B77DD" w:rsidRDefault="001B77DD">
            <w:pPr>
              <w:rPr>
                <w:rFonts w:ascii="宋体"/>
              </w:rPr>
            </w:pPr>
          </w:p>
        </w:tc>
        <w:tc>
          <w:tcPr>
            <w:tcW w:w="940" w:type="pct"/>
            <w:shd w:val="clear" w:color="auto" w:fill="auto"/>
            <w:vAlign w:val="bottom"/>
          </w:tcPr>
          <w:p w14:paraId="67536533" w14:textId="77777777" w:rsidR="001B77DD" w:rsidRDefault="001B77DD">
            <w:pPr>
              <w:rPr>
                <w:rFonts w:ascii="宋体"/>
              </w:rPr>
            </w:pPr>
          </w:p>
        </w:tc>
        <w:tc>
          <w:tcPr>
            <w:tcW w:w="5" w:type="pct"/>
            <w:shd w:val="clear" w:color="auto" w:fill="auto"/>
            <w:vAlign w:val="bottom"/>
          </w:tcPr>
          <w:p w14:paraId="67536534" w14:textId="77777777" w:rsidR="001B77DD" w:rsidRDefault="001B77DD">
            <w:pPr>
              <w:rPr>
                <w:rFonts w:ascii="宋体"/>
              </w:rPr>
            </w:pPr>
          </w:p>
        </w:tc>
        <w:tc>
          <w:tcPr>
            <w:tcW w:w="50" w:type="pct"/>
            <w:shd w:val="clear" w:color="auto" w:fill="auto"/>
            <w:vAlign w:val="bottom"/>
          </w:tcPr>
          <w:p w14:paraId="67536535" w14:textId="77777777" w:rsidR="001B77DD" w:rsidRDefault="001B77DD">
            <w:pPr>
              <w:rPr>
                <w:rFonts w:ascii="宋体"/>
              </w:rPr>
            </w:pPr>
          </w:p>
        </w:tc>
        <w:tc>
          <w:tcPr>
            <w:tcW w:w="1837" w:type="pct"/>
            <w:shd w:val="clear" w:color="auto" w:fill="auto"/>
            <w:vAlign w:val="bottom"/>
          </w:tcPr>
          <w:p w14:paraId="67536536" w14:textId="77777777" w:rsidR="001B77DD" w:rsidRDefault="001B77DD">
            <w:pPr>
              <w:rPr>
                <w:rFonts w:ascii="宋体"/>
              </w:rPr>
            </w:pPr>
          </w:p>
        </w:tc>
        <w:tc>
          <w:tcPr>
            <w:tcW w:w="5" w:type="pct"/>
            <w:shd w:val="clear" w:color="auto" w:fill="auto"/>
            <w:vAlign w:val="bottom"/>
          </w:tcPr>
          <w:p w14:paraId="67536537" w14:textId="77777777" w:rsidR="001B77DD" w:rsidRDefault="001B77DD">
            <w:pPr>
              <w:rPr>
                <w:rFonts w:ascii="宋体"/>
              </w:rPr>
            </w:pPr>
          </w:p>
        </w:tc>
        <w:tc>
          <w:tcPr>
            <w:tcW w:w="50" w:type="pct"/>
            <w:shd w:val="clear" w:color="auto" w:fill="auto"/>
            <w:vAlign w:val="bottom"/>
          </w:tcPr>
          <w:p w14:paraId="67536538" w14:textId="77777777" w:rsidR="001B77DD" w:rsidRDefault="001B77DD">
            <w:pPr>
              <w:rPr>
                <w:rFonts w:ascii="宋体"/>
              </w:rPr>
            </w:pPr>
          </w:p>
        </w:tc>
        <w:tc>
          <w:tcPr>
            <w:tcW w:w="1724" w:type="pct"/>
            <w:shd w:val="clear" w:color="auto" w:fill="auto"/>
            <w:vAlign w:val="bottom"/>
          </w:tcPr>
          <w:p w14:paraId="67536539" w14:textId="77777777" w:rsidR="001B77DD" w:rsidRDefault="001B77DD">
            <w:pPr>
              <w:rPr>
                <w:rFonts w:ascii="宋体"/>
              </w:rPr>
            </w:pPr>
          </w:p>
        </w:tc>
        <w:tc>
          <w:tcPr>
            <w:tcW w:w="5" w:type="pct"/>
            <w:shd w:val="clear" w:color="auto" w:fill="auto"/>
            <w:vAlign w:val="bottom"/>
          </w:tcPr>
          <w:p w14:paraId="6753653A" w14:textId="77777777" w:rsidR="001B77DD" w:rsidRDefault="001B77DD">
            <w:pPr>
              <w:rPr>
                <w:rFonts w:ascii="宋体"/>
              </w:rPr>
            </w:pPr>
          </w:p>
        </w:tc>
      </w:tr>
      <w:tr w:rsidR="001B77DD" w14:paraId="67536540"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53C"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3C" wp14:editId="67538F3D">
                  <wp:extent cx="304800" cy="304800"/>
                  <wp:effectExtent l="0" t="0" r="0" b="0"/>
                  <wp:docPr id="192" name="图片 29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9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53D"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53E"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53F" w14:textId="77777777" w:rsidR="001B77DD" w:rsidRDefault="00BF0A28">
            <w:pPr>
              <w:jc w:val="right"/>
              <w:textAlignment w:val="center"/>
            </w:pPr>
            <w:r>
              <w:rPr>
                <w:rFonts w:ascii="Arial" w:eastAsia="宋体" w:hAnsi="Arial" w:cs="Arial"/>
                <w:color w:val="262626"/>
                <w:sz w:val="16"/>
                <w:szCs w:val="16"/>
              </w:rPr>
              <w:t>84</w:t>
            </w:r>
          </w:p>
        </w:tc>
      </w:tr>
    </w:tbl>
    <w:p w14:paraId="67536541" w14:textId="77777777" w:rsidR="001B77DD" w:rsidRDefault="00BF0A28">
      <w:r>
        <w:pict w14:anchorId="67538F3E">
          <v:rect id="_x0000_i1110" style="width:415.3pt;height:1.5pt" o:hralign="center" o:hrstd="t" o:hr="t" fillcolor="#a0a0a0" stroked="f"/>
        </w:pict>
      </w:r>
    </w:p>
    <w:p w14:paraId="67536542" w14:textId="77777777" w:rsidR="001B77DD" w:rsidRDefault="00BF0A28">
      <w:pPr>
        <w:jc w:val="right"/>
      </w:pPr>
      <w:hyperlink r:id="rId172" w:anchor="i6c9ced68f6b24d58a3dcf326e8c3c699_16" w:history="1">
        <w:r>
          <w:rPr>
            <w:rStyle w:val="a5"/>
            <w:rFonts w:ascii="Arial" w:eastAsia="宋体" w:hAnsi="Arial" w:cs="Arial"/>
            <w:b/>
            <w:bCs/>
            <w:sz w:val="16"/>
            <w:szCs w:val="16"/>
          </w:rPr>
          <w:t>Table of Contents</w:t>
        </w:r>
      </w:hyperlink>
    </w:p>
    <w:p w14:paraId="67536543" w14:textId="77777777" w:rsidR="001B77DD" w:rsidRDefault="001B77DD">
      <w:pPr>
        <w:jc w:val="right"/>
      </w:pPr>
    </w:p>
    <w:p w14:paraId="67536544" w14:textId="77777777" w:rsidR="001B77DD" w:rsidRDefault="00BF0A28">
      <w:pPr>
        <w:spacing w:before="180" w:after="180"/>
      </w:pPr>
      <w:r>
        <w:rPr>
          <w:rFonts w:ascii="Arial" w:eastAsia="宋体" w:hAnsi="Arial" w:cs="Arial"/>
          <w:color w:val="262626"/>
          <w:sz w:val="18"/>
          <w:szCs w:val="18"/>
        </w:rPr>
        <w:t xml:space="preserve">In 2021, our three largest customers accounted for 43% of our net </w:t>
      </w:r>
      <w:r>
        <w:rPr>
          <w:rFonts w:ascii="Arial" w:eastAsia="宋体" w:hAnsi="Arial" w:cs="Arial"/>
          <w:color w:val="262626"/>
          <w:sz w:val="18"/>
          <w:szCs w:val="18"/>
        </w:rPr>
        <w:t>revenue (39% in 2020 and 41% in 2019), with Dell Inc. accounting for 21% (17% in 2020 and 17% in 2019), Lenovo Group Limited accounting for 12% (12% in 2020 and 13% in 2019), and HP Inc. accounting for 10% (10% in 2020 and 11% in 2019). These three custome</w:t>
      </w:r>
      <w:r>
        <w:rPr>
          <w:rFonts w:ascii="Arial" w:eastAsia="宋体" w:hAnsi="Arial" w:cs="Arial"/>
          <w:color w:val="262626"/>
          <w:sz w:val="18"/>
          <w:szCs w:val="18"/>
        </w:rPr>
        <w:t>rs accounted for 42% of our accounts receivable as of December 25, 2021 (43% as of December 26, 2020). Substantially all of the revenue from these customers was from the sale of platforms and other components by the CCG and DCG operating segments.</w:t>
      </w:r>
    </w:p>
    <w:p w14:paraId="67536545" w14:textId="77777777" w:rsidR="001B77DD" w:rsidRDefault="00BF0A28">
      <w:pPr>
        <w:spacing w:before="180" w:after="120"/>
      </w:pPr>
      <w:r>
        <w:rPr>
          <w:rFonts w:ascii="Arial" w:eastAsia="宋体" w:hAnsi="Arial" w:cs="Arial"/>
          <w:color w:val="262626"/>
          <w:sz w:val="18"/>
          <w:szCs w:val="18"/>
        </w:rPr>
        <w:t>Net reve</w:t>
      </w:r>
      <w:r>
        <w:rPr>
          <w:rFonts w:ascii="Arial" w:eastAsia="宋体" w:hAnsi="Arial" w:cs="Arial"/>
          <w:color w:val="262626"/>
          <w:sz w:val="18"/>
          <w:szCs w:val="18"/>
        </w:rPr>
        <w:t>nue by region, based on the billing location of the customer,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1B77DD" w14:paraId="6753655B" w14:textId="77777777">
        <w:tc>
          <w:tcPr>
            <w:tcW w:w="50" w:type="pct"/>
            <w:shd w:val="clear" w:color="auto" w:fill="auto"/>
            <w:vAlign w:val="bottom"/>
          </w:tcPr>
          <w:p w14:paraId="67536546" w14:textId="77777777" w:rsidR="001B77DD" w:rsidRDefault="001B77DD">
            <w:pPr>
              <w:rPr>
                <w:rFonts w:ascii="宋体"/>
              </w:rPr>
            </w:pPr>
          </w:p>
        </w:tc>
        <w:tc>
          <w:tcPr>
            <w:tcW w:w="3059" w:type="pct"/>
            <w:shd w:val="clear" w:color="auto" w:fill="auto"/>
            <w:vAlign w:val="bottom"/>
          </w:tcPr>
          <w:p w14:paraId="67536547" w14:textId="77777777" w:rsidR="001B77DD" w:rsidRDefault="001B77DD">
            <w:pPr>
              <w:rPr>
                <w:rFonts w:ascii="宋体"/>
              </w:rPr>
            </w:pPr>
          </w:p>
        </w:tc>
        <w:tc>
          <w:tcPr>
            <w:tcW w:w="5" w:type="pct"/>
            <w:shd w:val="clear" w:color="auto" w:fill="auto"/>
            <w:vAlign w:val="bottom"/>
          </w:tcPr>
          <w:p w14:paraId="67536548" w14:textId="77777777" w:rsidR="001B77DD" w:rsidRDefault="001B77DD">
            <w:pPr>
              <w:rPr>
                <w:rFonts w:ascii="宋体"/>
              </w:rPr>
            </w:pPr>
          </w:p>
        </w:tc>
        <w:tc>
          <w:tcPr>
            <w:tcW w:w="5" w:type="pct"/>
            <w:shd w:val="clear" w:color="auto" w:fill="auto"/>
            <w:vAlign w:val="bottom"/>
          </w:tcPr>
          <w:p w14:paraId="67536549" w14:textId="77777777" w:rsidR="001B77DD" w:rsidRDefault="001B77DD">
            <w:pPr>
              <w:rPr>
                <w:rFonts w:ascii="宋体"/>
              </w:rPr>
            </w:pPr>
          </w:p>
        </w:tc>
        <w:tc>
          <w:tcPr>
            <w:tcW w:w="24" w:type="pct"/>
            <w:shd w:val="clear" w:color="auto" w:fill="auto"/>
            <w:vAlign w:val="bottom"/>
          </w:tcPr>
          <w:p w14:paraId="6753654A" w14:textId="77777777" w:rsidR="001B77DD" w:rsidRDefault="001B77DD">
            <w:pPr>
              <w:rPr>
                <w:rFonts w:ascii="宋体"/>
              </w:rPr>
            </w:pPr>
          </w:p>
        </w:tc>
        <w:tc>
          <w:tcPr>
            <w:tcW w:w="5" w:type="pct"/>
            <w:shd w:val="clear" w:color="auto" w:fill="auto"/>
            <w:vAlign w:val="bottom"/>
          </w:tcPr>
          <w:p w14:paraId="6753654B" w14:textId="77777777" w:rsidR="001B77DD" w:rsidRDefault="001B77DD">
            <w:pPr>
              <w:rPr>
                <w:rFonts w:ascii="宋体"/>
              </w:rPr>
            </w:pPr>
          </w:p>
        </w:tc>
        <w:tc>
          <w:tcPr>
            <w:tcW w:w="50" w:type="pct"/>
            <w:shd w:val="clear" w:color="auto" w:fill="auto"/>
            <w:vAlign w:val="bottom"/>
          </w:tcPr>
          <w:p w14:paraId="6753654C" w14:textId="77777777" w:rsidR="001B77DD" w:rsidRDefault="001B77DD">
            <w:pPr>
              <w:rPr>
                <w:rFonts w:ascii="宋体"/>
              </w:rPr>
            </w:pPr>
          </w:p>
        </w:tc>
        <w:tc>
          <w:tcPr>
            <w:tcW w:w="539" w:type="pct"/>
            <w:shd w:val="clear" w:color="auto" w:fill="auto"/>
            <w:vAlign w:val="bottom"/>
          </w:tcPr>
          <w:p w14:paraId="6753654D" w14:textId="77777777" w:rsidR="001B77DD" w:rsidRDefault="001B77DD">
            <w:pPr>
              <w:rPr>
                <w:rFonts w:ascii="宋体"/>
              </w:rPr>
            </w:pPr>
          </w:p>
        </w:tc>
        <w:tc>
          <w:tcPr>
            <w:tcW w:w="5" w:type="pct"/>
            <w:shd w:val="clear" w:color="auto" w:fill="auto"/>
            <w:vAlign w:val="bottom"/>
          </w:tcPr>
          <w:p w14:paraId="6753654E" w14:textId="77777777" w:rsidR="001B77DD" w:rsidRDefault="001B77DD">
            <w:pPr>
              <w:rPr>
                <w:rFonts w:ascii="宋体"/>
              </w:rPr>
            </w:pPr>
          </w:p>
        </w:tc>
        <w:tc>
          <w:tcPr>
            <w:tcW w:w="5" w:type="pct"/>
            <w:shd w:val="clear" w:color="auto" w:fill="auto"/>
            <w:vAlign w:val="bottom"/>
          </w:tcPr>
          <w:p w14:paraId="6753654F" w14:textId="77777777" w:rsidR="001B77DD" w:rsidRDefault="001B77DD">
            <w:pPr>
              <w:rPr>
                <w:rFonts w:ascii="宋体"/>
              </w:rPr>
            </w:pPr>
          </w:p>
        </w:tc>
        <w:tc>
          <w:tcPr>
            <w:tcW w:w="24" w:type="pct"/>
            <w:shd w:val="clear" w:color="auto" w:fill="auto"/>
            <w:vAlign w:val="bottom"/>
          </w:tcPr>
          <w:p w14:paraId="67536550" w14:textId="77777777" w:rsidR="001B77DD" w:rsidRDefault="001B77DD">
            <w:pPr>
              <w:rPr>
                <w:rFonts w:ascii="宋体"/>
              </w:rPr>
            </w:pPr>
          </w:p>
        </w:tc>
        <w:tc>
          <w:tcPr>
            <w:tcW w:w="5" w:type="pct"/>
            <w:shd w:val="clear" w:color="auto" w:fill="auto"/>
            <w:vAlign w:val="bottom"/>
          </w:tcPr>
          <w:p w14:paraId="67536551" w14:textId="77777777" w:rsidR="001B77DD" w:rsidRDefault="001B77DD">
            <w:pPr>
              <w:rPr>
                <w:rFonts w:ascii="宋体"/>
              </w:rPr>
            </w:pPr>
          </w:p>
        </w:tc>
        <w:tc>
          <w:tcPr>
            <w:tcW w:w="50" w:type="pct"/>
            <w:shd w:val="clear" w:color="auto" w:fill="auto"/>
            <w:vAlign w:val="bottom"/>
          </w:tcPr>
          <w:p w14:paraId="67536552" w14:textId="77777777" w:rsidR="001B77DD" w:rsidRDefault="001B77DD">
            <w:pPr>
              <w:rPr>
                <w:rFonts w:ascii="宋体"/>
              </w:rPr>
            </w:pPr>
          </w:p>
        </w:tc>
        <w:tc>
          <w:tcPr>
            <w:tcW w:w="539" w:type="pct"/>
            <w:shd w:val="clear" w:color="auto" w:fill="auto"/>
            <w:vAlign w:val="bottom"/>
          </w:tcPr>
          <w:p w14:paraId="67536553" w14:textId="77777777" w:rsidR="001B77DD" w:rsidRDefault="001B77DD">
            <w:pPr>
              <w:rPr>
                <w:rFonts w:ascii="宋体"/>
              </w:rPr>
            </w:pPr>
          </w:p>
        </w:tc>
        <w:tc>
          <w:tcPr>
            <w:tcW w:w="5" w:type="pct"/>
            <w:shd w:val="clear" w:color="auto" w:fill="auto"/>
            <w:vAlign w:val="bottom"/>
          </w:tcPr>
          <w:p w14:paraId="67536554" w14:textId="77777777" w:rsidR="001B77DD" w:rsidRDefault="001B77DD">
            <w:pPr>
              <w:rPr>
                <w:rFonts w:ascii="宋体"/>
              </w:rPr>
            </w:pPr>
          </w:p>
        </w:tc>
        <w:tc>
          <w:tcPr>
            <w:tcW w:w="5" w:type="pct"/>
            <w:shd w:val="clear" w:color="auto" w:fill="auto"/>
            <w:vAlign w:val="bottom"/>
          </w:tcPr>
          <w:p w14:paraId="67536555" w14:textId="77777777" w:rsidR="001B77DD" w:rsidRDefault="001B77DD">
            <w:pPr>
              <w:rPr>
                <w:rFonts w:ascii="宋体"/>
              </w:rPr>
            </w:pPr>
          </w:p>
        </w:tc>
        <w:tc>
          <w:tcPr>
            <w:tcW w:w="24" w:type="pct"/>
            <w:shd w:val="clear" w:color="auto" w:fill="auto"/>
            <w:vAlign w:val="bottom"/>
          </w:tcPr>
          <w:p w14:paraId="67536556" w14:textId="77777777" w:rsidR="001B77DD" w:rsidRDefault="001B77DD">
            <w:pPr>
              <w:rPr>
                <w:rFonts w:ascii="宋体"/>
              </w:rPr>
            </w:pPr>
          </w:p>
        </w:tc>
        <w:tc>
          <w:tcPr>
            <w:tcW w:w="5" w:type="pct"/>
            <w:shd w:val="clear" w:color="auto" w:fill="auto"/>
            <w:vAlign w:val="bottom"/>
          </w:tcPr>
          <w:p w14:paraId="67536557" w14:textId="77777777" w:rsidR="001B77DD" w:rsidRDefault="001B77DD">
            <w:pPr>
              <w:rPr>
                <w:rFonts w:ascii="宋体"/>
              </w:rPr>
            </w:pPr>
          </w:p>
        </w:tc>
        <w:tc>
          <w:tcPr>
            <w:tcW w:w="50" w:type="pct"/>
            <w:shd w:val="clear" w:color="auto" w:fill="auto"/>
            <w:vAlign w:val="bottom"/>
          </w:tcPr>
          <w:p w14:paraId="67536558" w14:textId="77777777" w:rsidR="001B77DD" w:rsidRDefault="001B77DD">
            <w:pPr>
              <w:rPr>
                <w:rFonts w:ascii="宋体"/>
              </w:rPr>
            </w:pPr>
          </w:p>
        </w:tc>
        <w:tc>
          <w:tcPr>
            <w:tcW w:w="539" w:type="pct"/>
            <w:shd w:val="clear" w:color="auto" w:fill="auto"/>
            <w:vAlign w:val="bottom"/>
          </w:tcPr>
          <w:p w14:paraId="67536559" w14:textId="77777777" w:rsidR="001B77DD" w:rsidRDefault="001B77DD">
            <w:pPr>
              <w:rPr>
                <w:rFonts w:ascii="宋体"/>
              </w:rPr>
            </w:pPr>
          </w:p>
        </w:tc>
        <w:tc>
          <w:tcPr>
            <w:tcW w:w="5" w:type="pct"/>
            <w:shd w:val="clear" w:color="auto" w:fill="auto"/>
            <w:vAlign w:val="bottom"/>
          </w:tcPr>
          <w:p w14:paraId="6753655A" w14:textId="77777777" w:rsidR="001B77DD" w:rsidRDefault="001B77DD">
            <w:pPr>
              <w:rPr>
                <w:rFonts w:ascii="宋体"/>
              </w:rPr>
            </w:pPr>
          </w:p>
        </w:tc>
      </w:tr>
      <w:tr w:rsidR="001B77DD" w14:paraId="67536563" w14:textId="77777777">
        <w:tc>
          <w:tcPr>
            <w:tcW w:w="0" w:type="auto"/>
            <w:gridSpan w:val="3"/>
            <w:shd w:val="clear" w:color="auto" w:fill="auto"/>
            <w:tcMar>
              <w:top w:w="40" w:type="dxa"/>
              <w:left w:w="20" w:type="dxa"/>
              <w:bottom w:w="40" w:type="dxa"/>
              <w:right w:w="20" w:type="dxa"/>
            </w:tcMar>
            <w:vAlign w:val="bottom"/>
          </w:tcPr>
          <w:p w14:paraId="6753655C"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6753655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55E"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55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560"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56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562"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57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564" w14:textId="77777777" w:rsidR="001B77DD" w:rsidRDefault="00BF0A28">
            <w:pPr>
              <w:textAlignment w:val="bottom"/>
            </w:pPr>
            <w:r>
              <w:rPr>
                <w:rFonts w:ascii="Arial" w:eastAsia="宋体" w:hAnsi="Arial" w:cs="Arial"/>
                <w:color w:val="262626"/>
                <w:sz w:val="18"/>
                <w:szCs w:val="18"/>
              </w:rPr>
              <w:t>China</w:t>
            </w:r>
          </w:p>
        </w:tc>
        <w:tc>
          <w:tcPr>
            <w:tcW w:w="0" w:type="auto"/>
            <w:gridSpan w:val="3"/>
            <w:shd w:val="clear" w:color="auto" w:fill="auto"/>
            <w:tcMar>
              <w:top w:w="0" w:type="dxa"/>
              <w:left w:w="20" w:type="dxa"/>
              <w:bottom w:w="0" w:type="dxa"/>
              <w:right w:w="20" w:type="dxa"/>
            </w:tcMar>
            <w:vAlign w:val="bottom"/>
          </w:tcPr>
          <w:p w14:paraId="67536565"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566"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567" w14:textId="77777777" w:rsidR="001B77DD" w:rsidRDefault="00BF0A28">
            <w:pPr>
              <w:jc w:val="right"/>
              <w:textAlignment w:val="bottom"/>
            </w:pPr>
            <w:r>
              <w:rPr>
                <w:rFonts w:ascii="Arial" w:eastAsia="宋体" w:hAnsi="Arial" w:cs="Arial"/>
                <w:color w:val="0068B5"/>
                <w:sz w:val="18"/>
                <w:szCs w:val="18"/>
              </w:rPr>
              <w:t>21,141 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56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69"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56A"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56B" w14:textId="77777777" w:rsidR="001B77DD" w:rsidRDefault="00BF0A28">
            <w:pPr>
              <w:jc w:val="right"/>
              <w:textAlignment w:val="bottom"/>
            </w:pPr>
            <w:r>
              <w:rPr>
                <w:rFonts w:ascii="Arial" w:eastAsia="宋体" w:hAnsi="Arial" w:cs="Arial"/>
                <w:color w:val="262626"/>
                <w:sz w:val="18"/>
                <w:szCs w:val="18"/>
              </w:rPr>
              <w:t>20,257 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56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6D"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56E"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56F" w14:textId="77777777" w:rsidR="001B77DD" w:rsidRDefault="00BF0A28">
            <w:pPr>
              <w:jc w:val="right"/>
              <w:textAlignment w:val="bottom"/>
            </w:pPr>
            <w:r>
              <w:rPr>
                <w:rFonts w:ascii="Arial" w:eastAsia="宋体" w:hAnsi="Arial" w:cs="Arial"/>
                <w:color w:val="262626"/>
                <w:sz w:val="18"/>
                <w:szCs w:val="18"/>
              </w:rPr>
              <w:t>20,026 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570" w14:textId="77777777" w:rsidR="001B77DD" w:rsidRDefault="001B77DD">
            <w:pPr>
              <w:jc w:val="right"/>
              <w:rPr>
                <w:rFonts w:ascii="宋体"/>
              </w:rPr>
            </w:pPr>
          </w:p>
        </w:tc>
      </w:tr>
      <w:tr w:rsidR="001B77DD" w14:paraId="6753657C" w14:textId="77777777">
        <w:tc>
          <w:tcPr>
            <w:tcW w:w="0" w:type="auto"/>
            <w:gridSpan w:val="3"/>
            <w:shd w:val="clear" w:color="auto" w:fill="auto"/>
            <w:tcMar>
              <w:top w:w="40" w:type="dxa"/>
              <w:left w:w="20" w:type="dxa"/>
              <w:bottom w:w="40" w:type="dxa"/>
              <w:right w:w="20" w:type="dxa"/>
            </w:tcMar>
            <w:vAlign w:val="bottom"/>
          </w:tcPr>
          <w:p w14:paraId="67536572" w14:textId="77777777" w:rsidR="001B77DD" w:rsidRDefault="00BF0A28">
            <w:pPr>
              <w:textAlignment w:val="bottom"/>
            </w:pPr>
            <w:r>
              <w:rPr>
                <w:rFonts w:ascii="Arial" w:eastAsia="宋体" w:hAnsi="Arial" w:cs="Arial"/>
                <w:color w:val="262626"/>
                <w:sz w:val="18"/>
                <w:szCs w:val="18"/>
              </w:rPr>
              <w:t>Singapore</w:t>
            </w:r>
          </w:p>
        </w:tc>
        <w:tc>
          <w:tcPr>
            <w:tcW w:w="0" w:type="auto"/>
            <w:gridSpan w:val="3"/>
            <w:shd w:val="clear" w:color="auto" w:fill="auto"/>
            <w:tcMar>
              <w:top w:w="0" w:type="dxa"/>
              <w:left w:w="20" w:type="dxa"/>
              <w:bottom w:w="0" w:type="dxa"/>
              <w:right w:w="20" w:type="dxa"/>
            </w:tcMar>
            <w:vAlign w:val="bottom"/>
          </w:tcPr>
          <w:p w14:paraId="6753657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74" w14:textId="77777777" w:rsidR="001B77DD" w:rsidRDefault="00BF0A28">
            <w:pPr>
              <w:jc w:val="right"/>
              <w:textAlignment w:val="bottom"/>
            </w:pPr>
            <w:r>
              <w:rPr>
                <w:rFonts w:ascii="Arial" w:eastAsia="宋体" w:hAnsi="Arial" w:cs="Arial"/>
                <w:color w:val="0068B5"/>
                <w:sz w:val="18"/>
                <w:szCs w:val="18"/>
              </w:rPr>
              <w:t>14,254 </w:t>
            </w:r>
          </w:p>
        </w:tc>
        <w:tc>
          <w:tcPr>
            <w:tcW w:w="0" w:type="auto"/>
            <w:shd w:val="clear" w:color="auto" w:fill="auto"/>
            <w:tcMar>
              <w:top w:w="40" w:type="dxa"/>
              <w:left w:w="0" w:type="dxa"/>
              <w:bottom w:w="40" w:type="dxa"/>
              <w:right w:w="20" w:type="dxa"/>
            </w:tcMar>
            <w:vAlign w:val="bottom"/>
          </w:tcPr>
          <w:p w14:paraId="6753657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7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77" w14:textId="77777777" w:rsidR="001B77DD" w:rsidRDefault="00BF0A28">
            <w:pPr>
              <w:jc w:val="right"/>
              <w:textAlignment w:val="bottom"/>
            </w:pPr>
            <w:r>
              <w:rPr>
                <w:rFonts w:ascii="Arial" w:eastAsia="宋体" w:hAnsi="Arial" w:cs="Arial"/>
                <w:color w:val="262626"/>
                <w:sz w:val="18"/>
                <w:szCs w:val="18"/>
              </w:rPr>
              <w:t>17,845 </w:t>
            </w:r>
          </w:p>
        </w:tc>
        <w:tc>
          <w:tcPr>
            <w:tcW w:w="0" w:type="auto"/>
            <w:shd w:val="clear" w:color="auto" w:fill="auto"/>
            <w:tcMar>
              <w:top w:w="40" w:type="dxa"/>
              <w:left w:w="0" w:type="dxa"/>
              <w:bottom w:w="40" w:type="dxa"/>
              <w:right w:w="20" w:type="dxa"/>
            </w:tcMar>
            <w:vAlign w:val="bottom"/>
          </w:tcPr>
          <w:p w14:paraId="6753657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7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7A" w14:textId="77777777" w:rsidR="001B77DD" w:rsidRDefault="00BF0A28">
            <w:pPr>
              <w:jc w:val="right"/>
              <w:textAlignment w:val="bottom"/>
            </w:pPr>
            <w:r>
              <w:rPr>
                <w:rFonts w:ascii="Arial" w:eastAsia="宋体" w:hAnsi="Arial" w:cs="Arial"/>
                <w:color w:val="262626"/>
                <w:sz w:val="18"/>
                <w:szCs w:val="18"/>
              </w:rPr>
              <w:t>15,650 </w:t>
            </w:r>
          </w:p>
        </w:tc>
        <w:tc>
          <w:tcPr>
            <w:tcW w:w="0" w:type="auto"/>
            <w:shd w:val="clear" w:color="auto" w:fill="auto"/>
            <w:tcMar>
              <w:top w:w="40" w:type="dxa"/>
              <w:left w:w="0" w:type="dxa"/>
              <w:bottom w:w="40" w:type="dxa"/>
              <w:right w:w="20" w:type="dxa"/>
            </w:tcMar>
            <w:vAlign w:val="bottom"/>
          </w:tcPr>
          <w:p w14:paraId="6753657B" w14:textId="77777777" w:rsidR="001B77DD" w:rsidRDefault="001B77DD">
            <w:pPr>
              <w:jc w:val="right"/>
              <w:rPr>
                <w:rFonts w:ascii="宋体"/>
              </w:rPr>
            </w:pPr>
          </w:p>
        </w:tc>
      </w:tr>
      <w:tr w:rsidR="001B77DD" w14:paraId="67536587" w14:textId="77777777">
        <w:tc>
          <w:tcPr>
            <w:tcW w:w="0" w:type="auto"/>
            <w:gridSpan w:val="3"/>
            <w:shd w:val="clear" w:color="auto" w:fill="auto"/>
            <w:tcMar>
              <w:top w:w="40" w:type="dxa"/>
              <w:left w:w="20" w:type="dxa"/>
              <w:bottom w:w="40" w:type="dxa"/>
              <w:right w:w="20" w:type="dxa"/>
            </w:tcMar>
            <w:vAlign w:val="bottom"/>
          </w:tcPr>
          <w:p w14:paraId="6753657D" w14:textId="77777777" w:rsidR="001B77DD" w:rsidRDefault="00BF0A28">
            <w:pPr>
              <w:textAlignment w:val="bottom"/>
            </w:pPr>
            <w:r>
              <w:rPr>
                <w:rFonts w:ascii="Arial" w:eastAsia="宋体" w:hAnsi="Arial" w:cs="Arial"/>
                <w:color w:val="262626"/>
                <w:sz w:val="18"/>
                <w:szCs w:val="18"/>
              </w:rPr>
              <w:t>United States</w:t>
            </w:r>
          </w:p>
        </w:tc>
        <w:tc>
          <w:tcPr>
            <w:tcW w:w="0" w:type="auto"/>
            <w:gridSpan w:val="3"/>
            <w:shd w:val="clear" w:color="auto" w:fill="auto"/>
            <w:tcMar>
              <w:top w:w="0" w:type="dxa"/>
              <w:left w:w="20" w:type="dxa"/>
              <w:bottom w:w="0" w:type="dxa"/>
              <w:right w:w="20" w:type="dxa"/>
            </w:tcMar>
            <w:vAlign w:val="bottom"/>
          </w:tcPr>
          <w:p w14:paraId="6753657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7F" w14:textId="77777777" w:rsidR="001B77DD" w:rsidRDefault="00BF0A28">
            <w:pPr>
              <w:jc w:val="right"/>
              <w:textAlignment w:val="bottom"/>
            </w:pPr>
            <w:r>
              <w:rPr>
                <w:rFonts w:ascii="Arial" w:eastAsia="宋体" w:hAnsi="Arial" w:cs="Arial"/>
                <w:color w:val="0068B5"/>
                <w:sz w:val="18"/>
                <w:szCs w:val="18"/>
              </w:rPr>
              <w:t>14,107 </w:t>
            </w:r>
          </w:p>
        </w:tc>
        <w:tc>
          <w:tcPr>
            <w:tcW w:w="0" w:type="auto"/>
            <w:shd w:val="clear" w:color="auto" w:fill="auto"/>
            <w:tcMar>
              <w:top w:w="40" w:type="dxa"/>
              <w:left w:w="0" w:type="dxa"/>
              <w:bottom w:w="40" w:type="dxa"/>
              <w:right w:w="20" w:type="dxa"/>
            </w:tcMar>
            <w:vAlign w:val="bottom"/>
          </w:tcPr>
          <w:p w14:paraId="6753658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8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82" w14:textId="77777777" w:rsidR="001B77DD" w:rsidRDefault="00BF0A28">
            <w:pPr>
              <w:jc w:val="right"/>
              <w:textAlignment w:val="bottom"/>
            </w:pPr>
            <w:r>
              <w:rPr>
                <w:rFonts w:ascii="Arial" w:eastAsia="宋体" w:hAnsi="Arial" w:cs="Arial"/>
                <w:color w:val="262626"/>
                <w:sz w:val="18"/>
                <w:szCs w:val="18"/>
              </w:rPr>
              <w:t>16,573 </w:t>
            </w:r>
          </w:p>
        </w:tc>
        <w:tc>
          <w:tcPr>
            <w:tcW w:w="0" w:type="auto"/>
            <w:shd w:val="clear" w:color="auto" w:fill="auto"/>
            <w:tcMar>
              <w:top w:w="40" w:type="dxa"/>
              <w:left w:w="0" w:type="dxa"/>
              <w:bottom w:w="40" w:type="dxa"/>
              <w:right w:w="20" w:type="dxa"/>
            </w:tcMar>
            <w:vAlign w:val="bottom"/>
          </w:tcPr>
          <w:p w14:paraId="6753658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8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85" w14:textId="77777777" w:rsidR="001B77DD" w:rsidRDefault="00BF0A28">
            <w:pPr>
              <w:jc w:val="right"/>
              <w:textAlignment w:val="bottom"/>
            </w:pPr>
            <w:r>
              <w:rPr>
                <w:rFonts w:ascii="Arial" w:eastAsia="宋体" w:hAnsi="Arial" w:cs="Arial"/>
                <w:color w:val="262626"/>
                <w:sz w:val="18"/>
                <w:szCs w:val="18"/>
              </w:rPr>
              <w:t>15,617 </w:t>
            </w:r>
          </w:p>
        </w:tc>
        <w:tc>
          <w:tcPr>
            <w:tcW w:w="0" w:type="auto"/>
            <w:shd w:val="clear" w:color="auto" w:fill="auto"/>
            <w:tcMar>
              <w:top w:w="40" w:type="dxa"/>
              <w:left w:w="0" w:type="dxa"/>
              <w:bottom w:w="40" w:type="dxa"/>
              <w:right w:w="20" w:type="dxa"/>
            </w:tcMar>
            <w:vAlign w:val="bottom"/>
          </w:tcPr>
          <w:p w14:paraId="67536586" w14:textId="77777777" w:rsidR="001B77DD" w:rsidRDefault="001B77DD">
            <w:pPr>
              <w:jc w:val="right"/>
              <w:rPr>
                <w:rFonts w:ascii="宋体"/>
              </w:rPr>
            </w:pPr>
          </w:p>
        </w:tc>
      </w:tr>
      <w:tr w:rsidR="001B77DD" w14:paraId="67536592" w14:textId="77777777">
        <w:tc>
          <w:tcPr>
            <w:tcW w:w="0" w:type="auto"/>
            <w:gridSpan w:val="3"/>
            <w:shd w:val="clear" w:color="auto" w:fill="auto"/>
            <w:tcMar>
              <w:top w:w="40" w:type="dxa"/>
              <w:left w:w="20" w:type="dxa"/>
              <w:bottom w:w="40" w:type="dxa"/>
              <w:right w:w="20" w:type="dxa"/>
            </w:tcMar>
            <w:vAlign w:val="bottom"/>
          </w:tcPr>
          <w:p w14:paraId="67536588" w14:textId="77777777" w:rsidR="001B77DD" w:rsidRDefault="00BF0A28">
            <w:pPr>
              <w:textAlignment w:val="bottom"/>
            </w:pPr>
            <w:r>
              <w:rPr>
                <w:rFonts w:ascii="Arial" w:eastAsia="宋体" w:hAnsi="Arial" w:cs="Arial"/>
                <w:color w:val="262626"/>
                <w:sz w:val="18"/>
                <w:szCs w:val="18"/>
              </w:rPr>
              <w:t>Taiwan</w:t>
            </w:r>
          </w:p>
        </w:tc>
        <w:tc>
          <w:tcPr>
            <w:tcW w:w="0" w:type="auto"/>
            <w:gridSpan w:val="3"/>
            <w:shd w:val="clear" w:color="auto" w:fill="auto"/>
            <w:tcMar>
              <w:top w:w="0" w:type="dxa"/>
              <w:left w:w="20" w:type="dxa"/>
              <w:bottom w:w="0" w:type="dxa"/>
              <w:right w:w="20" w:type="dxa"/>
            </w:tcMar>
            <w:vAlign w:val="bottom"/>
          </w:tcPr>
          <w:p w14:paraId="6753658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8A" w14:textId="77777777" w:rsidR="001B77DD" w:rsidRDefault="00BF0A28">
            <w:pPr>
              <w:jc w:val="right"/>
              <w:textAlignment w:val="bottom"/>
            </w:pPr>
            <w:r>
              <w:rPr>
                <w:rFonts w:ascii="Arial" w:eastAsia="宋体" w:hAnsi="Arial" w:cs="Arial"/>
                <w:color w:val="0068B5"/>
                <w:sz w:val="18"/>
                <w:szCs w:val="18"/>
              </w:rPr>
              <w:t>13,461 </w:t>
            </w:r>
          </w:p>
        </w:tc>
        <w:tc>
          <w:tcPr>
            <w:tcW w:w="0" w:type="auto"/>
            <w:shd w:val="clear" w:color="auto" w:fill="auto"/>
            <w:tcMar>
              <w:top w:w="40" w:type="dxa"/>
              <w:left w:w="0" w:type="dxa"/>
              <w:bottom w:w="40" w:type="dxa"/>
              <w:right w:w="20" w:type="dxa"/>
            </w:tcMar>
            <w:vAlign w:val="bottom"/>
          </w:tcPr>
          <w:p w14:paraId="6753658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8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8D" w14:textId="77777777" w:rsidR="001B77DD" w:rsidRDefault="00BF0A28">
            <w:pPr>
              <w:jc w:val="right"/>
              <w:textAlignment w:val="bottom"/>
            </w:pPr>
            <w:r>
              <w:rPr>
                <w:rFonts w:ascii="Arial" w:eastAsia="宋体" w:hAnsi="Arial" w:cs="Arial"/>
                <w:color w:val="262626"/>
                <w:sz w:val="18"/>
                <w:szCs w:val="18"/>
              </w:rPr>
              <w:t>11,605 </w:t>
            </w:r>
          </w:p>
        </w:tc>
        <w:tc>
          <w:tcPr>
            <w:tcW w:w="0" w:type="auto"/>
            <w:shd w:val="clear" w:color="auto" w:fill="auto"/>
            <w:tcMar>
              <w:top w:w="40" w:type="dxa"/>
              <w:left w:w="0" w:type="dxa"/>
              <w:bottom w:w="40" w:type="dxa"/>
              <w:right w:w="20" w:type="dxa"/>
            </w:tcMar>
            <w:vAlign w:val="bottom"/>
          </w:tcPr>
          <w:p w14:paraId="6753658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8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90" w14:textId="77777777" w:rsidR="001B77DD" w:rsidRDefault="00BF0A28">
            <w:pPr>
              <w:jc w:val="right"/>
              <w:textAlignment w:val="bottom"/>
            </w:pPr>
            <w:r>
              <w:rPr>
                <w:rFonts w:ascii="Arial" w:eastAsia="宋体" w:hAnsi="Arial" w:cs="Arial"/>
                <w:color w:val="262626"/>
                <w:sz w:val="18"/>
                <w:szCs w:val="18"/>
              </w:rPr>
              <w:t>10,058 </w:t>
            </w:r>
          </w:p>
        </w:tc>
        <w:tc>
          <w:tcPr>
            <w:tcW w:w="0" w:type="auto"/>
            <w:shd w:val="clear" w:color="auto" w:fill="auto"/>
            <w:tcMar>
              <w:top w:w="40" w:type="dxa"/>
              <w:left w:w="0" w:type="dxa"/>
              <w:bottom w:w="40" w:type="dxa"/>
              <w:right w:w="20" w:type="dxa"/>
            </w:tcMar>
            <w:vAlign w:val="bottom"/>
          </w:tcPr>
          <w:p w14:paraId="67536591" w14:textId="77777777" w:rsidR="001B77DD" w:rsidRDefault="001B77DD">
            <w:pPr>
              <w:jc w:val="right"/>
              <w:rPr>
                <w:rFonts w:ascii="宋体"/>
              </w:rPr>
            </w:pPr>
          </w:p>
        </w:tc>
      </w:tr>
      <w:tr w:rsidR="001B77DD" w14:paraId="6753659D" w14:textId="77777777">
        <w:tc>
          <w:tcPr>
            <w:tcW w:w="0" w:type="auto"/>
            <w:gridSpan w:val="3"/>
            <w:shd w:val="clear" w:color="auto" w:fill="auto"/>
            <w:tcMar>
              <w:top w:w="40" w:type="dxa"/>
              <w:left w:w="20" w:type="dxa"/>
              <w:bottom w:w="40" w:type="dxa"/>
              <w:right w:w="20" w:type="dxa"/>
            </w:tcMar>
            <w:vAlign w:val="bottom"/>
          </w:tcPr>
          <w:p w14:paraId="67536593" w14:textId="77777777" w:rsidR="001B77DD" w:rsidRDefault="00BF0A28">
            <w:pPr>
              <w:textAlignment w:val="bottom"/>
            </w:pPr>
            <w:r>
              <w:rPr>
                <w:rFonts w:ascii="Arial" w:eastAsia="宋体" w:hAnsi="Arial" w:cs="Arial"/>
                <w:color w:val="262626"/>
                <w:sz w:val="18"/>
                <w:szCs w:val="18"/>
              </w:rPr>
              <w:t>Other regions</w:t>
            </w:r>
          </w:p>
        </w:tc>
        <w:tc>
          <w:tcPr>
            <w:tcW w:w="0" w:type="auto"/>
            <w:gridSpan w:val="3"/>
            <w:shd w:val="clear" w:color="auto" w:fill="auto"/>
            <w:tcMar>
              <w:top w:w="0" w:type="dxa"/>
              <w:left w:w="20" w:type="dxa"/>
              <w:bottom w:w="0" w:type="dxa"/>
              <w:right w:w="20" w:type="dxa"/>
            </w:tcMar>
            <w:vAlign w:val="bottom"/>
          </w:tcPr>
          <w:p w14:paraId="6753659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95" w14:textId="77777777" w:rsidR="001B77DD" w:rsidRDefault="00BF0A28">
            <w:pPr>
              <w:jc w:val="right"/>
              <w:textAlignment w:val="bottom"/>
            </w:pPr>
            <w:r>
              <w:rPr>
                <w:rFonts w:ascii="Arial" w:eastAsia="宋体" w:hAnsi="Arial" w:cs="Arial"/>
                <w:color w:val="0068B5"/>
                <w:sz w:val="18"/>
                <w:szCs w:val="18"/>
              </w:rPr>
              <w:t>16,061 </w:t>
            </w:r>
          </w:p>
        </w:tc>
        <w:tc>
          <w:tcPr>
            <w:tcW w:w="0" w:type="auto"/>
            <w:shd w:val="clear" w:color="auto" w:fill="auto"/>
            <w:tcMar>
              <w:top w:w="40" w:type="dxa"/>
              <w:left w:w="0" w:type="dxa"/>
              <w:bottom w:w="40" w:type="dxa"/>
              <w:right w:w="20" w:type="dxa"/>
            </w:tcMar>
            <w:vAlign w:val="bottom"/>
          </w:tcPr>
          <w:p w14:paraId="6753659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9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98" w14:textId="77777777" w:rsidR="001B77DD" w:rsidRDefault="00BF0A28">
            <w:pPr>
              <w:jc w:val="right"/>
              <w:textAlignment w:val="bottom"/>
            </w:pPr>
            <w:r>
              <w:rPr>
                <w:rFonts w:ascii="Arial" w:eastAsia="宋体" w:hAnsi="Arial" w:cs="Arial"/>
                <w:color w:val="262626"/>
                <w:sz w:val="18"/>
                <w:szCs w:val="18"/>
              </w:rPr>
              <w:t>11,587 </w:t>
            </w:r>
          </w:p>
        </w:tc>
        <w:tc>
          <w:tcPr>
            <w:tcW w:w="0" w:type="auto"/>
            <w:shd w:val="clear" w:color="auto" w:fill="auto"/>
            <w:tcMar>
              <w:top w:w="40" w:type="dxa"/>
              <w:left w:w="0" w:type="dxa"/>
              <w:bottom w:w="40" w:type="dxa"/>
              <w:right w:w="20" w:type="dxa"/>
            </w:tcMar>
            <w:vAlign w:val="bottom"/>
          </w:tcPr>
          <w:p w14:paraId="6753659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9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9B" w14:textId="77777777" w:rsidR="001B77DD" w:rsidRDefault="00BF0A28">
            <w:pPr>
              <w:jc w:val="right"/>
              <w:textAlignment w:val="bottom"/>
            </w:pPr>
            <w:r>
              <w:rPr>
                <w:rFonts w:ascii="Arial" w:eastAsia="宋体" w:hAnsi="Arial" w:cs="Arial"/>
                <w:color w:val="262626"/>
                <w:sz w:val="18"/>
                <w:szCs w:val="18"/>
              </w:rPr>
              <w:t>10,614 </w:t>
            </w:r>
          </w:p>
        </w:tc>
        <w:tc>
          <w:tcPr>
            <w:tcW w:w="0" w:type="auto"/>
            <w:shd w:val="clear" w:color="auto" w:fill="auto"/>
            <w:tcMar>
              <w:top w:w="40" w:type="dxa"/>
              <w:left w:w="0" w:type="dxa"/>
              <w:bottom w:w="40" w:type="dxa"/>
              <w:right w:w="20" w:type="dxa"/>
            </w:tcMar>
            <w:vAlign w:val="bottom"/>
          </w:tcPr>
          <w:p w14:paraId="6753659C" w14:textId="77777777" w:rsidR="001B77DD" w:rsidRDefault="001B77DD">
            <w:pPr>
              <w:jc w:val="right"/>
              <w:rPr>
                <w:rFonts w:ascii="宋体"/>
              </w:rPr>
            </w:pPr>
          </w:p>
        </w:tc>
      </w:tr>
      <w:tr w:rsidR="001B77DD" w14:paraId="675365AB" w14:textId="77777777">
        <w:tc>
          <w:tcPr>
            <w:tcW w:w="0" w:type="auto"/>
            <w:gridSpan w:val="3"/>
            <w:shd w:val="clear" w:color="auto" w:fill="auto"/>
            <w:tcMar>
              <w:top w:w="40" w:type="dxa"/>
              <w:left w:w="20" w:type="dxa"/>
              <w:bottom w:w="40" w:type="dxa"/>
              <w:right w:w="20" w:type="dxa"/>
            </w:tcMar>
            <w:vAlign w:val="bottom"/>
          </w:tcPr>
          <w:p w14:paraId="6753659E" w14:textId="77777777" w:rsidR="001B77DD" w:rsidRDefault="00BF0A28">
            <w:pPr>
              <w:textAlignment w:val="bottom"/>
            </w:pPr>
            <w:r>
              <w:rPr>
                <w:rFonts w:ascii="Arial" w:eastAsia="宋体" w:hAnsi="Arial" w:cs="Arial"/>
                <w:b/>
                <w:bCs/>
                <w:color w:val="262626"/>
                <w:sz w:val="18"/>
                <w:szCs w:val="18"/>
              </w:rPr>
              <w:t xml:space="preserve">Total net revenue </w:t>
            </w:r>
          </w:p>
        </w:tc>
        <w:tc>
          <w:tcPr>
            <w:tcW w:w="0" w:type="auto"/>
            <w:gridSpan w:val="3"/>
            <w:shd w:val="clear" w:color="auto" w:fill="auto"/>
            <w:tcMar>
              <w:top w:w="0" w:type="dxa"/>
              <w:left w:w="20" w:type="dxa"/>
              <w:bottom w:w="0" w:type="dxa"/>
              <w:right w:w="20" w:type="dxa"/>
            </w:tcMar>
            <w:vAlign w:val="bottom"/>
          </w:tcPr>
          <w:p w14:paraId="6753659F"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5A0"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5A1" w14:textId="77777777" w:rsidR="001B77DD" w:rsidRDefault="00BF0A28">
            <w:pPr>
              <w:jc w:val="right"/>
              <w:textAlignment w:val="bottom"/>
            </w:pPr>
            <w:r>
              <w:rPr>
                <w:rFonts w:ascii="Arial" w:eastAsia="宋体" w:hAnsi="Arial" w:cs="Arial"/>
                <w:b/>
                <w:bCs/>
                <w:color w:val="0068B5"/>
                <w:sz w:val="18"/>
                <w:szCs w:val="18"/>
              </w:rPr>
              <w:t>79,024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5A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A3"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5A4"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5A5" w14:textId="77777777" w:rsidR="001B77DD" w:rsidRDefault="00BF0A28">
            <w:pPr>
              <w:jc w:val="right"/>
              <w:textAlignment w:val="bottom"/>
            </w:pPr>
            <w:r>
              <w:rPr>
                <w:rFonts w:ascii="Arial" w:eastAsia="宋体" w:hAnsi="Arial" w:cs="Arial"/>
                <w:b/>
                <w:bCs/>
                <w:color w:val="262626"/>
                <w:sz w:val="18"/>
                <w:szCs w:val="18"/>
              </w:rPr>
              <w:t>77,867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5A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A7"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5A8"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5A9" w14:textId="77777777" w:rsidR="001B77DD" w:rsidRDefault="00BF0A28">
            <w:pPr>
              <w:jc w:val="right"/>
              <w:textAlignment w:val="bottom"/>
            </w:pPr>
            <w:r>
              <w:rPr>
                <w:rFonts w:ascii="Arial" w:eastAsia="宋体" w:hAnsi="Arial" w:cs="Arial"/>
                <w:b/>
                <w:bCs/>
                <w:color w:val="262626"/>
                <w:sz w:val="18"/>
                <w:szCs w:val="18"/>
              </w:rPr>
              <w:t>71,965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5AA" w14:textId="77777777" w:rsidR="001B77DD" w:rsidRDefault="001B77DD">
            <w:pPr>
              <w:jc w:val="right"/>
              <w:rPr>
                <w:rFonts w:ascii="宋体"/>
              </w:rPr>
            </w:pPr>
          </w:p>
        </w:tc>
      </w:tr>
    </w:tbl>
    <w:p w14:paraId="675365AC"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1B77DD" w14:paraId="675365B3" w14:textId="77777777">
        <w:tc>
          <w:tcPr>
            <w:tcW w:w="50" w:type="pct"/>
            <w:shd w:val="clear" w:color="auto" w:fill="auto"/>
            <w:vAlign w:val="bottom"/>
          </w:tcPr>
          <w:p w14:paraId="675365AD" w14:textId="77777777" w:rsidR="001B77DD" w:rsidRDefault="001B77DD">
            <w:pPr>
              <w:rPr>
                <w:rFonts w:ascii="宋体"/>
              </w:rPr>
            </w:pPr>
          </w:p>
        </w:tc>
        <w:tc>
          <w:tcPr>
            <w:tcW w:w="491" w:type="pct"/>
            <w:shd w:val="clear" w:color="auto" w:fill="auto"/>
            <w:vAlign w:val="bottom"/>
          </w:tcPr>
          <w:p w14:paraId="675365AE" w14:textId="77777777" w:rsidR="001B77DD" w:rsidRDefault="001B77DD">
            <w:pPr>
              <w:rPr>
                <w:rFonts w:ascii="宋体"/>
              </w:rPr>
            </w:pPr>
          </w:p>
        </w:tc>
        <w:tc>
          <w:tcPr>
            <w:tcW w:w="5" w:type="pct"/>
            <w:shd w:val="clear" w:color="auto" w:fill="auto"/>
            <w:vAlign w:val="bottom"/>
          </w:tcPr>
          <w:p w14:paraId="675365AF" w14:textId="77777777" w:rsidR="001B77DD" w:rsidRDefault="001B77DD">
            <w:pPr>
              <w:rPr>
                <w:rFonts w:ascii="宋体"/>
              </w:rPr>
            </w:pPr>
          </w:p>
        </w:tc>
        <w:tc>
          <w:tcPr>
            <w:tcW w:w="50" w:type="pct"/>
            <w:shd w:val="clear" w:color="auto" w:fill="auto"/>
            <w:vAlign w:val="bottom"/>
          </w:tcPr>
          <w:p w14:paraId="675365B0" w14:textId="77777777" w:rsidR="001B77DD" w:rsidRDefault="001B77DD">
            <w:pPr>
              <w:rPr>
                <w:rFonts w:ascii="宋体"/>
              </w:rPr>
            </w:pPr>
          </w:p>
        </w:tc>
        <w:tc>
          <w:tcPr>
            <w:tcW w:w="4398" w:type="pct"/>
            <w:shd w:val="clear" w:color="auto" w:fill="auto"/>
            <w:vAlign w:val="bottom"/>
          </w:tcPr>
          <w:p w14:paraId="675365B1" w14:textId="77777777" w:rsidR="001B77DD" w:rsidRDefault="001B77DD">
            <w:pPr>
              <w:rPr>
                <w:rFonts w:ascii="宋体"/>
              </w:rPr>
            </w:pPr>
          </w:p>
        </w:tc>
        <w:tc>
          <w:tcPr>
            <w:tcW w:w="5" w:type="pct"/>
            <w:shd w:val="clear" w:color="auto" w:fill="auto"/>
            <w:vAlign w:val="bottom"/>
          </w:tcPr>
          <w:p w14:paraId="675365B2" w14:textId="77777777" w:rsidR="001B77DD" w:rsidRDefault="001B77DD">
            <w:pPr>
              <w:rPr>
                <w:rFonts w:ascii="宋体"/>
              </w:rPr>
            </w:pPr>
          </w:p>
        </w:tc>
      </w:tr>
      <w:tr w:rsidR="001B77DD" w14:paraId="675365B6"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5B4" w14:textId="77777777" w:rsidR="001B77DD" w:rsidRDefault="00BF0A28">
            <w:pPr>
              <w:textAlignment w:val="bottom"/>
            </w:pPr>
            <w:r>
              <w:rPr>
                <w:rFonts w:ascii="Arial" w:eastAsia="宋体" w:hAnsi="Arial" w:cs="Arial"/>
                <w:color w:val="FFFFFF"/>
                <w:sz w:val="28"/>
                <w:szCs w:val="28"/>
              </w:rPr>
              <w:t xml:space="preserve">Note 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5B5" w14:textId="77777777" w:rsidR="001B77DD" w:rsidRDefault="00BF0A28">
            <w:pPr>
              <w:textAlignment w:val="bottom"/>
            </w:pPr>
            <w:r>
              <w:rPr>
                <w:rFonts w:ascii="Arial" w:eastAsia="宋体" w:hAnsi="Arial" w:cs="Arial"/>
                <w:color w:val="0068B5"/>
                <w:sz w:val="28"/>
                <w:szCs w:val="28"/>
              </w:rPr>
              <w:t>Earnings Per Share</w:t>
            </w:r>
          </w:p>
        </w:tc>
      </w:tr>
    </w:tbl>
    <w:p w14:paraId="675365B7"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1B77DD" w14:paraId="675365CD" w14:textId="77777777">
        <w:tc>
          <w:tcPr>
            <w:tcW w:w="50" w:type="pct"/>
            <w:shd w:val="clear" w:color="auto" w:fill="auto"/>
            <w:vAlign w:val="bottom"/>
          </w:tcPr>
          <w:p w14:paraId="675365B8" w14:textId="77777777" w:rsidR="001B77DD" w:rsidRDefault="001B77DD">
            <w:pPr>
              <w:rPr>
                <w:rFonts w:ascii="宋体"/>
              </w:rPr>
            </w:pPr>
          </w:p>
        </w:tc>
        <w:tc>
          <w:tcPr>
            <w:tcW w:w="3059" w:type="pct"/>
            <w:shd w:val="clear" w:color="auto" w:fill="auto"/>
            <w:vAlign w:val="bottom"/>
          </w:tcPr>
          <w:p w14:paraId="675365B9" w14:textId="77777777" w:rsidR="001B77DD" w:rsidRDefault="001B77DD">
            <w:pPr>
              <w:rPr>
                <w:rFonts w:ascii="宋体"/>
              </w:rPr>
            </w:pPr>
          </w:p>
        </w:tc>
        <w:tc>
          <w:tcPr>
            <w:tcW w:w="5" w:type="pct"/>
            <w:shd w:val="clear" w:color="auto" w:fill="auto"/>
            <w:vAlign w:val="bottom"/>
          </w:tcPr>
          <w:p w14:paraId="675365BA" w14:textId="77777777" w:rsidR="001B77DD" w:rsidRDefault="001B77DD">
            <w:pPr>
              <w:rPr>
                <w:rFonts w:ascii="宋体"/>
              </w:rPr>
            </w:pPr>
          </w:p>
        </w:tc>
        <w:tc>
          <w:tcPr>
            <w:tcW w:w="5" w:type="pct"/>
            <w:shd w:val="clear" w:color="auto" w:fill="auto"/>
            <w:vAlign w:val="bottom"/>
          </w:tcPr>
          <w:p w14:paraId="675365BB" w14:textId="77777777" w:rsidR="001B77DD" w:rsidRDefault="001B77DD">
            <w:pPr>
              <w:rPr>
                <w:rFonts w:ascii="宋体"/>
              </w:rPr>
            </w:pPr>
          </w:p>
        </w:tc>
        <w:tc>
          <w:tcPr>
            <w:tcW w:w="24" w:type="pct"/>
            <w:shd w:val="clear" w:color="auto" w:fill="auto"/>
            <w:vAlign w:val="bottom"/>
          </w:tcPr>
          <w:p w14:paraId="675365BC" w14:textId="77777777" w:rsidR="001B77DD" w:rsidRDefault="001B77DD">
            <w:pPr>
              <w:rPr>
                <w:rFonts w:ascii="宋体"/>
              </w:rPr>
            </w:pPr>
          </w:p>
        </w:tc>
        <w:tc>
          <w:tcPr>
            <w:tcW w:w="5" w:type="pct"/>
            <w:shd w:val="clear" w:color="auto" w:fill="auto"/>
            <w:vAlign w:val="bottom"/>
          </w:tcPr>
          <w:p w14:paraId="675365BD" w14:textId="77777777" w:rsidR="001B77DD" w:rsidRDefault="001B77DD">
            <w:pPr>
              <w:rPr>
                <w:rFonts w:ascii="宋体"/>
              </w:rPr>
            </w:pPr>
          </w:p>
        </w:tc>
        <w:tc>
          <w:tcPr>
            <w:tcW w:w="50" w:type="pct"/>
            <w:shd w:val="clear" w:color="auto" w:fill="auto"/>
            <w:vAlign w:val="bottom"/>
          </w:tcPr>
          <w:p w14:paraId="675365BE" w14:textId="77777777" w:rsidR="001B77DD" w:rsidRDefault="001B77DD">
            <w:pPr>
              <w:rPr>
                <w:rFonts w:ascii="宋体"/>
              </w:rPr>
            </w:pPr>
          </w:p>
        </w:tc>
        <w:tc>
          <w:tcPr>
            <w:tcW w:w="539" w:type="pct"/>
            <w:shd w:val="clear" w:color="auto" w:fill="auto"/>
            <w:vAlign w:val="bottom"/>
          </w:tcPr>
          <w:p w14:paraId="675365BF" w14:textId="77777777" w:rsidR="001B77DD" w:rsidRDefault="001B77DD">
            <w:pPr>
              <w:rPr>
                <w:rFonts w:ascii="宋体"/>
              </w:rPr>
            </w:pPr>
          </w:p>
        </w:tc>
        <w:tc>
          <w:tcPr>
            <w:tcW w:w="5" w:type="pct"/>
            <w:shd w:val="clear" w:color="auto" w:fill="auto"/>
            <w:vAlign w:val="bottom"/>
          </w:tcPr>
          <w:p w14:paraId="675365C0" w14:textId="77777777" w:rsidR="001B77DD" w:rsidRDefault="001B77DD">
            <w:pPr>
              <w:rPr>
                <w:rFonts w:ascii="宋体"/>
              </w:rPr>
            </w:pPr>
          </w:p>
        </w:tc>
        <w:tc>
          <w:tcPr>
            <w:tcW w:w="5" w:type="pct"/>
            <w:shd w:val="clear" w:color="auto" w:fill="auto"/>
            <w:vAlign w:val="bottom"/>
          </w:tcPr>
          <w:p w14:paraId="675365C1" w14:textId="77777777" w:rsidR="001B77DD" w:rsidRDefault="001B77DD">
            <w:pPr>
              <w:rPr>
                <w:rFonts w:ascii="宋体"/>
              </w:rPr>
            </w:pPr>
          </w:p>
        </w:tc>
        <w:tc>
          <w:tcPr>
            <w:tcW w:w="24" w:type="pct"/>
            <w:shd w:val="clear" w:color="auto" w:fill="auto"/>
            <w:vAlign w:val="bottom"/>
          </w:tcPr>
          <w:p w14:paraId="675365C2" w14:textId="77777777" w:rsidR="001B77DD" w:rsidRDefault="001B77DD">
            <w:pPr>
              <w:rPr>
                <w:rFonts w:ascii="宋体"/>
              </w:rPr>
            </w:pPr>
          </w:p>
        </w:tc>
        <w:tc>
          <w:tcPr>
            <w:tcW w:w="5" w:type="pct"/>
            <w:shd w:val="clear" w:color="auto" w:fill="auto"/>
            <w:vAlign w:val="bottom"/>
          </w:tcPr>
          <w:p w14:paraId="675365C3" w14:textId="77777777" w:rsidR="001B77DD" w:rsidRDefault="001B77DD">
            <w:pPr>
              <w:rPr>
                <w:rFonts w:ascii="宋体"/>
              </w:rPr>
            </w:pPr>
          </w:p>
        </w:tc>
        <w:tc>
          <w:tcPr>
            <w:tcW w:w="50" w:type="pct"/>
            <w:shd w:val="clear" w:color="auto" w:fill="auto"/>
            <w:vAlign w:val="bottom"/>
          </w:tcPr>
          <w:p w14:paraId="675365C4" w14:textId="77777777" w:rsidR="001B77DD" w:rsidRDefault="001B77DD">
            <w:pPr>
              <w:rPr>
                <w:rFonts w:ascii="宋体"/>
              </w:rPr>
            </w:pPr>
          </w:p>
        </w:tc>
        <w:tc>
          <w:tcPr>
            <w:tcW w:w="539" w:type="pct"/>
            <w:shd w:val="clear" w:color="auto" w:fill="auto"/>
            <w:vAlign w:val="bottom"/>
          </w:tcPr>
          <w:p w14:paraId="675365C5" w14:textId="77777777" w:rsidR="001B77DD" w:rsidRDefault="001B77DD">
            <w:pPr>
              <w:rPr>
                <w:rFonts w:ascii="宋体"/>
              </w:rPr>
            </w:pPr>
          </w:p>
        </w:tc>
        <w:tc>
          <w:tcPr>
            <w:tcW w:w="5" w:type="pct"/>
            <w:shd w:val="clear" w:color="auto" w:fill="auto"/>
            <w:vAlign w:val="bottom"/>
          </w:tcPr>
          <w:p w14:paraId="675365C6" w14:textId="77777777" w:rsidR="001B77DD" w:rsidRDefault="001B77DD">
            <w:pPr>
              <w:rPr>
                <w:rFonts w:ascii="宋体"/>
              </w:rPr>
            </w:pPr>
          </w:p>
        </w:tc>
        <w:tc>
          <w:tcPr>
            <w:tcW w:w="5" w:type="pct"/>
            <w:shd w:val="clear" w:color="auto" w:fill="auto"/>
            <w:vAlign w:val="bottom"/>
          </w:tcPr>
          <w:p w14:paraId="675365C7" w14:textId="77777777" w:rsidR="001B77DD" w:rsidRDefault="001B77DD">
            <w:pPr>
              <w:rPr>
                <w:rFonts w:ascii="宋体"/>
              </w:rPr>
            </w:pPr>
          </w:p>
        </w:tc>
        <w:tc>
          <w:tcPr>
            <w:tcW w:w="24" w:type="pct"/>
            <w:shd w:val="clear" w:color="auto" w:fill="auto"/>
            <w:vAlign w:val="bottom"/>
          </w:tcPr>
          <w:p w14:paraId="675365C8" w14:textId="77777777" w:rsidR="001B77DD" w:rsidRDefault="001B77DD">
            <w:pPr>
              <w:rPr>
                <w:rFonts w:ascii="宋体"/>
              </w:rPr>
            </w:pPr>
          </w:p>
        </w:tc>
        <w:tc>
          <w:tcPr>
            <w:tcW w:w="5" w:type="pct"/>
            <w:shd w:val="clear" w:color="auto" w:fill="auto"/>
            <w:vAlign w:val="bottom"/>
          </w:tcPr>
          <w:p w14:paraId="675365C9" w14:textId="77777777" w:rsidR="001B77DD" w:rsidRDefault="001B77DD">
            <w:pPr>
              <w:rPr>
                <w:rFonts w:ascii="宋体"/>
              </w:rPr>
            </w:pPr>
          </w:p>
        </w:tc>
        <w:tc>
          <w:tcPr>
            <w:tcW w:w="50" w:type="pct"/>
            <w:shd w:val="clear" w:color="auto" w:fill="auto"/>
            <w:vAlign w:val="bottom"/>
          </w:tcPr>
          <w:p w14:paraId="675365CA" w14:textId="77777777" w:rsidR="001B77DD" w:rsidRDefault="001B77DD">
            <w:pPr>
              <w:rPr>
                <w:rFonts w:ascii="宋体"/>
              </w:rPr>
            </w:pPr>
          </w:p>
        </w:tc>
        <w:tc>
          <w:tcPr>
            <w:tcW w:w="539" w:type="pct"/>
            <w:shd w:val="clear" w:color="auto" w:fill="auto"/>
            <w:vAlign w:val="bottom"/>
          </w:tcPr>
          <w:p w14:paraId="675365CB" w14:textId="77777777" w:rsidR="001B77DD" w:rsidRDefault="001B77DD">
            <w:pPr>
              <w:rPr>
                <w:rFonts w:ascii="宋体"/>
              </w:rPr>
            </w:pPr>
          </w:p>
        </w:tc>
        <w:tc>
          <w:tcPr>
            <w:tcW w:w="5" w:type="pct"/>
            <w:shd w:val="clear" w:color="auto" w:fill="auto"/>
            <w:vAlign w:val="bottom"/>
          </w:tcPr>
          <w:p w14:paraId="675365CC" w14:textId="77777777" w:rsidR="001B77DD" w:rsidRDefault="001B77DD">
            <w:pPr>
              <w:rPr>
                <w:rFonts w:ascii="宋体"/>
              </w:rPr>
            </w:pPr>
          </w:p>
        </w:tc>
      </w:tr>
      <w:tr w:rsidR="001B77DD" w14:paraId="675365D5" w14:textId="77777777">
        <w:tc>
          <w:tcPr>
            <w:tcW w:w="0" w:type="auto"/>
            <w:gridSpan w:val="3"/>
            <w:shd w:val="clear" w:color="auto" w:fill="auto"/>
            <w:tcMar>
              <w:top w:w="40" w:type="dxa"/>
              <w:left w:w="20" w:type="dxa"/>
              <w:bottom w:w="40" w:type="dxa"/>
              <w:right w:w="20" w:type="dxa"/>
            </w:tcMar>
            <w:vAlign w:val="bottom"/>
          </w:tcPr>
          <w:p w14:paraId="675365CE"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 Except Per Share Amounts)</w:t>
            </w:r>
          </w:p>
        </w:tc>
        <w:tc>
          <w:tcPr>
            <w:tcW w:w="0" w:type="auto"/>
            <w:gridSpan w:val="3"/>
            <w:shd w:val="clear" w:color="auto" w:fill="auto"/>
            <w:tcMar>
              <w:top w:w="0" w:type="dxa"/>
              <w:left w:w="20" w:type="dxa"/>
              <w:bottom w:w="0" w:type="dxa"/>
              <w:right w:w="20" w:type="dxa"/>
            </w:tcMar>
            <w:vAlign w:val="bottom"/>
          </w:tcPr>
          <w:p w14:paraId="675365C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5D0"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5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5D2"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5D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5D4"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5E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5D6" w14:textId="77777777" w:rsidR="001B77DD" w:rsidRDefault="00BF0A28">
            <w:pPr>
              <w:textAlignment w:val="bottom"/>
            </w:pPr>
            <w:r>
              <w:rPr>
                <w:rFonts w:ascii="Arial" w:eastAsia="宋体" w:hAnsi="Arial" w:cs="Arial"/>
                <w:b/>
                <w:bCs/>
                <w:color w:val="262626"/>
                <w:sz w:val="18"/>
                <w:szCs w:val="18"/>
              </w:rPr>
              <w:t>Net income available to common stockholders</w:t>
            </w:r>
          </w:p>
        </w:tc>
        <w:tc>
          <w:tcPr>
            <w:tcW w:w="0" w:type="auto"/>
            <w:gridSpan w:val="3"/>
            <w:shd w:val="clear" w:color="auto" w:fill="auto"/>
            <w:tcMar>
              <w:top w:w="0" w:type="dxa"/>
              <w:left w:w="20" w:type="dxa"/>
              <w:bottom w:w="0" w:type="dxa"/>
              <w:right w:w="20" w:type="dxa"/>
            </w:tcMar>
            <w:vAlign w:val="bottom"/>
          </w:tcPr>
          <w:p w14:paraId="675365D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5D8"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5D9" w14:textId="77777777" w:rsidR="001B77DD" w:rsidRDefault="00BF0A28">
            <w:pPr>
              <w:jc w:val="right"/>
              <w:textAlignment w:val="bottom"/>
            </w:pPr>
            <w:r>
              <w:rPr>
                <w:rFonts w:ascii="Arial" w:eastAsia="宋体" w:hAnsi="Arial" w:cs="Arial"/>
                <w:b/>
                <w:bCs/>
                <w:color w:val="0068B5"/>
                <w:sz w:val="18"/>
                <w:szCs w:val="18"/>
              </w:rPr>
              <w:t>19,868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5D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D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5DC"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5DD" w14:textId="77777777" w:rsidR="001B77DD" w:rsidRDefault="00BF0A28">
            <w:pPr>
              <w:jc w:val="right"/>
              <w:textAlignment w:val="bottom"/>
            </w:pPr>
            <w:r>
              <w:rPr>
                <w:rFonts w:ascii="Arial" w:eastAsia="宋体" w:hAnsi="Arial" w:cs="Arial"/>
                <w:b/>
                <w:bCs/>
                <w:color w:val="262626"/>
                <w:sz w:val="18"/>
                <w:szCs w:val="18"/>
              </w:rPr>
              <w:t>20,899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5D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D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5E0"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5E1" w14:textId="77777777" w:rsidR="001B77DD" w:rsidRDefault="00BF0A28">
            <w:pPr>
              <w:jc w:val="right"/>
              <w:textAlignment w:val="bottom"/>
            </w:pPr>
            <w:r>
              <w:rPr>
                <w:rFonts w:ascii="Arial" w:eastAsia="宋体" w:hAnsi="Arial" w:cs="Arial"/>
                <w:b/>
                <w:bCs/>
                <w:color w:val="262626"/>
                <w:sz w:val="18"/>
                <w:szCs w:val="18"/>
              </w:rPr>
              <w:t>21,048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5E2" w14:textId="77777777" w:rsidR="001B77DD" w:rsidRDefault="001B77DD">
            <w:pPr>
              <w:jc w:val="right"/>
              <w:rPr>
                <w:rFonts w:ascii="宋体"/>
              </w:rPr>
            </w:pPr>
          </w:p>
        </w:tc>
      </w:tr>
      <w:tr w:rsidR="001B77DD" w14:paraId="675365EE" w14:textId="77777777">
        <w:tc>
          <w:tcPr>
            <w:tcW w:w="0" w:type="auto"/>
            <w:gridSpan w:val="3"/>
            <w:shd w:val="clear" w:color="auto" w:fill="auto"/>
            <w:tcMar>
              <w:top w:w="40" w:type="dxa"/>
              <w:left w:w="20" w:type="dxa"/>
              <w:bottom w:w="40" w:type="dxa"/>
              <w:right w:w="20" w:type="dxa"/>
            </w:tcMar>
            <w:vAlign w:val="bottom"/>
          </w:tcPr>
          <w:p w14:paraId="675365E4" w14:textId="77777777" w:rsidR="001B77DD" w:rsidRDefault="00BF0A28">
            <w:pPr>
              <w:textAlignment w:val="bottom"/>
            </w:pPr>
            <w:r>
              <w:rPr>
                <w:rFonts w:ascii="Arial" w:eastAsia="宋体" w:hAnsi="Arial" w:cs="Arial"/>
                <w:b/>
                <w:bCs/>
                <w:color w:val="262626"/>
                <w:sz w:val="18"/>
                <w:szCs w:val="18"/>
              </w:rPr>
              <w:t>Weighted average shares of common stock outstanding—basic</w:t>
            </w:r>
          </w:p>
        </w:tc>
        <w:tc>
          <w:tcPr>
            <w:tcW w:w="0" w:type="auto"/>
            <w:gridSpan w:val="3"/>
            <w:shd w:val="clear" w:color="auto" w:fill="auto"/>
            <w:tcMar>
              <w:top w:w="0" w:type="dxa"/>
              <w:left w:w="20" w:type="dxa"/>
              <w:bottom w:w="0" w:type="dxa"/>
              <w:right w:w="20" w:type="dxa"/>
            </w:tcMar>
            <w:vAlign w:val="bottom"/>
          </w:tcPr>
          <w:p w14:paraId="675365E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E6" w14:textId="77777777" w:rsidR="001B77DD" w:rsidRDefault="00BF0A28">
            <w:pPr>
              <w:jc w:val="right"/>
              <w:textAlignment w:val="bottom"/>
            </w:pPr>
            <w:r>
              <w:rPr>
                <w:rFonts w:ascii="Arial" w:eastAsia="宋体" w:hAnsi="Arial" w:cs="Arial"/>
                <w:b/>
                <w:bCs/>
                <w:color w:val="0068B5"/>
                <w:sz w:val="18"/>
                <w:szCs w:val="18"/>
              </w:rPr>
              <w:t>4,059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5E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E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E9" w14:textId="77777777" w:rsidR="001B77DD" w:rsidRDefault="00BF0A28">
            <w:pPr>
              <w:jc w:val="right"/>
              <w:textAlignment w:val="bottom"/>
            </w:pPr>
            <w:r>
              <w:rPr>
                <w:rFonts w:ascii="Arial" w:eastAsia="宋体" w:hAnsi="Arial" w:cs="Arial"/>
                <w:b/>
                <w:bCs/>
                <w:color w:val="262626"/>
                <w:sz w:val="18"/>
                <w:szCs w:val="18"/>
              </w:rPr>
              <w:t>4,199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5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EC" w14:textId="77777777" w:rsidR="001B77DD" w:rsidRDefault="00BF0A28">
            <w:pPr>
              <w:jc w:val="right"/>
              <w:textAlignment w:val="bottom"/>
            </w:pPr>
            <w:r>
              <w:rPr>
                <w:rFonts w:ascii="Arial" w:eastAsia="宋体" w:hAnsi="Arial" w:cs="Arial"/>
                <w:b/>
                <w:bCs/>
                <w:color w:val="262626"/>
                <w:sz w:val="18"/>
                <w:szCs w:val="18"/>
              </w:rPr>
              <w:t>4,417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5ED" w14:textId="77777777" w:rsidR="001B77DD" w:rsidRDefault="001B77DD">
            <w:pPr>
              <w:jc w:val="right"/>
              <w:rPr>
                <w:rFonts w:ascii="宋体"/>
              </w:rPr>
            </w:pPr>
          </w:p>
        </w:tc>
      </w:tr>
      <w:tr w:rsidR="001B77DD" w14:paraId="675365F9" w14:textId="77777777">
        <w:tc>
          <w:tcPr>
            <w:tcW w:w="0" w:type="auto"/>
            <w:gridSpan w:val="3"/>
            <w:shd w:val="clear" w:color="auto" w:fill="auto"/>
            <w:tcMar>
              <w:top w:w="40" w:type="dxa"/>
              <w:left w:w="20" w:type="dxa"/>
              <w:bottom w:w="40" w:type="dxa"/>
              <w:right w:w="20" w:type="dxa"/>
            </w:tcMar>
            <w:vAlign w:val="bottom"/>
          </w:tcPr>
          <w:p w14:paraId="675365EF" w14:textId="77777777" w:rsidR="001B77DD" w:rsidRDefault="00BF0A28">
            <w:pPr>
              <w:textAlignment w:val="bottom"/>
            </w:pPr>
            <w:r>
              <w:rPr>
                <w:rFonts w:ascii="Arial" w:eastAsia="宋体" w:hAnsi="Arial" w:cs="Arial"/>
                <w:color w:val="262626"/>
                <w:sz w:val="18"/>
                <w:szCs w:val="18"/>
              </w:rPr>
              <w:t>Dilutive effect of employee incentive plans</w:t>
            </w:r>
          </w:p>
        </w:tc>
        <w:tc>
          <w:tcPr>
            <w:tcW w:w="0" w:type="auto"/>
            <w:gridSpan w:val="3"/>
            <w:shd w:val="clear" w:color="auto" w:fill="auto"/>
            <w:tcMar>
              <w:top w:w="0" w:type="dxa"/>
              <w:left w:w="20" w:type="dxa"/>
              <w:bottom w:w="0" w:type="dxa"/>
              <w:right w:w="20" w:type="dxa"/>
            </w:tcMar>
            <w:vAlign w:val="bottom"/>
          </w:tcPr>
          <w:p w14:paraId="675365F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F1" w14:textId="77777777" w:rsidR="001B77DD" w:rsidRDefault="00BF0A28">
            <w:pPr>
              <w:jc w:val="right"/>
              <w:textAlignment w:val="bottom"/>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vAlign w:val="bottom"/>
          </w:tcPr>
          <w:p w14:paraId="675365F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F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F4" w14:textId="77777777" w:rsidR="001B77DD" w:rsidRDefault="00BF0A28">
            <w:pPr>
              <w:jc w:val="right"/>
              <w:textAlignment w:val="bottom"/>
            </w:pPr>
            <w:r>
              <w:rPr>
                <w:rFonts w:ascii="Arial" w:eastAsia="宋体" w:hAnsi="Arial" w:cs="Arial"/>
                <w:color w:val="262626"/>
                <w:sz w:val="18"/>
                <w:szCs w:val="18"/>
              </w:rPr>
              <w:t>33 </w:t>
            </w:r>
          </w:p>
        </w:tc>
        <w:tc>
          <w:tcPr>
            <w:tcW w:w="0" w:type="auto"/>
            <w:shd w:val="clear" w:color="auto" w:fill="auto"/>
            <w:tcMar>
              <w:top w:w="40" w:type="dxa"/>
              <w:left w:w="0" w:type="dxa"/>
              <w:bottom w:w="40" w:type="dxa"/>
              <w:right w:w="20" w:type="dxa"/>
            </w:tcMar>
            <w:vAlign w:val="bottom"/>
          </w:tcPr>
          <w:p w14:paraId="675365F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F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F7" w14:textId="77777777" w:rsidR="001B77DD" w:rsidRDefault="00BF0A28">
            <w:pPr>
              <w:jc w:val="right"/>
              <w:textAlignment w:val="bottom"/>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vAlign w:val="bottom"/>
          </w:tcPr>
          <w:p w14:paraId="675365F8" w14:textId="77777777" w:rsidR="001B77DD" w:rsidRDefault="001B77DD">
            <w:pPr>
              <w:jc w:val="right"/>
              <w:rPr>
                <w:rFonts w:ascii="宋体"/>
              </w:rPr>
            </w:pPr>
          </w:p>
        </w:tc>
      </w:tr>
      <w:tr w:rsidR="001B77DD" w14:paraId="67536604" w14:textId="77777777">
        <w:tc>
          <w:tcPr>
            <w:tcW w:w="0" w:type="auto"/>
            <w:gridSpan w:val="3"/>
            <w:shd w:val="clear" w:color="auto" w:fill="auto"/>
            <w:tcMar>
              <w:top w:w="40" w:type="dxa"/>
              <w:left w:w="20" w:type="dxa"/>
              <w:bottom w:w="40" w:type="dxa"/>
              <w:right w:w="20" w:type="dxa"/>
            </w:tcMar>
            <w:vAlign w:val="bottom"/>
          </w:tcPr>
          <w:p w14:paraId="675365FA" w14:textId="77777777" w:rsidR="001B77DD" w:rsidRDefault="00BF0A28">
            <w:pPr>
              <w:textAlignment w:val="bottom"/>
            </w:pPr>
            <w:r>
              <w:rPr>
                <w:rFonts w:ascii="Arial" w:eastAsia="宋体" w:hAnsi="Arial" w:cs="Arial"/>
                <w:color w:val="262626"/>
                <w:sz w:val="18"/>
                <w:szCs w:val="18"/>
              </w:rPr>
              <w:t>Dilutive effect of convertible debt</w:t>
            </w:r>
          </w:p>
        </w:tc>
        <w:tc>
          <w:tcPr>
            <w:tcW w:w="0" w:type="auto"/>
            <w:gridSpan w:val="3"/>
            <w:shd w:val="clear" w:color="auto" w:fill="auto"/>
            <w:tcMar>
              <w:top w:w="0" w:type="dxa"/>
              <w:left w:w="20" w:type="dxa"/>
              <w:bottom w:w="0" w:type="dxa"/>
              <w:right w:w="20" w:type="dxa"/>
            </w:tcMar>
            <w:vAlign w:val="bottom"/>
          </w:tcPr>
          <w:p w14:paraId="675365F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F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5F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5F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5FF"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60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0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02" w14:textId="77777777" w:rsidR="001B77DD" w:rsidRDefault="00BF0A28">
            <w:pPr>
              <w:jc w:val="right"/>
              <w:textAlignment w:val="bottom"/>
            </w:pPr>
            <w:r>
              <w:rPr>
                <w:rFonts w:ascii="Arial" w:eastAsia="宋体" w:hAnsi="Arial" w:cs="Arial"/>
                <w:color w:val="262626"/>
                <w:sz w:val="18"/>
                <w:szCs w:val="18"/>
              </w:rPr>
              <w:t>15 </w:t>
            </w:r>
          </w:p>
        </w:tc>
        <w:tc>
          <w:tcPr>
            <w:tcW w:w="0" w:type="auto"/>
            <w:shd w:val="clear" w:color="auto" w:fill="auto"/>
            <w:tcMar>
              <w:top w:w="40" w:type="dxa"/>
              <w:left w:w="0" w:type="dxa"/>
              <w:bottom w:w="40" w:type="dxa"/>
              <w:right w:w="20" w:type="dxa"/>
            </w:tcMar>
            <w:vAlign w:val="bottom"/>
          </w:tcPr>
          <w:p w14:paraId="67536603" w14:textId="77777777" w:rsidR="001B77DD" w:rsidRDefault="001B77DD">
            <w:pPr>
              <w:jc w:val="right"/>
              <w:rPr>
                <w:rFonts w:ascii="宋体"/>
              </w:rPr>
            </w:pPr>
          </w:p>
        </w:tc>
      </w:tr>
      <w:tr w:rsidR="001B77DD" w14:paraId="6753660F" w14:textId="77777777">
        <w:tc>
          <w:tcPr>
            <w:tcW w:w="0" w:type="auto"/>
            <w:gridSpan w:val="3"/>
            <w:shd w:val="clear" w:color="auto" w:fill="auto"/>
            <w:tcMar>
              <w:top w:w="40" w:type="dxa"/>
              <w:left w:w="20" w:type="dxa"/>
              <w:bottom w:w="40" w:type="dxa"/>
              <w:right w:w="20" w:type="dxa"/>
            </w:tcMar>
            <w:vAlign w:val="bottom"/>
          </w:tcPr>
          <w:p w14:paraId="67536605" w14:textId="77777777" w:rsidR="001B77DD" w:rsidRDefault="00BF0A28">
            <w:pPr>
              <w:textAlignment w:val="bottom"/>
            </w:pPr>
            <w:r>
              <w:rPr>
                <w:rFonts w:ascii="Arial" w:eastAsia="宋体" w:hAnsi="Arial" w:cs="Arial"/>
                <w:b/>
                <w:bCs/>
                <w:color w:val="262626"/>
                <w:sz w:val="18"/>
                <w:szCs w:val="18"/>
              </w:rPr>
              <w:t>Weighted average shares of common stock outstanding—diluted</w:t>
            </w:r>
          </w:p>
        </w:tc>
        <w:tc>
          <w:tcPr>
            <w:tcW w:w="0" w:type="auto"/>
            <w:gridSpan w:val="3"/>
            <w:shd w:val="clear" w:color="auto" w:fill="auto"/>
            <w:tcMar>
              <w:top w:w="0" w:type="dxa"/>
              <w:left w:w="20" w:type="dxa"/>
              <w:bottom w:w="0" w:type="dxa"/>
              <w:right w:w="20" w:type="dxa"/>
            </w:tcMar>
            <w:vAlign w:val="bottom"/>
          </w:tcPr>
          <w:p w14:paraId="67536606"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607" w14:textId="77777777" w:rsidR="001B77DD" w:rsidRDefault="00BF0A28">
            <w:pPr>
              <w:jc w:val="right"/>
              <w:textAlignment w:val="bottom"/>
            </w:pPr>
            <w:r>
              <w:rPr>
                <w:rFonts w:ascii="Arial" w:eastAsia="宋体" w:hAnsi="Arial" w:cs="Arial"/>
                <w:b/>
                <w:bCs/>
                <w:color w:val="0068B5"/>
                <w:sz w:val="18"/>
                <w:szCs w:val="18"/>
              </w:rPr>
              <w:t>4,090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60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0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60A" w14:textId="77777777" w:rsidR="001B77DD" w:rsidRDefault="00BF0A28">
            <w:pPr>
              <w:jc w:val="right"/>
              <w:textAlignment w:val="bottom"/>
            </w:pPr>
            <w:r>
              <w:rPr>
                <w:rFonts w:ascii="Arial" w:eastAsia="宋体" w:hAnsi="Arial" w:cs="Arial"/>
                <w:b/>
                <w:bCs/>
                <w:color w:val="262626"/>
                <w:sz w:val="18"/>
                <w:szCs w:val="18"/>
              </w:rPr>
              <w:t>4,232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60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0C"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60D" w14:textId="77777777" w:rsidR="001B77DD" w:rsidRDefault="00BF0A28">
            <w:pPr>
              <w:jc w:val="right"/>
              <w:textAlignment w:val="bottom"/>
            </w:pPr>
            <w:r>
              <w:rPr>
                <w:rFonts w:ascii="Arial" w:eastAsia="宋体" w:hAnsi="Arial" w:cs="Arial"/>
                <w:b/>
                <w:bCs/>
                <w:color w:val="262626"/>
                <w:sz w:val="18"/>
                <w:szCs w:val="18"/>
              </w:rPr>
              <w:t>4,473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60E" w14:textId="77777777" w:rsidR="001B77DD" w:rsidRDefault="001B77DD">
            <w:pPr>
              <w:jc w:val="right"/>
              <w:rPr>
                <w:rFonts w:ascii="宋体"/>
              </w:rPr>
            </w:pPr>
          </w:p>
        </w:tc>
      </w:tr>
      <w:tr w:rsidR="001B77DD" w14:paraId="6753661D" w14:textId="77777777">
        <w:tc>
          <w:tcPr>
            <w:tcW w:w="0" w:type="auto"/>
            <w:gridSpan w:val="3"/>
            <w:shd w:val="clear" w:color="auto" w:fill="auto"/>
            <w:tcMar>
              <w:top w:w="40" w:type="dxa"/>
              <w:left w:w="20" w:type="dxa"/>
              <w:bottom w:w="40" w:type="dxa"/>
              <w:right w:w="20" w:type="dxa"/>
            </w:tcMar>
            <w:vAlign w:val="bottom"/>
          </w:tcPr>
          <w:p w14:paraId="67536610" w14:textId="77777777" w:rsidR="001B77DD" w:rsidRDefault="00BF0A28">
            <w:pPr>
              <w:textAlignment w:val="bottom"/>
            </w:pPr>
            <w:r>
              <w:rPr>
                <w:rFonts w:ascii="Arial" w:eastAsia="宋体" w:hAnsi="Arial" w:cs="Arial"/>
                <w:b/>
                <w:bCs/>
                <w:color w:val="262626"/>
                <w:sz w:val="18"/>
                <w:szCs w:val="18"/>
              </w:rPr>
              <w:t>E</w:t>
            </w:r>
            <w:r>
              <w:rPr>
                <w:rFonts w:ascii="Arial" w:eastAsia="宋体" w:hAnsi="Arial" w:cs="Arial"/>
                <w:b/>
                <w:bCs/>
                <w:color w:val="262626"/>
                <w:sz w:val="18"/>
                <w:szCs w:val="18"/>
              </w:rPr>
              <w:t>arnings per share—basic</w:t>
            </w:r>
          </w:p>
        </w:tc>
        <w:tc>
          <w:tcPr>
            <w:tcW w:w="0" w:type="auto"/>
            <w:gridSpan w:val="3"/>
            <w:shd w:val="clear" w:color="auto" w:fill="auto"/>
            <w:tcMar>
              <w:top w:w="0" w:type="dxa"/>
              <w:left w:w="20" w:type="dxa"/>
              <w:bottom w:w="0" w:type="dxa"/>
              <w:right w:w="20" w:type="dxa"/>
            </w:tcMar>
            <w:vAlign w:val="bottom"/>
          </w:tcPr>
          <w:p w14:paraId="67536611"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612"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613" w14:textId="77777777" w:rsidR="001B77DD" w:rsidRDefault="00BF0A28">
            <w:pPr>
              <w:jc w:val="right"/>
              <w:textAlignment w:val="bottom"/>
            </w:pPr>
            <w:r>
              <w:rPr>
                <w:rFonts w:ascii="Arial" w:eastAsia="宋体" w:hAnsi="Arial" w:cs="Arial"/>
                <w:b/>
                <w:bCs/>
                <w:color w:val="0068B5"/>
                <w:sz w:val="18"/>
                <w:szCs w:val="18"/>
              </w:rPr>
              <w:t>4.89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61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15"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616"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617" w14:textId="77777777" w:rsidR="001B77DD" w:rsidRDefault="00BF0A28">
            <w:pPr>
              <w:jc w:val="right"/>
              <w:textAlignment w:val="bottom"/>
            </w:pPr>
            <w:r>
              <w:rPr>
                <w:rFonts w:ascii="Arial" w:eastAsia="宋体" w:hAnsi="Arial" w:cs="Arial"/>
                <w:b/>
                <w:bCs/>
                <w:color w:val="262626"/>
                <w:sz w:val="18"/>
                <w:szCs w:val="18"/>
              </w:rPr>
              <w:t>4.98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61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19"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61A"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61B" w14:textId="77777777" w:rsidR="001B77DD" w:rsidRDefault="00BF0A28">
            <w:pPr>
              <w:jc w:val="right"/>
              <w:textAlignment w:val="bottom"/>
            </w:pPr>
            <w:r>
              <w:rPr>
                <w:rFonts w:ascii="Arial" w:eastAsia="宋体" w:hAnsi="Arial" w:cs="Arial"/>
                <w:b/>
                <w:bCs/>
                <w:color w:val="262626"/>
                <w:sz w:val="18"/>
                <w:szCs w:val="18"/>
              </w:rPr>
              <w:t>4.77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61C" w14:textId="77777777" w:rsidR="001B77DD" w:rsidRDefault="001B77DD">
            <w:pPr>
              <w:jc w:val="right"/>
              <w:rPr>
                <w:rFonts w:ascii="宋体"/>
              </w:rPr>
            </w:pPr>
          </w:p>
        </w:tc>
      </w:tr>
      <w:tr w:rsidR="001B77DD" w14:paraId="6753662B" w14:textId="77777777">
        <w:tc>
          <w:tcPr>
            <w:tcW w:w="0" w:type="auto"/>
            <w:gridSpan w:val="3"/>
            <w:shd w:val="clear" w:color="auto" w:fill="auto"/>
            <w:tcMar>
              <w:top w:w="40" w:type="dxa"/>
              <w:left w:w="20" w:type="dxa"/>
              <w:bottom w:w="40" w:type="dxa"/>
              <w:right w:w="20" w:type="dxa"/>
            </w:tcMar>
            <w:vAlign w:val="bottom"/>
          </w:tcPr>
          <w:p w14:paraId="6753661E" w14:textId="77777777" w:rsidR="001B77DD" w:rsidRDefault="00BF0A28">
            <w:pPr>
              <w:textAlignment w:val="bottom"/>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6753661F" w14:textId="77777777" w:rsidR="001B77DD" w:rsidRDefault="001B77DD">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6620" w14:textId="77777777" w:rsidR="001B77DD" w:rsidRDefault="00BF0A2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7536621" w14:textId="77777777" w:rsidR="001B77DD" w:rsidRDefault="00BF0A28">
            <w:pPr>
              <w:jc w:val="right"/>
              <w:textAlignment w:val="bottom"/>
            </w:pPr>
            <w:r>
              <w:rPr>
                <w:rFonts w:ascii="Arial" w:eastAsia="宋体" w:hAnsi="Arial" w:cs="Arial"/>
                <w:b/>
                <w:bCs/>
                <w:color w:val="0068B5"/>
                <w:sz w:val="18"/>
                <w:szCs w:val="18"/>
              </w:rPr>
              <w:t>4.86</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662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23" w14:textId="77777777" w:rsidR="001B77DD" w:rsidRDefault="001B77DD">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6624"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7536625" w14:textId="77777777" w:rsidR="001B77DD" w:rsidRDefault="00BF0A28">
            <w:pPr>
              <w:jc w:val="right"/>
              <w:textAlignment w:val="bottom"/>
            </w:pPr>
            <w:r>
              <w:rPr>
                <w:rFonts w:ascii="Arial" w:eastAsia="宋体" w:hAnsi="Arial" w:cs="Arial"/>
                <w:b/>
                <w:bCs/>
                <w:color w:val="262626"/>
                <w:sz w:val="18"/>
                <w:szCs w:val="18"/>
              </w:rPr>
              <w:t>4.94</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662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27" w14:textId="77777777" w:rsidR="001B77DD" w:rsidRDefault="001B77DD">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6628" w14:textId="77777777" w:rsidR="001B77DD" w:rsidRDefault="00BF0A28">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7536629" w14:textId="77777777" w:rsidR="001B77DD" w:rsidRDefault="00BF0A28">
            <w:pPr>
              <w:jc w:val="right"/>
              <w:textAlignment w:val="bottom"/>
            </w:pPr>
            <w:r>
              <w:rPr>
                <w:rFonts w:ascii="Arial" w:eastAsia="宋体" w:hAnsi="Arial" w:cs="Arial"/>
                <w:b/>
                <w:bCs/>
                <w:color w:val="262626"/>
                <w:sz w:val="18"/>
                <w:szCs w:val="18"/>
              </w:rPr>
              <w:t>4.71</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662A" w14:textId="77777777" w:rsidR="001B77DD" w:rsidRDefault="001B77DD">
            <w:pPr>
              <w:jc w:val="right"/>
              <w:rPr>
                <w:rFonts w:ascii="宋体"/>
              </w:rPr>
            </w:pPr>
          </w:p>
        </w:tc>
      </w:tr>
    </w:tbl>
    <w:p w14:paraId="6753662C" w14:textId="77777777" w:rsidR="001B77DD" w:rsidRDefault="00BF0A28">
      <w:pPr>
        <w:spacing w:before="80" w:after="180"/>
      </w:pPr>
      <w:r>
        <w:rPr>
          <w:rFonts w:ascii="Arial" w:eastAsia="宋体" w:hAnsi="Arial" w:cs="Arial"/>
          <w:color w:val="262626"/>
          <w:sz w:val="18"/>
          <w:szCs w:val="18"/>
        </w:rPr>
        <w:t>We computed diluted earnings per share of common stock based on the weighted average number of shares of common stock outstanding plus potentially dilutive shares of common stock outstanding during the peri</w:t>
      </w:r>
      <w:r>
        <w:rPr>
          <w:rFonts w:ascii="Arial" w:eastAsia="宋体" w:hAnsi="Arial" w:cs="Arial"/>
          <w:color w:val="262626"/>
          <w:sz w:val="18"/>
          <w:szCs w:val="18"/>
        </w:rPr>
        <w:t>od. Potentially dilutive shares of common stock from employee incentive plans are determined by applying the treasury stock method to the assumed exercise of outstanding stock options, the assumed vesting of outstanding RSUs, and the assumed issuance of co</w:t>
      </w:r>
      <w:r>
        <w:rPr>
          <w:rFonts w:ascii="Arial" w:eastAsia="宋体" w:hAnsi="Arial" w:cs="Arial"/>
          <w:color w:val="262626"/>
          <w:sz w:val="18"/>
          <w:szCs w:val="18"/>
        </w:rPr>
        <w:t>mmon stock under the 2006 ESPP. In January 2020, we fully redeemed the remaining principal of our 2009 Debentures. We included our 2009 Debentures in the calculation of diluted earnings per share of common stock in 2019 by applying the treasury stock metho</w:t>
      </w:r>
      <w:r>
        <w:rPr>
          <w:rFonts w:ascii="Arial" w:eastAsia="宋体" w:hAnsi="Arial" w:cs="Arial"/>
          <w:color w:val="262626"/>
          <w:sz w:val="18"/>
          <w:szCs w:val="18"/>
        </w:rPr>
        <w:t>d because the average market price was above the conversion price.</w:t>
      </w:r>
    </w:p>
    <w:p w14:paraId="6753662D" w14:textId="77777777" w:rsidR="001B77DD" w:rsidRDefault="00BF0A28">
      <w:pPr>
        <w:spacing w:after="180"/>
      </w:pPr>
      <w:r>
        <w:rPr>
          <w:rFonts w:ascii="Arial" w:eastAsia="宋体" w:hAnsi="Arial" w:cs="Arial"/>
          <w:color w:val="262626"/>
          <w:sz w:val="18"/>
          <w:szCs w:val="18"/>
        </w:rPr>
        <w:t>Securities that would have been anti-dilutive are insignificant and are excluded from the computation of diluted earnings per share in all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1B77DD" w14:paraId="67536634" w14:textId="77777777">
        <w:tc>
          <w:tcPr>
            <w:tcW w:w="50" w:type="pct"/>
            <w:shd w:val="clear" w:color="auto" w:fill="auto"/>
            <w:vAlign w:val="bottom"/>
          </w:tcPr>
          <w:p w14:paraId="6753662E" w14:textId="77777777" w:rsidR="001B77DD" w:rsidRDefault="001B77DD">
            <w:pPr>
              <w:rPr>
                <w:rFonts w:ascii="宋体"/>
              </w:rPr>
            </w:pPr>
          </w:p>
        </w:tc>
        <w:tc>
          <w:tcPr>
            <w:tcW w:w="491" w:type="pct"/>
            <w:shd w:val="clear" w:color="auto" w:fill="auto"/>
            <w:vAlign w:val="bottom"/>
          </w:tcPr>
          <w:p w14:paraId="6753662F" w14:textId="77777777" w:rsidR="001B77DD" w:rsidRDefault="001B77DD">
            <w:pPr>
              <w:rPr>
                <w:rFonts w:ascii="宋体"/>
              </w:rPr>
            </w:pPr>
          </w:p>
        </w:tc>
        <w:tc>
          <w:tcPr>
            <w:tcW w:w="5" w:type="pct"/>
            <w:shd w:val="clear" w:color="auto" w:fill="auto"/>
            <w:vAlign w:val="bottom"/>
          </w:tcPr>
          <w:p w14:paraId="67536630" w14:textId="77777777" w:rsidR="001B77DD" w:rsidRDefault="001B77DD">
            <w:pPr>
              <w:rPr>
                <w:rFonts w:ascii="宋体"/>
              </w:rPr>
            </w:pPr>
          </w:p>
        </w:tc>
        <w:tc>
          <w:tcPr>
            <w:tcW w:w="50" w:type="pct"/>
            <w:shd w:val="clear" w:color="auto" w:fill="auto"/>
            <w:vAlign w:val="bottom"/>
          </w:tcPr>
          <w:p w14:paraId="67536631" w14:textId="77777777" w:rsidR="001B77DD" w:rsidRDefault="001B77DD">
            <w:pPr>
              <w:rPr>
                <w:rFonts w:ascii="宋体"/>
              </w:rPr>
            </w:pPr>
          </w:p>
        </w:tc>
        <w:tc>
          <w:tcPr>
            <w:tcW w:w="4398" w:type="pct"/>
            <w:shd w:val="clear" w:color="auto" w:fill="auto"/>
            <w:vAlign w:val="bottom"/>
          </w:tcPr>
          <w:p w14:paraId="67536632" w14:textId="77777777" w:rsidR="001B77DD" w:rsidRDefault="001B77DD">
            <w:pPr>
              <w:rPr>
                <w:rFonts w:ascii="宋体"/>
              </w:rPr>
            </w:pPr>
          </w:p>
        </w:tc>
        <w:tc>
          <w:tcPr>
            <w:tcW w:w="5" w:type="pct"/>
            <w:shd w:val="clear" w:color="auto" w:fill="auto"/>
            <w:vAlign w:val="bottom"/>
          </w:tcPr>
          <w:p w14:paraId="67536633" w14:textId="77777777" w:rsidR="001B77DD" w:rsidRDefault="001B77DD">
            <w:pPr>
              <w:rPr>
                <w:rFonts w:ascii="宋体"/>
              </w:rPr>
            </w:pPr>
          </w:p>
        </w:tc>
      </w:tr>
      <w:tr w:rsidR="001B77DD" w14:paraId="6753663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635" w14:textId="77777777" w:rsidR="001B77DD" w:rsidRDefault="00BF0A28">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636" w14:textId="77777777" w:rsidR="001B77DD" w:rsidRDefault="00BF0A28">
            <w:pPr>
              <w:textAlignment w:val="bottom"/>
            </w:pPr>
            <w:r>
              <w:rPr>
                <w:rFonts w:ascii="Arial" w:eastAsia="宋体" w:hAnsi="Arial" w:cs="Arial"/>
                <w:color w:val="0068B5"/>
                <w:sz w:val="28"/>
                <w:szCs w:val="28"/>
              </w:rPr>
              <w:t>Contract Liabilities</w:t>
            </w:r>
          </w:p>
        </w:tc>
      </w:tr>
    </w:tbl>
    <w:p w14:paraId="67536638" w14:textId="77777777" w:rsidR="001B77DD" w:rsidRDefault="00BF0A28">
      <w:pPr>
        <w:spacing w:after="20"/>
      </w:pPr>
      <w:r>
        <w:rPr>
          <w:rFonts w:ascii="Arial" w:eastAsia="宋体" w:hAnsi="Arial" w:cs="Arial"/>
          <w:color w:val="262626"/>
          <w:sz w:val="18"/>
          <w:szCs w:val="18"/>
        </w:rPr>
        <w:t xml:space="preserve">Contract liabilities consist of prepayments received on long-term prepaid customer supply agreements toward future product delivery and other revenue deferrals from regular ongoing business activity. Contract liabilities were </w:t>
      </w:r>
      <w:r>
        <w:rPr>
          <w:rFonts w:ascii="Arial" w:eastAsia="宋体" w:hAnsi="Arial" w:cs="Arial"/>
          <w:color w:val="262626"/>
          <w:sz w:val="18"/>
          <w:szCs w:val="18"/>
        </w:rPr>
        <w:t>$498 million as of December 25, 2021 ($1.9 billion as of December 26, 2020).</w:t>
      </w:r>
    </w:p>
    <w:p w14:paraId="67536639" w14:textId="77777777" w:rsidR="001B77DD" w:rsidRDefault="001B77DD"/>
    <w:p w14:paraId="6753663A" w14:textId="77777777" w:rsidR="001B77DD" w:rsidRDefault="00BF0A28">
      <w:pPr>
        <w:spacing w:after="120"/>
      </w:pPr>
      <w:r>
        <w:rPr>
          <w:rFonts w:ascii="Arial" w:eastAsia="宋体" w:hAnsi="Arial" w:cs="Arial"/>
          <w:color w:val="262626"/>
          <w:sz w:val="18"/>
          <w:szCs w:val="18"/>
        </w:rPr>
        <w:t>The following table shows the changes in contract liability balances relating to long-term prepaid customer supply agreements during 2021:</w:t>
      </w:r>
    </w:p>
    <w:tbl>
      <w:tblPr>
        <w:tblW w:w="5000" w:type="pct"/>
        <w:tblCellMar>
          <w:top w:w="15" w:type="dxa"/>
          <w:left w:w="15" w:type="dxa"/>
          <w:bottom w:w="15" w:type="dxa"/>
          <w:right w:w="15" w:type="dxa"/>
        </w:tblCellMar>
        <w:tblLook w:val="04A0" w:firstRow="1" w:lastRow="0" w:firstColumn="1" w:lastColumn="0" w:noHBand="0" w:noVBand="1"/>
      </w:tblPr>
      <w:tblGrid>
        <w:gridCol w:w="46"/>
        <w:gridCol w:w="7160"/>
        <w:gridCol w:w="36"/>
        <w:gridCol w:w="36"/>
        <w:gridCol w:w="36"/>
        <w:gridCol w:w="36"/>
        <w:gridCol w:w="121"/>
        <w:gridCol w:w="829"/>
        <w:gridCol w:w="36"/>
      </w:tblGrid>
      <w:tr w:rsidR="001B77DD" w14:paraId="67536644" w14:textId="77777777">
        <w:tc>
          <w:tcPr>
            <w:tcW w:w="50" w:type="pct"/>
            <w:shd w:val="clear" w:color="auto" w:fill="auto"/>
            <w:vAlign w:val="bottom"/>
          </w:tcPr>
          <w:p w14:paraId="6753663B" w14:textId="77777777" w:rsidR="001B77DD" w:rsidRDefault="001B77DD">
            <w:pPr>
              <w:rPr>
                <w:rFonts w:ascii="宋体"/>
              </w:rPr>
            </w:pPr>
          </w:p>
        </w:tc>
        <w:tc>
          <w:tcPr>
            <w:tcW w:w="4316" w:type="pct"/>
            <w:shd w:val="clear" w:color="auto" w:fill="auto"/>
            <w:vAlign w:val="bottom"/>
          </w:tcPr>
          <w:p w14:paraId="6753663C" w14:textId="77777777" w:rsidR="001B77DD" w:rsidRDefault="001B77DD">
            <w:pPr>
              <w:rPr>
                <w:rFonts w:ascii="宋体"/>
              </w:rPr>
            </w:pPr>
          </w:p>
        </w:tc>
        <w:tc>
          <w:tcPr>
            <w:tcW w:w="5" w:type="pct"/>
            <w:shd w:val="clear" w:color="auto" w:fill="auto"/>
            <w:vAlign w:val="bottom"/>
          </w:tcPr>
          <w:p w14:paraId="6753663D" w14:textId="77777777" w:rsidR="001B77DD" w:rsidRDefault="001B77DD">
            <w:pPr>
              <w:rPr>
                <w:rFonts w:ascii="宋体"/>
              </w:rPr>
            </w:pPr>
          </w:p>
        </w:tc>
        <w:tc>
          <w:tcPr>
            <w:tcW w:w="5" w:type="pct"/>
            <w:shd w:val="clear" w:color="auto" w:fill="auto"/>
            <w:vAlign w:val="bottom"/>
          </w:tcPr>
          <w:p w14:paraId="6753663E" w14:textId="77777777" w:rsidR="001B77DD" w:rsidRDefault="001B77DD">
            <w:pPr>
              <w:rPr>
                <w:rFonts w:ascii="宋体"/>
              </w:rPr>
            </w:pPr>
          </w:p>
        </w:tc>
        <w:tc>
          <w:tcPr>
            <w:tcW w:w="24" w:type="pct"/>
            <w:shd w:val="clear" w:color="auto" w:fill="auto"/>
            <w:vAlign w:val="bottom"/>
          </w:tcPr>
          <w:p w14:paraId="6753663F" w14:textId="77777777" w:rsidR="001B77DD" w:rsidRDefault="001B77DD">
            <w:pPr>
              <w:rPr>
                <w:rFonts w:ascii="宋体"/>
              </w:rPr>
            </w:pPr>
          </w:p>
        </w:tc>
        <w:tc>
          <w:tcPr>
            <w:tcW w:w="5" w:type="pct"/>
            <w:shd w:val="clear" w:color="auto" w:fill="auto"/>
            <w:vAlign w:val="bottom"/>
          </w:tcPr>
          <w:p w14:paraId="67536640" w14:textId="77777777" w:rsidR="001B77DD" w:rsidRDefault="001B77DD">
            <w:pPr>
              <w:rPr>
                <w:rFonts w:ascii="宋体"/>
              </w:rPr>
            </w:pPr>
          </w:p>
        </w:tc>
        <w:tc>
          <w:tcPr>
            <w:tcW w:w="50" w:type="pct"/>
            <w:shd w:val="clear" w:color="auto" w:fill="auto"/>
            <w:vAlign w:val="bottom"/>
          </w:tcPr>
          <w:p w14:paraId="67536641" w14:textId="77777777" w:rsidR="001B77DD" w:rsidRDefault="001B77DD">
            <w:pPr>
              <w:rPr>
                <w:rFonts w:ascii="宋体"/>
              </w:rPr>
            </w:pPr>
          </w:p>
        </w:tc>
        <w:tc>
          <w:tcPr>
            <w:tcW w:w="539" w:type="pct"/>
            <w:shd w:val="clear" w:color="auto" w:fill="auto"/>
            <w:vAlign w:val="bottom"/>
          </w:tcPr>
          <w:p w14:paraId="67536642" w14:textId="77777777" w:rsidR="001B77DD" w:rsidRDefault="001B77DD">
            <w:pPr>
              <w:rPr>
                <w:rFonts w:ascii="宋体"/>
              </w:rPr>
            </w:pPr>
          </w:p>
        </w:tc>
        <w:tc>
          <w:tcPr>
            <w:tcW w:w="5" w:type="pct"/>
            <w:shd w:val="clear" w:color="auto" w:fill="auto"/>
            <w:vAlign w:val="bottom"/>
          </w:tcPr>
          <w:p w14:paraId="67536643" w14:textId="77777777" w:rsidR="001B77DD" w:rsidRDefault="001B77DD">
            <w:pPr>
              <w:rPr>
                <w:rFonts w:ascii="宋体"/>
              </w:rPr>
            </w:pPr>
          </w:p>
        </w:tc>
      </w:tr>
      <w:tr w:rsidR="001B77DD" w14:paraId="67536648" w14:textId="77777777">
        <w:tc>
          <w:tcPr>
            <w:tcW w:w="0" w:type="auto"/>
            <w:gridSpan w:val="3"/>
            <w:shd w:val="clear" w:color="auto" w:fill="auto"/>
            <w:tcMar>
              <w:top w:w="40" w:type="dxa"/>
              <w:left w:w="20" w:type="dxa"/>
              <w:bottom w:w="40" w:type="dxa"/>
              <w:right w:w="20" w:type="dxa"/>
            </w:tcMar>
            <w:vAlign w:val="bottom"/>
          </w:tcPr>
          <w:p w14:paraId="67536645"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64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647" w14:textId="77777777" w:rsidR="001B77DD" w:rsidRDefault="001B77DD">
            <w:pPr>
              <w:rPr>
                <w:rFonts w:ascii="宋体"/>
              </w:rPr>
            </w:pPr>
          </w:p>
        </w:tc>
      </w:tr>
      <w:tr w:rsidR="001B77DD" w14:paraId="6753664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649" w14:textId="77777777" w:rsidR="001B77DD" w:rsidRDefault="00BF0A28">
            <w:pPr>
              <w:textAlignment w:val="bottom"/>
            </w:pPr>
            <w:r>
              <w:rPr>
                <w:rFonts w:ascii="Arial" w:eastAsia="宋体" w:hAnsi="Arial" w:cs="Arial"/>
                <w:b/>
                <w:bCs/>
                <w:color w:val="262626"/>
                <w:sz w:val="18"/>
                <w:szCs w:val="18"/>
              </w:rPr>
              <w:t>Prepaid customer supply agreements balance as of December 26, 2020</w:t>
            </w:r>
          </w:p>
        </w:tc>
        <w:tc>
          <w:tcPr>
            <w:tcW w:w="0" w:type="auto"/>
            <w:gridSpan w:val="3"/>
            <w:shd w:val="clear" w:color="auto" w:fill="auto"/>
            <w:tcMar>
              <w:top w:w="0" w:type="dxa"/>
              <w:left w:w="20" w:type="dxa"/>
              <w:bottom w:w="0" w:type="dxa"/>
              <w:right w:w="20" w:type="dxa"/>
            </w:tcMar>
            <w:vAlign w:val="bottom"/>
          </w:tcPr>
          <w:p w14:paraId="6753664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64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64C" w14:textId="77777777" w:rsidR="001B77DD" w:rsidRDefault="00BF0A28">
            <w:pPr>
              <w:jc w:val="right"/>
              <w:textAlignment w:val="bottom"/>
            </w:pPr>
            <w:r>
              <w:rPr>
                <w:rFonts w:ascii="Arial" w:eastAsia="宋体" w:hAnsi="Arial" w:cs="Arial"/>
                <w:b/>
                <w:bCs/>
                <w:color w:val="262626"/>
                <w:sz w:val="18"/>
                <w:szCs w:val="18"/>
              </w:rPr>
              <w:t>1,625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64D" w14:textId="77777777" w:rsidR="001B77DD" w:rsidRDefault="001B77DD">
            <w:pPr>
              <w:jc w:val="right"/>
              <w:rPr>
                <w:rFonts w:ascii="宋体"/>
              </w:rPr>
            </w:pPr>
          </w:p>
        </w:tc>
      </w:tr>
      <w:tr w:rsidR="001B77DD" w14:paraId="67536652" w14:textId="77777777">
        <w:trPr>
          <w:hidden/>
        </w:trPr>
        <w:tc>
          <w:tcPr>
            <w:tcW w:w="0" w:type="auto"/>
            <w:gridSpan w:val="3"/>
            <w:shd w:val="clear" w:color="auto" w:fill="auto"/>
            <w:vAlign w:val="bottom"/>
          </w:tcPr>
          <w:p w14:paraId="6753664F" w14:textId="77777777" w:rsidR="001B77DD" w:rsidRDefault="001B77DD">
            <w:pPr>
              <w:rPr>
                <w:rFonts w:ascii="宋体"/>
                <w:vanish/>
              </w:rPr>
            </w:pPr>
          </w:p>
        </w:tc>
        <w:tc>
          <w:tcPr>
            <w:tcW w:w="0" w:type="auto"/>
            <w:gridSpan w:val="3"/>
            <w:shd w:val="clear" w:color="auto" w:fill="auto"/>
            <w:vAlign w:val="bottom"/>
          </w:tcPr>
          <w:p w14:paraId="67536650" w14:textId="77777777" w:rsidR="001B77DD" w:rsidRDefault="001B77DD">
            <w:pPr>
              <w:rPr>
                <w:rFonts w:ascii="宋体"/>
                <w:vanish/>
              </w:rPr>
            </w:pPr>
          </w:p>
        </w:tc>
        <w:tc>
          <w:tcPr>
            <w:tcW w:w="0" w:type="auto"/>
            <w:gridSpan w:val="3"/>
            <w:shd w:val="clear" w:color="auto" w:fill="auto"/>
            <w:vAlign w:val="bottom"/>
          </w:tcPr>
          <w:p w14:paraId="67536651" w14:textId="77777777" w:rsidR="001B77DD" w:rsidRDefault="001B77DD">
            <w:pPr>
              <w:rPr>
                <w:rFonts w:ascii="宋体"/>
                <w:vanish/>
              </w:rPr>
            </w:pPr>
          </w:p>
        </w:tc>
      </w:tr>
      <w:tr w:rsidR="001B77DD" w14:paraId="67536657" w14:textId="77777777">
        <w:tc>
          <w:tcPr>
            <w:tcW w:w="0" w:type="auto"/>
            <w:gridSpan w:val="3"/>
            <w:shd w:val="clear" w:color="auto" w:fill="auto"/>
            <w:tcMar>
              <w:top w:w="40" w:type="dxa"/>
              <w:left w:w="20" w:type="dxa"/>
              <w:bottom w:w="40" w:type="dxa"/>
              <w:right w:w="20" w:type="dxa"/>
            </w:tcMar>
            <w:vAlign w:val="bottom"/>
          </w:tcPr>
          <w:p w14:paraId="67536653" w14:textId="77777777" w:rsidR="001B77DD" w:rsidRDefault="00BF0A28">
            <w:pPr>
              <w:textAlignment w:val="bottom"/>
            </w:pPr>
            <w:r>
              <w:rPr>
                <w:rFonts w:ascii="Arial" w:eastAsia="宋体" w:hAnsi="Arial" w:cs="Arial"/>
                <w:color w:val="262626"/>
                <w:sz w:val="18"/>
                <w:szCs w:val="18"/>
              </w:rPr>
              <w:t>Concession payment</w:t>
            </w:r>
          </w:p>
        </w:tc>
        <w:tc>
          <w:tcPr>
            <w:tcW w:w="0" w:type="auto"/>
            <w:gridSpan w:val="3"/>
            <w:shd w:val="clear" w:color="auto" w:fill="auto"/>
            <w:tcMar>
              <w:top w:w="0" w:type="dxa"/>
              <w:left w:w="20" w:type="dxa"/>
              <w:bottom w:w="0" w:type="dxa"/>
              <w:right w:w="20" w:type="dxa"/>
            </w:tcMar>
            <w:vAlign w:val="bottom"/>
          </w:tcPr>
          <w:p w14:paraId="6753665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55" w14:textId="77777777" w:rsidR="001B77DD" w:rsidRDefault="00BF0A28">
            <w:pPr>
              <w:jc w:val="right"/>
              <w:textAlignment w:val="bottom"/>
            </w:pPr>
            <w:r>
              <w:rPr>
                <w:rFonts w:ascii="Arial" w:eastAsia="宋体" w:hAnsi="Arial" w:cs="Arial"/>
                <w:color w:val="0068B5"/>
                <w:sz w:val="18"/>
                <w:szCs w:val="18"/>
              </w:rPr>
              <w:t>(950)</w:t>
            </w:r>
          </w:p>
        </w:tc>
        <w:tc>
          <w:tcPr>
            <w:tcW w:w="0" w:type="auto"/>
            <w:shd w:val="clear" w:color="auto" w:fill="auto"/>
            <w:tcMar>
              <w:top w:w="40" w:type="dxa"/>
              <w:left w:w="0" w:type="dxa"/>
              <w:bottom w:w="40" w:type="dxa"/>
              <w:right w:w="20" w:type="dxa"/>
            </w:tcMar>
            <w:vAlign w:val="bottom"/>
          </w:tcPr>
          <w:p w14:paraId="67536656" w14:textId="77777777" w:rsidR="001B77DD" w:rsidRDefault="001B77DD">
            <w:pPr>
              <w:jc w:val="right"/>
              <w:rPr>
                <w:rFonts w:ascii="宋体"/>
              </w:rPr>
            </w:pPr>
          </w:p>
        </w:tc>
      </w:tr>
      <w:tr w:rsidR="001B77DD" w14:paraId="6753665C" w14:textId="77777777">
        <w:tc>
          <w:tcPr>
            <w:tcW w:w="0" w:type="auto"/>
            <w:gridSpan w:val="3"/>
            <w:shd w:val="clear" w:color="auto" w:fill="auto"/>
            <w:tcMar>
              <w:top w:w="40" w:type="dxa"/>
              <w:left w:w="20" w:type="dxa"/>
              <w:bottom w:w="40" w:type="dxa"/>
              <w:right w:w="20" w:type="dxa"/>
            </w:tcMar>
            <w:vAlign w:val="bottom"/>
          </w:tcPr>
          <w:p w14:paraId="67536658" w14:textId="77777777" w:rsidR="001B77DD" w:rsidRDefault="00BF0A28">
            <w:pPr>
              <w:textAlignment w:val="bottom"/>
            </w:pPr>
            <w:r>
              <w:rPr>
                <w:rFonts w:ascii="Arial" w:eastAsia="宋体" w:hAnsi="Arial" w:cs="Arial"/>
                <w:color w:val="262626"/>
                <w:sz w:val="18"/>
                <w:szCs w:val="18"/>
              </w:rPr>
              <w:t xml:space="preserve">Prepaids utilized </w:t>
            </w:r>
          </w:p>
        </w:tc>
        <w:tc>
          <w:tcPr>
            <w:tcW w:w="0" w:type="auto"/>
            <w:gridSpan w:val="3"/>
            <w:shd w:val="clear" w:color="auto" w:fill="auto"/>
            <w:tcMar>
              <w:top w:w="0" w:type="dxa"/>
              <w:left w:w="20" w:type="dxa"/>
              <w:bottom w:w="0" w:type="dxa"/>
              <w:right w:w="20" w:type="dxa"/>
            </w:tcMar>
            <w:vAlign w:val="bottom"/>
          </w:tcPr>
          <w:p w14:paraId="6753665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5A" w14:textId="77777777" w:rsidR="001B77DD" w:rsidRDefault="00BF0A28">
            <w:pPr>
              <w:jc w:val="right"/>
              <w:textAlignment w:val="bottom"/>
            </w:pPr>
            <w:r>
              <w:rPr>
                <w:rFonts w:ascii="Arial" w:eastAsia="宋体" w:hAnsi="Arial" w:cs="Arial"/>
                <w:color w:val="0068B5"/>
                <w:sz w:val="18"/>
                <w:szCs w:val="18"/>
              </w:rPr>
              <w:t>(633)</w:t>
            </w:r>
          </w:p>
        </w:tc>
        <w:tc>
          <w:tcPr>
            <w:tcW w:w="0" w:type="auto"/>
            <w:shd w:val="clear" w:color="auto" w:fill="auto"/>
            <w:tcMar>
              <w:top w:w="40" w:type="dxa"/>
              <w:left w:w="0" w:type="dxa"/>
              <w:bottom w:w="40" w:type="dxa"/>
              <w:right w:w="20" w:type="dxa"/>
            </w:tcMar>
            <w:vAlign w:val="bottom"/>
          </w:tcPr>
          <w:p w14:paraId="6753665B" w14:textId="77777777" w:rsidR="001B77DD" w:rsidRDefault="001B77DD">
            <w:pPr>
              <w:jc w:val="right"/>
              <w:rPr>
                <w:rFonts w:ascii="宋体"/>
              </w:rPr>
            </w:pPr>
          </w:p>
        </w:tc>
      </w:tr>
      <w:tr w:rsidR="001B77DD" w14:paraId="67536662" w14:textId="77777777">
        <w:tc>
          <w:tcPr>
            <w:tcW w:w="0" w:type="auto"/>
            <w:gridSpan w:val="3"/>
            <w:shd w:val="clear" w:color="auto" w:fill="auto"/>
            <w:tcMar>
              <w:top w:w="40" w:type="dxa"/>
              <w:left w:w="20" w:type="dxa"/>
              <w:bottom w:w="40" w:type="dxa"/>
              <w:right w:w="20" w:type="dxa"/>
            </w:tcMar>
            <w:vAlign w:val="bottom"/>
          </w:tcPr>
          <w:p w14:paraId="6753665D" w14:textId="77777777" w:rsidR="001B77DD" w:rsidRDefault="00BF0A28">
            <w:pPr>
              <w:textAlignment w:val="bottom"/>
            </w:pPr>
            <w:r>
              <w:rPr>
                <w:rFonts w:ascii="Arial" w:eastAsia="宋体" w:hAnsi="Arial" w:cs="Arial"/>
                <w:b/>
                <w:bCs/>
                <w:color w:val="262626"/>
                <w:sz w:val="18"/>
                <w:szCs w:val="18"/>
              </w:rPr>
              <w:t>Prepaid customer supply agreements balance as of December 25, 2021</w:t>
            </w:r>
          </w:p>
        </w:tc>
        <w:tc>
          <w:tcPr>
            <w:tcW w:w="0" w:type="auto"/>
            <w:gridSpan w:val="3"/>
            <w:shd w:val="clear" w:color="auto" w:fill="auto"/>
            <w:tcMar>
              <w:top w:w="0" w:type="dxa"/>
              <w:left w:w="20" w:type="dxa"/>
              <w:bottom w:w="0" w:type="dxa"/>
              <w:right w:w="20" w:type="dxa"/>
            </w:tcMar>
            <w:vAlign w:val="bottom"/>
          </w:tcPr>
          <w:p w14:paraId="6753665E"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65F"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660" w14:textId="77777777" w:rsidR="001B77DD" w:rsidRDefault="00BF0A28">
            <w:pPr>
              <w:jc w:val="right"/>
              <w:textAlignment w:val="bottom"/>
            </w:pPr>
            <w:r>
              <w:rPr>
                <w:rFonts w:ascii="Arial" w:eastAsia="宋体" w:hAnsi="Arial" w:cs="Arial"/>
                <w:b/>
                <w:bCs/>
                <w:color w:val="0068B5"/>
                <w:sz w:val="18"/>
                <w:szCs w:val="18"/>
              </w:rPr>
              <w:t>42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661" w14:textId="77777777" w:rsidR="001B77DD" w:rsidRDefault="001B77DD">
            <w:pPr>
              <w:jc w:val="right"/>
              <w:rPr>
                <w:rFonts w:ascii="宋体"/>
              </w:rPr>
            </w:pPr>
          </w:p>
        </w:tc>
      </w:tr>
    </w:tbl>
    <w:p w14:paraId="67536663" w14:textId="77777777" w:rsidR="001B77DD" w:rsidRDefault="00BF0A28">
      <w:pPr>
        <w:spacing w:before="180" w:after="80"/>
      </w:pPr>
      <w:r>
        <w:rPr>
          <w:rFonts w:ascii="Arial" w:eastAsia="宋体" w:hAnsi="Arial" w:cs="Arial"/>
          <w:color w:val="262626"/>
          <w:sz w:val="18"/>
          <w:szCs w:val="18"/>
        </w:rPr>
        <w:t>During the first quarter of 2021, we settled an agreement with our largest prepaid customer, whose prepayment balance made up $1.6 billion of our contract liability balance as of December 26, 2020. We returned $950 million to the customer and recognized $5</w:t>
      </w:r>
      <w:r>
        <w:rPr>
          <w:rFonts w:ascii="Arial" w:eastAsia="宋体" w:hAnsi="Arial" w:cs="Arial"/>
          <w:color w:val="262626"/>
          <w:sz w:val="18"/>
          <w:szCs w:val="18"/>
        </w:rPr>
        <w:t>84 million in revenue for having completed performance of the prepaid customer supply agreement. The prepaid customer supply agreement is excluded from the NAND memory business and is recorded as Corporate revenue in 2021 in the "all other" category presen</w:t>
      </w:r>
      <w:r>
        <w:rPr>
          <w:rFonts w:ascii="Arial" w:eastAsia="宋体" w:hAnsi="Arial" w:cs="Arial"/>
          <w:color w:val="262626"/>
          <w:sz w:val="18"/>
          <w:szCs w:val="18"/>
        </w:rPr>
        <w:t xml:space="preserve">ted in "Note 3: Operating Segments" within the Consolidated Financial Statements.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670" w14:textId="77777777">
        <w:tc>
          <w:tcPr>
            <w:tcW w:w="50" w:type="pct"/>
            <w:shd w:val="clear" w:color="auto" w:fill="auto"/>
            <w:vAlign w:val="bottom"/>
          </w:tcPr>
          <w:p w14:paraId="67536664" w14:textId="77777777" w:rsidR="001B77DD" w:rsidRDefault="001B77DD">
            <w:pPr>
              <w:rPr>
                <w:rFonts w:ascii="宋体"/>
              </w:rPr>
            </w:pPr>
          </w:p>
        </w:tc>
        <w:tc>
          <w:tcPr>
            <w:tcW w:w="276" w:type="pct"/>
            <w:shd w:val="clear" w:color="auto" w:fill="auto"/>
            <w:vAlign w:val="bottom"/>
          </w:tcPr>
          <w:p w14:paraId="67536665" w14:textId="77777777" w:rsidR="001B77DD" w:rsidRDefault="001B77DD">
            <w:pPr>
              <w:rPr>
                <w:rFonts w:ascii="宋体"/>
              </w:rPr>
            </w:pPr>
          </w:p>
        </w:tc>
        <w:tc>
          <w:tcPr>
            <w:tcW w:w="5" w:type="pct"/>
            <w:shd w:val="clear" w:color="auto" w:fill="auto"/>
            <w:vAlign w:val="bottom"/>
          </w:tcPr>
          <w:p w14:paraId="67536666" w14:textId="77777777" w:rsidR="001B77DD" w:rsidRDefault="001B77DD">
            <w:pPr>
              <w:rPr>
                <w:rFonts w:ascii="宋体"/>
              </w:rPr>
            </w:pPr>
          </w:p>
        </w:tc>
        <w:tc>
          <w:tcPr>
            <w:tcW w:w="50" w:type="pct"/>
            <w:shd w:val="clear" w:color="auto" w:fill="auto"/>
            <w:vAlign w:val="bottom"/>
          </w:tcPr>
          <w:p w14:paraId="67536667" w14:textId="77777777" w:rsidR="001B77DD" w:rsidRDefault="001B77DD">
            <w:pPr>
              <w:rPr>
                <w:rFonts w:ascii="宋体"/>
              </w:rPr>
            </w:pPr>
          </w:p>
        </w:tc>
        <w:tc>
          <w:tcPr>
            <w:tcW w:w="940" w:type="pct"/>
            <w:shd w:val="clear" w:color="auto" w:fill="auto"/>
            <w:vAlign w:val="bottom"/>
          </w:tcPr>
          <w:p w14:paraId="67536668" w14:textId="77777777" w:rsidR="001B77DD" w:rsidRDefault="001B77DD">
            <w:pPr>
              <w:rPr>
                <w:rFonts w:ascii="宋体"/>
              </w:rPr>
            </w:pPr>
          </w:p>
        </w:tc>
        <w:tc>
          <w:tcPr>
            <w:tcW w:w="5" w:type="pct"/>
            <w:shd w:val="clear" w:color="auto" w:fill="auto"/>
            <w:vAlign w:val="bottom"/>
          </w:tcPr>
          <w:p w14:paraId="67536669" w14:textId="77777777" w:rsidR="001B77DD" w:rsidRDefault="001B77DD">
            <w:pPr>
              <w:rPr>
                <w:rFonts w:ascii="宋体"/>
              </w:rPr>
            </w:pPr>
          </w:p>
        </w:tc>
        <w:tc>
          <w:tcPr>
            <w:tcW w:w="50" w:type="pct"/>
            <w:shd w:val="clear" w:color="auto" w:fill="auto"/>
            <w:vAlign w:val="bottom"/>
          </w:tcPr>
          <w:p w14:paraId="6753666A" w14:textId="77777777" w:rsidR="001B77DD" w:rsidRDefault="001B77DD">
            <w:pPr>
              <w:rPr>
                <w:rFonts w:ascii="宋体"/>
              </w:rPr>
            </w:pPr>
          </w:p>
        </w:tc>
        <w:tc>
          <w:tcPr>
            <w:tcW w:w="1837" w:type="pct"/>
            <w:shd w:val="clear" w:color="auto" w:fill="auto"/>
            <w:vAlign w:val="bottom"/>
          </w:tcPr>
          <w:p w14:paraId="6753666B" w14:textId="77777777" w:rsidR="001B77DD" w:rsidRDefault="001B77DD">
            <w:pPr>
              <w:rPr>
                <w:rFonts w:ascii="宋体"/>
              </w:rPr>
            </w:pPr>
          </w:p>
        </w:tc>
        <w:tc>
          <w:tcPr>
            <w:tcW w:w="5" w:type="pct"/>
            <w:shd w:val="clear" w:color="auto" w:fill="auto"/>
            <w:vAlign w:val="bottom"/>
          </w:tcPr>
          <w:p w14:paraId="6753666C" w14:textId="77777777" w:rsidR="001B77DD" w:rsidRDefault="001B77DD">
            <w:pPr>
              <w:rPr>
                <w:rFonts w:ascii="宋体"/>
              </w:rPr>
            </w:pPr>
          </w:p>
        </w:tc>
        <w:tc>
          <w:tcPr>
            <w:tcW w:w="50" w:type="pct"/>
            <w:shd w:val="clear" w:color="auto" w:fill="auto"/>
            <w:vAlign w:val="bottom"/>
          </w:tcPr>
          <w:p w14:paraId="6753666D" w14:textId="77777777" w:rsidR="001B77DD" w:rsidRDefault="001B77DD">
            <w:pPr>
              <w:rPr>
                <w:rFonts w:ascii="宋体"/>
              </w:rPr>
            </w:pPr>
          </w:p>
        </w:tc>
        <w:tc>
          <w:tcPr>
            <w:tcW w:w="1724" w:type="pct"/>
            <w:shd w:val="clear" w:color="auto" w:fill="auto"/>
            <w:vAlign w:val="bottom"/>
          </w:tcPr>
          <w:p w14:paraId="6753666E" w14:textId="77777777" w:rsidR="001B77DD" w:rsidRDefault="001B77DD">
            <w:pPr>
              <w:rPr>
                <w:rFonts w:ascii="宋体"/>
              </w:rPr>
            </w:pPr>
          </w:p>
        </w:tc>
        <w:tc>
          <w:tcPr>
            <w:tcW w:w="5" w:type="pct"/>
            <w:shd w:val="clear" w:color="auto" w:fill="auto"/>
            <w:vAlign w:val="bottom"/>
          </w:tcPr>
          <w:p w14:paraId="6753666F" w14:textId="77777777" w:rsidR="001B77DD" w:rsidRDefault="001B77DD">
            <w:pPr>
              <w:rPr>
                <w:rFonts w:ascii="宋体"/>
              </w:rPr>
            </w:pPr>
          </w:p>
        </w:tc>
      </w:tr>
      <w:tr w:rsidR="001B77DD" w14:paraId="67536675"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671"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3F" wp14:editId="67538F40">
                  <wp:extent cx="304800" cy="304800"/>
                  <wp:effectExtent l="0" t="0" r="0" b="0"/>
                  <wp:docPr id="184" name="图片 29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9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672"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673"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674" w14:textId="77777777" w:rsidR="001B77DD" w:rsidRDefault="00BF0A28">
            <w:pPr>
              <w:jc w:val="right"/>
              <w:textAlignment w:val="center"/>
            </w:pPr>
            <w:r>
              <w:rPr>
                <w:rFonts w:ascii="Arial" w:eastAsia="宋体" w:hAnsi="Arial" w:cs="Arial"/>
                <w:color w:val="262626"/>
                <w:sz w:val="16"/>
                <w:szCs w:val="16"/>
              </w:rPr>
              <w:t>85</w:t>
            </w:r>
          </w:p>
        </w:tc>
      </w:tr>
    </w:tbl>
    <w:p w14:paraId="67536676" w14:textId="77777777" w:rsidR="001B77DD" w:rsidRDefault="00BF0A28">
      <w:r>
        <w:pict w14:anchorId="67538F41">
          <v:rect id="_x0000_i1111" style="width:415.3pt;height:1.5pt" o:hralign="center" o:hrstd="t" o:hr="t" fillcolor="#a0a0a0" stroked="f"/>
        </w:pict>
      </w:r>
    </w:p>
    <w:p w14:paraId="67536677" w14:textId="77777777" w:rsidR="001B77DD" w:rsidRDefault="00BF0A28">
      <w:pPr>
        <w:jc w:val="right"/>
      </w:pPr>
      <w:hyperlink r:id="rId173" w:anchor="i6c9ced68f6b24d58a3dcf326e8c3c699_16" w:history="1">
        <w:r>
          <w:rPr>
            <w:rStyle w:val="a5"/>
            <w:rFonts w:ascii="Arial" w:eastAsia="宋体" w:hAnsi="Arial" w:cs="Arial"/>
            <w:b/>
            <w:bCs/>
            <w:sz w:val="16"/>
            <w:szCs w:val="16"/>
          </w:rPr>
          <w:t>Table of Contents</w:t>
        </w:r>
      </w:hyperlink>
    </w:p>
    <w:p w14:paraId="67536678"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1B77DD" w14:paraId="6753667F" w14:textId="77777777">
        <w:tc>
          <w:tcPr>
            <w:tcW w:w="50" w:type="pct"/>
            <w:shd w:val="clear" w:color="auto" w:fill="auto"/>
            <w:vAlign w:val="bottom"/>
          </w:tcPr>
          <w:p w14:paraId="67536679" w14:textId="77777777" w:rsidR="001B77DD" w:rsidRDefault="001B77DD">
            <w:pPr>
              <w:rPr>
                <w:rFonts w:ascii="宋体"/>
              </w:rPr>
            </w:pPr>
          </w:p>
        </w:tc>
        <w:tc>
          <w:tcPr>
            <w:tcW w:w="491" w:type="pct"/>
            <w:shd w:val="clear" w:color="auto" w:fill="auto"/>
            <w:vAlign w:val="bottom"/>
          </w:tcPr>
          <w:p w14:paraId="6753667A" w14:textId="77777777" w:rsidR="001B77DD" w:rsidRDefault="001B77DD">
            <w:pPr>
              <w:rPr>
                <w:rFonts w:ascii="宋体"/>
              </w:rPr>
            </w:pPr>
          </w:p>
        </w:tc>
        <w:tc>
          <w:tcPr>
            <w:tcW w:w="5" w:type="pct"/>
            <w:shd w:val="clear" w:color="auto" w:fill="auto"/>
            <w:vAlign w:val="bottom"/>
          </w:tcPr>
          <w:p w14:paraId="6753667B" w14:textId="77777777" w:rsidR="001B77DD" w:rsidRDefault="001B77DD">
            <w:pPr>
              <w:rPr>
                <w:rFonts w:ascii="宋体"/>
              </w:rPr>
            </w:pPr>
          </w:p>
        </w:tc>
        <w:tc>
          <w:tcPr>
            <w:tcW w:w="50" w:type="pct"/>
            <w:shd w:val="clear" w:color="auto" w:fill="auto"/>
            <w:vAlign w:val="bottom"/>
          </w:tcPr>
          <w:p w14:paraId="6753667C" w14:textId="77777777" w:rsidR="001B77DD" w:rsidRDefault="001B77DD">
            <w:pPr>
              <w:rPr>
                <w:rFonts w:ascii="宋体"/>
              </w:rPr>
            </w:pPr>
          </w:p>
        </w:tc>
        <w:tc>
          <w:tcPr>
            <w:tcW w:w="4398" w:type="pct"/>
            <w:shd w:val="clear" w:color="auto" w:fill="auto"/>
            <w:vAlign w:val="bottom"/>
          </w:tcPr>
          <w:p w14:paraId="6753667D" w14:textId="77777777" w:rsidR="001B77DD" w:rsidRDefault="001B77DD">
            <w:pPr>
              <w:rPr>
                <w:rFonts w:ascii="宋体"/>
              </w:rPr>
            </w:pPr>
          </w:p>
        </w:tc>
        <w:tc>
          <w:tcPr>
            <w:tcW w:w="5" w:type="pct"/>
            <w:shd w:val="clear" w:color="auto" w:fill="auto"/>
            <w:vAlign w:val="bottom"/>
          </w:tcPr>
          <w:p w14:paraId="6753667E" w14:textId="77777777" w:rsidR="001B77DD" w:rsidRDefault="001B77DD">
            <w:pPr>
              <w:rPr>
                <w:rFonts w:ascii="宋体"/>
              </w:rPr>
            </w:pPr>
          </w:p>
        </w:tc>
      </w:tr>
      <w:tr w:rsidR="001B77DD" w14:paraId="6753668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680" w14:textId="77777777" w:rsidR="001B77DD" w:rsidRDefault="00BF0A28">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681" w14:textId="77777777" w:rsidR="001B77DD" w:rsidRDefault="00BF0A28">
            <w:pPr>
              <w:textAlignment w:val="bottom"/>
            </w:pPr>
            <w:r>
              <w:rPr>
                <w:rFonts w:ascii="Arial" w:eastAsia="宋体" w:hAnsi="Arial" w:cs="Arial"/>
                <w:color w:val="0068B5"/>
                <w:sz w:val="28"/>
                <w:szCs w:val="28"/>
              </w:rPr>
              <w:t>Other Financial Statement Details</w:t>
            </w:r>
          </w:p>
        </w:tc>
      </w:tr>
    </w:tbl>
    <w:p w14:paraId="67536683" w14:textId="77777777" w:rsidR="001B77DD" w:rsidRDefault="00BF0A28">
      <w:pPr>
        <w:spacing w:before="180" w:after="12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1B77DD" w14:paraId="67536693" w14:textId="77777777">
        <w:tc>
          <w:tcPr>
            <w:tcW w:w="50" w:type="pct"/>
            <w:shd w:val="clear" w:color="auto" w:fill="auto"/>
            <w:vAlign w:val="bottom"/>
          </w:tcPr>
          <w:p w14:paraId="67536684" w14:textId="77777777" w:rsidR="001B77DD" w:rsidRDefault="001B77DD">
            <w:pPr>
              <w:rPr>
                <w:rFonts w:ascii="宋体"/>
              </w:rPr>
            </w:pPr>
          </w:p>
        </w:tc>
        <w:tc>
          <w:tcPr>
            <w:tcW w:w="3688" w:type="pct"/>
            <w:shd w:val="clear" w:color="auto" w:fill="auto"/>
            <w:vAlign w:val="bottom"/>
          </w:tcPr>
          <w:p w14:paraId="67536685" w14:textId="77777777" w:rsidR="001B77DD" w:rsidRDefault="001B77DD">
            <w:pPr>
              <w:rPr>
                <w:rFonts w:ascii="宋体"/>
              </w:rPr>
            </w:pPr>
          </w:p>
        </w:tc>
        <w:tc>
          <w:tcPr>
            <w:tcW w:w="5" w:type="pct"/>
            <w:shd w:val="clear" w:color="auto" w:fill="auto"/>
            <w:vAlign w:val="bottom"/>
          </w:tcPr>
          <w:p w14:paraId="67536686" w14:textId="77777777" w:rsidR="001B77DD" w:rsidRDefault="001B77DD">
            <w:pPr>
              <w:rPr>
                <w:rFonts w:ascii="宋体"/>
              </w:rPr>
            </w:pPr>
          </w:p>
        </w:tc>
        <w:tc>
          <w:tcPr>
            <w:tcW w:w="5" w:type="pct"/>
            <w:shd w:val="clear" w:color="auto" w:fill="auto"/>
            <w:vAlign w:val="bottom"/>
          </w:tcPr>
          <w:p w14:paraId="67536687" w14:textId="77777777" w:rsidR="001B77DD" w:rsidRDefault="001B77DD">
            <w:pPr>
              <w:rPr>
                <w:rFonts w:ascii="宋体"/>
              </w:rPr>
            </w:pPr>
          </w:p>
        </w:tc>
        <w:tc>
          <w:tcPr>
            <w:tcW w:w="24" w:type="pct"/>
            <w:shd w:val="clear" w:color="auto" w:fill="auto"/>
            <w:vAlign w:val="bottom"/>
          </w:tcPr>
          <w:p w14:paraId="67536688" w14:textId="77777777" w:rsidR="001B77DD" w:rsidRDefault="001B77DD">
            <w:pPr>
              <w:rPr>
                <w:rFonts w:ascii="宋体"/>
              </w:rPr>
            </w:pPr>
          </w:p>
        </w:tc>
        <w:tc>
          <w:tcPr>
            <w:tcW w:w="5" w:type="pct"/>
            <w:shd w:val="clear" w:color="auto" w:fill="auto"/>
            <w:vAlign w:val="bottom"/>
          </w:tcPr>
          <w:p w14:paraId="67536689" w14:textId="77777777" w:rsidR="001B77DD" w:rsidRDefault="001B77DD">
            <w:pPr>
              <w:rPr>
                <w:rFonts w:ascii="宋体"/>
              </w:rPr>
            </w:pPr>
          </w:p>
        </w:tc>
        <w:tc>
          <w:tcPr>
            <w:tcW w:w="50" w:type="pct"/>
            <w:shd w:val="clear" w:color="auto" w:fill="auto"/>
            <w:vAlign w:val="bottom"/>
          </w:tcPr>
          <w:p w14:paraId="6753668A" w14:textId="77777777" w:rsidR="001B77DD" w:rsidRDefault="001B77DD">
            <w:pPr>
              <w:rPr>
                <w:rFonts w:ascii="宋体"/>
              </w:rPr>
            </w:pPr>
          </w:p>
        </w:tc>
        <w:tc>
          <w:tcPr>
            <w:tcW w:w="539" w:type="pct"/>
            <w:shd w:val="clear" w:color="auto" w:fill="auto"/>
            <w:vAlign w:val="bottom"/>
          </w:tcPr>
          <w:p w14:paraId="6753668B" w14:textId="77777777" w:rsidR="001B77DD" w:rsidRDefault="001B77DD">
            <w:pPr>
              <w:rPr>
                <w:rFonts w:ascii="宋体"/>
              </w:rPr>
            </w:pPr>
          </w:p>
        </w:tc>
        <w:tc>
          <w:tcPr>
            <w:tcW w:w="5" w:type="pct"/>
            <w:shd w:val="clear" w:color="auto" w:fill="auto"/>
            <w:vAlign w:val="bottom"/>
          </w:tcPr>
          <w:p w14:paraId="6753668C" w14:textId="77777777" w:rsidR="001B77DD" w:rsidRDefault="001B77DD">
            <w:pPr>
              <w:rPr>
                <w:rFonts w:ascii="宋体"/>
              </w:rPr>
            </w:pPr>
          </w:p>
        </w:tc>
        <w:tc>
          <w:tcPr>
            <w:tcW w:w="5" w:type="pct"/>
            <w:shd w:val="clear" w:color="auto" w:fill="auto"/>
            <w:vAlign w:val="bottom"/>
          </w:tcPr>
          <w:p w14:paraId="6753668D" w14:textId="77777777" w:rsidR="001B77DD" w:rsidRDefault="001B77DD">
            <w:pPr>
              <w:rPr>
                <w:rFonts w:ascii="宋体"/>
              </w:rPr>
            </w:pPr>
          </w:p>
        </w:tc>
        <w:tc>
          <w:tcPr>
            <w:tcW w:w="24" w:type="pct"/>
            <w:shd w:val="clear" w:color="auto" w:fill="auto"/>
            <w:vAlign w:val="bottom"/>
          </w:tcPr>
          <w:p w14:paraId="6753668E" w14:textId="77777777" w:rsidR="001B77DD" w:rsidRDefault="001B77DD">
            <w:pPr>
              <w:rPr>
                <w:rFonts w:ascii="宋体"/>
              </w:rPr>
            </w:pPr>
          </w:p>
        </w:tc>
        <w:tc>
          <w:tcPr>
            <w:tcW w:w="5" w:type="pct"/>
            <w:shd w:val="clear" w:color="auto" w:fill="auto"/>
            <w:vAlign w:val="bottom"/>
          </w:tcPr>
          <w:p w14:paraId="6753668F" w14:textId="77777777" w:rsidR="001B77DD" w:rsidRDefault="001B77DD">
            <w:pPr>
              <w:rPr>
                <w:rFonts w:ascii="宋体"/>
              </w:rPr>
            </w:pPr>
          </w:p>
        </w:tc>
        <w:tc>
          <w:tcPr>
            <w:tcW w:w="50" w:type="pct"/>
            <w:shd w:val="clear" w:color="auto" w:fill="auto"/>
            <w:vAlign w:val="bottom"/>
          </w:tcPr>
          <w:p w14:paraId="67536690" w14:textId="77777777" w:rsidR="001B77DD" w:rsidRDefault="001B77DD">
            <w:pPr>
              <w:rPr>
                <w:rFonts w:ascii="宋体"/>
              </w:rPr>
            </w:pPr>
          </w:p>
        </w:tc>
        <w:tc>
          <w:tcPr>
            <w:tcW w:w="539" w:type="pct"/>
            <w:shd w:val="clear" w:color="auto" w:fill="auto"/>
            <w:vAlign w:val="bottom"/>
          </w:tcPr>
          <w:p w14:paraId="67536691" w14:textId="77777777" w:rsidR="001B77DD" w:rsidRDefault="001B77DD">
            <w:pPr>
              <w:rPr>
                <w:rFonts w:ascii="宋体"/>
              </w:rPr>
            </w:pPr>
          </w:p>
        </w:tc>
        <w:tc>
          <w:tcPr>
            <w:tcW w:w="5" w:type="pct"/>
            <w:shd w:val="clear" w:color="auto" w:fill="auto"/>
            <w:vAlign w:val="bottom"/>
          </w:tcPr>
          <w:p w14:paraId="67536692" w14:textId="77777777" w:rsidR="001B77DD" w:rsidRDefault="001B77DD">
            <w:pPr>
              <w:rPr>
                <w:rFonts w:ascii="宋体"/>
              </w:rPr>
            </w:pPr>
          </w:p>
        </w:tc>
      </w:tr>
      <w:tr w:rsidR="001B77DD" w14:paraId="67536699" w14:textId="77777777">
        <w:tc>
          <w:tcPr>
            <w:tcW w:w="0" w:type="auto"/>
            <w:gridSpan w:val="3"/>
            <w:shd w:val="clear" w:color="auto" w:fill="auto"/>
            <w:tcMar>
              <w:top w:w="40" w:type="dxa"/>
              <w:left w:w="20" w:type="dxa"/>
              <w:bottom w:w="40" w:type="dxa"/>
              <w:right w:w="20" w:type="dxa"/>
            </w:tcMar>
            <w:vAlign w:val="bottom"/>
          </w:tcPr>
          <w:p w14:paraId="67536694"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69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696"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69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698" w14:textId="77777777" w:rsidR="001B77DD" w:rsidRDefault="00BF0A28">
            <w:pPr>
              <w:jc w:val="center"/>
              <w:textAlignment w:val="bottom"/>
            </w:pPr>
            <w:r>
              <w:rPr>
                <w:rFonts w:ascii="Arial" w:eastAsia="宋体" w:hAnsi="Arial" w:cs="Arial"/>
                <w:b/>
                <w:bCs/>
                <w:color w:val="262626"/>
                <w:sz w:val="18"/>
                <w:szCs w:val="18"/>
              </w:rPr>
              <w:t xml:space="preserve">Dec 26, </w:t>
            </w:r>
            <w:r>
              <w:rPr>
                <w:rFonts w:ascii="Arial" w:eastAsia="宋体" w:hAnsi="Arial" w:cs="Arial"/>
                <w:b/>
                <w:bCs/>
                <w:color w:val="262626"/>
                <w:sz w:val="18"/>
                <w:szCs w:val="18"/>
              </w:rPr>
              <w:t>2020</w:t>
            </w:r>
          </w:p>
        </w:tc>
      </w:tr>
      <w:tr w:rsidR="001B77DD" w14:paraId="675366A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69A" w14:textId="77777777" w:rsidR="001B77DD" w:rsidRDefault="00BF0A28">
            <w:pPr>
              <w:textAlignment w:val="bottom"/>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vAlign w:val="bottom"/>
          </w:tcPr>
          <w:p w14:paraId="6753669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69C"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69D" w14:textId="77777777" w:rsidR="001B77DD" w:rsidRDefault="00BF0A28">
            <w:pPr>
              <w:jc w:val="right"/>
              <w:textAlignment w:val="bottom"/>
            </w:pPr>
            <w:r>
              <w:rPr>
                <w:rFonts w:ascii="Arial" w:eastAsia="宋体" w:hAnsi="Arial" w:cs="Arial"/>
                <w:color w:val="0068B5"/>
                <w:sz w:val="18"/>
                <w:szCs w:val="18"/>
              </w:rPr>
              <w:t>1,441 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69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9F" w14:textId="77777777" w:rsidR="001B77DD" w:rsidRDefault="001B77DD">
            <w:pPr>
              <w:rPr>
                <w:rFonts w:ascii="宋体"/>
              </w:rPr>
            </w:pPr>
          </w:p>
        </w:tc>
        <w:tc>
          <w:tcPr>
            <w:tcW w:w="0" w:type="auto"/>
            <w:tcBorders>
              <w:top w:val="single" w:sz="8" w:space="0" w:color="0071C5"/>
            </w:tcBorders>
            <w:shd w:val="clear" w:color="auto" w:fill="auto"/>
            <w:tcMar>
              <w:top w:w="40" w:type="dxa"/>
              <w:left w:w="20" w:type="dxa"/>
              <w:bottom w:w="40" w:type="dxa"/>
              <w:right w:w="0" w:type="dxa"/>
            </w:tcMar>
            <w:vAlign w:val="bottom"/>
          </w:tcPr>
          <w:p w14:paraId="675366A0"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71C5"/>
            </w:tcBorders>
            <w:shd w:val="clear" w:color="auto" w:fill="auto"/>
            <w:tcMar>
              <w:top w:w="40" w:type="dxa"/>
              <w:left w:w="0" w:type="dxa"/>
              <w:bottom w:w="40" w:type="dxa"/>
              <w:right w:w="0" w:type="dxa"/>
            </w:tcMar>
            <w:vAlign w:val="bottom"/>
          </w:tcPr>
          <w:p w14:paraId="675366A1" w14:textId="77777777" w:rsidR="001B77DD" w:rsidRDefault="00BF0A28">
            <w:pPr>
              <w:jc w:val="right"/>
              <w:textAlignment w:val="bottom"/>
            </w:pPr>
            <w:r>
              <w:rPr>
                <w:rFonts w:ascii="Arial" w:eastAsia="宋体" w:hAnsi="Arial" w:cs="Arial"/>
                <w:color w:val="262626"/>
                <w:sz w:val="18"/>
                <w:szCs w:val="18"/>
              </w:rPr>
              <w:t>908 </w:t>
            </w:r>
          </w:p>
        </w:tc>
        <w:tc>
          <w:tcPr>
            <w:tcW w:w="0" w:type="auto"/>
            <w:tcBorders>
              <w:top w:val="single" w:sz="8" w:space="0" w:color="0071C5"/>
            </w:tcBorders>
            <w:shd w:val="clear" w:color="auto" w:fill="auto"/>
            <w:tcMar>
              <w:top w:w="40" w:type="dxa"/>
              <w:left w:w="0" w:type="dxa"/>
              <w:bottom w:w="40" w:type="dxa"/>
              <w:right w:w="20" w:type="dxa"/>
            </w:tcMar>
            <w:vAlign w:val="bottom"/>
          </w:tcPr>
          <w:p w14:paraId="675366A2" w14:textId="77777777" w:rsidR="001B77DD" w:rsidRDefault="001B77DD">
            <w:pPr>
              <w:jc w:val="right"/>
              <w:rPr>
                <w:rFonts w:ascii="宋体"/>
              </w:rPr>
            </w:pPr>
          </w:p>
        </w:tc>
      </w:tr>
      <w:tr w:rsidR="001B77DD" w14:paraId="675366AB" w14:textId="77777777">
        <w:tc>
          <w:tcPr>
            <w:tcW w:w="0" w:type="auto"/>
            <w:gridSpan w:val="3"/>
            <w:shd w:val="clear" w:color="auto" w:fill="auto"/>
            <w:tcMar>
              <w:top w:w="40" w:type="dxa"/>
              <w:left w:w="20" w:type="dxa"/>
              <w:bottom w:w="40" w:type="dxa"/>
              <w:right w:w="20" w:type="dxa"/>
            </w:tcMar>
            <w:vAlign w:val="bottom"/>
          </w:tcPr>
          <w:p w14:paraId="675366A4" w14:textId="77777777" w:rsidR="001B77DD" w:rsidRDefault="00BF0A28">
            <w:pPr>
              <w:textAlignment w:val="bottom"/>
            </w:pPr>
            <w:r>
              <w:rPr>
                <w:rFonts w:ascii="Arial" w:eastAsia="宋体" w:hAnsi="Arial" w:cs="Arial"/>
                <w:color w:val="262626"/>
                <w:sz w:val="18"/>
                <w:szCs w:val="18"/>
              </w:rPr>
              <w:t>Work in process</w:t>
            </w:r>
          </w:p>
        </w:tc>
        <w:tc>
          <w:tcPr>
            <w:tcW w:w="0" w:type="auto"/>
            <w:gridSpan w:val="3"/>
            <w:shd w:val="clear" w:color="auto" w:fill="auto"/>
            <w:tcMar>
              <w:top w:w="0" w:type="dxa"/>
              <w:left w:w="20" w:type="dxa"/>
              <w:bottom w:w="0" w:type="dxa"/>
              <w:right w:w="20" w:type="dxa"/>
            </w:tcMar>
            <w:vAlign w:val="bottom"/>
          </w:tcPr>
          <w:p w14:paraId="675366A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A6" w14:textId="77777777" w:rsidR="001B77DD" w:rsidRDefault="00BF0A28">
            <w:pPr>
              <w:jc w:val="right"/>
              <w:textAlignment w:val="bottom"/>
            </w:pPr>
            <w:r>
              <w:rPr>
                <w:rFonts w:ascii="Arial" w:eastAsia="宋体" w:hAnsi="Arial" w:cs="Arial"/>
                <w:color w:val="0068B5"/>
                <w:sz w:val="18"/>
                <w:szCs w:val="18"/>
              </w:rPr>
              <w:t>6,656 </w:t>
            </w:r>
          </w:p>
        </w:tc>
        <w:tc>
          <w:tcPr>
            <w:tcW w:w="0" w:type="auto"/>
            <w:shd w:val="clear" w:color="auto" w:fill="auto"/>
            <w:tcMar>
              <w:top w:w="40" w:type="dxa"/>
              <w:left w:w="0" w:type="dxa"/>
              <w:bottom w:w="40" w:type="dxa"/>
              <w:right w:w="20" w:type="dxa"/>
            </w:tcMar>
            <w:vAlign w:val="bottom"/>
          </w:tcPr>
          <w:p w14:paraId="675366A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A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A9" w14:textId="77777777" w:rsidR="001B77DD" w:rsidRDefault="00BF0A28">
            <w:pPr>
              <w:jc w:val="right"/>
              <w:textAlignment w:val="bottom"/>
            </w:pPr>
            <w:r>
              <w:rPr>
                <w:rFonts w:ascii="Arial" w:eastAsia="宋体" w:hAnsi="Arial" w:cs="Arial"/>
                <w:color w:val="262626"/>
                <w:sz w:val="18"/>
                <w:szCs w:val="18"/>
              </w:rPr>
              <w:t>5,693 </w:t>
            </w:r>
          </w:p>
        </w:tc>
        <w:tc>
          <w:tcPr>
            <w:tcW w:w="0" w:type="auto"/>
            <w:shd w:val="clear" w:color="auto" w:fill="auto"/>
            <w:tcMar>
              <w:top w:w="40" w:type="dxa"/>
              <w:left w:w="0" w:type="dxa"/>
              <w:bottom w:w="40" w:type="dxa"/>
              <w:right w:w="20" w:type="dxa"/>
            </w:tcMar>
            <w:vAlign w:val="bottom"/>
          </w:tcPr>
          <w:p w14:paraId="675366AA" w14:textId="77777777" w:rsidR="001B77DD" w:rsidRDefault="001B77DD">
            <w:pPr>
              <w:jc w:val="right"/>
              <w:rPr>
                <w:rFonts w:ascii="宋体"/>
              </w:rPr>
            </w:pPr>
          </w:p>
        </w:tc>
      </w:tr>
      <w:tr w:rsidR="001B77DD" w14:paraId="675366B3" w14:textId="77777777">
        <w:tc>
          <w:tcPr>
            <w:tcW w:w="0" w:type="auto"/>
            <w:gridSpan w:val="3"/>
            <w:shd w:val="clear" w:color="auto" w:fill="auto"/>
            <w:tcMar>
              <w:top w:w="40" w:type="dxa"/>
              <w:left w:w="20" w:type="dxa"/>
              <w:bottom w:w="40" w:type="dxa"/>
              <w:right w:w="20" w:type="dxa"/>
            </w:tcMar>
            <w:vAlign w:val="bottom"/>
          </w:tcPr>
          <w:p w14:paraId="675366AC" w14:textId="77777777" w:rsidR="001B77DD" w:rsidRDefault="00BF0A28">
            <w:pPr>
              <w:textAlignment w:val="bottom"/>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vAlign w:val="bottom"/>
          </w:tcPr>
          <w:p w14:paraId="675366A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AE" w14:textId="77777777" w:rsidR="001B77DD" w:rsidRDefault="00BF0A28">
            <w:pPr>
              <w:jc w:val="right"/>
              <w:textAlignment w:val="bottom"/>
            </w:pPr>
            <w:r>
              <w:rPr>
                <w:rFonts w:ascii="Arial" w:eastAsia="宋体" w:hAnsi="Arial" w:cs="Arial"/>
                <w:color w:val="0068B5"/>
                <w:sz w:val="18"/>
                <w:szCs w:val="18"/>
              </w:rPr>
              <w:t>2,679 </w:t>
            </w:r>
          </w:p>
        </w:tc>
        <w:tc>
          <w:tcPr>
            <w:tcW w:w="0" w:type="auto"/>
            <w:shd w:val="clear" w:color="auto" w:fill="auto"/>
            <w:tcMar>
              <w:top w:w="40" w:type="dxa"/>
              <w:left w:w="0" w:type="dxa"/>
              <w:bottom w:w="40" w:type="dxa"/>
              <w:right w:w="20" w:type="dxa"/>
            </w:tcMar>
            <w:vAlign w:val="bottom"/>
          </w:tcPr>
          <w:p w14:paraId="675366A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B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B1" w14:textId="77777777" w:rsidR="001B77DD" w:rsidRDefault="00BF0A28">
            <w:pPr>
              <w:jc w:val="right"/>
              <w:textAlignment w:val="bottom"/>
            </w:pPr>
            <w:r>
              <w:rPr>
                <w:rFonts w:ascii="Arial" w:eastAsia="宋体" w:hAnsi="Arial" w:cs="Arial"/>
                <w:color w:val="262626"/>
                <w:sz w:val="18"/>
                <w:szCs w:val="18"/>
              </w:rPr>
              <w:t>1,826 </w:t>
            </w:r>
          </w:p>
        </w:tc>
        <w:tc>
          <w:tcPr>
            <w:tcW w:w="0" w:type="auto"/>
            <w:shd w:val="clear" w:color="auto" w:fill="auto"/>
            <w:tcMar>
              <w:top w:w="40" w:type="dxa"/>
              <w:left w:w="0" w:type="dxa"/>
              <w:bottom w:w="40" w:type="dxa"/>
              <w:right w:w="20" w:type="dxa"/>
            </w:tcMar>
            <w:vAlign w:val="bottom"/>
          </w:tcPr>
          <w:p w14:paraId="675366B2" w14:textId="77777777" w:rsidR="001B77DD" w:rsidRDefault="001B77DD">
            <w:pPr>
              <w:jc w:val="right"/>
              <w:rPr>
                <w:rFonts w:ascii="宋体"/>
              </w:rPr>
            </w:pPr>
          </w:p>
        </w:tc>
      </w:tr>
      <w:tr w:rsidR="001B77DD" w14:paraId="675366BD" w14:textId="77777777">
        <w:tc>
          <w:tcPr>
            <w:tcW w:w="0" w:type="auto"/>
            <w:gridSpan w:val="3"/>
            <w:shd w:val="clear" w:color="auto" w:fill="auto"/>
            <w:tcMar>
              <w:top w:w="40" w:type="dxa"/>
              <w:left w:w="20" w:type="dxa"/>
              <w:bottom w:w="40" w:type="dxa"/>
              <w:right w:w="20" w:type="dxa"/>
            </w:tcMar>
            <w:vAlign w:val="bottom"/>
          </w:tcPr>
          <w:p w14:paraId="675366B4" w14:textId="77777777" w:rsidR="001B77DD" w:rsidRDefault="00BF0A28">
            <w:pPr>
              <w:textAlignment w:val="bottom"/>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vAlign w:val="bottom"/>
          </w:tcPr>
          <w:p w14:paraId="675366B5"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6B6"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6B7" w14:textId="77777777" w:rsidR="001B77DD" w:rsidRDefault="00BF0A28">
            <w:pPr>
              <w:jc w:val="right"/>
              <w:textAlignment w:val="bottom"/>
            </w:pPr>
            <w:r>
              <w:rPr>
                <w:rFonts w:ascii="Arial" w:eastAsia="宋体" w:hAnsi="Arial" w:cs="Arial"/>
                <w:b/>
                <w:bCs/>
                <w:color w:val="0068B5"/>
                <w:sz w:val="18"/>
                <w:szCs w:val="18"/>
              </w:rPr>
              <w:t>10,776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6B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B9"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6BA"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6BB" w14:textId="77777777" w:rsidR="001B77DD" w:rsidRDefault="00BF0A28">
            <w:pPr>
              <w:jc w:val="right"/>
              <w:textAlignment w:val="bottom"/>
            </w:pPr>
            <w:r>
              <w:rPr>
                <w:rFonts w:ascii="Arial" w:eastAsia="宋体" w:hAnsi="Arial" w:cs="Arial"/>
                <w:b/>
                <w:bCs/>
                <w:color w:val="262626"/>
                <w:sz w:val="18"/>
                <w:szCs w:val="18"/>
              </w:rPr>
              <w:t>8,427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6BC" w14:textId="77777777" w:rsidR="001B77DD" w:rsidRDefault="001B77DD">
            <w:pPr>
              <w:jc w:val="right"/>
              <w:rPr>
                <w:rFonts w:ascii="宋体"/>
              </w:rPr>
            </w:pPr>
          </w:p>
        </w:tc>
      </w:tr>
    </w:tbl>
    <w:p w14:paraId="675366BE" w14:textId="77777777" w:rsidR="001B77DD" w:rsidRDefault="00BF0A28">
      <w:pPr>
        <w:spacing w:before="180" w:after="120"/>
      </w:pPr>
      <w:r>
        <w:rPr>
          <w:rFonts w:ascii="Arial" w:eastAsia="宋体" w:hAnsi="Arial" w:cs="Arial"/>
          <w:color w:val="0068B5"/>
        </w:rPr>
        <w:t>Property, Plant and Equipment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1B77DD" w14:paraId="675366CE" w14:textId="77777777">
        <w:tc>
          <w:tcPr>
            <w:tcW w:w="50" w:type="pct"/>
            <w:shd w:val="clear" w:color="auto" w:fill="auto"/>
            <w:vAlign w:val="bottom"/>
          </w:tcPr>
          <w:p w14:paraId="675366BF" w14:textId="77777777" w:rsidR="001B77DD" w:rsidRDefault="001B77DD">
            <w:pPr>
              <w:rPr>
                <w:rFonts w:ascii="宋体"/>
              </w:rPr>
            </w:pPr>
          </w:p>
        </w:tc>
        <w:tc>
          <w:tcPr>
            <w:tcW w:w="3688" w:type="pct"/>
            <w:shd w:val="clear" w:color="auto" w:fill="auto"/>
            <w:vAlign w:val="bottom"/>
          </w:tcPr>
          <w:p w14:paraId="675366C0" w14:textId="77777777" w:rsidR="001B77DD" w:rsidRDefault="001B77DD">
            <w:pPr>
              <w:rPr>
                <w:rFonts w:ascii="宋体"/>
              </w:rPr>
            </w:pPr>
          </w:p>
        </w:tc>
        <w:tc>
          <w:tcPr>
            <w:tcW w:w="5" w:type="pct"/>
            <w:shd w:val="clear" w:color="auto" w:fill="auto"/>
            <w:vAlign w:val="bottom"/>
          </w:tcPr>
          <w:p w14:paraId="675366C1" w14:textId="77777777" w:rsidR="001B77DD" w:rsidRDefault="001B77DD">
            <w:pPr>
              <w:rPr>
                <w:rFonts w:ascii="宋体"/>
              </w:rPr>
            </w:pPr>
          </w:p>
        </w:tc>
        <w:tc>
          <w:tcPr>
            <w:tcW w:w="5" w:type="pct"/>
            <w:shd w:val="clear" w:color="auto" w:fill="auto"/>
            <w:vAlign w:val="bottom"/>
          </w:tcPr>
          <w:p w14:paraId="675366C2" w14:textId="77777777" w:rsidR="001B77DD" w:rsidRDefault="001B77DD">
            <w:pPr>
              <w:rPr>
                <w:rFonts w:ascii="宋体"/>
              </w:rPr>
            </w:pPr>
          </w:p>
        </w:tc>
        <w:tc>
          <w:tcPr>
            <w:tcW w:w="24" w:type="pct"/>
            <w:shd w:val="clear" w:color="auto" w:fill="auto"/>
            <w:vAlign w:val="bottom"/>
          </w:tcPr>
          <w:p w14:paraId="675366C3" w14:textId="77777777" w:rsidR="001B77DD" w:rsidRDefault="001B77DD">
            <w:pPr>
              <w:rPr>
                <w:rFonts w:ascii="宋体"/>
              </w:rPr>
            </w:pPr>
          </w:p>
        </w:tc>
        <w:tc>
          <w:tcPr>
            <w:tcW w:w="5" w:type="pct"/>
            <w:shd w:val="clear" w:color="auto" w:fill="auto"/>
            <w:vAlign w:val="bottom"/>
          </w:tcPr>
          <w:p w14:paraId="675366C4" w14:textId="77777777" w:rsidR="001B77DD" w:rsidRDefault="001B77DD">
            <w:pPr>
              <w:rPr>
                <w:rFonts w:ascii="宋体"/>
              </w:rPr>
            </w:pPr>
          </w:p>
        </w:tc>
        <w:tc>
          <w:tcPr>
            <w:tcW w:w="50" w:type="pct"/>
            <w:shd w:val="clear" w:color="auto" w:fill="auto"/>
            <w:vAlign w:val="bottom"/>
          </w:tcPr>
          <w:p w14:paraId="675366C5" w14:textId="77777777" w:rsidR="001B77DD" w:rsidRDefault="001B77DD">
            <w:pPr>
              <w:rPr>
                <w:rFonts w:ascii="宋体"/>
              </w:rPr>
            </w:pPr>
          </w:p>
        </w:tc>
        <w:tc>
          <w:tcPr>
            <w:tcW w:w="539" w:type="pct"/>
            <w:shd w:val="clear" w:color="auto" w:fill="auto"/>
            <w:vAlign w:val="bottom"/>
          </w:tcPr>
          <w:p w14:paraId="675366C6" w14:textId="77777777" w:rsidR="001B77DD" w:rsidRDefault="001B77DD">
            <w:pPr>
              <w:rPr>
                <w:rFonts w:ascii="宋体"/>
              </w:rPr>
            </w:pPr>
          </w:p>
        </w:tc>
        <w:tc>
          <w:tcPr>
            <w:tcW w:w="5" w:type="pct"/>
            <w:shd w:val="clear" w:color="auto" w:fill="auto"/>
            <w:vAlign w:val="bottom"/>
          </w:tcPr>
          <w:p w14:paraId="675366C7" w14:textId="77777777" w:rsidR="001B77DD" w:rsidRDefault="001B77DD">
            <w:pPr>
              <w:rPr>
                <w:rFonts w:ascii="宋体"/>
              </w:rPr>
            </w:pPr>
          </w:p>
        </w:tc>
        <w:tc>
          <w:tcPr>
            <w:tcW w:w="5" w:type="pct"/>
            <w:shd w:val="clear" w:color="auto" w:fill="auto"/>
            <w:vAlign w:val="bottom"/>
          </w:tcPr>
          <w:p w14:paraId="675366C8" w14:textId="77777777" w:rsidR="001B77DD" w:rsidRDefault="001B77DD">
            <w:pPr>
              <w:rPr>
                <w:rFonts w:ascii="宋体"/>
              </w:rPr>
            </w:pPr>
          </w:p>
        </w:tc>
        <w:tc>
          <w:tcPr>
            <w:tcW w:w="24" w:type="pct"/>
            <w:shd w:val="clear" w:color="auto" w:fill="auto"/>
            <w:vAlign w:val="bottom"/>
          </w:tcPr>
          <w:p w14:paraId="675366C9" w14:textId="77777777" w:rsidR="001B77DD" w:rsidRDefault="001B77DD">
            <w:pPr>
              <w:rPr>
                <w:rFonts w:ascii="宋体"/>
              </w:rPr>
            </w:pPr>
          </w:p>
        </w:tc>
        <w:tc>
          <w:tcPr>
            <w:tcW w:w="5" w:type="pct"/>
            <w:shd w:val="clear" w:color="auto" w:fill="auto"/>
            <w:vAlign w:val="bottom"/>
          </w:tcPr>
          <w:p w14:paraId="675366CA" w14:textId="77777777" w:rsidR="001B77DD" w:rsidRDefault="001B77DD">
            <w:pPr>
              <w:rPr>
                <w:rFonts w:ascii="宋体"/>
              </w:rPr>
            </w:pPr>
          </w:p>
        </w:tc>
        <w:tc>
          <w:tcPr>
            <w:tcW w:w="50" w:type="pct"/>
            <w:shd w:val="clear" w:color="auto" w:fill="auto"/>
            <w:vAlign w:val="bottom"/>
          </w:tcPr>
          <w:p w14:paraId="675366CB" w14:textId="77777777" w:rsidR="001B77DD" w:rsidRDefault="001B77DD">
            <w:pPr>
              <w:rPr>
                <w:rFonts w:ascii="宋体"/>
              </w:rPr>
            </w:pPr>
          </w:p>
        </w:tc>
        <w:tc>
          <w:tcPr>
            <w:tcW w:w="539" w:type="pct"/>
            <w:shd w:val="clear" w:color="auto" w:fill="auto"/>
            <w:vAlign w:val="bottom"/>
          </w:tcPr>
          <w:p w14:paraId="675366CC" w14:textId="77777777" w:rsidR="001B77DD" w:rsidRDefault="001B77DD">
            <w:pPr>
              <w:rPr>
                <w:rFonts w:ascii="宋体"/>
              </w:rPr>
            </w:pPr>
          </w:p>
        </w:tc>
        <w:tc>
          <w:tcPr>
            <w:tcW w:w="5" w:type="pct"/>
            <w:shd w:val="clear" w:color="auto" w:fill="auto"/>
            <w:vAlign w:val="bottom"/>
          </w:tcPr>
          <w:p w14:paraId="675366CD" w14:textId="77777777" w:rsidR="001B77DD" w:rsidRDefault="001B77DD">
            <w:pPr>
              <w:rPr>
                <w:rFonts w:ascii="宋体"/>
              </w:rPr>
            </w:pPr>
          </w:p>
        </w:tc>
      </w:tr>
      <w:tr w:rsidR="001B77DD" w14:paraId="675366D4" w14:textId="77777777">
        <w:tc>
          <w:tcPr>
            <w:tcW w:w="0" w:type="auto"/>
            <w:gridSpan w:val="3"/>
            <w:shd w:val="clear" w:color="auto" w:fill="auto"/>
            <w:tcMar>
              <w:top w:w="40" w:type="dxa"/>
              <w:left w:w="20" w:type="dxa"/>
              <w:bottom w:w="40" w:type="dxa"/>
              <w:right w:w="20" w:type="dxa"/>
            </w:tcMar>
            <w:vAlign w:val="bottom"/>
          </w:tcPr>
          <w:p w14:paraId="675366CF"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6D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6D1"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6D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6D3"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66D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6D5" w14:textId="77777777" w:rsidR="001B77DD" w:rsidRDefault="00BF0A28">
            <w:pPr>
              <w:textAlignment w:val="bottom"/>
            </w:pPr>
            <w:r>
              <w:rPr>
                <w:rFonts w:ascii="Arial" w:eastAsia="宋体" w:hAnsi="Arial" w:cs="Arial"/>
                <w:color w:val="262626"/>
                <w:sz w:val="18"/>
                <w:szCs w:val="18"/>
              </w:rPr>
              <w:t xml:space="preserve">Land and </w:t>
            </w:r>
            <w:r>
              <w:rPr>
                <w:rFonts w:ascii="Arial" w:eastAsia="宋体" w:hAnsi="Arial" w:cs="Arial"/>
                <w:color w:val="262626"/>
                <w:sz w:val="18"/>
                <w:szCs w:val="18"/>
              </w:rPr>
              <w:t>buildings</w:t>
            </w:r>
          </w:p>
        </w:tc>
        <w:tc>
          <w:tcPr>
            <w:tcW w:w="0" w:type="auto"/>
            <w:gridSpan w:val="3"/>
            <w:shd w:val="clear" w:color="auto" w:fill="auto"/>
            <w:tcMar>
              <w:top w:w="0" w:type="dxa"/>
              <w:left w:w="20" w:type="dxa"/>
              <w:bottom w:w="0" w:type="dxa"/>
              <w:right w:w="20" w:type="dxa"/>
            </w:tcMar>
            <w:vAlign w:val="bottom"/>
          </w:tcPr>
          <w:p w14:paraId="675366D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6D7"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6D8" w14:textId="77777777" w:rsidR="001B77DD" w:rsidRDefault="00BF0A28">
            <w:pPr>
              <w:jc w:val="right"/>
              <w:textAlignment w:val="bottom"/>
            </w:pPr>
            <w:r>
              <w:rPr>
                <w:rFonts w:ascii="Arial" w:eastAsia="宋体" w:hAnsi="Arial" w:cs="Arial"/>
                <w:color w:val="0068B5"/>
                <w:sz w:val="18"/>
                <w:szCs w:val="18"/>
              </w:rPr>
              <w:t>40,039 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6D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D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6DB"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6DC" w14:textId="77777777" w:rsidR="001B77DD" w:rsidRDefault="00BF0A28">
            <w:pPr>
              <w:jc w:val="right"/>
              <w:textAlignment w:val="bottom"/>
            </w:pPr>
            <w:r>
              <w:rPr>
                <w:rFonts w:ascii="Arial" w:eastAsia="宋体" w:hAnsi="Arial" w:cs="Arial"/>
                <w:color w:val="262626"/>
                <w:sz w:val="18"/>
                <w:szCs w:val="18"/>
              </w:rPr>
              <w:t>37,536 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6DD" w14:textId="77777777" w:rsidR="001B77DD" w:rsidRDefault="001B77DD">
            <w:pPr>
              <w:jc w:val="right"/>
              <w:rPr>
                <w:rFonts w:ascii="宋体"/>
              </w:rPr>
            </w:pPr>
          </w:p>
        </w:tc>
      </w:tr>
      <w:tr w:rsidR="001B77DD" w14:paraId="675366E6" w14:textId="77777777">
        <w:tc>
          <w:tcPr>
            <w:tcW w:w="0" w:type="auto"/>
            <w:gridSpan w:val="3"/>
            <w:shd w:val="clear" w:color="auto" w:fill="auto"/>
            <w:tcMar>
              <w:top w:w="40" w:type="dxa"/>
              <w:left w:w="20" w:type="dxa"/>
              <w:bottom w:w="40" w:type="dxa"/>
              <w:right w:w="20" w:type="dxa"/>
            </w:tcMar>
            <w:vAlign w:val="bottom"/>
          </w:tcPr>
          <w:p w14:paraId="675366DF" w14:textId="77777777" w:rsidR="001B77DD" w:rsidRDefault="00BF0A28">
            <w:pPr>
              <w:textAlignment w:val="bottom"/>
            </w:pPr>
            <w:r>
              <w:rPr>
                <w:rFonts w:ascii="Arial" w:eastAsia="宋体" w:hAnsi="Arial" w:cs="Arial"/>
                <w:color w:val="262626"/>
                <w:sz w:val="18"/>
                <w:szCs w:val="18"/>
              </w:rPr>
              <w:t>Machinery and equipment</w:t>
            </w:r>
          </w:p>
        </w:tc>
        <w:tc>
          <w:tcPr>
            <w:tcW w:w="0" w:type="auto"/>
            <w:gridSpan w:val="3"/>
            <w:shd w:val="clear" w:color="auto" w:fill="auto"/>
            <w:tcMar>
              <w:top w:w="0" w:type="dxa"/>
              <w:left w:w="20" w:type="dxa"/>
              <w:bottom w:w="0" w:type="dxa"/>
              <w:right w:w="20" w:type="dxa"/>
            </w:tcMar>
            <w:vAlign w:val="bottom"/>
          </w:tcPr>
          <w:p w14:paraId="675366E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E1" w14:textId="77777777" w:rsidR="001B77DD" w:rsidRDefault="00BF0A28">
            <w:pPr>
              <w:jc w:val="right"/>
              <w:textAlignment w:val="bottom"/>
            </w:pPr>
            <w:r>
              <w:rPr>
                <w:rFonts w:ascii="Arial" w:eastAsia="宋体" w:hAnsi="Arial" w:cs="Arial"/>
                <w:color w:val="0068B5"/>
                <w:sz w:val="18"/>
                <w:szCs w:val="18"/>
              </w:rPr>
              <w:t>86,955 </w:t>
            </w:r>
          </w:p>
        </w:tc>
        <w:tc>
          <w:tcPr>
            <w:tcW w:w="0" w:type="auto"/>
            <w:shd w:val="clear" w:color="auto" w:fill="auto"/>
            <w:tcMar>
              <w:top w:w="40" w:type="dxa"/>
              <w:left w:w="0" w:type="dxa"/>
              <w:bottom w:w="40" w:type="dxa"/>
              <w:right w:w="20" w:type="dxa"/>
            </w:tcMar>
            <w:vAlign w:val="bottom"/>
          </w:tcPr>
          <w:p w14:paraId="675366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E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E4" w14:textId="77777777" w:rsidR="001B77DD" w:rsidRDefault="00BF0A28">
            <w:pPr>
              <w:jc w:val="right"/>
              <w:textAlignment w:val="bottom"/>
            </w:pPr>
            <w:r>
              <w:rPr>
                <w:rFonts w:ascii="Arial" w:eastAsia="宋体" w:hAnsi="Arial" w:cs="Arial"/>
                <w:color w:val="262626"/>
                <w:sz w:val="18"/>
                <w:szCs w:val="18"/>
              </w:rPr>
              <w:t>79,384 </w:t>
            </w:r>
          </w:p>
        </w:tc>
        <w:tc>
          <w:tcPr>
            <w:tcW w:w="0" w:type="auto"/>
            <w:shd w:val="clear" w:color="auto" w:fill="auto"/>
            <w:tcMar>
              <w:top w:w="40" w:type="dxa"/>
              <w:left w:w="0" w:type="dxa"/>
              <w:bottom w:w="40" w:type="dxa"/>
              <w:right w:w="20" w:type="dxa"/>
            </w:tcMar>
            <w:vAlign w:val="bottom"/>
          </w:tcPr>
          <w:p w14:paraId="675366E5" w14:textId="77777777" w:rsidR="001B77DD" w:rsidRDefault="001B77DD">
            <w:pPr>
              <w:jc w:val="right"/>
              <w:rPr>
                <w:rFonts w:ascii="宋体"/>
              </w:rPr>
            </w:pPr>
          </w:p>
        </w:tc>
      </w:tr>
      <w:tr w:rsidR="001B77DD" w14:paraId="675366EE" w14:textId="77777777">
        <w:tc>
          <w:tcPr>
            <w:tcW w:w="0" w:type="auto"/>
            <w:gridSpan w:val="3"/>
            <w:shd w:val="clear" w:color="auto" w:fill="auto"/>
            <w:tcMar>
              <w:top w:w="40" w:type="dxa"/>
              <w:left w:w="20" w:type="dxa"/>
              <w:bottom w:w="40" w:type="dxa"/>
              <w:right w:w="20" w:type="dxa"/>
            </w:tcMar>
            <w:vAlign w:val="bottom"/>
          </w:tcPr>
          <w:p w14:paraId="675366E7" w14:textId="77777777" w:rsidR="001B77DD" w:rsidRDefault="00BF0A28">
            <w:pPr>
              <w:textAlignment w:val="bottom"/>
            </w:pPr>
            <w:r>
              <w:rPr>
                <w:rFonts w:ascii="Arial" w:eastAsia="宋体" w:hAnsi="Arial" w:cs="Arial"/>
                <w:color w:val="262626"/>
                <w:sz w:val="18"/>
                <w:szCs w:val="18"/>
              </w:rPr>
              <w:t>Construction in progress</w:t>
            </w:r>
          </w:p>
        </w:tc>
        <w:tc>
          <w:tcPr>
            <w:tcW w:w="0" w:type="auto"/>
            <w:gridSpan w:val="3"/>
            <w:shd w:val="clear" w:color="auto" w:fill="auto"/>
            <w:tcMar>
              <w:top w:w="0" w:type="dxa"/>
              <w:left w:w="20" w:type="dxa"/>
              <w:bottom w:w="0" w:type="dxa"/>
              <w:right w:w="20" w:type="dxa"/>
            </w:tcMar>
            <w:vAlign w:val="bottom"/>
          </w:tcPr>
          <w:p w14:paraId="675366E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E9" w14:textId="77777777" w:rsidR="001B77DD" w:rsidRDefault="00BF0A28">
            <w:pPr>
              <w:jc w:val="right"/>
              <w:textAlignment w:val="bottom"/>
            </w:pPr>
            <w:r>
              <w:rPr>
                <w:rFonts w:ascii="Arial" w:eastAsia="宋体" w:hAnsi="Arial" w:cs="Arial"/>
                <w:color w:val="0068B5"/>
                <w:sz w:val="18"/>
                <w:szCs w:val="18"/>
              </w:rPr>
              <w:t>21,545 </w:t>
            </w:r>
          </w:p>
        </w:tc>
        <w:tc>
          <w:tcPr>
            <w:tcW w:w="0" w:type="auto"/>
            <w:shd w:val="clear" w:color="auto" w:fill="auto"/>
            <w:tcMar>
              <w:top w:w="40" w:type="dxa"/>
              <w:left w:w="0" w:type="dxa"/>
              <w:bottom w:w="40" w:type="dxa"/>
              <w:right w:w="20" w:type="dxa"/>
            </w:tcMar>
            <w:vAlign w:val="bottom"/>
          </w:tcPr>
          <w:p w14:paraId="675366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EC" w14:textId="77777777" w:rsidR="001B77DD" w:rsidRDefault="00BF0A28">
            <w:pPr>
              <w:jc w:val="right"/>
              <w:textAlignment w:val="bottom"/>
            </w:pPr>
            <w:r>
              <w:rPr>
                <w:rFonts w:ascii="Arial" w:eastAsia="宋体" w:hAnsi="Arial" w:cs="Arial"/>
                <w:color w:val="262626"/>
                <w:sz w:val="18"/>
                <w:szCs w:val="18"/>
              </w:rPr>
              <w:t>17,309 </w:t>
            </w:r>
          </w:p>
        </w:tc>
        <w:tc>
          <w:tcPr>
            <w:tcW w:w="0" w:type="auto"/>
            <w:shd w:val="clear" w:color="auto" w:fill="auto"/>
            <w:tcMar>
              <w:top w:w="40" w:type="dxa"/>
              <w:left w:w="0" w:type="dxa"/>
              <w:bottom w:w="40" w:type="dxa"/>
              <w:right w:w="20" w:type="dxa"/>
            </w:tcMar>
            <w:vAlign w:val="bottom"/>
          </w:tcPr>
          <w:p w14:paraId="675366ED" w14:textId="77777777" w:rsidR="001B77DD" w:rsidRDefault="001B77DD">
            <w:pPr>
              <w:jc w:val="right"/>
              <w:rPr>
                <w:rFonts w:ascii="宋体"/>
              </w:rPr>
            </w:pPr>
          </w:p>
        </w:tc>
      </w:tr>
      <w:tr w:rsidR="001B77DD" w14:paraId="675366F6" w14:textId="77777777">
        <w:tc>
          <w:tcPr>
            <w:tcW w:w="0" w:type="auto"/>
            <w:gridSpan w:val="3"/>
            <w:shd w:val="clear" w:color="auto" w:fill="auto"/>
            <w:tcMar>
              <w:top w:w="40" w:type="dxa"/>
              <w:left w:w="20" w:type="dxa"/>
              <w:bottom w:w="40" w:type="dxa"/>
              <w:right w:w="20" w:type="dxa"/>
            </w:tcMar>
            <w:vAlign w:val="bottom"/>
          </w:tcPr>
          <w:p w14:paraId="675366EF" w14:textId="77777777" w:rsidR="001B77DD" w:rsidRDefault="00BF0A28">
            <w:pPr>
              <w:textAlignment w:val="bottom"/>
            </w:pPr>
            <w:r>
              <w:rPr>
                <w:rFonts w:ascii="Arial" w:eastAsia="宋体" w:hAnsi="Arial" w:cs="Arial"/>
                <w:b/>
                <w:bCs/>
                <w:color w:val="262626"/>
                <w:sz w:val="18"/>
                <w:szCs w:val="18"/>
              </w:rPr>
              <w:t>Total property, plant and equipment, gross</w:t>
            </w:r>
          </w:p>
        </w:tc>
        <w:tc>
          <w:tcPr>
            <w:tcW w:w="0" w:type="auto"/>
            <w:gridSpan w:val="3"/>
            <w:shd w:val="clear" w:color="auto" w:fill="auto"/>
            <w:tcMar>
              <w:top w:w="0" w:type="dxa"/>
              <w:left w:w="20" w:type="dxa"/>
              <w:bottom w:w="0" w:type="dxa"/>
              <w:right w:w="20" w:type="dxa"/>
            </w:tcMar>
            <w:vAlign w:val="bottom"/>
          </w:tcPr>
          <w:p w14:paraId="675366F0"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6F1" w14:textId="77777777" w:rsidR="001B77DD" w:rsidRDefault="00BF0A28">
            <w:pPr>
              <w:jc w:val="right"/>
              <w:textAlignment w:val="bottom"/>
            </w:pPr>
            <w:r>
              <w:rPr>
                <w:rFonts w:ascii="Arial" w:eastAsia="宋体" w:hAnsi="Arial" w:cs="Arial"/>
                <w:b/>
                <w:bCs/>
                <w:color w:val="0068B5"/>
                <w:sz w:val="18"/>
                <w:szCs w:val="18"/>
              </w:rPr>
              <w:t>148,539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6F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F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6F4" w14:textId="77777777" w:rsidR="001B77DD" w:rsidRDefault="00BF0A28">
            <w:pPr>
              <w:jc w:val="right"/>
              <w:textAlignment w:val="bottom"/>
            </w:pPr>
            <w:r>
              <w:rPr>
                <w:rFonts w:ascii="Arial" w:eastAsia="宋体" w:hAnsi="Arial" w:cs="Arial"/>
                <w:b/>
                <w:bCs/>
                <w:color w:val="262626"/>
                <w:sz w:val="18"/>
                <w:szCs w:val="18"/>
              </w:rPr>
              <w:t>134,229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6F5" w14:textId="77777777" w:rsidR="001B77DD" w:rsidRDefault="001B77DD">
            <w:pPr>
              <w:jc w:val="right"/>
              <w:rPr>
                <w:rFonts w:ascii="宋体"/>
              </w:rPr>
            </w:pPr>
          </w:p>
        </w:tc>
      </w:tr>
      <w:tr w:rsidR="001B77DD" w14:paraId="675366FE" w14:textId="77777777">
        <w:tc>
          <w:tcPr>
            <w:tcW w:w="0" w:type="auto"/>
            <w:gridSpan w:val="3"/>
            <w:shd w:val="clear" w:color="auto" w:fill="auto"/>
            <w:tcMar>
              <w:top w:w="40" w:type="dxa"/>
              <w:left w:w="20" w:type="dxa"/>
              <w:bottom w:w="40" w:type="dxa"/>
              <w:right w:w="20" w:type="dxa"/>
            </w:tcMar>
            <w:vAlign w:val="bottom"/>
          </w:tcPr>
          <w:p w14:paraId="675366F7" w14:textId="77777777" w:rsidR="001B77DD" w:rsidRDefault="00BF0A28">
            <w:pPr>
              <w:textAlignment w:val="bottom"/>
            </w:pPr>
            <w:r>
              <w:rPr>
                <w:rFonts w:ascii="Arial" w:eastAsia="宋体" w:hAnsi="Arial" w:cs="Arial"/>
                <w:color w:val="262626"/>
                <w:sz w:val="18"/>
                <w:szCs w:val="18"/>
              </w:rPr>
              <w:t>Less: accumulated depreciation</w:t>
            </w:r>
          </w:p>
        </w:tc>
        <w:tc>
          <w:tcPr>
            <w:tcW w:w="0" w:type="auto"/>
            <w:gridSpan w:val="3"/>
            <w:shd w:val="clear" w:color="auto" w:fill="auto"/>
            <w:tcMar>
              <w:top w:w="0" w:type="dxa"/>
              <w:left w:w="20" w:type="dxa"/>
              <w:bottom w:w="0" w:type="dxa"/>
              <w:right w:w="20" w:type="dxa"/>
            </w:tcMar>
            <w:vAlign w:val="bottom"/>
          </w:tcPr>
          <w:p w14:paraId="675366F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F9" w14:textId="77777777" w:rsidR="001B77DD" w:rsidRDefault="00BF0A28">
            <w:pPr>
              <w:jc w:val="right"/>
              <w:textAlignment w:val="bottom"/>
            </w:pPr>
            <w:r>
              <w:rPr>
                <w:rFonts w:ascii="Arial" w:eastAsia="宋体" w:hAnsi="Arial" w:cs="Arial"/>
                <w:color w:val="0068B5"/>
                <w:sz w:val="18"/>
                <w:szCs w:val="18"/>
              </w:rPr>
              <w:t>(85,294)</w:t>
            </w:r>
          </w:p>
        </w:tc>
        <w:tc>
          <w:tcPr>
            <w:tcW w:w="0" w:type="auto"/>
            <w:shd w:val="clear" w:color="auto" w:fill="auto"/>
            <w:tcMar>
              <w:top w:w="40" w:type="dxa"/>
              <w:left w:w="0" w:type="dxa"/>
              <w:bottom w:w="40" w:type="dxa"/>
              <w:right w:w="20" w:type="dxa"/>
            </w:tcMar>
            <w:vAlign w:val="bottom"/>
          </w:tcPr>
          <w:p w14:paraId="675366F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6F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6FC" w14:textId="77777777" w:rsidR="001B77DD" w:rsidRDefault="00BF0A28">
            <w:pPr>
              <w:jc w:val="right"/>
              <w:textAlignment w:val="bottom"/>
            </w:pPr>
            <w:r>
              <w:rPr>
                <w:rFonts w:ascii="Arial" w:eastAsia="宋体" w:hAnsi="Arial" w:cs="Arial"/>
                <w:color w:val="262626"/>
                <w:sz w:val="18"/>
                <w:szCs w:val="18"/>
              </w:rPr>
              <w:t>(77,645)</w:t>
            </w:r>
          </w:p>
        </w:tc>
        <w:tc>
          <w:tcPr>
            <w:tcW w:w="0" w:type="auto"/>
            <w:shd w:val="clear" w:color="auto" w:fill="auto"/>
            <w:tcMar>
              <w:top w:w="40" w:type="dxa"/>
              <w:left w:w="0" w:type="dxa"/>
              <w:bottom w:w="40" w:type="dxa"/>
              <w:right w:w="20" w:type="dxa"/>
            </w:tcMar>
            <w:vAlign w:val="bottom"/>
          </w:tcPr>
          <w:p w14:paraId="675366FD" w14:textId="77777777" w:rsidR="001B77DD" w:rsidRDefault="001B77DD">
            <w:pPr>
              <w:jc w:val="right"/>
              <w:rPr>
                <w:rFonts w:ascii="宋体"/>
              </w:rPr>
            </w:pPr>
          </w:p>
        </w:tc>
      </w:tr>
      <w:tr w:rsidR="001B77DD" w14:paraId="67536708" w14:textId="77777777">
        <w:tc>
          <w:tcPr>
            <w:tcW w:w="0" w:type="auto"/>
            <w:gridSpan w:val="3"/>
            <w:shd w:val="clear" w:color="auto" w:fill="auto"/>
            <w:tcMar>
              <w:top w:w="40" w:type="dxa"/>
              <w:left w:w="20" w:type="dxa"/>
              <w:bottom w:w="40" w:type="dxa"/>
              <w:right w:w="20" w:type="dxa"/>
            </w:tcMar>
            <w:vAlign w:val="bottom"/>
          </w:tcPr>
          <w:p w14:paraId="675366FF" w14:textId="77777777" w:rsidR="001B77DD" w:rsidRDefault="00BF0A28">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67536700"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701"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702" w14:textId="77777777" w:rsidR="001B77DD" w:rsidRDefault="00BF0A28">
            <w:pPr>
              <w:jc w:val="right"/>
              <w:textAlignment w:val="bottom"/>
            </w:pPr>
            <w:r>
              <w:rPr>
                <w:rFonts w:ascii="Arial" w:eastAsia="宋体" w:hAnsi="Arial" w:cs="Arial"/>
                <w:b/>
                <w:bCs/>
                <w:color w:val="0068B5"/>
                <w:sz w:val="18"/>
                <w:szCs w:val="18"/>
              </w:rPr>
              <w:t>63,245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70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0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705"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706" w14:textId="77777777" w:rsidR="001B77DD" w:rsidRDefault="00BF0A28">
            <w:pPr>
              <w:jc w:val="right"/>
              <w:textAlignment w:val="bottom"/>
            </w:pPr>
            <w:r>
              <w:rPr>
                <w:rFonts w:ascii="Arial" w:eastAsia="宋体" w:hAnsi="Arial" w:cs="Arial"/>
                <w:b/>
                <w:bCs/>
                <w:color w:val="262626"/>
                <w:sz w:val="18"/>
                <w:szCs w:val="18"/>
              </w:rPr>
              <w:t>56,584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707" w14:textId="77777777" w:rsidR="001B77DD" w:rsidRDefault="001B77DD">
            <w:pPr>
              <w:jc w:val="right"/>
              <w:rPr>
                <w:rFonts w:ascii="宋体"/>
              </w:rPr>
            </w:pPr>
          </w:p>
        </w:tc>
      </w:tr>
    </w:tbl>
    <w:p w14:paraId="67536709" w14:textId="77777777" w:rsidR="001B77DD" w:rsidRDefault="00BF0A28">
      <w:pPr>
        <w:spacing w:before="80" w:after="180"/>
      </w:pPr>
      <w:r>
        <w:rPr>
          <w:rFonts w:ascii="Arial" w:eastAsia="宋体" w:hAnsi="Arial" w:cs="Arial"/>
          <w:color w:val="262626"/>
          <w:sz w:val="18"/>
          <w:szCs w:val="18"/>
        </w:rPr>
        <w:t>Our depreciable property, plant and equipment assets are depreciated over the following estimated useful lives: machinery and equipment, 2 to 5 years; and buildings, 10 to 25 years.</w:t>
      </w:r>
    </w:p>
    <w:p w14:paraId="6753670A" w14:textId="77777777" w:rsidR="001B77DD" w:rsidRDefault="00BF0A28">
      <w:pPr>
        <w:spacing w:after="120"/>
      </w:pPr>
      <w:r>
        <w:rPr>
          <w:rFonts w:ascii="Arial" w:eastAsia="宋体" w:hAnsi="Arial" w:cs="Arial"/>
          <w:color w:val="262626"/>
          <w:sz w:val="18"/>
          <w:szCs w:val="18"/>
        </w:rPr>
        <w:t xml:space="preserve">Net </w:t>
      </w:r>
      <w:r>
        <w:rPr>
          <w:rFonts w:ascii="Arial" w:eastAsia="宋体" w:hAnsi="Arial" w:cs="Arial"/>
          <w:color w:val="262626"/>
          <w:sz w:val="18"/>
          <w:szCs w:val="18"/>
        </w:rPr>
        <w:t>property, plant and equipment by country at the end of each period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051"/>
        <w:gridCol w:w="37"/>
        <w:gridCol w:w="36"/>
        <w:gridCol w:w="36"/>
        <w:gridCol w:w="36"/>
        <w:gridCol w:w="121"/>
        <w:gridCol w:w="804"/>
        <w:gridCol w:w="36"/>
        <w:gridCol w:w="36"/>
        <w:gridCol w:w="36"/>
        <w:gridCol w:w="36"/>
        <w:gridCol w:w="121"/>
        <w:gridCol w:w="804"/>
        <w:gridCol w:w="36"/>
        <w:gridCol w:w="36"/>
        <w:gridCol w:w="36"/>
      </w:tblGrid>
      <w:tr w:rsidR="001B77DD" w14:paraId="6753671C" w14:textId="77777777">
        <w:trPr>
          <w:jc w:val="center"/>
        </w:trPr>
        <w:tc>
          <w:tcPr>
            <w:tcW w:w="50" w:type="pct"/>
            <w:shd w:val="clear" w:color="auto" w:fill="auto"/>
            <w:vAlign w:val="bottom"/>
          </w:tcPr>
          <w:p w14:paraId="6753670B" w14:textId="77777777" w:rsidR="001B77DD" w:rsidRDefault="001B77DD">
            <w:pPr>
              <w:rPr>
                <w:rFonts w:ascii="宋体"/>
              </w:rPr>
            </w:pPr>
          </w:p>
        </w:tc>
        <w:tc>
          <w:tcPr>
            <w:tcW w:w="3688" w:type="pct"/>
            <w:shd w:val="clear" w:color="auto" w:fill="auto"/>
            <w:vAlign w:val="bottom"/>
          </w:tcPr>
          <w:p w14:paraId="6753670C" w14:textId="77777777" w:rsidR="001B77DD" w:rsidRDefault="001B77DD">
            <w:pPr>
              <w:rPr>
                <w:rFonts w:ascii="宋体"/>
              </w:rPr>
            </w:pPr>
          </w:p>
        </w:tc>
        <w:tc>
          <w:tcPr>
            <w:tcW w:w="5" w:type="pct"/>
            <w:shd w:val="clear" w:color="auto" w:fill="auto"/>
            <w:vAlign w:val="bottom"/>
          </w:tcPr>
          <w:p w14:paraId="6753670D" w14:textId="77777777" w:rsidR="001B77DD" w:rsidRDefault="001B77DD">
            <w:pPr>
              <w:rPr>
                <w:rFonts w:ascii="宋体"/>
              </w:rPr>
            </w:pPr>
          </w:p>
        </w:tc>
        <w:tc>
          <w:tcPr>
            <w:tcW w:w="5" w:type="pct"/>
            <w:shd w:val="clear" w:color="auto" w:fill="auto"/>
            <w:vAlign w:val="bottom"/>
          </w:tcPr>
          <w:p w14:paraId="6753670E" w14:textId="77777777" w:rsidR="001B77DD" w:rsidRDefault="001B77DD">
            <w:pPr>
              <w:rPr>
                <w:rFonts w:ascii="宋体"/>
              </w:rPr>
            </w:pPr>
          </w:p>
        </w:tc>
        <w:tc>
          <w:tcPr>
            <w:tcW w:w="24" w:type="pct"/>
            <w:shd w:val="clear" w:color="auto" w:fill="auto"/>
            <w:vAlign w:val="bottom"/>
          </w:tcPr>
          <w:p w14:paraId="6753670F" w14:textId="77777777" w:rsidR="001B77DD" w:rsidRDefault="001B77DD">
            <w:pPr>
              <w:rPr>
                <w:rFonts w:ascii="宋体"/>
              </w:rPr>
            </w:pPr>
          </w:p>
        </w:tc>
        <w:tc>
          <w:tcPr>
            <w:tcW w:w="5" w:type="pct"/>
            <w:shd w:val="clear" w:color="auto" w:fill="auto"/>
            <w:vAlign w:val="bottom"/>
          </w:tcPr>
          <w:p w14:paraId="67536710" w14:textId="77777777" w:rsidR="001B77DD" w:rsidRDefault="001B77DD">
            <w:pPr>
              <w:rPr>
                <w:rFonts w:ascii="宋体"/>
              </w:rPr>
            </w:pPr>
          </w:p>
        </w:tc>
        <w:tc>
          <w:tcPr>
            <w:tcW w:w="50" w:type="pct"/>
            <w:shd w:val="clear" w:color="auto" w:fill="auto"/>
            <w:vAlign w:val="bottom"/>
          </w:tcPr>
          <w:p w14:paraId="67536711" w14:textId="77777777" w:rsidR="001B77DD" w:rsidRDefault="001B77DD">
            <w:pPr>
              <w:rPr>
                <w:rFonts w:ascii="宋体"/>
              </w:rPr>
            </w:pPr>
          </w:p>
        </w:tc>
        <w:tc>
          <w:tcPr>
            <w:tcW w:w="539" w:type="pct"/>
            <w:shd w:val="clear" w:color="auto" w:fill="auto"/>
            <w:vAlign w:val="bottom"/>
          </w:tcPr>
          <w:p w14:paraId="67536712" w14:textId="77777777" w:rsidR="001B77DD" w:rsidRDefault="001B77DD">
            <w:pPr>
              <w:rPr>
                <w:rFonts w:ascii="宋体"/>
              </w:rPr>
            </w:pPr>
          </w:p>
        </w:tc>
        <w:tc>
          <w:tcPr>
            <w:tcW w:w="5" w:type="pct"/>
            <w:shd w:val="clear" w:color="auto" w:fill="auto"/>
            <w:vAlign w:val="bottom"/>
          </w:tcPr>
          <w:p w14:paraId="67536713" w14:textId="77777777" w:rsidR="001B77DD" w:rsidRDefault="001B77DD">
            <w:pPr>
              <w:rPr>
                <w:rFonts w:ascii="宋体"/>
              </w:rPr>
            </w:pPr>
          </w:p>
        </w:tc>
        <w:tc>
          <w:tcPr>
            <w:tcW w:w="5" w:type="pct"/>
            <w:shd w:val="clear" w:color="auto" w:fill="auto"/>
            <w:vAlign w:val="bottom"/>
          </w:tcPr>
          <w:p w14:paraId="67536714" w14:textId="77777777" w:rsidR="001B77DD" w:rsidRDefault="001B77DD">
            <w:pPr>
              <w:rPr>
                <w:rFonts w:ascii="宋体"/>
              </w:rPr>
            </w:pPr>
          </w:p>
        </w:tc>
        <w:tc>
          <w:tcPr>
            <w:tcW w:w="24" w:type="pct"/>
            <w:shd w:val="clear" w:color="auto" w:fill="auto"/>
            <w:vAlign w:val="bottom"/>
          </w:tcPr>
          <w:p w14:paraId="67536715" w14:textId="77777777" w:rsidR="001B77DD" w:rsidRDefault="001B77DD">
            <w:pPr>
              <w:rPr>
                <w:rFonts w:ascii="宋体"/>
              </w:rPr>
            </w:pPr>
          </w:p>
        </w:tc>
        <w:tc>
          <w:tcPr>
            <w:tcW w:w="5" w:type="pct"/>
            <w:shd w:val="clear" w:color="auto" w:fill="auto"/>
            <w:vAlign w:val="bottom"/>
          </w:tcPr>
          <w:p w14:paraId="67536716" w14:textId="77777777" w:rsidR="001B77DD" w:rsidRDefault="001B77DD">
            <w:pPr>
              <w:rPr>
                <w:rFonts w:ascii="宋体"/>
              </w:rPr>
            </w:pPr>
          </w:p>
        </w:tc>
        <w:tc>
          <w:tcPr>
            <w:tcW w:w="50" w:type="pct"/>
            <w:shd w:val="clear" w:color="auto" w:fill="auto"/>
            <w:vAlign w:val="bottom"/>
          </w:tcPr>
          <w:p w14:paraId="67536717" w14:textId="77777777" w:rsidR="001B77DD" w:rsidRDefault="001B77DD">
            <w:pPr>
              <w:rPr>
                <w:rFonts w:ascii="宋体"/>
              </w:rPr>
            </w:pPr>
          </w:p>
        </w:tc>
        <w:tc>
          <w:tcPr>
            <w:tcW w:w="539" w:type="pct"/>
            <w:shd w:val="clear" w:color="auto" w:fill="auto"/>
            <w:vAlign w:val="bottom"/>
          </w:tcPr>
          <w:p w14:paraId="67536718" w14:textId="77777777" w:rsidR="001B77DD" w:rsidRDefault="001B77DD">
            <w:pPr>
              <w:rPr>
                <w:rFonts w:ascii="宋体"/>
              </w:rPr>
            </w:pPr>
          </w:p>
        </w:tc>
        <w:tc>
          <w:tcPr>
            <w:tcW w:w="5" w:type="pct"/>
            <w:shd w:val="clear" w:color="auto" w:fill="auto"/>
            <w:vAlign w:val="bottom"/>
          </w:tcPr>
          <w:p w14:paraId="67536719" w14:textId="77777777" w:rsidR="001B77DD" w:rsidRDefault="001B77DD">
            <w:pPr>
              <w:rPr>
                <w:rFonts w:ascii="宋体"/>
              </w:rPr>
            </w:pPr>
          </w:p>
        </w:tc>
        <w:tc>
          <w:tcPr>
            <w:tcW w:w="0" w:type="auto"/>
            <w:shd w:val="clear" w:color="auto" w:fill="auto"/>
            <w:vAlign w:val="bottom"/>
          </w:tcPr>
          <w:p w14:paraId="6753671A" w14:textId="77777777" w:rsidR="001B77DD" w:rsidRDefault="001B77DD">
            <w:pPr>
              <w:rPr>
                <w:rFonts w:ascii="宋体"/>
                <w:vanish/>
              </w:rPr>
            </w:pPr>
          </w:p>
        </w:tc>
        <w:tc>
          <w:tcPr>
            <w:tcW w:w="0" w:type="auto"/>
            <w:shd w:val="clear" w:color="auto" w:fill="auto"/>
            <w:vAlign w:val="bottom"/>
          </w:tcPr>
          <w:p w14:paraId="6753671B" w14:textId="77777777" w:rsidR="001B77DD" w:rsidRDefault="001B77DD">
            <w:pPr>
              <w:rPr>
                <w:rFonts w:ascii="宋体"/>
                <w:vanish/>
              </w:rPr>
            </w:pPr>
          </w:p>
        </w:tc>
      </w:tr>
      <w:tr w:rsidR="001B77DD" w14:paraId="67536724" w14:textId="77777777">
        <w:trPr>
          <w:jc w:val="center"/>
        </w:trPr>
        <w:tc>
          <w:tcPr>
            <w:tcW w:w="0" w:type="auto"/>
            <w:gridSpan w:val="3"/>
            <w:shd w:val="clear" w:color="auto" w:fill="auto"/>
            <w:tcMar>
              <w:top w:w="40" w:type="dxa"/>
              <w:left w:w="20" w:type="dxa"/>
              <w:bottom w:w="40" w:type="dxa"/>
              <w:right w:w="20" w:type="dxa"/>
            </w:tcMar>
            <w:vAlign w:val="bottom"/>
          </w:tcPr>
          <w:p w14:paraId="6753671D"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71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71F"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72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721"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67536722" w14:textId="77777777" w:rsidR="001B77DD" w:rsidRDefault="001B77DD">
            <w:pPr>
              <w:rPr>
                <w:rFonts w:ascii="宋体"/>
                <w:vanish/>
              </w:rPr>
            </w:pPr>
          </w:p>
        </w:tc>
        <w:tc>
          <w:tcPr>
            <w:tcW w:w="0" w:type="auto"/>
            <w:shd w:val="clear" w:color="auto" w:fill="auto"/>
            <w:vAlign w:val="bottom"/>
          </w:tcPr>
          <w:p w14:paraId="67536723" w14:textId="77777777" w:rsidR="001B77DD" w:rsidRDefault="001B77DD">
            <w:pPr>
              <w:rPr>
                <w:rFonts w:ascii="宋体"/>
                <w:vanish/>
              </w:rPr>
            </w:pPr>
          </w:p>
        </w:tc>
      </w:tr>
      <w:tr w:rsidR="001B77DD" w14:paraId="67536730"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725" w14:textId="77777777" w:rsidR="001B77DD" w:rsidRDefault="00BF0A28">
            <w:pPr>
              <w:textAlignment w:val="bottom"/>
            </w:pPr>
            <w:r>
              <w:rPr>
                <w:rFonts w:ascii="Arial" w:eastAsia="宋体" w:hAnsi="Arial" w:cs="Arial"/>
                <w:color w:val="262626"/>
                <w:sz w:val="18"/>
                <w:szCs w:val="18"/>
              </w:rPr>
              <w:t>United States</w:t>
            </w:r>
          </w:p>
        </w:tc>
        <w:tc>
          <w:tcPr>
            <w:tcW w:w="0" w:type="auto"/>
            <w:gridSpan w:val="3"/>
            <w:shd w:val="clear" w:color="auto" w:fill="auto"/>
            <w:tcMar>
              <w:top w:w="0" w:type="dxa"/>
              <w:left w:w="20" w:type="dxa"/>
              <w:bottom w:w="0" w:type="dxa"/>
              <w:right w:w="20" w:type="dxa"/>
            </w:tcMar>
            <w:vAlign w:val="bottom"/>
          </w:tcPr>
          <w:p w14:paraId="6753672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727"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728" w14:textId="77777777" w:rsidR="001B77DD" w:rsidRDefault="00BF0A28">
            <w:pPr>
              <w:jc w:val="right"/>
              <w:textAlignment w:val="bottom"/>
            </w:pPr>
            <w:r>
              <w:rPr>
                <w:rFonts w:ascii="Arial" w:eastAsia="宋体" w:hAnsi="Arial" w:cs="Arial"/>
                <w:color w:val="0068B5"/>
                <w:sz w:val="18"/>
                <w:szCs w:val="18"/>
              </w:rPr>
              <w:t>43,428 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72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2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72B"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72C" w14:textId="77777777" w:rsidR="001B77DD" w:rsidRDefault="00BF0A28">
            <w:pPr>
              <w:jc w:val="right"/>
              <w:textAlignment w:val="bottom"/>
            </w:pPr>
            <w:r>
              <w:rPr>
                <w:rFonts w:ascii="Arial" w:eastAsia="宋体" w:hAnsi="Arial" w:cs="Arial"/>
                <w:color w:val="262626"/>
                <w:sz w:val="18"/>
                <w:szCs w:val="18"/>
              </w:rPr>
              <w:t>38,829 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72D" w14:textId="77777777" w:rsidR="001B77DD" w:rsidRDefault="001B77DD">
            <w:pPr>
              <w:jc w:val="right"/>
              <w:rPr>
                <w:rFonts w:ascii="宋体"/>
              </w:rPr>
            </w:pPr>
          </w:p>
        </w:tc>
        <w:tc>
          <w:tcPr>
            <w:tcW w:w="0" w:type="auto"/>
            <w:shd w:val="clear" w:color="auto" w:fill="auto"/>
            <w:vAlign w:val="bottom"/>
          </w:tcPr>
          <w:p w14:paraId="6753672E" w14:textId="77777777" w:rsidR="001B77DD" w:rsidRDefault="001B77DD">
            <w:pPr>
              <w:rPr>
                <w:rFonts w:ascii="宋体"/>
                <w:vanish/>
              </w:rPr>
            </w:pPr>
          </w:p>
        </w:tc>
        <w:tc>
          <w:tcPr>
            <w:tcW w:w="0" w:type="auto"/>
            <w:shd w:val="clear" w:color="auto" w:fill="auto"/>
            <w:vAlign w:val="bottom"/>
          </w:tcPr>
          <w:p w14:paraId="6753672F" w14:textId="77777777" w:rsidR="001B77DD" w:rsidRDefault="001B77DD">
            <w:pPr>
              <w:rPr>
                <w:rFonts w:ascii="宋体"/>
                <w:vanish/>
              </w:rPr>
            </w:pPr>
          </w:p>
        </w:tc>
      </w:tr>
      <w:tr w:rsidR="001B77DD" w14:paraId="6753673A" w14:textId="77777777">
        <w:trPr>
          <w:jc w:val="center"/>
        </w:trPr>
        <w:tc>
          <w:tcPr>
            <w:tcW w:w="0" w:type="auto"/>
            <w:gridSpan w:val="3"/>
            <w:shd w:val="clear" w:color="auto" w:fill="auto"/>
            <w:tcMar>
              <w:top w:w="40" w:type="dxa"/>
              <w:left w:w="20" w:type="dxa"/>
              <w:bottom w:w="40" w:type="dxa"/>
              <w:right w:w="20" w:type="dxa"/>
            </w:tcMar>
            <w:vAlign w:val="bottom"/>
          </w:tcPr>
          <w:p w14:paraId="67536731" w14:textId="77777777" w:rsidR="001B77DD" w:rsidRDefault="00BF0A28">
            <w:pPr>
              <w:textAlignment w:val="bottom"/>
            </w:pPr>
            <w:r>
              <w:rPr>
                <w:rFonts w:ascii="Arial" w:eastAsia="宋体" w:hAnsi="Arial" w:cs="Arial"/>
                <w:color w:val="262626"/>
                <w:sz w:val="18"/>
                <w:szCs w:val="18"/>
              </w:rPr>
              <w:t>Israel</w:t>
            </w:r>
          </w:p>
        </w:tc>
        <w:tc>
          <w:tcPr>
            <w:tcW w:w="0" w:type="auto"/>
            <w:gridSpan w:val="3"/>
            <w:shd w:val="clear" w:color="auto" w:fill="auto"/>
            <w:tcMar>
              <w:top w:w="0" w:type="dxa"/>
              <w:left w:w="20" w:type="dxa"/>
              <w:bottom w:w="0" w:type="dxa"/>
              <w:right w:w="20" w:type="dxa"/>
            </w:tcMar>
            <w:vAlign w:val="bottom"/>
          </w:tcPr>
          <w:p w14:paraId="6753673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33" w14:textId="77777777" w:rsidR="001B77DD" w:rsidRDefault="00BF0A28">
            <w:pPr>
              <w:jc w:val="right"/>
              <w:textAlignment w:val="bottom"/>
            </w:pPr>
            <w:r>
              <w:rPr>
                <w:rFonts w:ascii="Arial" w:eastAsia="宋体" w:hAnsi="Arial" w:cs="Arial"/>
                <w:color w:val="0068B5"/>
                <w:sz w:val="18"/>
                <w:szCs w:val="18"/>
              </w:rPr>
              <w:t>7,754 </w:t>
            </w:r>
          </w:p>
        </w:tc>
        <w:tc>
          <w:tcPr>
            <w:tcW w:w="0" w:type="auto"/>
            <w:shd w:val="clear" w:color="auto" w:fill="auto"/>
            <w:tcMar>
              <w:top w:w="40" w:type="dxa"/>
              <w:left w:w="0" w:type="dxa"/>
              <w:bottom w:w="40" w:type="dxa"/>
              <w:right w:w="20" w:type="dxa"/>
            </w:tcMar>
            <w:vAlign w:val="bottom"/>
          </w:tcPr>
          <w:p w14:paraId="6753673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3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36" w14:textId="77777777" w:rsidR="001B77DD" w:rsidRDefault="00BF0A28">
            <w:pPr>
              <w:jc w:val="right"/>
              <w:textAlignment w:val="bottom"/>
            </w:pPr>
            <w:r>
              <w:rPr>
                <w:rFonts w:ascii="Arial" w:eastAsia="宋体" w:hAnsi="Arial" w:cs="Arial"/>
                <w:color w:val="262626"/>
                <w:sz w:val="18"/>
                <w:szCs w:val="18"/>
              </w:rPr>
              <w:t>7,837 </w:t>
            </w:r>
          </w:p>
        </w:tc>
        <w:tc>
          <w:tcPr>
            <w:tcW w:w="0" w:type="auto"/>
            <w:shd w:val="clear" w:color="auto" w:fill="auto"/>
            <w:tcMar>
              <w:top w:w="40" w:type="dxa"/>
              <w:left w:w="0" w:type="dxa"/>
              <w:bottom w:w="40" w:type="dxa"/>
              <w:right w:w="20" w:type="dxa"/>
            </w:tcMar>
            <w:vAlign w:val="bottom"/>
          </w:tcPr>
          <w:p w14:paraId="67536737" w14:textId="77777777" w:rsidR="001B77DD" w:rsidRDefault="001B77DD">
            <w:pPr>
              <w:jc w:val="right"/>
              <w:rPr>
                <w:rFonts w:ascii="宋体"/>
              </w:rPr>
            </w:pPr>
          </w:p>
        </w:tc>
        <w:tc>
          <w:tcPr>
            <w:tcW w:w="0" w:type="auto"/>
            <w:shd w:val="clear" w:color="auto" w:fill="auto"/>
            <w:vAlign w:val="bottom"/>
          </w:tcPr>
          <w:p w14:paraId="67536738" w14:textId="77777777" w:rsidR="001B77DD" w:rsidRDefault="001B77DD">
            <w:pPr>
              <w:rPr>
                <w:rFonts w:ascii="宋体"/>
                <w:vanish/>
              </w:rPr>
            </w:pPr>
          </w:p>
        </w:tc>
        <w:tc>
          <w:tcPr>
            <w:tcW w:w="0" w:type="auto"/>
            <w:shd w:val="clear" w:color="auto" w:fill="auto"/>
            <w:vAlign w:val="bottom"/>
          </w:tcPr>
          <w:p w14:paraId="67536739" w14:textId="77777777" w:rsidR="001B77DD" w:rsidRDefault="001B77DD">
            <w:pPr>
              <w:rPr>
                <w:rFonts w:ascii="宋体"/>
                <w:vanish/>
              </w:rPr>
            </w:pPr>
          </w:p>
        </w:tc>
      </w:tr>
      <w:tr w:rsidR="001B77DD" w14:paraId="67536744" w14:textId="77777777">
        <w:trPr>
          <w:jc w:val="center"/>
        </w:trPr>
        <w:tc>
          <w:tcPr>
            <w:tcW w:w="0" w:type="auto"/>
            <w:gridSpan w:val="3"/>
            <w:shd w:val="clear" w:color="auto" w:fill="auto"/>
            <w:tcMar>
              <w:top w:w="40" w:type="dxa"/>
              <w:left w:w="20" w:type="dxa"/>
              <w:bottom w:w="40" w:type="dxa"/>
              <w:right w:w="20" w:type="dxa"/>
            </w:tcMar>
            <w:vAlign w:val="bottom"/>
          </w:tcPr>
          <w:p w14:paraId="6753673B" w14:textId="77777777" w:rsidR="001B77DD" w:rsidRDefault="00BF0A28">
            <w:pPr>
              <w:textAlignment w:val="bottom"/>
            </w:pPr>
            <w:r>
              <w:rPr>
                <w:rFonts w:ascii="Arial" w:eastAsia="宋体" w:hAnsi="Arial" w:cs="Arial"/>
                <w:color w:val="262626"/>
                <w:sz w:val="18"/>
                <w:szCs w:val="18"/>
              </w:rPr>
              <w:t>Ireland</w:t>
            </w:r>
          </w:p>
        </w:tc>
        <w:tc>
          <w:tcPr>
            <w:tcW w:w="0" w:type="auto"/>
            <w:gridSpan w:val="3"/>
            <w:shd w:val="clear" w:color="auto" w:fill="auto"/>
            <w:tcMar>
              <w:top w:w="0" w:type="dxa"/>
              <w:left w:w="20" w:type="dxa"/>
              <w:bottom w:w="0" w:type="dxa"/>
              <w:right w:w="20" w:type="dxa"/>
            </w:tcMar>
            <w:vAlign w:val="bottom"/>
          </w:tcPr>
          <w:p w14:paraId="6753673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3D" w14:textId="77777777" w:rsidR="001B77DD" w:rsidRDefault="00BF0A28">
            <w:pPr>
              <w:jc w:val="right"/>
              <w:textAlignment w:val="bottom"/>
            </w:pPr>
            <w:r>
              <w:rPr>
                <w:rFonts w:ascii="Arial" w:eastAsia="宋体" w:hAnsi="Arial" w:cs="Arial"/>
                <w:color w:val="0068B5"/>
                <w:sz w:val="18"/>
                <w:szCs w:val="18"/>
              </w:rPr>
              <w:t>7,503 </w:t>
            </w:r>
          </w:p>
        </w:tc>
        <w:tc>
          <w:tcPr>
            <w:tcW w:w="0" w:type="auto"/>
            <w:shd w:val="clear" w:color="auto" w:fill="auto"/>
            <w:tcMar>
              <w:top w:w="40" w:type="dxa"/>
              <w:left w:w="0" w:type="dxa"/>
              <w:bottom w:w="40" w:type="dxa"/>
              <w:right w:w="20" w:type="dxa"/>
            </w:tcMar>
            <w:vAlign w:val="bottom"/>
          </w:tcPr>
          <w:p w14:paraId="675367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3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40" w14:textId="77777777" w:rsidR="001B77DD" w:rsidRDefault="00BF0A28">
            <w:pPr>
              <w:jc w:val="right"/>
              <w:textAlignment w:val="bottom"/>
            </w:pPr>
            <w:r>
              <w:rPr>
                <w:rFonts w:ascii="Arial" w:eastAsia="宋体" w:hAnsi="Arial" w:cs="Arial"/>
                <w:color w:val="262626"/>
                <w:sz w:val="18"/>
                <w:szCs w:val="18"/>
              </w:rPr>
              <w:t>5,828 </w:t>
            </w:r>
          </w:p>
        </w:tc>
        <w:tc>
          <w:tcPr>
            <w:tcW w:w="0" w:type="auto"/>
            <w:shd w:val="clear" w:color="auto" w:fill="auto"/>
            <w:tcMar>
              <w:top w:w="40" w:type="dxa"/>
              <w:left w:w="0" w:type="dxa"/>
              <w:bottom w:w="40" w:type="dxa"/>
              <w:right w:w="20" w:type="dxa"/>
            </w:tcMar>
            <w:vAlign w:val="bottom"/>
          </w:tcPr>
          <w:p w14:paraId="67536741" w14:textId="77777777" w:rsidR="001B77DD" w:rsidRDefault="001B77DD">
            <w:pPr>
              <w:jc w:val="right"/>
              <w:rPr>
                <w:rFonts w:ascii="宋体"/>
              </w:rPr>
            </w:pPr>
          </w:p>
        </w:tc>
        <w:tc>
          <w:tcPr>
            <w:tcW w:w="0" w:type="auto"/>
            <w:shd w:val="clear" w:color="auto" w:fill="auto"/>
            <w:vAlign w:val="bottom"/>
          </w:tcPr>
          <w:p w14:paraId="67536742" w14:textId="77777777" w:rsidR="001B77DD" w:rsidRDefault="001B77DD">
            <w:pPr>
              <w:rPr>
                <w:rFonts w:ascii="宋体"/>
                <w:vanish/>
              </w:rPr>
            </w:pPr>
          </w:p>
        </w:tc>
        <w:tc>
          <w:tcPr>
            <w:tcW w:w="0" w:type="auto"/>
            <w:shd w:val="clear" w:color="auto" w:fill="auto"/>
            <w:vAlign w:val="bottom"/>
          </w:tcPr>
          <w:p w14:paraId="67536743" w14:textId="77777777" w:rsidR="001B77DD" w:rsidRDefault="001B77DD">
            <w:pPr>
              <w:rPr>
                <w:rFonts w:ascii="宋体"/>
                <w:vanish/>
              </w:rPr>
            </w:pPr>
          </w:p>
        </w:tc>
      </w:tr>
      <w:tr w:rsidR="001B77DD" w14:paraId="6753674C" w14:textId="77777777">
        <w:trPr>
          <w:jc w:val="center"/>
          <w:hidden/>
        </w:trPr>
        <w:tc>
          <w:tcPr>
            <w:tcW w:w="0" w:type="auto"/>
            <w:gridSpan w:val="3"/>
            <w:shd w:val="clear" w:color="auto" w:fill="auto"/>
            <w:vAlign w:val="bottom"/>
          </w:tcPr>
          <w:p w14:paraId="67536745" w14:textId="77777777" w:rsidR="001B77DD" w:rsidRDefault="001B77DD">
            <w:pPr>
              <w:rPr>
                <w:rFonts w:ascii="宋体"/>
                <w:vanish/>
              </w:rPr>
            </w:pPr>
          </w:p>
        </w:tc>
        <w:tc>
          <w:tcPr>
            <w:tcW w:w="0" w:type="auto"/>
            <w:gridSpan w:val="3"/>
            <w:shd w:val="clear" w:color="auto" w:fill="auto"/>
            <w:vAlign w:val="bottom"/>
          </w:tcPr>
          <w:p w14:paraId="67536746" w14:textId="77777777" w:rsidR="001B77DD" w:rsidRDefault="001B77DD">
            <w:pPr>
              <w:rPr>
                <w:rFonts w:ascii="宋体"/>
                <w:vanish/>
              </w:rPr>
            </w:pPr>
          </w:p>
        </w:tc>
        <w:tc>
          <w:tcPr>
            <w:tcW w:w="0" w:type="auto"/>
            <w:gridSpan w:val="3"/>
            <w:shd w:val="clear" w:color="auto" w:fill="auto"/>
            <w:vAlign w:val="bottom"/>
          </w:tcPr>
          <w:p w14:paraId="67536747" w14:textId="77777777" w:rsidR="001B77DD" w:rsidRDefault="001B77DD">
            <w:pPr>
              <w:rPr>
                <w:rFonts w:ascii="宋体"/>
                <w:vanish/>
              </w:rPr>
            </w:pPr>
          </w:p>
        </w:tc>
        <w:tc>
          <w:tcPr>
            <w:tcW w:w="0" w:type="auto"/>
            <w:gridSpan w:val="3"/>
            <w:shd w:val="clear" w:color="auto" w:fill="auto"/>
            <w:vAlign w:val="bottom"/>
          </w:tcPr>
          <w:p w14:paraId="67536748" w14:textId="77777777" w:rsidR="001B77DD" w:rsidRDefault="001B77DD">
            <w:pPr>
              <w:rPr>
                <w:rFonts w:ascii="宋体"/>
                <w:vanish/>
              </w:rPr>
            </w:pPr>
          </w:p>
        </w:tc>
        <w:tc>
          <w:tcPr>
            <w:tcW w:w="0" w:type="auto"/>
            <w:gridSpan w:val="3"/>
            <w:shd w:val="clear" w:color="auto" w:fill="auto"/>
            <w:vAlign w:val="bottom"/>
          </w:tcPr>
          <w:p w14:paraId="67536749" w14:textId="77777777" w:rsidR="001B77DD" w:rsidRDefault="001B77DD">
            <w:pPr>
              <w:rPr>
                <w:rFonts w:ascii="宋体"/>
                <w:vanish/>
              </w:rPr>
            </w:pPr>
          </w:p>
        </w:tc>
        <w:tc>
          <w:tcPr>
            <w:tcW w:w="0" w:type="auto"/>
            <w:shd w:val="clear" w:color="auto" w:fill="auto"/>
            <w:vAlign w:val="bottom"/>
          </w:tcPr>
          <w:p w14:paraId="6753674A" w14:textId="77777777" w:rsidR="001B77DD" w:rsidRDefault="001B77DD">
            <w:pPr>
              <w:rPr>
                <w:rFonts w:ascii="宋体"/>
                <w:vanish/>
              </w:rPr>
            </w:pPr>
          </w:p>
        </w:tc>
        <w:tc>
          <w:tcPr>
            <w:tcW w:w="0" w:type="auto"/>
            <w:shd w:val="clear" w:color="auto" w:fill="auto"/>
            <w:vAlign w:val="bottom"/>
          </w:tcPr>
          <w:p w14:paraId="6753674B" w14:textId="77777777" w:rsidR="001B77DD" w:rsidRDefault="001B77DD">
            <w:pPr>
              <w:rPr>
                <w:rFonts w:ascii="宋体"/>
                <w:vanish/>
              </w:rPr>
            </w:pPr>
          </w:p>
        </w:tc>
      </w:tr>
      <w:tr w:rsidR="001B77DD" w14:paraId="67536756" w14:textId="77777777">
        <w:trPr>
          <w:jc w:val="center"/>
        </w:trPr>
        <w:tc>
          <w:tcPr>
            <w:tcW w:w="0" w:type="auto"/>
            <w:gridSpan w:val="3"/>
            <w:shd w:val="clear" w:color="auto" w:fill="auto"/>
            <w:tcMar>
              <w:top w:w="40" w:type="dxa"/>
              <w:left w:w="20" w:type="dxa"/>
              <w:bottom w:w="40" w:type="dxa"/>
              <w:right w:w="20" w:type="dxa"/>
            </w:tcMar>
            <w:vAlign w:val="bottom"/>
          </w:tcPr>
          <w:p w14:paraId="6753674D" w14:textId="77777777" w:rsidR="001B77DD" w:rsidRDefault="00BF0A28">
            <w:pPr>
              <w:textAlignment w:val="bottom"/>
            </w:pPr>
            <w:r>
              <w:rPr>
                <w:rFonts w:ascii="Arial" w:eastAsia="宋体" w:hAnsi="Arial" w:cs="Arial"/>
                <w:color w:val="262626"/>
                <w:sz w:val="18"/>
                <w:szCs w:val="18"/>
              </w:rPr>
              <w:t>Other countries</w:t>
            </w:r>
          </w:p>
        </w:tc>
        <w:tc>
          <w:tcPr>
            <w:tcW w:w="0" w:type="auto"/>
            <w:gridSpan w:val="3"/>
            <w:shd w:val="clear" w:color="auto" w:fill="auto"/>
            <w:tcMar>
              <w:top w:w="0" w:type="dxa"/>
              <w:left w:w="20" w:type="dxa"/>
              <w:bottom w:w="0" w:type="dxa"/>
              <w:right w:w="20" w:type="dxa"/>
            </w:tcMar>
            <w:vAlign w:val="bottom"/>
          </w:tcPr>
          <w:p w14:paraId="6753674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4F" w14:textId="77777777" w:rsidR="001B77DD" w:rsidRDefault="00BF0A28">
            <w:pPr>
              <w:jc w:val="right"/>
              <w:textAlignment w:val="bottom"/>
            </w:pPr>
            <w:r>
              <w:rPr>
                <w:rFonts w:ascii="Arial" w:eastAsia="宋体" w:hAnsi="Arial" w:cs="Arial"/>
                <w:color w:val="0068B5"/>
                <w:sz w:val="18"/>
                <w:szCs w:val="18"/>
              </w:rPr>
              <w:t>4,560 </w:t>
            </w:r>
          </w:p>
        </w:tc>
        <w:tc>
          <w:tcPr>
            <w:tcW w:w="0" w:type="auto"/>
            <w:shd w:val="clear" w:color="auto" w:fill="auto"/>
            <w:tcMar>
              <w:top w:w="40" w:type="dxa"/>
              <w:left w:w="0" w:type="dxa"/>
              <w:bottom w:w="40" w:type="dxa"/>
              <w:right w:w="20" w:type="dxa"/>
            </w:tcMar>
            <w:vAlign w:val="bottom"/>
          </w:tcPr>
          <w:p w14:paraId="6753675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5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52" w14:textId="77777777" w:rsidR="001B77DD" w:rsidRDefault="00BF0A28">
            <w:pPr>
              <w:jc w:val="right"/>
              <w:textAlignment w:val="bottom"/>
            </w:pPr>
            <w:r>
              <w:rPr>
                <w:rFonts w:ascii="Arial" w:eastAsia="宋体" w:hAnsi="Arial" w:cs="Arial"/>
                <w:color w:val="262626"/>
                <w:sz w:val="18"/>
                <w:szCs w:val="18"/>
              </w:rPr>
              <w:t>4,090 </w:t>
            </w:r>
          </w:p>
        </w:tc>
        <w:tc>
          <w:tcPr>
            <w:tcW w:w="0" w:type="auto"/>
            <w:shd w:val="clear" w:color="auto" w:fill="auto"/>
            <w:tcMar>
              <w:top w:w="40" w:type="dxa"/>
              <w:left w:w="0" w:type="dxa"/>
              <w:bottom w:w="40" w:type="dxa"/>
              <w:right w:w="20" w:type="dxa"/>
            </w:tcMar>
            <w:vAlign w:val="bottom"/>
          </w:tcPr>
          <w:p w14:paraId="67536753" w14:textId="77777777" w:rsidR="001B77DD" w:rsidRDefault="001B77DD">
            <w:pPr>
              <w:jc w:val="right"/>
              <w:rPr>
                <w:rFonts w:ascii="宋体"/>
              </w:rPr>
            </w:pPr>
          </w:p>
        </w:tc>
        <w:tc>
          <w:tcPr>
            <w:tcW w:w="0" w:type="auto"/>
            <w:shd w:val="clear" w:color="auto" w:fill="auto"/>
            <w:vAlign w:val="bottom"/>
          </w:tcPr>
          <w:p w14:paraId="67536754" w14:textId="77777777" w:rsidR="001B77DD" w:rsidRDefault="001B77DD">
            <w:pPr>
              <w:rPr>
                <w:rFonts w:ascii="宋体"/>
                <w:vanish/>
              </w:rPr>
            </w:pPr>
          </w:p>
        </w:tc>
        <w:tc>
          <w:tcPr>
            <w:tcW w:w="0" w:type="auto"/>
            <w:shd w:val="clear" w:color="auto" w:fill="auto"/>
            <w:vAlign w:val="bottom"/>
          </w:tcPr>
          <w:p w14:paraId="67536755" w14:textId="77777777" w:rsidR="001B77DD" w:rsidRDefault="001B77DD">
            <w:pPr>
              <w:rPr>
                <w:rFonts w:ascii="宋体"/>
                <w:vanish/>
              </w:rPr>
            </w:pPr>
          </w:p>
        </w:tc>
      </w:tr>
      <w:tr w:rsidR="001B77DD" w14:paraId="67536762" w14:textId="77777777">
        <w:trPr>
          <w:jc w:val="center"/>
        </w:trPr>
        <w:tc>
          <w:tcPr>
            <w:tcW w:w="0" w:type="auto"/>
            <w:gridSpan w:val="3"/>
            <w:shd w:val="clear" w:color="auto" w:fill="auto"/>
            <w:tcMar>
              <w:top w:w="40" w:type="dxa"/>
              <w:left w:w="20" w:type="dxa"/>
              <w:bottom w:w="40" w:type="dxa"/>
              <w:right w:w="20" w:type="dxa"/>
            </w:tcMar>
            <w:vAlign w:val="bottom"/>
          </w:tcPr>
          <w:p w14:paraId="67536757" w14:textId="77777777" w:rsidR="001B77DD" w:rsidRDefault="00BF0A28">
            <w:pPr>
              <w:textAlignment w:val="bottom"/>
            </w:pPr>
            <w:r>
              <w:rPr>
                <w:rFonts w:ascii="Arial" w:eastAsia="宋体" w:hAnsi="Arial" w:cs="Arial"/>
                <w:b/>
                <w:bCs/>
                <w:color w:val="262626"/>
                <w:sz w:val="18"/>
                <w:szCs w:val="18"/>
              </w:rPr>
              <w:t>Total property, plant and equipment, net</w:t>
            </w:r>
          </w:p>
        </w:tc>
        <w:tc>
          <w:tcPr>
            <w:tcW w:w="0" w:type="auto"/>
            <w:gridSpan w:val="3"/>
            <w:shd w:val="clear" w:color="auto" w:fill="auto"/>
            <w:tcMar>
              <w:top w:w="0" w:type="dxa"/>
              <w:left w:w="20" w:type="dxa"/>
              <w:bottom w:w="0" w:type="dxa"/>
              <w:right w:w="20" w:type="dxa"/>
            </w:tcMar>
            <w:vAlign w:val="bottom"/>
          </w:tcPr>
          <w:p w14:paraId="6753675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759"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75A" w14:textId="77777777" w:rsidR="001B77DD" w:rsidRDefault="00BF0A28">
            <w:pPr>
              <w:jc w:val="right"/>
              <w:textAlignment w:val="bottom"/>
            </w:pPr>
            <w:r>
              <w:rPr>
                <w:rFonts w:ascii="Arial" w:eastAsia="宋体" w:hAnsi="Arial" w:cs="Arial"/>
                <w:b/>
                <w:bCs/>
                <w:color w:val="0068B5"/>
                <w:sz w:val="18"/>
                <w:szCs w:val="18"/>
              </w:rPr>
              <w:t>63,245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75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5C"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75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75E" w14:textId="77777777" w:rsidR="001B77DD" w:rsidRDefault="00BF0A28">
            <w:pPr>
              <w:jc w:val="right"/>
              <w:textAlignment w:val="bottom"/>
            </w:pPr>
            <w:r>
              <w:rPr>
                <w:rFonts w:ascii="Arial" w:eastAsia="宋体" w:hAnsi="Arial" w:cs="Arial"/>
                <w:b/>
                <w:bCs/>
                <w:color w:val="262626"/>
                <w:sz w:val="18"/>
                <w:szCs w:val="18"/>
              </w:rPr>
              <w:t>56,584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75F" w14:textId="77777777" w:rsidR="001B77DD" w:rsidRDefault="001B77DD">
            <w:pPr>
              <w:jc w:val="right"/>
              <w:rPr>
                <w:rFonts w:ascii="宋体"/>
              </w:rPr>
            </w:pPr>
          </w:p>
        </w:tc>
        <w:tc>
          <w:tcPr>
            <w:tcW w:w="0" w:type="auto"/>
            <w:shd w:val="clear" w:color="auto" w:fill="auto"/>
            <w:vAlign w:val="bottom"/>
          </w:tcPr>
          <w:p w14:paraId="67536760" w14:textId="77777777" w:rsidR="001B77DD" w:rsidRDefault="001B77DD">
            <w:pPr>
              <w:rPr>
                <w:rFonts w:ascii="宋体"/>
                <w:vanish/>
              </w:rPr>
            </w:pPr>
          </w:p>
        </w:tc>
        <w:tc>
          <w:tcPr>
            <w:tcW w:w="0" w:type="auto"/>
            <w:shd w:val="clear" w:color="auto" w:fill="auto"/>
            <w:vAlign w:val="bottom"/>
          </w:tcPr>
          <w:p w14:paraId="67536761" w14:textId="77777777" w:rsidR="001B77DD" w:rsidRDefault="001B77DD">
            <w:pPr>
              <w:rPr>
                <w:rFonts w:ascii="宋体"/>
                <w:vanish/>
              </w:rPr>
            </w:pPr>
          </w:p>
        </w:tc>
      </w:tr>
    </w:tbl>
    <w:p w14:paraId="67536763" w14:textId="77777777" w:rsidR="001B77DD" w:rsidRDefault="00BF0A28">
      <w:pPr>
        <w:spacing w:before="180" w:after="180"/>
      </w:pPr>
      <w:r>
        <w:rPr>
          <w:rFonts w:ascii="Arial" w:eastAsia="宋体" w:hAnsi="Arial" w:cs="Arial"/>
          <w:color w:val="0068B5"/>
        </w:rPr>
        <w:t>Other Ac</w:t>
      </w:r>
      <w:r>
        <w:rPr>
          <w:rFonts w:ascii="Arial" w:eastAsia="宋体" w:hAnsi="Arial" w:cs="Arial"/>
          <w:color w:val="0068B5"/>
        </w:rPr>
        <w:t>crued Liabilities</w:t>
      </w:r>
    </w:p>
    <w:p w14:paraId="67536764" w14:textId="77777777" w:rsidR="001B77DD" w:rsidRDefault="00BF0A28">
      <w:pPr>
        <w:spacing w:after="180"/>
      </w:pPr>
      <w:r>
        <w:rPr>
          <w:rFonts w:ascii="Arial" w:eastAsia="宋体" w:hAnsi="Arial" w:cs="Arial"/>
          <w:color w:val="262626"/>
          <w:sz w:val="18"/>
          <w:szCs w:val="18"/>
        </w:rPr>
        <w:t>Other accrued liabilities include deferred compensation of $2.8 billion as of December 25, 2021 ($2.5 billion as of December 26, 2020) and collateral received for derivatives under credit support annex agreements of $1.0 billion as of Dec</w:t>
      </w:r>
      <w:r>
        <w:rPr>
          <w:rFonts w:ascii="Arial" w:eastAsia="宋体" w:hAnsi="Arial" w:cs="Arial"/>
          <w:color w:val="262626"/>
          <w:sz w:val="18"/>
          <w:szCs w:val="18"/>
        </w:rPr>
        <w:t xml:space="preserve">ember 25, 2021 ($2.0 billion as of December 26, 2020). </w:t>
      </w:r>
    </w:p>
    <w:p w14:paraId="67536765" w14:textId="77777777" w:rsidR="001B77DD" w:rsidRDefault="00BF0A28">
      <w:pPr>
        <w:spacing w:before="180" w:after="180"/>
      </w:pPr>
      <w:r>
        <w:rPr>
          <w:rFonts w:ascii="Arial" w:eastAsia="宋体" w:hAnsi="Arial" w:cs="Arial"/>
          <w:color w:val="0068B5"/>
        </w:rPr>
        <w:t>Advertising</w:t>
      </w:r>
    </w:p>
    <w:p w14:paraId="67536766" w14:textId="77777777" w:rsidR="001B77DD" w:rsidRDefault="00BF0A28">
      <w:pPr>
        <w:spacing w:after="180"/>
      </w:pPr>
      <w:r>
        <w:rPr>
          <w:rFonts w:ascii="Arial" w:eastAsia="宋体" w:hAnsi="Arial" w:cs="Arial"/>
          <w:color w:val="262626"/>
          <w:sz w:val="18"/>
          <w:szCs w:val="18"/>
        </w:rPr>
        <w:t>Advertising costs, including direct marketing, are expensed as incurred and recorded within MG&amp;A expenses. Advertising costs were $1.1 billion in 2021 ($763 million in 2020 and $832 millio</w:t>
      </w:r>
      <w:r>
        <w:rPr>
          <w:rFonts w:ascii="Arial" w:eastAsia="宋体" w:hAnsi="Arial" w:cs="Arial"/>
          <w:color w:val="262626"/>
          <w:sz w:val="18"/>
          <w:szCs w:val="18"/>
        </w:rPr>
        <w:t xml:space="preserve">n in 2019). </w:t>
      </w:r>
    </w:p>
    <w:p w14:paraId="67536767" w14:textId="77777777" w:rsidR="001B77DD" w:rsidRDefault="00BF0A28">
      <w:pPr>
        <w:spacing w:before="180" w:after="180"/>
      </w:pPr>
      <w:r>
        <w:rPr>
          <w:rFonts w:ascii="Arial" w:eastAsia="宋体" w:hAnsi="Arial" w:cs="Arial"/>
          <w:color w:val="0068B5"/>
        </w:rPr>
        <w:t>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7"/>
        <w:gridCol w:w="5050"/>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1B77DD" w14:paraId="6753677D" w14:textId="77777777">
        <w:tc>
          <w:tcPr>
            <w:tcW w:w="50" w:type="pct"/>
            <w:shd w:val="clear" w:color="auto" w:fill="auto"/>
            <w:vAlign w:val="bottom"/>
          </w:tcPr>
          <w:p w14:paraId="67536768" w14:textId="77777777" w:rsidR="001B77DD" w:rsidRDefault="001B77DD">
            <w:pPr>
              <w:rPr>
                <w:rFonts w:ascii="宋体"/>
              </w:rPr>
            </w:pPr>
          </w:p>
        </w:tc>
        <w:tc>
          <w:tcPr>
            <w:tcW w:w="3059" w:type="pct"/>
            <w:shd w:val="clear" w:color="auto" w:fill="auto"/>
            <w:vAlign w:val="bottom"/>
          </w:tcPr>
          <w:p w14:paraId="67536769" w14:textId="77777777" w:rsidR="001B77DD" w:rsidRDefault="001B77DD">
            <w:pPr>
              <w:rPr>
                <w:rFonts w:ascii="宋体"/>
              </w:rPr>
            </w:pPr>
          </w:p>
        </w:tc>
        <w:tc>
          <w:tcPr>
            <w:tcW w:w="5" w:type="pct"/>
            <w:shd w:val="clear" w:color="auto" w:fill="auto"/>
            <w:vAlign w:val="bottom"/>
          </w:tcPr>
          <w:p w14:paraId="6753676A" w14:textId="77777777" w:rsidR="001B77DD" w:rsidRDefault="001B77DD">
            <w:pPr>
              <w:rPr>
                <w:rFonts w:ascii="宋体"/>
              </w:rPr>
            </w:pPr>
          </w:p>
        </w:tc>
        <w:tc>
          <w:tcPr>
            <w:tcW w:w="5" w:type="pct"/>
            <w:shd w:val="clear" w:color="auto" w:fill="auto"/>
            <w:vAlign w:val="bottom"/>
          </w:tcPr>
          <w:p w14:paraId="6753676B" w14:textId="77777777" w:rsidR="001B77DD" w:rsidRDefault="001B77DD">
            <w:pPr>
              <w:rPr>
                <w:rFonts w:ascii="宋体"/>
              </w:rPr>
            </w:pPr>
          </w:p>
        </w:tc>
        <w:tc>
          <w:tcPr>
            <w:tcW w:w="24" w:type="pct"/>
            <w:shd w:val="clear" w:color="auto" w:fill="auto"/>
            <w:vAlign w:val="bottom"/>
          </w:tcPr>
          <w:p w14:paraId="6753676C" w14:textId="77777777" w:rsidR="001B77DD" w:rsidRDefault="001B77DD">
            <w:pPr>
              <w:rPr>
                <w:rFonts w:ascii="宋体"/>
              </w:rPr>
            </w:pPr>
          </w:p>
        </w:tc>
        <w:tc>
          <w:tcPr>
            <w:tcW w:w="5" w:type="pct"/>
            <w:shd w:val="clear" w:color="auto" w:fill="auto"/>
            <w:vAlign w:val="bottom"/>
          </w:tcPr>
          <w:p w14:paraId="6753676D" w14:textId="77777777" w:rsidR="001B77DD" w:rsidRDefault="001B77DD">
            <w:pPr>
              <w:rPr>
                <w:rFonts w:ascii="宋体"/>
              </w:rPr>
            </w:pPr>
          </w:p>
        </w:tc>
        <w:tc>
          <w:tcPr>
            <w:tcW w:w="50" w:type="pct"/>
            <w:shd w:val="clear" w:color="auto" w:fill="auto"/>
            <w:vAlign w:val="bottom"/>
          </w:tcPr>
          <w:p w14:paraId="6753676E" w14:textId="77777777" w:rsidR="001B77DD" w:rsidRDefault="001B77DD">
            <w:pPr>
              <w:rPr>
                <w:rFonts w:ascii="宋体"/>
              </w:rPr>
            </w:pPr>
          </w:p>
        </w:tc>
        <w:tc>
          <w:tcPr>
            <w:tcW w:w="539" w:type="pct"/>
            <w:shd w:val="clear" w:color="auto" w:fill="auto"/>
            <w:vAlign w:val="bottom"/>
          </w:tcPr>
          <w:p w14:paraId="6753676F" w14:textId="77777777" w:rsidR="001B77DD" w:rsidRDefault="001B77DD">
            <w:pPr>
              <w:rPr>
                <w:rFonts w:ascii="宋体"/>
              </w:rPr>
            </w:pPr>
          </w:p>
        </w:tc>
        <w:tc>
          <w:tcPr>
            <w:tcW w:w="5" w:type="pct"/>
            <w:shd w:val="clear" w:color="auto" w:fill="auto"/>
            <w:vAlign w:val="bottom"/>
          </w:tcPr>
          <w:p w14:paraId="67536770" w14:textId="77777777" w:rsidR="001B77DD" w:rsidRDefault="001B77DD">
            <w:pPr>
              <w:rPr>
                <w:rFonts w:ascii="宋体"/>
              </w:rPr>
            </w:pPr>
          </w:p>
        </w:tc>
        <w:tc>
          <w:tcPr>
            <w:tcW w:w="5" w:type="pct"/>
            <w:shd w:val="clear" w:color="auto" w:fill="auto"/>
            <w:vAlign w:val="bottom"/>
          </w:tcPr>
          <w:p w14:paraId="67536771" w14:textId="77777777" w:rsidR="001B77DD" w:rsidRDefault="001B77DD">
            <w:pPr>
              <w:rPr>
                <w:rFonts w:ascii="宋体"/>
              </w:rPr>
            </w:pPr>
          </w:p>
        </w:tc>
        <w:tc>
          <w:tcPr>
            <w:tcW w:w="24" w:type="pct"/>
            <w:shd w:val="clear" w:color="auto" w:fill="auto"/>
            <w:vAlign w:val="bottom"/>
          </w:tcPr>
          <w:p w14:paraId="67536772" w14:textId="77777777" w:rsidR="001B77DD" w:rsidRDefault="001B77DD">
            <w:pPr>
              <w:rPr>
                <w:rFonts w:ascii="宋体"/>
              </w:rPr>
            </w:pPr>
          </w:p>
        </w:tc>
        <w:tc>
          <w:tcPr>
            <w:tcW w:w="5" w:type="pct"/>
            <w:shd w:val="clear" w:color="auto" w:fill="auto"/>
            <w:vAlign w:val="bottom"/>
          </w:tcPr>
          <w:p w14:paraId="67536773" w14:textId="77777777" w:rsidR="001B77DD" w:rsidRDefault="001B77DD">
            <w:pPr>
              <w:rPr>
                <w:rFonts w:ascii="宋体"/>
              </w:rPr>
            </w:pPr>
          </w:p>
        </w:tc>
        <w:tc>
          <w:tcPr>
            <w:tcW w:w="50" w:type="pct"/>
            <w:shd w:val="clear" w:color="auto" w:fill="auto"/>
            <w:vAlign w:val="bottom"/>
          </w:tcPr>
          <w:p w14:paraId="67536774" w14:textId="77777777" w:rsidR="001B77DD" w:rsidRDefault="001B77DD">
            <w:pPr>
              <w:rPr>
                <w:rFonts w:ascii="宋体"/>
              </w:rPr>
            </w:pPr>
          </w:p>
        </w:tc>
        <w:tc>
          <w:tcPr>
            <w:tcW w:w="539" w:type="pct"/>
            <w:shd w:val="clear" w:color="auto" w:fill="auto"/>
            <w:vAlign w:val="bottom"/>
          </w:tcPr>
          <w:p w14:paraId="67536775" w14:textId="77777777" w:rsidR="001B77DD" w:rsidRDefault="001B77DD">
            <w:pPr>
              <w:rPr>
                <w:rFonts w:ascii="宋体"/>
              </w:rPr>
            </w:pPr>
          </w:p>
        </w:tc>
        <w:tc>
          <w:tcPr>
            <w:tcW w:w="5" w:type="pct"/>
            <w:shd w:val="clear" w:color="auto" w:fill="auto"/>
            <w:vAlign w:val="bottom"/>
          </w:tcPr>
          <w:p w14:paraId="67536776" w14:textId="77777777" w:rsidR="001B77DD" w:rsidRDefault="001B77DD">
            <w:pPr>
              <w:rPr>
                <w:rFonts w:ascii="宋体"/>
              </w:rPr>
            </w:pPr>
          </w:p>
        </w:tc>
        <w:tc>
          <w:tcPr>
            <w:tcW w:w="5" w:type="pct"/>
            <w:shd w:val="clear" w:color="auto" w:fill="auto"/>
            <w:vAlign w:val="bottom"/>
          </w:tcPr>
          <w:p w14:paraId="67536777" w14:textId="77777777" w:rsidR="001B77DD" w:rsidRDefault="001B77DD">
            <w:pPr>
              <w:rPr>
                <w:rFonts w:ascii="宋体"/>
              </w:rPr>
            </w:pPr>
          </w:p>
        </w:tc>
        <w:tc>
          <w:tcPr>
            <w:tcW w:w="24" w:type="pct"/>
            <w:shd w:val="clear" w:color="auto" w:fill="auto"/>
            <w:vAlign w:val="bottom"/>
          </w:tcPr>
          <w:p w14:paraId="67536778" w14:textId="77777777" w:rsidR="001B77DD" w:rsidRDefault="001B77DD">
            <w:pPr>
              <w:rPr>
                <w:rFonts w:ascii="宋体"/>
              </w:rPr>
            </w:pPr>
          </w:p>
        </w:tc>
        <w:tc>
          <w:tcPr>
            <w:tcW w:w="5" w:type="pct"/>
            <w:shd w:val="clear" w:color="auto" w:fill="auto"/>
            <w:vAlign w:val="bottom"/>
          </w:tcPr>
          <w:p w14:paraId="67536779" w14:textId="77777777" w:rsidR="001B77DD" w:rsidRDefault="001B77DD">
            <w:pPr>
              <w:rPr>
                <w:rFonts w:ascii="宋体"/>
              </w:rPr>
            </w:pPr>
          </w:p>
        </w:tc>
        <w:tc>
          <w:tcPr>
            <w:tcW w:w="50" w:type="pct"/>
            <w:shd w:val="clear" w:color="auto" w:fill="auto"/>
            <w:vAlign w:val="bottom"/>
          </w:tcPr>
          <w:p w14:paraId="6753677A" w14:textId="77777777" w:rsidR="001B77DD" w:rsidRDefault="001B77DD">
            <w:pPr>
              <w:rPr>
                <w:rFonts w:ascii="宋体"/>
              </w:rPr>
            </w:pPr>
          </w:p>
        </w:tc>
        <w:tc>
          <w:tcPr>
            <w:tcW w:w="539" w:type="pct"/>
            <w:shd w:val="clear" w:color="auto" w:fill="auto"/>
            <w:vAlign w:val="bottom"/>
          </w:tcPr>
          <w:p w14:paraId="6753677B" w14:textId="77777777" w:rsidR="001B77DD" w:rsidRDefault="001B77DD">
            <w:pPr>
              <w:rPr>
                <w:rFonts w:ascii="宋体"/>
              </w:rPr>
            </w:pPr>
          </w:p>
        </w:tc>
        <w:tc>
          <w:tcPr>
            <w:tcW w:w="5" w:type="pct"/>
            <w:shd w:val="clear" w:color="auto" w:fill="auto"/>
            <w:vAlign w:val="bottom"/>
          </w:tcPr>
          <w:p w14:paraId="6753677C" w14:textId="77777777" w:rsidR="001B77DD" w:rsidRDefault="001B77DD">
            <w:pPr>
              <w:rPr>
                <w:rFonts w:ascii="宋体"/>
              </w:rPr>
            </w:pPr>
          </w:p>
        </w:tc>
      </w:tr>
      <w:tr w:rsidR="001B77DD" w14:paraId="67536785" w14:textId="77777777">
        <w:tc>
          <w:tcPr>
            <w:tcW w:w="0" w:type="auto"/>
            <w:gridSpan w:val="3"/>
            <w:shd w:val="clear" w:color="auto" w:fill="auto"/>
            <w:tcMar>
              <w:top w:w="40" w:type="dxa"/>
              <w:left w:w="20" w:type="dxa"/>
              <w:bottom w:w="40" w:type="dxa"/>
              <w:right w:w="20" w:type="dxa"/>
            </w:tcMar>
            <w:vAlign w:val="bottom"/>
          </w:tcPr>
          <w:p w14:paraId="6753677E" w14:textId="77777777" w:rsidR="001B77DD" w:rsidRDefault="00BF0A28">
            <w:pPr>
              <w:textAlignment w:val="bottom"/>
            </w:pPr>
            <w:r>
              <w:rPr>
                <w:rFonts w:ascii="Arial" w:eastAsia="宋体" w:hAnsi="Arial" w:cs="Arial"/>
                <w:b/>
                <w:bCs/>
                <w:color w:val="262626"/>
                <w:sz w:val="18"/>
                <w:szCs w:val="18"/>
              </w:rPr>
              <w:t>Years Ende</w:t>
            </w:r>
            <w:r>
              <w:rPr>
                <w:rFonts w:ascii="Arial" w:eastAsia="宋体" w:hAnsi="Arial" w:cs="Arial"/>
                <w:b/>
                <w:bCs/>
                <w:color w:val="262626"/>
                <w:sz w:val="18"/>
                <w:szCs w:val="18"/>
              </w:rPr>
              <w:t>d (In Millions)</w:t>
            </w:r>
          </w:p>
        </w:tc>
        <w:tc>
          <w:tcPr>
            <w:tcW w:w="0" w:type="auto"/>
            <w:gridSpan w:val="3"/>
            <w:shd w:val="clear" w:color="auto" w:fill="auto"/>
            <w:tcMar>
              <w:top w:w="0" w:type="dxa"/>
              <w:left w:w="20" w:type="dxa"/>
              <w:bottom w:w="0" w:type="dxa"/>
              <w:right w:w="20" w:type="dxa"/>
            </w:tcMar>
            <w:vAlign w:val="bottom"/>
          </w:tcPr>
          <w:p w14:paraId="6753677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780"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78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782"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78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784"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79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786" w14:textId="77777777" w:rsidR="001B77DD" w:rsidRDefault="00BF0A28">
            <w:pPr>
              <w:textAlignment w:val="bottom"/>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vAlign w:val="bottom"/>
          </w:tcPr>
          <w:p w14:paraId="6753678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788"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789" w14:textId="77777777" w:rsidR="001B77DD" w:rsidRDefault="00BF0A28">
            <w:pPr>
              <w:jc w:val="right"/>
              <w:textAlignment w:val="bottom"/>
            </w:pPr>
            <w:r>
              <w:rPr>
                <w:rFonts w:ascii="Arial" w:eastAsia="宋体" w:hAnsi="Arial" w:cs="Arial"/>
                <w:color w:val="0068B5"/>
                <w:sz w:val="18"/>
                <w:szCs w:val="18"/>
              </w:rPr>
              <w:t>144 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78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8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78C"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78D" w14:textId="77777777" w:rsidR="001B77DD" w:rsidRDefault="00BF0A28">
            <w:pPr>
              <w:jc w:val="right"/>
              <w:textAlignment w:val="bottom"/>
            </w:pPr>
            <w:r>
              <w:rPr>
                <w:rFonts w:ascii="Arial" w:eastAsia="宋体" w:hAnsi="Arial" w:cs="Arial"/>
                <w:color w:val="262626"/>
                <w:sz w:val="18"/>
                <w:szCs w:val="18"/>
              </w:rPr>
              <w:t>272 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78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8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790"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791" w14:textId="77777777" w:rsidR="001B77DD" w:rsidRDefault="00BF0A28">
            <w:pPr>
              <w:jc w:val="right"/>
              <w:textAlignment w:val="bottom"/>
            </w:pPr>
            <w:r>
              <w:rPr>
                <w:rFonts w:ascii="Arial" w:eastAsia="宋体" w:hAnsi="Arial" w:cs="Arial"/>
                <w:color w:val="262626"/>
                <w:sz w:val="18"/>
                <w:szCs w:val="18"/>
              </w:rPr>
              <w:t>483 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792" w14:textId="77777777" w:rsidR="001B77DD" w:rsidRDefault="001B77DD">
            <w:pPr>
              <w:jc w:val="right"/>
              <w:rPr>
                <w:rFonts w:ascii="宋体"/>
              </w:rPr>
            </w:pPr>
          </w:p>
        </w:tc>
      </w:tr>
      <w:tr w:rsidR="001B77DD" w14:paraId="6753679E" w14:textId="77777777">
        <w:tc>
          <w:tcPr>
            <w:tcW w:w="0" w:type="auto"/>
            <w:gridSpan w:val="3"/>
            <w:shd w:val="clear" w:color="auto" w:fill="auto"/>
            <w:tcMar>
              <w:top w:w="40" w:type="dxa"/>
              <w:left w:w="20" w:type="dxa"/>
              <w:bottom w:w="40" w:type="dxa"/>
              <w:right w:w="20" w:type="dxa"/>
            </w:tcMar>
            <w:vAlign w:val="bottom"/>
          </w:tcPr>
          <w:p w14:paraId="67536794" w14:textId="77777777" w:rsidR="001B77DD" w:rsidRDefault="00BF0A28">
            <w:pPr>
              <w:textAlignment w:val="bottom"/>
            </w:pPr>
            <w:r>
              <w:rPr>
                <w:rFonts w:ascii="Arial" w:eastAsia="宋体" w:hAnsi="Arial" w:cs="Arial"/>
                <w:color w:val="262626"/>
                <w:sz w:val="18"/>
                <w:szCs w:val="18"/>
              </w:rPr>
              <w:t>Interest expense</w:t>
            </w:r>
          </w:p>
        </w:tc>
        <w:tc>
          <w:tcPr>
            <w:tcW w:w="0" w:type="auto"/>
            <w:gridSpan w:val="3"/>
            <w:shd w:val="clear" w:color="auto" w:fill="auto"/>
            <w:tcMar>
              <w:top w:w="0" w:type="dxa"/>
              <w:left w:w="20" w:type="dxa"/>
              <w:bottom w:w="0" w:type="dxa"/>
              <w:right w:w="20" w:type="dxa"/>
            </w:tcMar>
            <w:vAlign w:val="bottom"/>
          </w:tcPr>
          <w:p w14:paraId="6753679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96" w14:textId="77777777" w:rsidR="001B77DD" w:rsidRDefault="00BF0A28">
            <w:pPr>
              <w:jc w:val="right"/>
              <w:textAlignment w:val="bottom"/>
            </w:pPr>
            <w:r>
              <w:rPr>
                <w:rFonts w:ascii="Arial" w:eastAsia="宋体" w:hAnsi="Arial" w:cs="Arial"/>
                <w:color w:val="0068B5"/>
                <w:sz w:val="18"/>
                <w:szCs w:val="18"/>
              </w:rPr>
              <w:t>(597)</w:t>
            </w:r>
          </w:p>
        </w:tc>
        <w:tc>
          <w:tcPr>
            <w:tcW w:w="0" w:type="auto"/>
            <w:shd w:val="clear" w:color="auto" w:fill="auto"/>
            <w:tcMar>
              <w:top w:w="40" w:type="dxa"/>
              <w:left w:w="0" w:type="dxa"/>
              <w:bottom w:w="40" w:type="dxa"/>
              <w:right w:w="20" w:type="dxa"/>
            </w:tcMar>
            <w:vAlign w:val="bottom"/>
          </w:tcPr>
          <w:p w14:paraId="6753679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9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99" w14:textId="77777777" w:rsidR="001B77DD" w:rsidRDefault="00BF0A28">
            <w:pPr>
              <w:jc w:val="right"/>
              <w:textAlignment w:val="bottom"/>
            </w:pPr>
            <w:r>
              <w:rPr>
                <w:rFonts w:ascii="Arial" w:eastAsia="宋体" w:hAnsi="Arial" w:cs="Arial"/>
                <w:color w:val="262626"/>
                <w:sz w:val="18"/>
                <w:szCs w:val="18"/>
              </w:rPr>
              <w:t>(629)</w:t>
            </w:r>
          </w:p>
        </w:tc>
        <w:tc>
          <w:tcPr>
            <w:tcW w:w="0" w:type="auto"/>
            <w:shd w:val="clear" w:color="auto" w:fill="auto"/>
            <w:tcMar>
              <w:top w:w="40" w:type="dxa"/>
              <w:left w:w="0" w:type="dxa"/>
              <w:bottom w:w="40" w:type="dxa"/>
              <w:right w:w="20" w:type="dxa"/>
            </w:tcMar>
            <w:vAlign w:val="bottom"/>
          </w:tcPr>
          <w:p w14:paraId="6753679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9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9C" w14:textId="77777777" w:rsidR="001B77DD" w:rsidRDefault="00BF0A28">
            <w:pPr>
              <w:jc w:val="right"/>
              <w:textAlignment w:val="bottom"/>
            </w:pPr>
            <w:r>
              <w:rPr>
                <w:rFonts w:ascii="Arial" w:eastAsia="宋体" w:hAnsi="Arial" w:cs="Arial"/>
                <w:color w:val="262626"/>
                <w:sz w:val="18"/>
                <w:szCs w:val="18"/>
              </w:rPr>
              <w:t>(489)</w:t>
            </w:r>
          </w:p>
        </w:tc>
        <w:tc>
          <w:tcPr>
            <w:tcW w:w="0" w:type="auto"/>
            <w:shd w:val="clear" w:color="auto" w:fill="auto"/>
            <w:tcMar>
              <w:top w:w="40" w:type="dxa"/>
              <w:left w:w="0" w:type="dxa"/>
              <w:bottom w:w="40" w:type="dxa"/>
              <w:right w:w="20" w:type="dxa"/>
            </w:tcMar>
            <w:vAlign w:val="bottom"/>
          </w:tcPr>
          <w:p w14:paraId="6753679D" w14:textId="77777777" w:rsidR="001B77DD" w:rsidRDefault="001B77DD">
            <w:pPr>
              <w:jc w:val="right"/>
              <w:rPr>
                <w:rFonts w:ascii="宋体"/>
              </w:rPr>
            </w:pPr>
          </w:p>
        </w:tc>
      </w:tr>
      <w:tr w:rsidR="001B77DD" w14:paraId="675367A9" w14:textId="77777777">
        <w:tc>
          <w:tcPr>
            <w:tcW w:w="0" w:type="auto"/>
            <w:gridSpan w:val="3"/>
            <w:shd w:val="clear" w:color="auto" w:fill="auto"/>
            <w:tcMar>
              <w:top w:w="40" w:type="dxa"/>
              <w:left w:w="20" w:type="dxa"/>
              <w:bottom w:w="40" w:type="dxa"/>
              <w:right w:w="20" w:type="dxa"/>
            </w:tcMar>
            <w:vAlign w:val="bottom"/>
          </w:tcPr>
          <w:p w14:paraId="6753679F" w14:textId="77777777" w:rsidR="001B77DD" w:rsidRDefault="00BF0A28">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675367A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A1" w14:textId="77777777" w:rsidR="001B77DD" w:rsidRDefault="00BF0A28">
            <w:pPr>
              <w:jc w:val="right"/>
              <w:textAlignment w:val="bottom"/>
            </w:pPr>
            <w:r>
              <w:rPr>
                <w:rFonts w:ascii="Arial" w:eastAsia="宋体" w:hAnsi="Arial" w:cs="Arial"/>
                <w:color w:val="0068B5"/>
                <w:sz w:val="18"/>
                <w:szCs w:val="18"/>
              </w:rPr>
              <w:t>(29)</w:t>
            </w:r>
          </w:p>
        </w:tc>
        <w:tc>
          <w:tcPr>
            <w:tcW w:w="0" w:type="auto"/>
            <w:shd w:val="clear" w:color="auto" w:fill="auto"/>
            <w:tcMar>
              <w:top w:w="40" w:type="dxa"/>
              <w:left w:w="0" w:type="dxa"/>
              <w:bottom w:w="40" w:type="dxa"/>
              <w:right w:w="20" w:type="dxa"/>
            </w:tcMar>
            <w:vAlign w:val="bottom"/>
          </w:tcPr>
          <w:p w14:paraId="675367A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A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A4" w14:textId="77777777" w:rsidR="001B77DD" w:rsidRDefault="00BF0A28">
            <w:pPr>
              <w:jc w:val="right"/>
              <w:textAlignment w:val="bottom"/>
            </w:pPr>
            <w:r>
              <w:rPr>
                <w:rFonts w:ascii="Arial" w:eastAsia="宋体" w:hAnsi="Arial" w:cs="Arial"/>
                <w:color w:val="262626"/>
                <w:sz w:val="18"/>
                <w:szCs w:val="18"/>
              </w:rPr>
              <w:t>(147)</w:t>
            </w:r>
          </w:p>
        </w:tc>
        <w:tc>
          <w:tcPr>
            <w:tcW w:w="0" w:type="auto"/>
            <w:shd w:val="clear" w:color="auto" w:fill="auto"/>
            <w:tcMar>
              <w:top w:w="40" w:type="dxa"/>
              <w:left w:w="0" w:type="dxa"/>
              <w:bottom w:w="40" w:type="dxa"/>
              <w:right w:w="20" w:type="dxa"/>
            </w:tcMar>
            <w:vAlign w:val="bottom"/>
          </w:tcPr>
          <w:p w14:paraId="675367A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A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A7" w14:textId="77777777" w:rsidR="001B77DD" w:rsidRDefault="00BF0A28">
            <w:pPr>
              <w:jc w:val="right"/>
              <w:textAlignment w:val="bottom"/>
            </w:pPr>
            <w:r>
              <w:rPr>
                <w:rFonts w:ascii="Arial" w:eastAsia="宋体" w:hAnsi="Arial" w:cs="Arial"/>
                <w:color w:val="262626"/>
                <w:sz w:val="18"/>
                <w:szCs w:val="18"/>
              </w:rPr>
              <w:t>490 </w:t>
            </w:r>
          </w:p>
        </w:tc>
        <w:tc>
          <w:tcPr>
            <w:tcW w:w="0" w:type="auto"/>
            <w:shd w:val="clear" w:color="auto" w:fill="auto"/>
            <w:tcMar>
              <w:top w:w="40" w:type="dxa"/>
              <w:left w:w="0" w:type="dxa"/>
              <w:bottom w:w="40" w:type="dxa"/>
              <w:right w:w="20" w:type="dxa"/>
            </w:tcMar>
            <w:vAlign w:val="bottom"/>
          </w:tcPr>
          <w:p w14:paraId="675367A8" w14:textId="77777777" w:rsidR="001B77DD" w:rsidRDefault="001B77DD">
            <w:pPr>
              <w:jc w:val="right"/>
              <w:rPr>
                <w:rFonts w:ascii="宋体"/>
              </w:rPr>
            </w:pPr>
          </w:p>
        </w:tc>
      </w:tr>
      <w:tr w:rsidR="001B77DD" w14:paraId="675367B7" w14:textId="77777777">
        <w:tc>
          <w:tcPr>
            <w:tcW w:w="0" w:type="auto"/>
            <w:gridSpan w:val="3"/>
            <w:shd w:val="clear" w:color="auto" w:fill="auto"/>
            <w:tcMar>
              <w:top w:w="40" w:type="dxa"/>
              <w:left w:w="20" w:type="dxa"/>
              <w:bottom w:w="40" w:type="dxa"/>
              <w:right w:w="20" w:type="dxa"/>
            </w:tcMar>
            <w:vAlign w:val="bottom"/>
          </w:tcPr>
          <w:p w14:paraId="675367AA" w14:textId="77777777" w:rsidR="001B77DD" w:rsidRDefault="00BF0A28">
            <w:pPr>
              <w:textAlignment w:val="bottom"/>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vAlign w:val="bottom"/>
          </w:tcPr>
          <w:p w14:paraId="675367AB"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7AC"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7AD" w14:textId="77777777" w:rsidR="001B77DD" w:rsidRDefault="00BF0A28">
            <w:pPr>
              <w:jc w:val="right"/>
              <w:textAlignment w:val="bottom"/>
            </w:pPr>
            <w:r>
              <w:rPr>
                <w:rFonts w:ascii="Arial" w:eastAsia="宋体" w:hAnsi="Arial" w:cs="Arial"/>
                <w:b/>
                <w:bCs/>
                <w:color w:val="0068B5"/>
                <w:sz w:val="18"/>
                <w:szCs w:val="18"/>
              </w:rPr>
              <w:t>(482)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7A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AF"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7B0"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7B1" w14:textId="77777777" w:rsidR="001B77DD" w:rsidRDefault="00BF0A28">
            <w:pPr>
              <w:jc w:val="right"/>
              <w:textAlignment w:val="bottom"/>
            </w:pPr>
            <w:r>
              <w:rPr>
                <w:rFonts w:ascii="Arial" w:eastAsia="宋体" w:hAnsi="Arial" w:cs="Arial"/>
                <w:b/>
                <w:bCs/>
                <w:color w:val="262626"/>
                <w:sz w:val="18"/>
                <w:szCs w:val="18"/>
              </w:rPr>
              <w:t>(504)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7B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B3"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7B4"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7B5" w14:textId="77777777" w:rsidR="001B77DD" w:rsidRDefault="00BF0A28">
            <w:pPr>
              <w:jc w:val="right"/>
              <w:textAlignment w:val="bottom"/>
            </w:pPr>
            <w:r>
              <w:rPr>
                <w:rFonts w:ascii="Arial" w:eastAsia="宋体" w:hAnsi="Arial" w:cs="Arial"/>
                <w:b/>
                <w:bCs/>
                <w:color w:val="262626"/>
                <w:sz w:val="18"/>
                <w:szCs w:val="18"/>
              </w:rPr>
              <w:t>484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7B6" w14:textId="77777777" w:rsidR="001B77DD" w:rsidRDefault="001B77DD">
            <w:pPr>
              <w:jc w:val="right"/>
              <w:rPr>
                <w:rFonts w:ascii="宋体"/>
              </w:rPr>
            </w:pPr>
          </w:p>
        </w:tc>
      </w:tr>
    </w:tbl>
    <w:p w14:paraId="675367B8" w14:textId="77777777" w:rsidR="001B77DD" w:rsidRDefault="00BF0A28">
      <w:pPr>
        <w:spacing w:after="180"/>
      </w:pPr>
      <w:r>
        <w:rPr>
          <w:rFonts w:ascii="Arial" w:eastAsia="宋体" w:hAnsi="Arial" w:cs="Arial"/>
          <w:color w:val="262626"/>
          <w:sz w:val="18"/>
          <w:szCs w:val="18"/>
        </w:rPr>
        <w:t>Interest expense in the preceding table is net of</w:t>
      </w:r>
      <w:r>
        <w:rPr>
          <w:rFonts w:ascii="Arial" w:eastAsia="宋体" w:hAnsi="Arial" w:cs="Arial"/>
          <w:b/>
          <w:bCs/>
          <w:color w:val="262626"/>
          <w:sz w:val="18"/>
          <w:szCs w:val="18"/>
        </w:rPr>
        <w:t xml:space="preserve"> </w:t>
      </w:r>
      <w:r>
        <w:rPr>
          <w:rFonts w:ascii="Arial" w:eastAsia="宋体" w:hAnsi="Arial" w:cs="Arial"/>
          <w:color w:val="262626"/>
          <w:sz w:val="18"/>
          <w:szCs w:val="18"/>
        </w:rPr>
        <w:t xml:space="preserve">$398 million of interest capitalized in 2021 ($338 million in 2020 and $472 million in 2019).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7C5" w14:textId="77777777">
        <w:tc>
          <w:tcPr>
            <w:tcW w:w="50" w:type="pct"/>
            <w:shd w:val="clear" w:color="auto" w:fill="auto"/>
            <w:vAlign w:val="bottom"/>
          </w:tcPr>
          <w:p w14:paraId="675367B9" w14:textId="77777777" w:rsidR="001B77DD" w:rsidRDefault="001B77DD">
            <w:pPr>
              <w:rPr>
                <w:rFonts w:ascii="宋体"/>
              </w:rPr>
            </w:pPr>
          </w:p>
        </w:tc>
        <w:tc>
          <w:tcPr>
            <w:tcW w:w="276" w:type="pct"/>
            <w:shd w:val="clear" w:color="auto" w:fill="auto"/>
            <w:vAlign w:val="bottom"/>
          </w:tcPr>
          <w:p w14:paraId="675367BA" w14:textId="77777777" w:rsidR="001B77DD" w:rsidRDefault="001B77DD">
            <w:pPr>
              <w:rPr>
                <w:rFonts w:ascii="宋体"/>
              </w:rPr>
            </w:pPr>
          </w:p>
        </w:tc>
        <w:tc>
          <w:tcPr>
            <w:tcW w:w="5" w:type="pct"/>
            <w:shd w:val="clear" w:color="auto" w:fill="auto"/>
            <w:vAlign w:val="bottom"/>
          </w:tcPr>
          <w:p w14:paraId="675367BB" w14:textId="77777777" w:rsidR="001B77DD" w:rsidRDefault="001B77DD">
            <w:pPr>
              <w:rPr>
                <w:rFonts w:ascii="宋体"/>
              </w:rPr>
            </w:pPr>
          </w:p>
        </w:tc>
        <w:tc>
          <w:tcPr>
            <w:tcW w:w="50" w:type="pct"/>
            <w:shd w:val="clear" w:color="auto" w:fill="auto"/>
            <w:vAlign w:val="bottom"/>
          </w:tcPr>
          <w:p w14:paraId="675367BC" w14:textId="77777777" w:rsidR="001B77DD" w:rsidRDefault="001B77DD">
            <w:pPr>
              <w:rPr>
                <w:rFonts w:ascii="宋体"/>
              </w:rPr>
            </w:pPr>
          </w:p>
        </w:tc>
        <w:tc>
          <w:tcPr>
            <w:tcW w:w="940" w:type="pct"/>
            <w:shd w:val="clear" w:color="auto" w:fill="auto"/>
            <w:vAlign w:val="bottom"/>
          </w:tcPr>
          <w:p w14:paraId="675367BD" w14:textId="77777777" w:rsidR="001B77DD" w:rsidRDefault="001B77DD">
            <w:pPr>
              <w:rPr>
                <w:rFonts w:ascii="宋体"/>
              </w:rPr>
            </w:pPr>
          </w:p>
        </w:tc>
        <w:tc>
          <w:tcPr>
            <w:tcW w:w="5" w:type="pct"/>
            <w:shd w:val="clear" w:color="auto" w:fill="auto"/>
            <w:vAlign w:val="bottom"/>
          </w:tcPr>
          <w:p w14:paraId="675367BE" w14:textId="77777777" w:rsidR="001B77DD" w:rsidRDefault="001B77DD">
            <w:pPr>
              <w:rPr>
                <w:rFonts w:ascii="宋体"/>
              </w:rPr>
            </w:pPr>
          </w:p>
        </w:tc>
        <w:tc>
          <w:tcPr>
            <w:tcW w:w="50" w:type="pct"/>
            <w:shd w:val="clear" w:color="auto" w:fill="auto"/>
            <w:vAlign w:val="bottom"/>
          </w:tcPr>
          <w:p w14:paraId="675367BF" w14:textId="77777777" w:rsidR="001B77DD" w:rsidRDefault="001B77DD">
            <w:pPr>
              <w:rPr>
                <w:rFonts w:ascii="宋体"/>
              </w:rPr>
            </w:pPr>
          </w:p>
        </w:tc>
        <w:tc>
          <w:tcPr>
            <w:tcW w:w="1837" w:type="pct"/>
            <w:shd w:val="clear" w:color="auto" w:fill="auto"/>
            <w:vAlign w:val="bottom"/>
          </w:tcPr>
          <w:p w14:paraId="675367C0" w14:textId="77777777" w:rsidR="001B77DD" w:rsidRDefault="001B77DD">
            <w:pPr>
              <w:rPr>
                <w:rFonts w:ascii="宋体"/>
              </w:rPr>
            </w:pPr>
          </w:p>
        </w:tc>
        <w:tc>
          <w:tcPr>
            <w:tcW w:w="5" w:type="pct"/>
            <w:shd w:val="clear" w:color="auto" w:fill="auto"/>
            <w:vAlign w:val="bottom"/>
          </w:tcPr>
          <w:p w14:paraId="675367C1" w14:textId="77777777" w:rsidR="001B77DD" w:rsidRDefault="001B77DD">
            <w:pPr>
              <w:rPr>
                <w:rFonts w:ascii="宋体"/>
              </w:rPr>
            </w:pPr>
          </w:p>
        </w:tc>
        <w:tc>
          <w:tcPr>
            <w:tcW w:w="50" w:type="pct"/>
            <w:shd w:val="clear" w:color="auto" w:fill="auto"/>
            <w:vAlign w:val="bottom"/>
          </w:tcPr>
          <w:p w14:paraId="675367C2" w14:textId="77777777" w:rsidR="001B77DD" w:rsidRDefault="001B77DD">
            <w:pPr>
              <w:rPr>
                <w:rFonts w:ascii="宋体"/>
              </w:rPr>
            </w:pPr>
          </w:p>
        </w:tc>
        <w:tc>
          <w:tcPr>
            <w:tcW w:w="1724" w:type="pct"/>
            <w:shd w:val="clear" w:color="auto" w:fill="auto"/>
            <w:vAlign w:val="bottom"/>
          </w:tcPr>
          <w:p w14:paraId="675367C3" w14:textId="77777777" w:rsidR="001B77DD" w:rsidRDefault="001B77DD">
            <w:pPr>
              <w:rPr>
                <w:rFonts w:ascii="宋体"/>
              </w:rPr>
            </w:pPr>
          </w:p>
        </w:tc>
        <w:tc>
          <w:tcPr>
            <w:tcW w:w="5" w:type="pct"/>
            <w:shd w:val="clear" w:color="auto" w:fill="auto"/>
            <w:vAlign w:val="bottom"/>
          </w:tcPr>
          <w:p w14:paraId="675367C4" w14:textId="77777777" w:rsidR="001B77DD" w:rsidRDefault="001B77DD">
            <w:pPr>
              <w:rPr>
                <w:rFonts w:ascii="宋体"/>
              </w:rPr>
            </w:pPr>
          </w:p>
        </w:tc>
      </w:tr>
      <w:tr w:rsidR="001B77DD" w14:paraId="675367C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7C6"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42" wp14:editId="67538F43">
                  <wp:extent cx="304800" cy="304800"/>
                  <wp:effectExtent l="0" t="0" r="0" b="0"/>
                  <wp:docPr id="180" name="图片 30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0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7C7"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7C8"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7C9" w14:textId="77777777" w:rsidR="001B77DD" w:rsidRDefault="00BF0A28">
            <w:pPr>
              <w:jc w:val="right"/>
              <w:textAlignment w:val="center"/>
            </w:pPr>
            <w:r>
              <w:rPr>
                <w:rFonts w:ascii="Arial" w:eastAsia="宋体" w:hAnsi="Arial" w:cs="Arial"/>
                <w:color w:val="262626"/>
                <w:sz w:val="16"/>
                <w:szCs w:val="16"/>
              </w:rPr>
              <w:t>86</w:t>
            </w:r>
          </w:p>
        </w:tc>
      </w:tr>
    </w:tbl>
    <w:p w14:paraId="675367CB" w14:textId="77777777" w:rsidR="001B77DD" w:rsidRDefault="00BF0A28">
      <w:r>
        <w:pict w14:anchorId="67538F44">
          <v:rect id="_x0000_i1112" style="width:415.3pt;height:1.5pt" o:hralign="center" o:hrstd="t" o:hr="t" fillcolor="#a0a0a0" stroked="f"/>
        </w:pict>
      </w:r>
    </w:p>
    <w:p w14:paraId="675367CC" w14:textId="77777777" w:rsidR="001B77DD" w:rsidRDefault="00BF0A28">
      <w:pPr>
        <w:jc w:val="right"/>
      </w:pPr>
      <w:hyperlink r:id="rId174" w:anchor="i6c9ced68f6b24d58a3dcf326e8c3c699_16" w:history="1">
        <w:r>
          <w:rPr>
            <w:rStyle w:val="a5"/>
            <w:rFonts w:ascii="Arial" w:eastAsia="宋体" w:hAnsi="Arial" w:cs="Arial"/>
            <w:b/>
            <w:bCs/>
            <w:sz w:val="16"/>
            <w:szCs w:val="16"/>
          </w:rPr>
          <w:t>Table of Contents</w:t>
        </w:r>
      </w:hyperlink>
    </w:p>
    <w:p w14:paraId="675367CD"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1B77DD" w14:paraId="675367D4" w14:textId="77777777">
        <w:tc>
          <w:tcPr>
            <w:tcW w:w="50" w:type="pct"/>
            <w:shd w:val="clear" w:color="auto" w:fill="auto"/>
            <w:vAlign w:val="bottom"/>
          </w:tcPr>
          <w:p w14:paraId="675367CE" w14:textId="77777777" w:rsidR="001B77DD" w:rsidRDefault="001B77DD">
            <w:pPr>
              <w:rPr>
                <w:rFonts w:ascii="宋体"/>
              </w:rPr>
            </w:pPr>
          </w:p>
        </w:tc>
        <w:tc>
          <w:tcPr>
            <w:tcW w:w="491" w:type="pct"/>
            <w:shd w:val="clear" w:color="auto" w:fill="auto"/>
            <w:vAlign w:val="bottom"/>
          </w:tcPr>
          <w:p w14:paraId="675367CF" w14:textId="77777777" w:rsidR="001B77DD" w:rsidRDefault="001B77DD">
            <w:pPr>
              <w:rPr>
                <w:rFonts w:ascii="宋体"/>
              </w:rPr>
            </w:pPr>
          </w:p>
        </w:tc>
        <w:tc>
          <w:tcPr>
            <w:tcW w:w="5" w:type="pct"/>
            <w:shd w:val="clear" w:color="auto" w:fill="auto"/>
            <w:vAlign w:val="bottom"/>
          </w:tcPr>
          <w:p w14:paraId="675367D0" w14:textId="77777777" w:rsidR="001B77DD" w:rsidRDefault="001B77DD">
            <w:pPr>
              <w:rPr>
                <w:rFonts w:ascii="宋体"/>
              </w:rPr>
            </w:pPr>
          </w:p>
        </w:tc>
        <w:tc>
          <w:tcPr>
            <w:tcW w:w="50" w:type="pct"/>
            <w:shd w:val="clear" w:color="auto" w:fill="auto"/>
            <w:vAlign w:val="bottom"/>
          </w:tcPr>
          <w:p w14:paraId="675367D1" w14:textId="77777777" w:rsidR="001B77DD" w:rsidRDefault="001B77DD">
            <w:pPr>
              <w:rPr>
                <w:rFonts w:ascii="宋体"/>
              </w:rPr>
            </w:pPr>
          </w:p>
        </w:tc>
        <w:tc>
          <w:tcPr>
            <w:tcW w:w="4398" w:type="pct"/>
            <w:shd w:val="clear" w:color="auto" w:fill="auto"/>
            <w:vAlign w:val="bottom"/>
          </w:tcPr>
          <w:p w14:paraId="675367D2" w14:textId="77777777" w:rsidR="001B77DD" w:rsidRDefault="001B77DD">
            <w:pPr>
              <w:rPr>
                <w:rFonts w:ascii="宋体"/>
              </w:rPr>
            </w:pPr>
          </w:p>
        </w:tc>
        <w:tc>
          <w:tcPr>
            <w:tcW w:w="5" w:type="pct"/>
            <w:shd w:val="clear" w:color="auto" w:fill="auto"/>
            <w:vAlign w:val="bottom"/>
          </w:tcPr>
          <w:p w14:paraId="675367D3" w14:textId="77777777" w:rsidR="001B77DD" w:rsidRDefault="001B77DD">
            <w:pPr>
              <w:rPr>
                <w:rFonts w:ascii="宋体"/>
              </w:rPr>
            </w:pPr>
          </w:p>
        </w:tc>
      </w:tr>
      <w:tr w:rsidR="001B77DD" w14:paraId="675367D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7D5" w14:textId="77777777" w:rsidR="001B77DD" w:rsidRDefault="00BF0A28">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7D6" w14:textId="77777777" w:rsidR="001B77DD" w:rsidRDefault="00BF0A28">
            <w:pPr>
              <w:textAlignment w:val="bottom"/>
            </w:pPr>
            <w:r>
              <w:rPr>
                <w:rFonts w:ascii="Arial" w:eastAsia="宋体" w:hAnsi="Arial" w:cs="Arial"/>
                <w:color w:val="0068B5"/>
                <w:sz w:val="28"/>
                <w:szCs w:val="28"/>
              </w:rPr>
              <w:t>Restructuring and Other Charges</w:t>
            </w:r>
          </w:p>
        </w:tc>
      </w:tr>
    </w:tbl>
    <w:p w14:paraId="675367D8" w14:textId="77777777" w:rsidR="001B77DD" w:rsidRDefault="00BF0A28">
      <w:pPr>
        <w:spacing w:after="80"/>
      </w:pPr>
      <w:r>
        <w:rPr>
          <w:rFonts w:ascii="Arial" w:eastAsia="宋体" w:hAnsi="Arial" w:cs="Arial"/>
          <w:color w:val="262626"/>
          <w:sz w:val="18"/>
          <w:szCs w:val="18"/>
        </w:rPr>
        <w:t xml:space="preserve">Restructuring and other </w:t>
      </w:r>
      <w:r>
        <w:rPr>
          <w:rFonts w:ascii="Arial" w:eastAsia="宋体" w:hAnsi="Arial" w:cs="Arial"/>
          <w:color w:val="262626"/>
          <w:sz w:val="18"/>
          <w:szCs w:val="18"/>
        </w:rPr>
        <w:t>charges (benefits) by type are as follows:</w:t>
      </w:r>
    </w:p>
    <w:tbl>
      <w:tblPr>
        <w:tblW w:w="4939" w:type="pct"/>
        <w:tblCellMar>
          <w:top w:w="15" w:type="dxa"/>
          <w:left w:w="15" w:type="dxa"/>
          <w:bottom w:w="15" w:type="dxa"/>
          <w:right w:w="15" w:type="dxa"/>
        </w:tblCellMar>
        <w:tblLook w:val="04A0" w:firstRow="1" w:lastRow="0" w:firstColumn="1" w:lastColumn="0" w:noHBand="0" w:noVBand="1"/>
      </w:tblPr>
      <w:tblGrid>
        <w:gridCol w:w="38"/>
        <w:gridCol w:w="6003"/>
        <w:gridCol w:w="37"/>
        <w:gridCol w:w="36"/>
        <w:gridCol w:w="36"/>
        <w:gridCol w:w="36"/>
        <w:gridCol w:w="121"/>
        <w:gridCol w:w="813"/>
        <w:gridCol w:w="36"/>
        <w:gridCol w:w="36"/>
        <w:gridCol w:w="36"/>
        <w:gridCol w:w="36"/>
        <w:gridCol w:w="121"/>
        <w:gridCol w:w="813"/>
        <w:gridCol w:w="36"/>
      </w:tblGrid>
      <w:tr w:rsidR="001B77DD" w14:paraId="675367E8" w14:textId="77777777">
        <w:tc>
          <w:tcPr>
            <w:tcW w:w="50" w:type="pct"/>
            <w:shd w:val="clear" w:color="auto" w:fill="auto"/>
            <w:vAlign w:val="bottom"/>
          </w:tcPr>
          <w:p w14:paraId="675367D9" w14:textId="77777777" w:rsidR="001B77DD" w:rsidRDefault="001B77DD">
            <w:pPr>
              <w:rPr>
                <w:rFonts w:ascii="宋体"/>
              </w:rPr>
            </w:pPr>
          </w:p>
        </w:tc>
        <w:tc>
          <w:tcPr>
            <w:tcW w:w="3672" w:type="pct"/>
            <w:shd w:val="clear" w:color="auto" w:fill="auto"/>
            <w:vAlign w:val="bottom"/>
          </w:tcPr>
          <w:p w14:paraId="675367DA" w14:textId="77777777" w:rsidR="001B77DD" w:rsidRDefault="001B77DD">
            <w:pPr>
              <w:rPr>
                <w:rFonts w:ascii="宋体"/>
              </w:rPr>
            </w:pPr>
          </w:p>
        </w:tc>
        <w:tc>
          <w:tcPr>
            <w:tcW w:w="5" w:type="pct"/>
            <w:shd w:val="clear" w:color="auto" w:fill="auto"/>
            <w:vAlign w:val="bottom"/>
          </w:tcPr>
          <w:p w14:paraId="675367DB" w14:textId="77777777" w:rsidR="001B77DD" w:rsidRDefault="001B77DD">
            <w:pPr>
              <w:rPr>
                <w:rFonts w:ascii="宋体"/>
              </w:rPr>
            </w:pPr>
          </w:p>
        </w:tc>
        <w:tc>
          <w:tcPr>
            <w:tcW w:w="5" w:type="pct"/>
            <w:shd w:val="clear" w:color="auto" w:fill="auto"/>
            <w:vAlign w:val="bottom"/>
          </w:tcPr>
          <w:p w14:paraId="675367DC" w14:textId="77777777" w:rsidR="001B77DD" w:rsidRDefault="001B77DD">
            <w:pPr>
              <w:rPr>
                <w:rFonts w:ascii="宋体"/>
              </w:rPr>
            </w:pPr>
          </w:p>
        </w:tc>
        <w:tc>
          <w:tcPr>
            <w:tcW w:w="24" w:type="pct"/>
            <w:shd w:val="clear" w:color="auto" w:fill="auto"/>
            <w:vAlign w:val="bottom"/>
          </w:tcPr>
          <w:p w14:paraId="675367DD" w14:textId="77777777" w:rsidR="001B77DD" w:rsidRDefault="001B77DD">
            <w:pPr>
              <w:rPr>
                <w:rFonts w:ascii="宋体"/>
              </w:rPr>
            </w:pPr>
          </w:p>
        </w:tc>
        <w:tc>
          <w:tcPr>
            <w:tcW w:w="5" w:type="pct"/>
            <w:shd w:val="clear" w:color="auto" w:fill="auto"/>
            <w:vAlign w:val="bottom"/>
          </w:tcPr>
          <w:p w14:paraId="675367DE" w14:textId="77777777" w:rsidR="001B77DD" w:rsidRDefault="001B77DD">
            <w:pPr>
              <w:rPr>
                <w:rFonts w:ascii="宋体"/>
              </w:rPr>
            </w:pPr>
          </w:p>
        </w:tc>
        <w:tc>
          <w:tcPr>
            <w:tcW w:w="50" w:type="pct"/>
            <w:shd w:val="clear" w:color="auto" w:fill="auto"/>
            <w:vAlign w:val="bottom"/>
          </w:tcPr>
          <w:p w14:paraId="675367DF" w14:textId="77777777" w:rsidR="001B77DD" w:rsidRDefault="001B77DD">
            <w:pPr>
              <w:rPr>
                <w:rFonts w:ascii="宋体"/>
              </w:rPr>
            </w:pPr>
          </w:p>
        </w:tc>
        <w:tc>
          <w:tcPr>
            <w:tcW w:w="546" w:type="pct"/>
            <w:shd w:val="clear" w:color="auto" w:fill="auto"/>
            <w:vAlign w:val="bottom"/>
          </w:tcPr>
          <w:p w14:paraId="675367E0" w14:textId="77777777" w:rsidR="001B77DD" w:rsidRDefault="001B77DD">
            <w:pPr>
              <w:rPr>
                <w:rFonts w:ascii="宋体"/>
              </w:rPr>
            </w:pPr>
          </w:p>
        </w:tc>
        <w:tc>
          <w:tcPr>
            <w:tcW w:w="5" w:type="pct"/>
            <w:shd w:val="clear" w:color="auto" w:fill="auto"/>
            <w:vAlign w:val="bottom"/>
          </w:tcPr>
          <w:p w14:paraId="675367E1" w14:textId="77777777" w:rsidR="001B77DD" w:rsidRDefault="001B77DD">
            <w:pPr>
              <w:rPr>
                <w:rFonts w:ascii="宋体"/>
              </w:rPr>
            </w:pPr>
          </w:p>
        </w:tc>
        <w:tc>
          <w:tcPr>
            <w:tcW w:w="5" w:type="pct"/>
            <w:shd w:val="clear" w:color="auto" w:fill="auto"/>
            <w:vAlign w:val="bottom"/>
          </w:tcPr>
          <w:p w14:paraId="675367E2" w14:textId="77777777" w:rsidR="001B77DD" w:rsidRDefault="001B77DD">
            <w:pPr>
              <w:rPr>
                <w:rFonts w:ascii="宋体"/>
              </w:rPr>
            </w:pPr>
          </w:p>
        </w:tc>
        <w:tc>
          <w:tcPr>
            <w:tcW w:w="24" w:type="pct"/>
            <w:shd w:val="clear" w:color="auto" w:fill="auto"/>
            <w:vAlign w:val="bottom"/>
          </w:tcPr>
          <w:p w14:paraId="675367E3" w14:textId="77777777" w:rsidR="001B77DD" w:rsidRDefault="001B77DD">
            <w:pPr>
              <w:rPr>
                <w:rFonts w:ascii="宋体"/>
              </w:rPr>
            </w:pPr>
          </w:p>
        </w:tc>
        <w:tc>
          <w:tcPr>
            <w:tcW w:w="5" w:type="pct"/>
            <w:shd w:val="clear" w:color="auto" w:fill="auto"/>
            <w:vAlign w:val="bottom"/>
          </w:tcPr>
          <w:p w14:paraId="675367E4" w14:textId="77777777" w:rsidR="001B77DD" w:rsidRDefault="001B77DD">
            <w:pPr>
              <w:rPr>
                <w:rFonts w:ascii="宋体"/>
              </w:rPr>
            </w:pPr>
          </w:p>
        </w:tc>
        <w:tc>
          <w:tcPr>
            <w:tcW w:w="50" w:type="pct"/>
            <w:shd w:val="clear" w:color="auto" w:fill="auto"/>
            <w:vAlign w:val="bottom"/>
          </w:tcPr>
          <w:p w14:paraId="675367E5" w14:textId="77777777" w:rsidR="001B77DD" w:rsidRDefault="001B77DD">
            <w:pPr>
              <w:rPr>
                <w:rFonts w:ascii="宋体"/>
              </w:rPr>
            </w:pPr>
          </w:p>
        </w:tc>
        <w:tc>
          <w:tcPr>
            <w:tcW w:w="546" w:type="pct"/>
            <w:shd w:val="clear" w:color="auto" w:fill="auto"/>
            <w:vAlign w:val="bottom"/>
          </w:tcPr>
          <w:p w14:paraId="675367E6" w14:textId="77777777" w:rsidR="001B77DD" w:rsidRDefault="001B77DD">
            <w:pPr>
              <w:rPr>
                <w:rFonts w:ascii="宋体"/>
              </w:rPr>
            </w:pPr>
          </w:p>
        </w:tc>
        <w:tc>
          <w:tcPr>
            <w:tcW w:w="5" w:type="pct"/>
            <w:shd w:val="clear" w:color="auto" w:fill="auto"/>
            <w:vAlign w:val="bottom"/>
          </w:tcPr>
          <w:p w14:paraId="675367E7" w14:textId="77777777" w:rsidR="001B77DD" w:rsidRDefault="001B77DD">
            <w:pPr>
              <w:rPr>
                <w:rFonts w:ascii="宋体"/>
              </w:rPr>
            </w:pPr>
          </w:p>
        </w:tc>
      </w:tr>
      <w:tr w:rsidR="001B77DD" w14:paraId="675367EE" w14:textId="77777777">
        <w:tc>
          <w:tcPr>
            <w:tcW w:w="0" w:type="auto"/>
            <w:gridSpan w:val="3"/>
            <w:shd w:val="clear" w:color="auto" w:fill="auto"/>
            <w:tcMar>
              <w:top w:w="40" w:type="dxa"/>
              <w:left w:w="20" w:type="dxa"/>
              <w:bottom w:w="40" w:type="dxa"/>
              <w:right w:w="20" w:type="dxa"/>
            </w:tcMar>
            <w:vAlign w:val="bottom"/>
          </w:tcPr>
          <w:p w14:paraId="675367E9"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67E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7EB"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7E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7ED"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67F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7EF" w14:textId="77777777" w:rsidR="001B77DD" w:rsidRDefault="00BF0A28">
            <w:pPr>
              <w:textAlignment w:val="bottom"/>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675367F0"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7F1"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7F2" w14:textId="77777777" w:rsidR="001B77DD" w:rsidRDefault="00BF0A28">
            <w:pPr>
              <w:jc w:val="right"/>
              <w:textAlignment w:val="bottom"/>
            </w:pPr>
            <w:r>
              <w:rPr>
                <w:rFonts w:ascii="Arial" w:eastAsia="宋体" w:hAnsi="Arial" w:cs="Arial"/>
                <w:color w:val="0068B5"/>
                <w:sz w:val="18"/>
                <w:szCs w:val="18"/>
              </w:rPr>
              <w:t>48 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7F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F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7F5"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7F6" w14:textId="77777777" w:rsidR="001B77DD" w:rsidRDefault="00BF0A28">
            <w:pPr>
              <w:jc w:val="right"/>
              <w:textAlignment w:val="bottom"/>
            </w:pPr>
            <w:r>
              <w:rPr>
                <w:rFonts w:ascii="Arial" w:eastAsia="宋体" w:hAnsi="Arial" w:cs="Arial"/>
                <w:color w:val="262626"/>
                <w:sz w:val="18"/>
                <w:szCs w:val="18"/>
              </w:rPr>
              <w:t>124 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7F7" w14:textId="77777777" w:rsidR="001B77DD" w:rsidRDefault="001B77DD">
            <w:pPr>
              <w:jc w:val="right"/>
              <w:rPr>
                <w:rFonts w:ascii="宋体"/>
              </w:rPr>
            </w:pPr>
          </w:p>
        </w:tc>
      </w:tr>
      <w:tr w:rsidR="001B77DD" w14:paraId="67536800" w14:textId="77777777">
        <w:tc>
          <w:tcPr>
            <w:tcW w:w="0" w:type="auto"/>
            <w:gridSpan w:val="3"/>
            <w:shd w:val="clear" w:color="auto" w:fill="auto"/>
            <w:tcMar>
              <w:top w:w="40" w:type="dxa"/>
              <w:left w:w="20" w:type="dxa"/>
              <w:bottom w:w="40" w:type="dxa"/>
              <w:right w:w="20" w:type="dxa"/>
            </w:tcMar>
            <w:vAlign w:val="bottom"/>
          </w:tcPr>
          <w:p w14:paraId="675367F9" w14:textId="77777777" w:rsidR="001B77DD" w:rsidRDefault="00BF0A28">
            <w:pPr>
              <w:textAlignment w:val="bottom"/>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675367F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FB" w14:textId="77777777" w:rsidR="001B77DD" w:rsidRDefault="00BF0A28">
            <w:pPr>
              <w:jc w:val="right"/>
              <w:textAlignment w:val="bottom"/>
            </w:pPr>
            <w:r>
              <w:rPr>
                <w:rFonts w:ascii="Arial" w:eastAsia="宋体" w:hAnsi="Arial" w:cs="Arial"/>
                <w:color w:val="0068B5"/>
                <w:sz w:val="18"/>
                <w:szCs w:val="18"/>
              </w:rPr>
              <w:t>2,291 </w:t>
            </w:r>
          </w:p>
        </w:tc>
        <w:tc>
          <w:tcPr>
            <w:tcW w:w="0" w:type="auto"/>
            <w:shd w:val="clear" w:color="auto" w:fill="auto"/>
            <w:tcMar>
              <w:top w:w="40" w:type="dxa"/>
              <w:left w:w="0" w:type="dxa"/>
              <w:bottom w:w="40" w:type="dxa"/>
              <w:right w:w="20" w:type="dxa"/>
            </w:tcMar>
            <w:vAlign w:val="bottom"/>
          </w:tcPr>
          <w:p w14:paraId="675367F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7F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7FE" w14:textId="77777777" w:rsidR="001B77DD" w:rsidRDefault="00BF0A28">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675367FF" w14:textId="77777777" w:rsidR="001B77DD" w:rsidRDefault="001B77DD">
            <w:pPr>
              <w:jc w:val="right"/>
              <w:rPr>
                <w:rFonts w:ascii="宋体"/>
              </w:rPr>
            </w:pPr>
          </w:p>
        </w:tc>
      </w:tr>
      <w:tr w:rsidR="001B77DD" w14:paraId="67536808" w14:textId="77777777">
        <w:tc>
          <w:tcPr>
            <w:tcW w:w="0" w:type="auto"/>
            <w:gridSpan w:val="3"/>
            <w:shd w:val="clear" w:color="auto" w:fill="auto"/>
            <w:tcMar>
              <w:top w:w="40" w:type="dxa"/>
              <w:left w:w="20" w:type="dxa"/>
              <w:bottom w:w="40" w:type="dxa"/>
              <w:right w:w="20" w:type="dxa"/>
            </w:tcMar>
            <w:vAlign w:val="bottom"/>
          </w:tcPr>
          <w:p w14:paraId="67536801" w14:textId="77777777" w:rsidR="001B77DD" w:rsidRDefault="00BF0A28">
            <w:pPr>
              <w:textAlignment w:val="bottom"/>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6753680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03" w14:textId="77777777" w:rsidR="001B77DD" w:rsidRDefault="00BF0A28">
            <w:pPr>
              <w:jc w:val="right"/>
              <w:textAlignment w:val="bottom"/>
            </w:pPr>
            <w:r>
              <w:rPr>
                <w:rFonts w:ascii="Arial" w:eastAsia="宋体" w:hAnsi="Arial" w:cs="Arial"/>
                <w:color w:val="0068B5"/>
                <w:sz w:val="18"/>
                <w:szCs w:val="18"/>
              </w:rPr>
              <w:t>287 </w:t>
            </w:r>
          </w:p>
        </w:tc>
        <w:tc>
          <w:tcPr>
            <w:tcW w:w="0" w:type="auto"/>
            <w:shd w:val="clear" w:color="auto" w:fill="auto"/>
            <w:tcMar>
              <w:top w:w="40" w:type="dxa"/>
              <w:left w:w="0" w:type="dxa"/>
              <w:bottom w:w="40" w:type="dxa"/>
              <w:right w:w="20" w:type="dxa"/>
            </w:tcMar>
            <w:vAlign w:val="bottom"/>
          </w:tcPr>
          <w:p w14:paraId="6753680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0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06" w14:textId="77777777" w:rsidR="001B77DD" w:rsidRDefault="00BF0A28">
            <w:pPr>
              <w:jc w:val="right"/>
              <w:textAlignment w:val="bottom"/>
            </w:pPr>
            <w:r>
              <w:rPr>
                <w:rFonts w:ascii="Arial" w:eastAsia="宋体" w:hAnsi="Arial" w:cs="Arial"/>
                <w:color w:val="262626"/>
                <w:sz w:val="18"/>
                <w:szCs w:val="18"/>
              </w:rPr>
              <w:t>7 </w:t>
            </w:r>
          </w:p>
        </w:tc>
        <w:tc>
          <w:tcPr>
            <w:tcW w:w="0" w:type="auto"/>
            <w:shd w:val="clear" w:color="auto" w:fill="auto"/>
            <w:tcMar>
              <w:top w:w="40" w:type="dxa"/>
              <w:left w:w="0" w:type="dxa"/>
              <w:bottom w:w="40" w:type="dxa"/>
              <w:right w:w="20" w:type="dxa"/>
            </w:tcMar>
            <w:vAlign w:val="bottom"/>
          </w:tcPr>
          <w:p w14:paraId="67536807" w14:textId="77777777" w:rsidR="001B77DD" w:rsidRDefault="001B77DD">
            <w:pPr>
              <w:jc w:val="right"/>
              <w:rPr>
                <w:rFonts w:ascii="宋体"/>
              </w:rPr>
            </w:pPr>
          </w:p>
        </w:tc>
      </w:tr>
      <w:tr w:rsidR="001B77DD" w14:paraId="67536812" w14:textId="77777777">
        <w:tc>
          <w:tcPr>
            <w:tcW w:w="0" w:type="auto"/>
            <w:gridSpan w:val="3"/>
            <w:shd w:val="clear" w:color="auto" w:fill="auto"/>
            <w:tcMar>
              <w:top w:w="40" w:type="dxa"/>
              <w:left w:w="20" w:type="dxa"/>
              <w:bottom w:w="40" w:type="dxa"/>
              <w:right w:w="20" w:type="dxa"/>
            </w:tcMar>
            <w:vAlign w:val="bottom"/>
          </w:tcPr>
          <w:p w14:paraId="67536809" w14:textId="77777777" w:rsidR="001B77DD" w:rsidRDefault="00BF0A28">
            <w:pPr>
              <w:textAlignment w:val="bottom"/>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6753680A"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80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80C" w14:textId="77777777" w:rsidR="001B77DD" w:rsidRDefault="00BF0A28">
            <w:pPr>
              <w:jc w:val="right"/>
              <w:textAlignment w:val="bottom"/>
            </w:pPr>
            <w:r>
              <w:rPr>
                <w:rFonts w:ascii="Arial" w:eastAsia="宋体" w:hAnsi="Arial" w:cs="Arial"/>
                <w:b/>
                <w:bCs/>
                <w:color w:val="0068B5"/>
                <w:sz w:val="18"/>
                <w:szCs w:val="18"/>
              </w:rPr>
              <w:t>2,626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80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0E" w14:textId="77777777" w:rsidR="001B77DD" w:rsidRDefault="001B77DD">
            <w:pPr>
              <w:rPr>
                <w:rFonts w:ascii="宋体"/>
              </w:rPr>
            </w:pPr>
          </w:p>
        </w:tc>
        <w:tc>
          <w:tcPr>
            <w:tcW w:w="0" w:type="auto"/>
            <w:tcBorders>
              <w:top w:val="single" w:sz="4" w:space="0" w:color="262626"/>
              <w:bottom w:val="double" w:sz="6" w:space="0" w:color="333333"/>
            </w:tcBorders>
            <w:shd w:val="clear" w:color="auto" w:fill="auto"/>
            <w:tcMar>
              <w:top w:w="40" w:type="dxa"/>
              <w:left w:w="20" w:type="dxa"/>
              <w:bottom w:w="40" w:type="dxa"/>
              <w:right w:w="0" w:type="dxa"/>
            </w:tcMar>
            <w:vAlign w:val="bottom"/>
          </w:tcPr>
          <w:p w14:paraId="6753680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333333"/>
            </w:tcBorders>
            <w:shd w:val="clear" w:color="auto" w:fill="auto"/>
            <w:tcMar>
              <w:top w:w="40" w:type="dxa"/>
              <w:left w:w="0" w:type="dxa"/>
              <w:bottom w:w="40" w:type="dxa"/>
              <w:right w:w="0" w:type="dxa"/>
            </w:tcMar>
            <w:vAlign w:val="bottom"/>
          </w:tcPr>
          <w:p w14:paraId="67536810" w14:textId="77777777" w:rsidR="001B77DD" w:rsidRDefault="00BF0A28">
            <w:pPr>
              <w:jc w:val="right"/>
              <w:textAlignment w:val="bottom"/>
            </w:pPr>
            <w:r>
              <w:rPr>
                <w:rFonts w:ascii="Arial" w:eastAsia="宋体" w:hAnsi="Arial" w:cs="Arial"/>
                <w:b/>
                <w:bCs/>
                <w:color w:val="262626"/>
                <w:sz w:val="18"/>
                <w:szCs w:val="18"/>
              </w:rPr>
              <w:t>198</w:t>
            </w:r>
            <w:r>
              <w:rPr>
                <w:rFonts w:ascii="Arial" w:eastAsia="宋体" w:hAnsi="Arial" w:cs="Arial"/>
                <w:color w:val="262626"/>
                <w:sz w:val="18"/>
                <w:szCs w:val="18"/>
              </w:rPr>
              <w:t> </w:t>
            </w:r>
          </w:p>
        </w:tc>
        <w:tc>
          <w:tcPr>
            <w:tcW w:w="0" w:type="auto"/>
            <w:tcBorders>
              <w:top w:val="single" w:sz="4" w:space="0" w:color="262626"/>
              <w:bottom w:val="double" w:sz="6" w:space="0" w:color="333333"/>
            </w:tcBorders>
            <w:shd w:val="clear" w:color="auto" w:fill="auto"/>
            <w:tcMar>
              <w:top w:w="40" w:type="dxa"/>
              <w:left w:w="0" w:type="dxa"/>
              <w:bottom w:w="40" w:type="dxa"/>
              <w:right w:w="20" w:type="dxa"/>
            </w:tcMar>
            <w:vAlign w:val="bottom"/>
          </w:tcPr>
          <w:p w14:paraId="67536811" w14:textId="77777777" w:rsidR="001B77DD" w:rsidRDefault="001B77DD">
            <w:pPr>
              <w:jc w:val="right"/>
              <w:rPr>
                <w:rFonts w:ascii="宋体"/>
              </w:rPr>
            </w:pPr>
          </w:p>
        </w:tc>
      </w:tr>
    </w:tbl>
    <w:p w14:paraId="67536813" w14:textId="77777777" w:rsidR="001B77DD" w:rsidRDefault="00BF0A28">
      <w:pPr>
        <w:spacing w:after="180"/>
      </w:pPr>
      <w:r>
        <w:rPr>
          <w:rFonts w:ascii="Arial" w:eastAsia="宋体" w:hAnsi="Arial" w:cs="Arial"/>
          <w:color w:val="262626"/>
          <w:sz w:val="18"/>
          <w:szCs w:val="18"/>
        </w:rPr>
        <w:t xml:space="preserve">A restructuring program was approved in the first quarter of 2020 to further align our workforce with our continuing investments in the business and to execute the planned </w:t>
      </w:r>
      <w:r>
        <w:rPr>
          <w:rFonts w:ascii="Arial" w:eastAsia="宋体" w:hAnsi="Arial" w:cs="Arial"/>
          <w:color w:val="262626"/>
          <w:sz w:val="18"/>
          <w:szCs w:val="18"/>
        </w:rPr>
        <w:t>divestiture of Home Gateway Platform, a division of CCG. These actions were substantially complete as of September 25, 2021.</w:t>
      </w:r>
    </w:p>
    <w:p w14:paraId="67536814" w14:textId="77777777" w:rsidR="001B77DD" w:rsidRDefault="00BF0A28">
      <w:pPr>
        <w:spacing w:after="180"/>
      </w:pPr>
      <w:r>
        <w:rPr>
          <w:rFonts w:ascii="Arial" w:eastAsia="宋体" w:hAnsi="Arial" w:cs="Arial"/>
          <w:color w:val="262626"/>
          <w:sz w:val="18"/>
          <w:szCs w:val="18"/>
        </w:rPr>
        <w:t>Litigation charges and other includes a charge of $2.2 billion in the first quarter of 2021 related to the VLSI Technology LLC (VLS</w:t>
      </w:r>
      <w:r>
        <w:rPr>
          <w:rFonts w:ascii="Arial" w:eastAsia="宋体" w:hAnsi="Arial" w:cs="Arial"/>
          <w:color w:val="262626"/>
          <w:sz w:val="18"/>
          <w:szCs w:val="18"/>
        </w:rPr>
        <w:t>I) litigation, which is recorded as a Corporate charge in the "all other" category presented in "Note 3: Operating Segments" within Notes to Consolidated Financial Statements. Refer to "Note 19: Commitments and Contingencies" within Notes to Consolidated F</w:t>
      </w:r>
      <w:r>
        <w:rPr>
          <w:rFonts w:ascii="Arial" w:eastAsia="宋体" w:hAnsi="Arial" w:cs="Arial"/>
          <w:color w:val="262626"/>
          <w:sz w:val="18"/>
          <w:szCs w:val="18"/>
        </w:rPr>
        <w:t>inancial Statements for further information on legal proceedings related to the VLSI litigation.</w:t>
      </w:r>
    </w:p>
    <w:p w14:paraId="67536815" w14:textId="77777777" w:rsidR="001B77DD" w:rsidRDefault="00BF0A28">
      <w:pPr>
        <w:spacing w:after="180"/>
      </w:pPr>
      <w:r>
        <w:rPr>
          <w:rFonts w:ascii="Arial" w:eastAsia="宋体" w:hAnsi="Arial" w:cs="Arial"/>
          <w:color w:val="262626"/>
          <w:sz w:val="18"/>
          <w:szCs w:val="18"/>
        </w:rPr>
        <w:t>Asset impairment charges includes impairments related to the shutdown in the second quarter of 2021 of two of our non-strategic businesses, the results of whic</w:t>
      </w:r>
      <w:r>
        <w:rPr>
          <w:rFonts w:ascii="Arial" w:eastAsia="宋体" w:hAnsi="Arial" w:cs="Arial"/>
          <w:color w:val="262626"/>
          <w:sz w:val="18"/>
          <w:szCs w:val="18"/>
        </w:rPr>
        <w:t>h are included in the "all other" category presented in "Note 3: Operating Segments" within Notes to Consolidated Financial Statements. The goodwill related to these businesses was impaired, resulting in a charge of $238 million recognized in the second qu</w:t>
      </w:r>
      <w:r>
        <w:rPr>
          <w:rFonts w:ascii="Arial" w:eastAsia="宋体" w:hAnsi="Arial" w:cs="Arial"/>
          <w:color w:val="262626"/>
          <w:sz w:val="18"/>
          <w:szCs w:val="18"/>
        </w:rPr>
        <w:t>arter of 2021 in the "all other" category along with other impairment charges related to these businesses.</w:t>
      </w:r>
    </w:p>
    <w:tbl>
      <w:tblPr>
        <w:tblW w:w="5000" w:type="pct"/>
        <w:tblCellMar>
          <w:top w:w="15" w:type="dxa"/>
          <w:left w:w="15" w:type="dxa"/>
          <w:bottom w:w="15" w:type="dxa"/>
          <w:right w:w="15" w:type="dxa"/>
        </w:tblCellMar>
        <w:tblLook w:val="04A0" w:firstRow="1" w:lastRow="0" w:firstColumn="1" w:lastColumn="0" w:noHBand="0" w:noVBand="1"/>
      </w:tblPr>
      <w:tblGrid>
        <w:gridCol w:w="69"/>
        <w:gridCol w:w="805"/>
        <w:gridCol w:w="36"/>
        <w:gridCol w:w="69"/>
        <w:gridCol w:w="7321"/>
        <w:gridCol w:w="36"/>
      </w:tblGrid>
      <w:tr w:rsidR="001B77DD" w14:paraId="6753681C" w14:textId="77777777">
        <w:tc>
          <w:tcPr>
            <w:tcW w:w="50" w:type="pct"/>
            <w:shd w:val="clear" w:color="auto" w:fill="auto"/>
            <w:vAlign w:val="bottom"/>
          </w:tcPr>
          <w:p w14:paraId="67536816" w14:textId="77777777" w:rsidR="001B77DD" w:rsidRDefault="001B77DD">
            <w:pPr>
              <w:rPr>
                <w:rFonts w:ascii="宋体"/>
              </w:rPr>
            </w:pPr>
          </w:p>
        </w:tc>
        <w:tc>
          <w:tcPr>
            <w:tcW w:w="491" w:type="pct"/>
            <w:shd w:val="clear" w:color="auto" w:fill="auto"/>
            <w:vAlign w:val="bottom"/>
          </w:tcPr>
          <w:p w14:paraId="67536817" w14:textId="77777777" w:rsidR="001B77DD" w:rsidRDefault="001B77DD">
            <w:pPr>
              <w:rPr>
                <w:rFonts w:ascii="宋体"/>
              </w:rPr>
            </w:pPr>
          </w:p>
        </w:tc>
        <w:tc>
          <w:tcPr>
            <w:tcW w:w="5" w:type="pct"/>
            <w:shd w:val="clear" w:color="auto" w:fill="auto"/>
            <w:vAlign w:val="bottom"/>
          </w:tcPr>
          <w:p w14:paraId="67536818" w14:textId="77777777" w:rsidR="001B77DD" w:rsidRDefault="001B77DD">
            <w:pPr>
              <w:rPr>
                <w:rFonts w:ascii="宋体"/>
              </w:rPr>
            </w:pPr>
          </w:p>
        </w:tc>
        <w:tc>
          <w:tcPr>
            <w:tcW w:w="50" w:type="pct"/>
            <w:shd w:val="clear" w:color="auto" w:fill="auto"/>
            <w:vAlign w:val="bottom"/>
          </w:tcPr>
          <w:p w14:paraId="67536819" w14:textId="77777777" w:rsidR="001B77DD" w:rsidRDefault="001B77DD">
            <w:pPr>
              <w:rPr>
                <w:rFonts w:ascii="宋体"/>
              </w:rPr>
            </w:pPr>
          </w:p>
        </w:tc>
        <w:tc>
          <w:tcPr>
            <w:tcW w:w="4398" w:type="pct"/>
            <w:shd w:val="clear" w:color="auto" w:fill="auto"/>
            <w:vAlign w:val="bottom"/>
          </w:tcPr>
          <w:p w14:paraId="6753681A" w14:textId="77777777" w:rsidR="001B77DD" w:rsidRDefault="001B77DD">
            <w:pPr>
              <w:rPr>
                <w:rFonts w:ascii="宋体"/>
              </w:rPr>
            </w:pPr>
          </w:p>
        </w:tc>
        <w:tc>
          <w:tcPr>
            <w:tcW w:w="5" w:type="pct"/>
            <w:shd w:val="clear" w:color="auto" w:fill="auto"/>
            <w:vAlign w:val="bottom"/>
          </w:tcPr>
          <w:p w14:paraId="6753681B" w14:textId="77777777" w:rsidR="001B77DD" w:rsidRDefault="001B77DD">
            <w:pPr>
              <w:rPr>
                <w:rFonts w:ascii="宋体"/>
              </w:rPr>
            </w:pPr>
          </w:p>
        </w:tc>
      </w:tr>
      <w:tr w:rsidR="001B77DD" w14:paraId="6753681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81D" w14:textId="77777777" w:rsidR="001B77DD" w:rsidRDefault="00BF0A28">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81E" w14:textId="77777777" w:rsidR="001B77DD" w:rsidRDefault="00BF0A28">
            <w:pPr>
              <w:textAlignment w:val="bottom"/>
            </w:pPr>
            <w:r>
              <w:rPr>
                <w:rFonts w:ascii="Arial" w:eastAsia="宋体" w:hAnsi="Arial" w:cs="Arial"/>
                <w:color w:val="0068B5"/>
                <w:sz w:val="28"/>
                <w:szCs w:val="28"/>
              </w:rPr>
              <w:t>Income Taxes</w:t>
            </w:r>
          </w:p>
        </w:tc>
      </w:tr>
    </w:tbl>
    <w:p w14:paraId="67536820" w14:textId="77777777" w:rsidR="001B77DD" w:rsidRDefault="00BF0A28">
      <w:pPr>
        <w:spacing w:after="120"/>
      </w:pPr>
      <w:r>
        <w:rPr>
          <w:rFonts w:ascii="Arial" w:eastAsia="宋体" w:hAnsi="Arial" w:cs="Arial"/>
          <w:color w:val="0068B5"/>
        </w:rPr>
        <w:t>Income Tax Provision</w:t>
      </w:r>
    </w:p>
    <w:tbl>
      <w:tblPr>
        <w:tblW w:w="5000" w:type="pct"/>
        <w:tblCellMar>
          <w:top w:w="15" w:type="dxa"/>
          <w:left w:w="15" w:type="dxa"/>
          <w:bottom w:w="15" w:type="dxa"/>
          <w:right w:w="15" w:type="dxa"/>
        </w:tblCellMar>
        <w:tblLook w:val="04A0" w:firstRow="1" w:lastRow="0" w:firstColumn="1" w:lastColumn="0" w:noHBand="0" w:noVBand="1"/>
      </w:tblPr>
      <w:tblGrid>
        <w:gridCol w:w="38"/>
        <w:gridCol w:w="4940"/>
        <w:gridCol w:w="37"/>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1B77DD" w14:paraId="67536836" w14:textId="77777777">
        <w:tc>
          <w:tcPr>
            <w:tcW w:w="50" w:type="pct"/>
            <w:shd w:val="clear" w:color="auto" w:fill="auto"/>
            <w:vAlign w:val="bottom"/>
          </w:tcPr>
          <w:p w14:paraId="67536821" w14:textId="77777777" w:rsidR="001B77DD" w:rsidRDefault="001B77DD">
            <w:pPr>
              <w:rPr>
                <w:rFonts w:ascii="宋体"/>
              </w:rPr>
            </w:pPr>
          </w:p>
        </w:tc>
        <w:tc>
          <w:tcPr>
            <w:tcW w:w="3059" w:type="pct"/>
            <w:shd w:val="clear" w:color="auto" w:fill="auto"/>
            <w:vAlign w:val="bottom"/>
          </w:tcPr>
          <w:p w14:paraId="67536822" w14:textId="77777777" w:rsidR="001B77DD" w:rsidRDefault="001B77DD">
            <w:pPr>
              <w:rPr>
                <w:rFonts w:ascii="宋体"/>
              </w:rPr>
            </w:pPr>
          </w:p>
        </w:tc>
        <w:tc>
          <w:tcPr>
            <w:tcW w:w="5" w:type="pct"/>
            <w:shd w:val="clear" w:color="auto" w:fill="auto"/>
            <w:vAlign w:val="bottom"/>
          </w:tcPr>
          <w:p w14:paraId="67536823" w14:textId="77777777" w:rsidR="001B77DD" w:rsidRDefault="001B77DD">
            <w:pPr>
              <w:rPr>
                <w:rFonts w:ascii="宋体"/>
              </w:rPr>
            </w:pPr>
          </w:p>
        </w:tc>
        <w:tc>
          <w:tcPr>
            <w:tcW w:w="5" w:type="pct"/>
            <w:shd w:val="clear" w:color="auto" w:fill="auto"/>
            <w:vAlign w:val="bottom"/>
          </w:tcPr>
          <w:p w14:paraId="67536824" w14:textId="77777777" w:rsidR="001B77DD" w:rsidRDefault="001B77DD">
            <w:pPr>
              <w:rPr>
                <w:rFonts w:ascii="宋体"/>
              </w:rPr>
            </w:pPr>
          </w:p>
        </w:tc>
        <w:tc>
          <w:tcPr>
            <w:tcW w:w="24" w:type="pct"/>
            <w:shd w:val="clear" w:color="auto" w:fill="auto"/>
            <w:vAlign w:val="bottom"/>
          </w:tcPr>
          <w:p w14:paraId="67536825" w14:textId="77777777" w:rsidR="001B77DD" w:rsidRDefault="001B77DD">
            <w:pPr>
              <w:rPr>
                <w:rFonts w:ascii="宋体"/>
              </w:rPr>
            </w:pPr>
          </w:p>
        </w:tc>
        <w:tc>
          <w:tcPr>
            <w:tcW w:w="5" w:type="pct"/>
            <w:shd w:val="clear" w:color="auto" w:fill="auto"/>
            <w:vAlign w:val="bottom"/>
          </w:tcPr>
          <w:p w14:paraId="67536826" w14:textId="77777777" w:rsidR="001B77DD" w:rsidRDefault="001B77DD">
            <w:pPr>
              <w:rPr>
                <w:rFonts w:ascii="宋体"/>
              </w:rPr>
            </w:pPr>
          </w:p>
        </w:tc>
        <w:tc>
          <w:tcPr>
            <w:tcW w:w="50" w:type="pct"/>
            <w:shd w:val="clear" w:color="auto" w:fill="auto"/>
            <w:vAlign w:val="bottom"/>
          </w:tcPr>
          <w:p w14:paraId="67536827" w14:textId="77777777" w:rsidR="001B77DD" w:rsidRDefault="001B77DD">
            <w:pPr>
              <w:rPr>
                <w:rFonts w:ascii="宋体"/>
              </w:rPr>
            </w:pPr>
          </w:p>
        </w:tc>
        <w:tc>
          <w:tcPr>
            <w:tcW w:w="539" w:type="pct"/>
            <w:shd w:val="clear" w:color="auto" w:fill="auto"/>
            <w:vAlign w:val="bottom"/>
          </w:tcPr>
          <w:p w14:paraId="67536828" w14:textId="77777777" w:rsidR="001B77DD" w:rsidRDefault="001B77DD">
            <w:pPr>
              <w:rPr>
                <w:rFonts w:ascii="宋体"/>
              </w:rPr>
            </w:pPr>
          </w:p>
        </w:tc>
        <w:tc>
          <w:tcPr>
            <w:tcW w:w="5" w:type="pct"/>
            <w:shd w:val="clear" w:color="auto" w:fill="auto"/>
            <w:vAlign w:val="bottom"/>
          </w:tcPr>
          <w:p w14:paraId="67536829" w14:textId="77777777" w:rsidR="001B77DD" w:rsidRDefault="001B77DD">
            <w:pPr>
              <w:rPr>
                <w:rFonts w:ascii="宋体"/>
              </w:rPr>
            </w:pPr>
          </w:p>
        </w:tc>
        <w:tc>
          <w:tcPr>
            <w:tcW w:w="5" w:type="pct"/>
            <w:shd w:val="clear" w:color="auto" w:fill="auto"/>
            <w:vAlign w:val="bottom"/>
          </w:tcPr>
          <w:p w14:paraId="6753682A" w14:textId="77777777" w:rsidR="001B77DD" w:rsidRDefault="001B77DD">
            <w:pPr>
              <w:rPr>
                <w:rFonts w:ascii="宋体"/>
              </w:rPr>
            </w:pPr>
          </w:p>
        </w:tc>
        <w:tc>
          <w:tcPr>
            <w:tcW w:w="24" w:type="pct"/>
            <w:shd w:val="clear" w:color="auto" w:fill="auto"/>
            <w:vAlign w:val="bottom"/>
          </w:tcPr>
          <w:p w14:paraId="6753682B" w14:textId="77777777" w:rsidR="001B77DD" w:rsidRDefault="001B77DD">
            <w:pPr>
              <w:rPr>
                <w:rFonts w:ascii="宋体"/>
              </w:rPr>
            </w:pPr>
          </w:p>
        </w:tc>
        <w:tc>
          <w:tcPr>
            <w:tcW w:w="5" w:type="pct"/>
            <w:shd w:val="clear" w:color="auto" w:fill="auto"/>
            <w:vAlign w:val="bottom"/>
          </w:tcPr>
          <w:p w14:paraId="6753682C" w14:textId="77777777" w:rsidR="001B77DD" w:rsidRDefault="001B77DD">
            <w:pPr>
              <w:rPr>
                <w:rFonts w:ascii="宋体"/>
              </w:rPr>
            </w:pPr>
          </w:p>
        </w:tc>
        <w:tc>
          <w:tcPr>
            <w:tcW w:w="50" w:type="pct"/>
            <w:shd w:val="clear" w:color="auto" w:fill="auto"/>
            <w:vAlign w:val="bottom"/>
          </w:tcPr>
          <w:p w14:paraId="6753682D" w14:textId="77777777" w:rsidR="001B77DD" w:rsidRDefault="001B77DD">
            <w:pPr>
              <w:rPr>
                <w:rFonts w:ascii="宋体"/>
              </w:rPr>
            </w:pPr>
          </w:p>
        </w:tc>
        <w:tc>
          <w:tcPr>
            <w:tcW w:w="539" w:type="pct"/>
            <w:shd w:val="clear" w:color="auto" w:fill="auto"/>
            <w:vAlign w:val="bottom"/>
          </w:tcPr>
          <w:p w14:paraId="6753682E" w14:textId="77777777" w:rsidR="001B77DD" w:rsidRDefault="001B77DD">
            <w:pPr>
              <w:rPr>
                <w:rFonts w:ascii="宋体"/>
              </w:rPr>
            </w:pPr>
          </w:p>
        </w:tc>
        <w:tc>
          <w:tcPr>
            <w:tcW w:w="5" w:type="pct"/>
            <w:shd w:val="clear" w:color="auto" w:fill="auto"/>
            <w:vAlign w:val="bottom"/>
          </w:tcPr>
          <w:p w14:paraId="6753682F" w14:textId="77777777" w:rsidR="001B77DD" w:rsidRDefault="001B77DD">
            <w:pPr>
              <w:rPr>
                <w:rFonts w:ascii="宋体"/>
              </w:rPr>
            </w:pPr>
          </w:p>
        </w:tc>
        <w:tc>
          <w:tcPr>
            <w:tcW w:w="5" w:type="pct"/>
            <w:shd w:val="clear" w:color="auto" w:fill="auto"/>
            <w:vAlign w:val="bottom"/>
          </w:tcPr>
          <w:p w14:paraId="67536830" w14:textId="77777777" w:rsidR="001B77DD" w:rsidRDefault="001B77DD">
            <w:pPr>
              <w:rPr>
                <w:rFonts w:ascii="宋体"/>
              </w:rPr>
            </w:pPr>
          </w:p>
        </w:tc>
        <w:tc>
          <w:tcPr>
            <w:tcW w:w="24" w:type="pct"/>
            <w:shd w:val="clear" w:color="auto" w:fill="auto"/>
            <w:vAlign w:val="bottom"/>
          </w:tcPr>
          <w:p w14:paraId="67536831" w14:textId="77777777" w:rsidR="001B77DD" w:rsidRDefault="001B77DD">
            <w:pPr>
              <w:rPr>
                <w:rFonts w:ascii="宋体"/>
              </w:rPr>
            </w:pPr>
          </w:p>
        </w:tc>
        <w:tc>
          <w:tcPr>
            <w:tcW w:w="5" w:type="pct"/>
            <w:shd w:val="clear" w:color="auto" w:fill="auto"/>
            <w:vAlign w:val="bottom"/>
          </w:tcPr>
          <w:p w14:paraId="67536832" w14:textId="77777777" w:rsidR="001B77DD" w:rsidRDefault="001B77DD">
            <w:pPr>
              <w:rPr>
                <w:rFonts w:ascii="宋体"/>
              </w:rPr>
            </w:pPr>
          </w:p>
        </w:tc>
        <w:tc>
          <w:tcPr>
            <w:tcW w:w="50" w:type="pct"/>
            <w:shd w:val="clear" w:color="auto" w:fill="auto"/>
            <w:vAlign w:val="bottom"/>
          </w:tcPr>
          <w:p w14:paraId="67536833" w14:textId="77777777" w:rsidR="001B77DD" w:rsidRDefault="001B77DD">
            <w:pPr>
              <w:rPr>
                <w:rFonts w:ascii="宋体"/>
              </w:rPr>
            </w:pPr>
          </w:p>
        </w:tc>
        <w:tc>
          <w:tcPr>
            <w:tcW w:w="539" w:type="pct"/>
            <w:shd w:val="clear" w:color="auto" w:fill="auto"/>
            <w:vAlign w:val="bottom"/>
          </w:tcPr>
          <w:p w14:paraId="67536834" w14:textId="77777777" w:rsidR="001B77DD" w:rsidRDefault="001B77DD">
            <w:pPr>
              <w:rPr>
                <w:rFonts w:ascii="宋体"/>
              </w:rPr>
            </w:pPr>
          </w:p>
        </w:tc>
        <w:tc>
          <w:tcPr>
            <w:tcW w:w="5" w:type="pct"/>
            <w:shd w:val="clear" w:color="auto" w:fill="auto"/>
            <w:vAlign w:val="bottom"/>
          </w:tcPr>
          <w:p w14:paraId="67536835" w14:textId="77777777" w:rsidR="001B77DD" w:rsidRDefault="001B77DD">
            <w:pPr>
              <w:rPr>
                <w:rFonts w:ascii="宋体"/>
              </w:rPr>
            </w:pPr>
          </w:p>
        </w:tc>
      </w:tr>
      <w:tr w:rsidR="001B77DD" w14:paraId="6753683E" w14:textId="77777777">
        <w:tc>
          <w:tcPr>
            <w:tcW w:w="0" w:type="auto"/>
            <w:gridSpan w:val="3"/>
            <w:shd w:val="clear" w:color="auto" w:fill="auto"/>
            <w:tcMar>
              <w:top w:w="40" w:type="dxa"/>
              <w:left w:w="20" w:type="dxa"/>
              <w:bottom w:w="40" w:type="dxa"/>
              <w:right w:w="20" w:type="dxa"/>
            </w:tcMar>
            <w:vAlign w:val="bottom"/>
          </w:tcPr>
          <w:p w14:paraId="67536837" w14:textId="77777777" w:rsidR="001B77DD" w:rsidRDefault="00BF0A28">
            <w:pPr>
              <w:textAlignment w:val="bottom"/>
            </w:pPr>
            <w:r>
              <w:rPr>
                <w:rFonts w:ascii="Arial" w:eastAsia="宋体" w:hAnsi="Arial" w:cs="Arial"/>
                <w:b/>
                <w:bCs/>
                <w:color w:val="262626"/>
                <w:sz w:val="18"/>
                <w:szCs w:val="18"/>
              </w:rPr>
              <w:t>Year</w:t>
            </w:r>
            <w:r>
              <w:rPr>
                <w:rFonts w:ascii="Arial" w:eastAsia="宋体" w:hAnsi="Arial" w:cs="Arial"/>
                <w:b/>
                <w:bCs/>
                <w:color w:val="262626"/>
                <w:sz w:val="18"/>
                <w:szCs w:val="18"/>
              </w:rPr>
              <w:t>s Ended (In Millions)</w:t>
            </w:r>
          </w:p>
        </w:tc>
        <w:tc>
          <w:tcPr>
            <w:tcW w:w="0" w:type="auto"/>
            <w:gridSpan w:val="3"/>
            <w:shd w:val="clear" w:color="auto" w:fill="auto"/>
            <w:tcMar>
              <w:top w:w="0" w:type="dxa"/>
              <w:left w:w="20" w:type="dxa"/>
              <w:bottom w:w="0" w:type="dxa"/>
              <w:right w:w="20" w:type="dxa"/>
            </w:tcMar>
            <w:vAlign w:val="bottom"/>
          </w:tcPr>
          <w:p w14:paraId="6753683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839"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83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83B"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83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83D"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84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83F" w14:textId="77777777" w:rsidR="001B77DD" w:rsidRDefault="00BF0A28">
            <w:pPr>
              <w:textAlignment w:val="bottom"/>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67536840"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84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42"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84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44"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845" w14:textId="77777777" w:rsidR="001B77DD" w:rsidRDefault="001B77DD">
            <w:pPr>
              <w:rPr>
                <w:rFonts w:ascii="宋体"/>
              </w:rPr>
            </w:pPr>
          </w:p>
        </w:tc>
      </w:tr>
      <w:tr w:rsidR="001B77DD" w14:paraId="67536854" w14:textId="77777777">
        <w:tc>
          <w:tcPr>
            <w:tcW w:w="0" w:type="auto"/>
            <w:gridSpan w:val="3"/>
            <w:shd w:val="clear" w:color="auto" w:fill="auto"/>
            <w:tcMar>
              <w:top w:w="40" w:type="dxa"/>
              <w:left w:w="155" w:type="dxa"/>
              <w:bottom w:w="40" w:type="dxa"/>
              <w:right w:w="20" w:type="dxa"/>
            </w:tcMar>
            <w:vAlign w:val="bottom"/>
          </w:tcPr>
          <w:p w14:paraId="67536847" w14:textId="77777777" w:rsidR="001B77DD" w:rsidRDefault="00BF0A28">
            <w:pPr>
              <w:textAlignment w:val="bottom"/>
            </w:pPr>
            <w:r>
              <w:rPr>
                <w:rFonts w:ascii="Arial" w:eastAsia="宋体" w:hAnsi="Arial" w:cs="Arial"/>
                <w:color w:val="262626"/>
                <w:sz w:val="18"/>
                <w:szCs w:val="18"/>
              </w:rPr>
              <w:t>US</w:t>
            </w:r>
          </w:p>
        </w:tc>
        <w:tc>
          <w:tcPr>
            <w:tcW w:w="0" w:type="auto"/>
            <w:gridSpan w:val="3"/>
            <w:shd w:val="clear" w:color="auto" w:fill="auto"/>
            <w:tcMar>
              <w:top w:w="0" w:type="dxa"/>
              <w:left w:w="20" w:type="dxa"/>
              <w:bottom w:w="0" w:type="dxa"/>
              <w:right w:w="20" w:type="dxa"/>
            </w:tcMar>
            <w:vAlign w:val="bottom"/>
          </w:tcPr>
          <w:p w14:paraId="6753684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849"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684A" w14:textId="77777777" w:rsidR="001B77DD" w:rsidRDefault="00BF0A28">
            <w:pPr>
              <w:jc w:val="right"/>
              <w:textAlignment w:val="bottom"/>
            </w:pPr>
            <w:r>
              <w:rPr>
                <w:rFonts w:ascii="Arial" w:eastAsia="宋体" w:hAnsi="Arial" w:cs="Arial"/>
                <w:color w:val="0068B5"/>
                <w:sz w:val="18"/>
                <w:szCs w:val="18"/>
              </w:rPr>
              <w:t>9,361 </w:t>
            </w:r>
          </w:p>
        </w:tc>
        <w:tc>
          <w:tcPr>
            <w:tcW w:w="0" w:type="auto"/>
            <w:shd w:val="clear" w:color="auto" w:fill="auto"/>
            <w:tcMar>
              <w:top w:w="40" w:type="dxa"/>
              <w:left w:w="0" w:type="dxa"/>
              <w:bottom w:w="40" w:type="dxa"/>
              <w:right w:w="20" w:type="dxa"/>
            </w:tcMar>
            <w:vAlign w:val="bottom"/>
          </w:tcPr>
          <w:p w14:paraId="6753684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4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84D"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84E" w14:textId="77777777" w:rsidR="001B77DD" w:rsidRDefault="00BF0A28">
            <w:pPr>
              <w:jc w:val="right"/>
              <w:textAlignment w:val="bottom"/>
            </w:pPr>
            <w:r>
              <w:rPr>
                <w:rFonts w:ascii="Arial" w:eastAsia="宋体" w:hAnsi="Arial" w:cs="Arial"/>
                <w:color w:val="262626"/>
                <w:sz w:val="18"/>
                <w:szCs w:val="18"/>
              </w:rPr>
              <w:t>15,452 </w:t>
            </w:r>
          </w:p>
        </w:tc>
        <w:tc>
          <w:tcPr>
            <w:tcW w:w="0" w:type="auto"/>
            <w:shd w:val="clear" w:color="auto" w:fill="auto"/>
            <w:tcMar>
              <w:top w:w="40" w:type="dxa"/>
              <w:left w:w="0" w:type="dxa"/>
              <w:bottom w:w="40" w:type="dxa"/>
              <w:right w:w="20" w:type="dxa"/>
            </w:tcMar>
            <w:vAlign w:val="bottom"/>
          </w:tcPr>
          <w:p w14:paraId="6753684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5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851"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852" w14:textId="77777777" w:rsidR="001B77DD" w:rsidRDefault="00BF0A28">
            <w:pPr>
              <w:jc w:val="right"/>
              <w:textAlignment w:val="bottom"/>
            </w:pPr>
            <w:r>
              <w:rPr>
                <w:rFonts w:ascii="Arial" w:eastAsia="宋体" w:hAnsi="Arial" w:cs="Arial"/>
                <w:color w:val="262626"/>
                <w:sz w:val="18"/>
                <w:szCs w:val="18"/>
              </w:rPr>
              <w:t>13,729 </w:t>
            </w:r>
          </w:p>
        </w:tc>
        <w:tc>
          <w:tcPr>
            <w:tcW w:w="0" w:type="auto"/>
            <w:shd w:val="clear" w:color="auto" w:fill="auto"/>
            <w:tcMar>
              <w:top w:w="40" w:type="dxa"/>
              <w:left w:w="0" w:type="dxa"/>
              <w:bottom w:w="40" w:type="dxa"/>
              <w:right w:w="20" w:type="dxa"/>
            </w:tcMar>
            <w:vAlign w:val="bottom"/>
          </w:tcPr>
          <w:p w14:paraId="67536853" w14:textId="77777777" w:rsidR="001B77DD" w:rsidRDefault="001B77DD">
            <w:pPr>
              <w:jc w:val="right"/>
              <w:rPr>
                <w:rFonts w:ascii="宋体"/>
              </w:rPr>
            </w:pPr>
          </w:p>
        </w:tc>
      </w:tr>
      <w:tr w:rsidR="001B77DD" w14:paraId="6753685F" w14:textId="77777777">
        <w:tc>
          <w:tcPr>
            <w:tcW w:w="0" w:type="auto"/>
            <w:gridSpan w:val="3"/>
            <w:shd w:val="clear" w:color="auto" w:fill="auto"/>
            <w:tcMar>
              <w:top w:w="40" w:type="dxa"/>
              <w:left w:w="155" w:type="dxa"/>
              <w:bottom w:w="40" w:type="dxa"/>
              <w:right w:w="20" w:type="dxa"/>
            </w:tcMar>
            <w:vAlign w:val="bottom"/>
          </w:tcPr>
          <w:p w14:paraId="67536855" w14:textId="77777777" w:rsidR="001B77DD" w:rsidRDefault="00BF0A28">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vAlign w:val="bottom"/>
          </w:tcPr>
          <w:p w14:paraId="6753685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57" w14:textId="77777777" w:rsidR="001B77DD" w:rsidRDefault="00BF0A28">
            <w:pPr>
              <w:jc w:val="right"/>
              <w:textAlignment w:val="bottom"/>
            </w:pPr>
            <w:r>
              <w:rPr>
                <w:rFonts w:ascii="Arial" w:eastAsia="宋体" w:hAnsi="Arial" w:cs="Arial"/>
                <w:color w:val="0068B5"/>
                <w:sz w:val="18"/>
                <w:szCs w:val="18"/>
              </w:rPr>
              <w:t>12,342 </w:t>
            </w:r>
          </w:p>
        </w:tc>
        <w:tc>
          <w:tcPr>
            <w:tcW w:w="0" w:type="auto"/>
            <w:shd w:val="clear" w:color="auto" w:fill="auto"/>
            <w:tcMar>
              <w:top w:w="40" w:type="dxa"/>
              <w:left w:w="0" w:type="dxa"/>
              <w:bottom w:w="40" w:type="dxa"/>
              <w:right w:w="20" w:type="dxa"/>
            </w:tcMar>
            <w:vAlign w:val="bottom"/>
          </w:tcPr>
          <w:p w14:paraId="6753685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5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5A" w14:textId="77777777" w:rsidR="001B77DD" w:rsidRDefault="00BF0A28">
            <w:pPr>
              <w:jc w:val="right"/>
              <w:textAlignment w:val="bottom"/>
            </w:pPr>
            <w:r>
              <w:rPr>
                <w:rFonts w:ascii="Arial" w:eastAsia="宋体" w:hAnsi="Arial" w:cs="Arial"/>
                <w:color w:val="262626"/>
                <w:sz w:val="18"/>
                <w:szCs w:val="18"/>
              </w:rPr>
              <w:t>9,626 </w:t>
            </w:r>
          </w:p>
        </w:tc>
        <w:tc>
          <w:tcPr>
            <w:tcW w:w="0" w:type="auto"/>
            <w:shd w:val="clear" w:color="auto" w:fill="auto"/>
            <w:tcMar>
              <w:top w:w="40" w:type="dxa"/>
              <w:left w:w="0" w:type="dxa"/>
              <w:bottom w:w="40" w:type="dxa"/>
              <w:right w:w="20" w:type="dxa"/>
            </w:tcMar>
            <w:vAlign w:val="bottom"/>
          </w:tcPr>
          <w:p w14:paraId="6753685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5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5D" w14:textId="77777777" w:rsidR="001B77DD" w:rsidRDefault="00BF0A28">
            <w:pPr>
              <w:jc w:val="right"/>
              <w:textAlignment w:val="bottom"/>
            </w:pPr>
            <w:r>
              <w:rPr>
                <w:rFonts w:ascii="Arial" w:eastAsia="宋体" w:hAnsi="Arial" w:cs="Arial"/>
                <w:color w:val="262626"/>
                <w:sz w:val="18"/>
                <w:szCs w:val="18"/>
              </w:rPr>
              <w:t>10,329 </w:t>
            </w:r>
          </w:p>
        </w:tc>
        <w:tc>
          <w:tcPr>
            <w:tcW w:w="0" w:type="auto"/>
            <w:shd w:val="clear" w:color="auto" w:fill="auto"/>
            <w:tcMar>
              <w:top w:w="40" w:type="dxa"/>
              <w:left w:w="0" w:type="dxa"/>
              <w:bottom w:w="40" w:type="dxa"/>
              <w:right w:w="20" w:type="dxa"/>
            </w:tcMar>
            <w:vAlign w:val="bottom"/>
          </w:tcPr>
          <w:p w14:paraId="6753685E" w14:textId="77777777" w:rsidR="001B77DD" w:rsidRDefault="001B77DD">
            <w:pPr>
              <w:jc w:val="right"/>
              <w:rPr>
                <w:rFonts w:ascii="宋体"/>
              </w:rPr>
            </w:pPr>
          </w:p>
        </w:tc>
      </w:tr>
      <w:tr w:rsidR="001B77DD" w14:paraId="6753686A" w14:textId="77777777">
        <w:tc>
          <w:tcPr>
            <w:tcW w:w="0" w:type="auto"/>
            <w:gridSpan w:val="3"/>
            <w:shd w:val="clear" w:color="auto" w:fill="auto"/>
            <w:tcMar>
              <w:top w:w="40" w:type="dxa"/>
              <w:left w:w="20" w:type="dxa"/>
              <w:bottom w:w="40" w:type="dxa"/>
              <w:right w:w="20" w:type="dxa"/>
            </w:tcMar>
            <w:vAlign w:val="bottom"/>
          </w:tcPr>
          <w:p w14:paraId="67536860" w14:textId="77777777" w:rsidR="001B77DD" w:rsidRDefault="00BF0A28">
            <w:pPr>
              <w:textAlignment w:val="bottom"/>
            </w:pPr>
            <w:r>
              <w:rPr>
                <w:rFonts w:ascii="Arial" w:eastAsia="宋体" w:hAnsi="Arial" w:cs="Arial"/>
                <w:b/>
                <w:bCs/>
                <w:color w:val="262626"/>
                <w:sz w:val="18"/>
                <w:szCs w:val="18"/>
              </w:rPr>
              <w:t>Total income before taxes</w:t>
            </w:r>
          </w:p>
        </w:tc>
        <w:tc>
          <w:tcPr>
            <w:tcW w:w="0" w:type="auto"/>
            <w:gridSpan w:val="3"/>
            <w:shd w:val="clear" w:color="auto" w:fill="auto"/>
            <w:tcMar>
              <w:top w:w="0" w:type="dxa"/>
              <w:left w:w="20" w:type="dxa"/>
              <w:bottom w:w="0" w:type="dxa"/>
              <w:right w:w="20" w:type="dxa"/>
            </w:tcMar>
            <w:vAlign w:val="bottom"/>
          </w:tcPr>
          <w:p w14:paraId="67536861"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862" w14:textId="77777777" w:rsidR="001B77DD" w:rsidRDefault="00BF0A28">
            <w:pPr>
              <w:jc w:val="right"/>
              <w:textAlignment w:val="bottom"/>
            </w:pPr>
            <w:r>
              <w:rPr>
                <w:rFonts w:ascii="Arial" w:eastAsia="宋体" w:hAnsi="Arial" w:cs="Arial"/>
                <w:b/>
                <w:bCs/>
                <w:color w:val="0068B5"/>
                <w:sz w:val="18"/>
                <w:szCs w:val="18"/>
              </w:rPr>
              <w:t>21,703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8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64"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865" w14:textId="77777777" w:rsidR="001B77DD" w:rsidRDefault="00BF0A28">
            <w:pPr>
              <w:jc w:val="right"/>
              <w:textAlignment w:val="bottom"/>
            </w:pPr>
            <w:r>
              <w:rPr>
                <w:rFonts w:ascii="Arial" w:eastAsia="宋体" w:hAnsi="Arial" w:cs="Arial"/>
                <w:b/>
                <w:bCs/>
                <w:color w:val="262626"/>
                <w:sz w:val="18"/>
                <w:szCs w:val="18"/>
              </w:rPr>
              <w:t>25,078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86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67"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868" w14:textId="77777777" w:rsidR="001B77DD" w:rsidRDefault="00BF0A28">
            <w:pPr>
              <w:jc w:val="right"/>
              <w:textAlignment w:val="bottom"/>
            </w:pPr>
            <w:r>
              <w:rPr>
                <w:rFonts w:ascii="Arial" w:eastAsia="宋体" w:hAnsi="Arial" w:cs="Arial"/>
                <w:b/>
                <w:bCs/>
                <w:color w:val="262626"/>
                <w:sz w:val="18"/>
                <w:szCs w:val="18"/>
              </w:rPr>
              <w:t>24,058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869" w14:textId="77777777" w:rsidR="001B77DD" w:rsidRDefault="001B77DD">
            <w:pPr>
              <w:jc w:val="right"/>
              <w:rPr>
                <w:rFonts w:ascii="宋体"/>
              </w:rPr>
            </w:pPr>
          </w:p>
        </w:tc>
      </w:tr>
      <w:tr w:rsidR="001B77DD" w14:paraId="67536872" w14:textId="77777777">
        <w:tc>
          <w:tcPr>
            <w:tcW w:w="0" w:type="auto"/>
            <w:gridSpan w:val="3"/>
            <w:shd w:val="clear" w:color="auto" w:fill="auto"/>
            <w:tcMar>
              <w:top w:w="40" w:type="dxa"/>
              <w:left w:w="20" w:type="dxa"/>
              <w:bottom w:w="40" w:type="dxa"/>
              <w:right w:w="20" w:type="dxa"/>
            </w:tcMar>
            <w:vAlign w:val="bottom"/>
          </w:tcPr>
          <w:p w14:paraId="6753686B" w14:textId="77777777" w:rsidR="001B77DD" w:rsidRDefault="00BF0A28">
            <w:pPr>
              <w:textAlignment w:val="bottom"/>
            </w:pPr>
            <w:r>
              <w:rPr>
                <w:rFonts w:ascii="Arial" w:eastAsia="宋体" w:hAnsi="Arial" w:cs="Arial"/>
                <w:color w:val="262626"/>
                <w:sz w:val="18"/>
                <w:szCs w:val="18"/>
              </w:rPr>
              <w:t>P</w:t>
            </w:r>
            <w:r>
              <w:rPr>
                <w:rFonts w:ascii="Arial" w:eastAsia="宋体" w:hAnsi="Arial" w:cs="Arial"/>
                <w:color w:val="262626"/>
                <w:sz w:val="18"/>
                <w:szCs w:val="18"/>
              </w:rPr>
              <w:t>rovision for taxes:</w:t>
            </w:r>
          </w:p>
        </w:tc>
        <w:tc>
          <w:tcPr>
            <w:tcW w:w="0" w:type="auto"/>
            <w:gridSpan w:val="3"/>
            <w:shd w:val="clear" w:color="auto" w:fill="auto"/>
            <w:tcMar>
              <w:top w:w="0" w:type="dxa"/>
              <w:left w:w="20" w:type="dxa"/>
              <w:bottom w:w="0" w:type="dxa"/>
              <w:right w:w="20" w:type="dxa"/>
            </w:tcMar>
            <w:vAlign w:val="bottom"/>
          </w:tcPr>
          <w:p w14:paraId="6753686C"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686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6E"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686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70"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6871" w14:textId="77777777" w:rsidR="001B77DD" w:rsidRDefault="001B77DD">
            <w:pPr>
              <w:rPr>
                <w:rFonts w:ascii="宋体"/>
              </w:rPr>
            </w:pPr>
          </w:p>
        </w:tc>
      </w:tr>
      <w:tr w:rsidR="001B77DD" w14:paraId="6753687A" w14:textId="77777777">
        <w:tc>
          <w:tcPr>
            <w:tcW w:w="0" w:type="auto"/>
            <w:gridSpan w:val="3"/>
            <w:shd w:val="clear" w:color="auto" w:fill="auto"/>
            <w:tcMar>
              <w:top w:w="40" w:type="dxa"/>
              <w:left w:w="155" w:type="dxa"/>
              <w:bottom w:w="40" w:type="dxa"/>
              <w:right w:w="20" w:type="dxa"/>
            </w:tcMar>
            <w:vAlign w:val="bottom"/>
          </w:tcPr>
          <w:p w14:paraId="67536873" w14:textId="77777777" w:rsidR="001B77DD" w:rsidRDefault="00BF0A28">
            <w:pPr>
              <w:textAlignment w:val="bottom"/>
            </w:pPr>
            <w:r>
              <w:rPr>
                <w:rFonts w:ascii="Arial" w:eastAsia="宋体" w:hAnsi="Arial" w:cs="Arial"/>
                <w:color w:val="262626"/>
                <w:sz w:val="18"/>
                <w:szCs w:val="18"/>
              </w:rPr>
              <w:t>Current:</w:t>
            </w:r>
          </w:p>
        </w:tc>
        <w:tc>
          <w:tcPr>
            <w:tcW w:w="0" w:type="auto"/>
            <w:gridSpan w:val="3"/>
            <w:shd w:val="clear" w:color="auto" w:fill="auto"/>
            <w:tcMar>
              <w:top w:w="0" w:type="dxa"/>
              <w:left w:w="20" w:type="dxa"/>
              <w:bottom w:w="0" w:type="dxa"/>
              <w:right w:w="20" w:type="dxa"/>
            </w:tcMar>
            <w:vAlign w:val="bottom"/>
          </w:tcPr>
          <w:p w14:paraId="6753687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7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7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7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7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79" w14:textId="77777777" w:rsidR="001B77DD" w:rsidRDefault="001B77DD">
            <w:pPr>
              <w:rPr>
                <w:rFonts w:ascii="宋体"/>
              </w:rPr>
            </w:pPr>
          </w:p>
        </w:tc>
      </w:tr>
      <w:tr w:rsidR="001B77DD" w14:paraId="67536885" w14:textId="77777777">
        <w:tc>
          <w:tcPr>
            <w:tcW w:w="0" w:type="auto"/>
            <w:gridSpan w:val="3"/>
            <w:shd w:val="clear" w:color="auto" w:fill="auto"/>
            <w:tcMar>
              <w:top w:w="40" w:type="dxa"/>
              <w:left w:w="245" w:type="dxa"/>
              <w:bottom w:w="40" w:type="dxa"/>
              <w:right w:w="20" w:type="dxa"/>
            </w:tcMar>
            <w:vAlign w:val="bottom"/>
          </w:tcPr>
          <w:p w14:paraId="6753687B" w14:textId="77777777" w:rsidR="001B77DD" w:rsidRDefault="00BF0A28">
            <w:pPr>
              <w:textAlignment w:val="bottom"/>
            </w:pPr>
            <w:r>
              <w:rPr>
                <w:rFonts w:ascii="Arial" w:eastAsia="宋体" w:hAnsi="Arial" w:cs="Arial"/>
                <w:color w:val="262626"/>
                <w:sz w:val="18"/>
                <w:szCs w:val="18"/>
              </w:rPr>
              <w:t>Federal</w:t>
            </w:r>
          </w:p>
        </w:tc>
        <w:tc>
          <w:tcPr>
            <w:tcW w:w="0" w:type="auto"/>
            <w:gridSpan w:val="3"/>
            <w:shd w:val="clear" w:color="auto" w:fill="auto"/>
            <w:tcMar>
              <w:top w:w="0" w:type="dxa"/>
              <w:left w:w="20" w:type="dxa"/>
              <w:bottom w:w="0" w:type="dxa"/>
              <w:right w:w="20" w:type="dxa"/>
            </w:tcMar>
            <w:vAlign w:val="bottom"/>
          </w:tcPr>
          <w:p w14:paraId="6753687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7D" w14:textId="77777777" w:rsidR="001B77DD" w:rsidRDefault="00BF0A28">
            <w:pPr>
              <w:jc w:val="right"/>
              <w:textAlignment w:val="bottom"/>
            </w:pPr>
            <w:r>
              <w:rPr>
                <w:rFonts w:ascii="Arial" w:eastAsia="宋体" w:hAnsi="Arial" w:cs="Arial"/>
                <w:color w:val="0068B5"/>
                <w:sz w:val="18"/>
                <w:szCs w:val="18"/>
              </w:rPr>
              <w:t>1,304 </w:t>
            </w:r>
          </w:p>
        </w:tc>
        <w:tc>
          <w:tcPr>
            <w:tcW w:w="0" w:type="auto"/>
            <w:shd w:val="clear" w:color="auto" w:fill="auto"/>
            <w:tcMar>
              <w:top w:w="40" w:type="dxa"/>
              <w:left w:w="0" w:type="dxa"/>
              <w:bottom w:w="40" w:type="dxa"/>
              <w:right w:w="20" w:type="dxa"/>
            </w:tcMar>
            <w:vAlign w:val="bottom"/>
          </w:tcPr>
          <w:p w14:paraId="675368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7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80" w14:textId="77777777" w:rsidR="001B77DD" w:rsidRDefault="00BF0A28">
            <w:pPr>
              <w:jc w:val="right"/>
              <w:textAlignment w:val="bottom"/>
            </w:pPr>
            <w:r>
              <w:rPr>
                <w:rFonts w:ascii="Arial" w:eastAsia="宋体" w:hAnsi="Arial" w:cs="Arial"/>
                <w:color w:val="262626"/>
                <w:sz w:val="18"/>
                <w:szCs w:val="18"/>
              </w:rPr>
              <w:t>1,120 </w:t>
            </w:r>
          </w:p>
        </w:tc>
        <w:tc>
          <w:tcPr>
            <w:tcW w:w="0" w:type="auto"/>
            <w:shd w:val="clear" w:color="auto" w:fill="auto"/>
            <w:tcMar>
              <w:top w:w="40" w:type="dxa"/>
              <w:left w:w="0" w:type="dxa"/>
              <w:bottom w:w="40" w:type="dxa"/>
              <w:right w:w="20" w:type="dxa"/>
            </w:tcMar>
            <w:vAlign w:val="bottom"/>
          </w:tcPr>
          <w:p w14:paraId="6753688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8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83" w14:textId="77777777" w:rsidR="001B77DD" w:rsidRDefault="00BF0A28">
            <w:pPr>
              <w:jc w:val="right"/>
              <w:textAlignment w:val="bottom"/>
            </w:pPr>
            <w:r>
              <w:rPr>
                <w:rFonts w:ascii="Arial" w:eastAsia="宋体" w:hAnsi="Arial" w:cs="Arial"/>
                <w:color w:val="262626"/>
                <w:sz w:val="18"/>
                <w:szCs w:val="18"/>
              </w:rPr>
              <w:t>1,391 </w:t>
            </w:r>
          </w:p>
        </w:tc>
        <w:tc>
          <w:tcPr>
            <w:tcW w:w="0" w:type="auto"/>
            <w:shd w:val="clear" w:color="auto" w:fill="auto"/>
            <w:tcMar>
              <w:top w:w="40" w:type="dxa"/>
              <w:left w:w="0" w:type="dxa"/>
              <w:bottom w:w="40" w:type="dxa"/>
              <w:right w:w="20" w:type="dxa"/>
            </w:tcMar>
            <w:vAlign w:val="bottom"/>
          </w:tcPr>
          <w:p w14:paraId="67536884" w14:textId="77777777" w:rsidR="001B77DD" w:rsidRDefault="001B77DD">
            <w:pPr>
              <w:jc w:val="right"/>
              <w:rPr>
                <w:rFonts w:ascii="宋体"/>
              </w:rPr>
            </w:pPr>
          </w:p>
        </w:tc>
      </w:tr>
      <w:tr w:rsidR="001B77DD" w14:paraId="67536890" w14:textId="77777777">
        <w:tc>
          <w:tcPr>
            <w:tcW w:w="0" w:type="auto"/>
            <w:gridSpan w:val="3"/>
            <w:shd w:val="clear" w:color="auto" w:fill="auto"/>
            <w:tcMar>
              <w:top w:w="40" w:type="dxa"/>
              <w:left w:w="245" w:type="dxa"/>
              <w:bottom w:w="40" w:type="dxa"/>
              <w:right w:w="20" w:type="dxa"/>
            </w:tcMar>
            <w:vAlign w:val="bottom"/>
          </w:tcPr>
          <w:p w14:paraId="67536886" w14:textId="77777777" w:rsidR="001B77DD" w:rsidRDefault="00BF0A28">
            <w:pPr>
              <w:textAlignment w:val="bottom"/>
            </w:pPr>
            <w:r>
              <w:rPr>
                <w:rFonts w:ascii="Arial" w:eastAsia="宋体" w:hAnsi="Arial" w:cs="Arial"/>
                <w:color w:val="262626"/>
                <w:sz w:val="18"/>
                <w:szCs w:val="18"/>
              </w:rPr>
              <w:t>State</w:t>
            </w:r>
          </w:p>
        </w:tc>
        <w:tc>
          <w:tcPr>
            <w:tcW w:w="0" w:type="auto"/>
            <w:gridSpan w:val="3"/>
            <w:shd w:val="clear" w:color="auto" w:fill="auto"/>
            <w:tcMar>
              <w:top w:w="0" w:type="dxa"/>
              <w:left w:w="20" w:type="dxa"/>
              <w:bottom w:w="0" w:type="dxa"/>
              <w:right w:w="20" w:type="dxa"/>
            </w:tcMar>
            <w:vAlign w:val="bottom"/>
          </w:tcPr>
          <w:p w14:paraId="6753688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88" w14:textId="77777777" w:rsidR="001B77DD" w:rsidRDefault="00BF0A28">
            <w:pPr>
              <w:jc w:val="right"/>
              <w:textAlignment w:val="bottom"/>
            </w:pPr>
            <w:r>
              <w:rPr>
                <w:rFonts w:ascii="Arial" w:eastAsia="宋体" w:hAnsi="Arial" w:cs="Arial"/>
                <w:color w:val="0068B5"/>
                <w:sz w:val="18"/>
                <w:szCs w:val="18"/>
              </w:rPr>
              <w:t>75 </w:t>
            </w:r>
          </w:p>
        </w:tc>
        <w:tc>
          <w:tcPr>
            <w:tcW w:w="0" w:type="auto"/>
            <w:shd w:val="clear" w:color="auto" w:fill="auto"/>
            <w:tcMar>
              <w:top w:w="40" w:type="dxa"/>
              <w:left w:w="0" w:type="dxa"/>
              <w:bottom w:w="40" w:type="dxa"/>
              <w:right w:w="20" w:type="dxa"/>
            </w:tcMar>
            <w:vAlign w:val="bottom"/>
          </w:tcPr>
          <w:p w14:paraId="6753688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8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8B" w14:textId="77777777" w:rsidR="001B77DD" w:rsidRDefault="00BF0A28">
            <w:pPr>
              <w:jc w:val="right"/>
              <w:textAlignment w:val="bottom"/>
            </w:pPr>
            <w:r>
              <w:rPr>
                <w:rFonts w:ascii="Arial" w:eastAsia="宋体" w:hAnsi="Arial" w:cs="Arial"/>
                <w:color w:val="262626"/>
                <w:sz w:val="18"/>
                <w:szCs w:val="18"/>
              </w:rPr>
              <w:t>46 </w:t>
            </w:r>
          </w:p>
        </w:tc>
        <w:tc>
          <w:tcPr>
            <w:tcW w:w="0" w:type="auto"/>
            <w:shd w:val="clear" w:color="auto" w:fill="auto"/>
            <w:tcMar>
              <w:top w:w="40" w:type="dxa"/>
              <w:left w:w="0" w:type="dxa"/>
              <w:bottom w:w="40" w:type="dxa"/>
              <w:right w:w="20" w:type="dxa"/>
            </w:tcMar>
            <w:vAlign w:val="bottom"/>
          </w:tcPr>
          <w:p w14:paraId="6753688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8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8E" w14:textId="77777777" w:rsidR="001B77DD" w:rsidRDefault="00BF0A28">
            <w:pPr>
              <w:jc w:val="right"/>
              <w:textAlignment w:val="bottom"/>
            </w:pPr>
            <w:r>
              <w:rPr>
                <w:rFonts w:ascii="Arial" w:eastAsia="宋体" w:hAnsi="Arial" w:cs="Arial"/>
                <w:color w:val="262626"/>
                <w:sz w:val="18"/>
                <w:szCs w:val="18"/>
              </w:rPr>
              <w:t>37 </w:t>
            </w:r>
          </w:p>
        </w:tc>
        <w:tc>
          <w:tcPr>
            <w:tcW w:w="0" w:type="auto"/>
            <w:shd w:val="clear" w:color="auto" w:fill="auto"/>
            <w:tcMar>
              <w:top w:w="40" w:type="dxa"/>
              <w:left w:w="0" w:type="dxa"/>
              <w:bottom w:w="40" w:type="dxa"/>
              <w:right w:w="20" w:type="dxa"/>
            </w:tcMar>
            <w:vAlign w:val="bottom"/>
          </w:tcPr>
          <w:p w14:paraId="6753688F" w14:textId="77777777" w:rsidR="001B77DD" w:rsidRDefault="001B77DD">
            <w:pPr>
              <w:jc w:val="right"/>
              <w:rPr>
                <w:rFonts w:ascii="宋体"/>
              </w:rPr>
            </w:pPr>
          </w:p>
        </w:tc>
      </w:tr>
      <w:tr w:rsidR="001B77DD" w14:paraId="6753689B" w14:textId="77777777">
        <w:tc>
          <w:tcPr>
            <w:tcW w:w="0" w:type="auto"/>
            <w:gridSpan w:val="3"/>
            <w:shd w:val="clear" w:color="auto" w:fill="auto"/>
            <w:tcMar>
              <w:top w:w="40" w:type="dxa"/>
              <w:left w:w="245" w:type="dxa"/>
              <w:bottom w:w="40" w:type="dxa"/>
              <w:right w:w="20" w:type="dxa"/>
            </w:tcMar>
            <w:vAlign w:val="bottom"/>
          </w:tcPr>
          <w:p w14:paraId="67536891" w14:textId="77777777" w:rsidR="001B77DD" w:rsidRDefault="00BF0A28">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vAlign w:val="bottom"/>
          </w:tcPr>
          <w:p w14:paraId="6753689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93" w14:textId="77777777" w:rsidR="001B77DD" w:rsidRDefault="00BF0A28">
            <w:pPr>
              <w:jc w:val="right"/>
              <w:textAlignment w:val="bottom"/>
            </w:pPr>
            <w:r>
              <w:rPr>
                <w:rFonts w:ascii="Arial" w:eastAsia="宋体" w:hAnsi="Arial" w:cs="Arial"/>
                <w:color w:val="0068B5"/>
                <w:sz w:val="18"/>
                <w:szCs w:val="18"/>
              </w:rPr>
              <w:t>1,198 </w:t>
            </w:r>
          </w:p>
        </w:tc>
        <w:tc>
          <w:tcPr>
            <w:tcW w:w="0" w:type="auto"/>
            <w:shd w:val="clear" w:color="auto" w:fill="auto"/>
            <w:tcMar>
              <w:top w:w="40" w:type="dxa"/>
              <w:left w:w="0" w:type="dxa"/>
              <w:bottom w:w="40" w:type="dxa"/>
              <w:right w:w="20" w:type="dxa"/>
            </w:tcMar>
            <w:vAlign w:val="bottom"/>
          </w:tcPr>
          <w:p w14:paraId="6753689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9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96" w14:textId="77777777" w:rsidR="001B77DD" w:rsidRDefault="00BF0A28">
            <w:pPr>
              <w:jc w:val="right"/>
              <w:textAlignment w:val="bottom"/>
            </w:pPr>
            <w:r>
              <w:rPr>
                <w:rFonts w:ascii="Arial" w:eastAsia="宋体" w:hAnsi="Arial" w:cs="Arial"/>
                <w:color w:val="262626"/>
                <w:sz w:val="18"/>
                <w:szCs w:val="18"/>
              </w:rPr>
              <w:t>1,244 </w:t>
            </w:r>
          </w:p>
        </w:tc>
        <w:tc>
          <w:tcPr>
            <w:tcW w:w="0" w:type="auto"/>
            <w:shd w:val="clear" w:color="auto" w:fill="auto"/>
            <w:tcMar>
              <w:top w:w="40" w:type="dxa"/>
              <w:left w:w="0" w:type="dxa"/>
              <w:bottom w:w="40" w:type="dxa"/>
              <w:right w:w="20" w:type="dxa"/>
            </w:tcMar>
            <w:vAlign w:val="bottom"/>
          </w:tcPr>
          <w:p w14:paraId="6753689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9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99" w14:textId="77777777" w:rsidR="001B77DD" w:rsidRDefault="00BF0A28">
            <w:pPr>
              <w:jc w:val="right"/>
              <w:textAlignment w:val="bottom"/>
            </w:pPr>
            <w:r>
              <w:rPr>
                <w:rFonts w:ascii="Arial" w:eastAsia="宋体" w:hAnsi="Arial" w:cs="Arial"/>
                <w:color w:val="262626"/>
                <w:sz w:val="18"/>
                <w:szCs w:val="18"/>
              </w:rPr>
              <w:t>1,060 </w:t>
            </w:r>
          </w:p>
        </w:tc>
        <w:tc>
          <w:tcPr>
            <w:tcW w:w="0" w:type="auto"/>
            <w:shd w:val="clear" w:color="auto" w:fill="auto"/>
            <w:tcMar>
              <w:top w:w="40" w:type="dxa"/>
              <w:left w:w="0" w:type="dxa"/>
              <w:bottom w:w="40" w:type="dxa"/>
              <w:right w:w="20" w:type="dxa"/>
            </w:tcMar>
            <w:vAlign w:val="bottom"/>
          </w:tcPr>
          <w:p w14:paraId="6753689A" w14:textId="77777777" w:rsidR="001B77DD" w:rsidRDefault="001B77DD">
            <w:pPr>
              <w:jc w:val="right"/>
              <w:rPr>
                <w:rFonts w:ascii="宋体"/>
              </w:rPr>
            </w:pPr>
          </w:p>
        </w:tc>
      </w:tr>
      <w:tr w:rsidR="001B77DD" w14:paraId="675368A6" w14:textId="77777777">
        <w:tc>
          <w:tcPr>
            <w:tcW w:w="0" w:type="auto"/>
            <w:gridSpan w:val="3"/>
            <w:shd w:val="clear" w:color="auto" w:fill="auto"/>
            <w:tcMar>
              <w:top w:w="40" w:type="dxa"/>
              <w:left w:w="20" w:type="dxa"/>
              <w:bottom w:w="40" w:type="dxa"/>
              <w:right w:w="20" w:type="dxa"/>
            </w:tcMar>
            <w:vAlign w:val="bottom"/>
          </w:tcPr>
          <w:p w14:paraId="6753689C" w14:textId="77777777" w:rsidR="001B77DD" w:rsidRDefault="00BF0A28">
            <w:pPr>
              <w:textAlignment w:val="bottom"/>
            </w:pPr>
            <w:r>
              <w:rPr>
                <w:rFonts w:ascii="Arial" w:eastAsia="宋体" w:hAnsi="Arial" w:cs="Arial"/>
                <w:b/>
                <w:bCs/>
                <w:color w:val="262626"/>
                <w:sz w:val="18"/>
                <w:szCs w:val="18"/>
              </w:rPr>
              <w:t>Total current provision for taxes</w:t>
            </w:r>
          </w:p>
        </w:tc>
        <w:tc>
          <w:tcPr>
            <w:tcW w:w="0" w:type="auto"/>
            <w:gridSpan w:val="3"/>
            <w:shd w:val="clear" w:color="auto" w:fill="auto"/>
            <w:tcMar>
              <w:top w:w="0" w:type="dxa"/>
              <w:left w:w="20" w:type="dxa"/>
              <w:bottom w:w="0" w:type="dxa"/>
              <w:right w:w="20" w:type="dxa"/>
            </w:tcMar>
            <w:vAlign w:val="bottom"/>
          </w:tcPr>
          <w:p w14:paraId="6753689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89E" w14:textId="77777777" w:rsidR="001B77DD" w:rsidRDefault="00BF0A28">
            <w:pPr>
              <w:jc w:val="right"/>
              <w:textAlignment w:val="bottom"/>
            </w:pPr>
            <w:r>
              <w:rPr>
                <w:rFonts w:ascii="Arial" w:eastAsia="宋体" w:hAnsi="Arial" w:cs="Arial"/>
                <w:b/>
                <w:bCs/>
                <w:color w:val="0068B5"/>
                <w:sz w:val="18"/>
                <w:szCs w:val="18"/>
              </w:rPr>
              <w:t>2,577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89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A0"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68A1" w14:textId="77777777" w:rsidR="001B77DD" w:rsidRDefault="00BF0A28">
            <w:pPr>
              <w:jc w:val="right"/>
              <w:textAlignment w:val="bottom"/>
            </w:pPr>
            <w:r>
              <w:rPr>
                <w:rFonts w:ascii="Arial" w:eastAsia="宋体" w:hAnsi="Arial" w:cs="Arial"/>
                <w:b/>
                <w:bCs/>
                <w:color w:val="262626"/>
                <w:sz w:val="18"/>
                <w:szCs w:val="18"/>
              </w:rPr>
              <w:t>2,410</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68A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A3"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68A4" w14:textId="77777777" w:rsidR="001B77DD" w:rsidRDefault="00BF0A28">
            <w:pPr>
              <w:jc w:val="right"/>
              <w:textAlignment w:val="bottom"/>
            </w:pPr>
            <w:r>
              <w:rPr>
                <w:rFonts w:ascii="Arial" w:eastAsia="宋体" w:hAnsi="Arial" w:cs="Arial"/>
                <w:b/>
                <w:bCs/>
                <w:color w:val="262626"/>
                <w:sz w:val="18"/>
                <w:szCs w:val="18"/>
              </w:rPr>
              <w:t>2,488</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68A5" w14:textId="77777777" w:rsidR="001B77DD" w:rsidRDefault="001B77DD">
            <w:pPr>
              <w:jc w:val="right"/>
              <w:rPr>
                <w:rFonts w:ascii="宋体"/>
              </w:rPr>
            </w:pPr>
          </w:p>
        </w:tc>
      </w:tr>
      <w:tr w:rsidR="001B77DD" w14:paraId="675368AE" w14:textId="77777777">
        <w:tc>
          <w:tcPr>
            <w:tcW w:w="0" w:type="auto"/>
            <w:gridSpan w:val="3"/>
            <w:shd w:val="clear" w:color="auto" w:fill="auto"/>
            <w:tcMar>
              <w:top w:w="40" w:type="dxa"/>
              <w:left w:w="155" w:type="dxa"/>
              <w:bottom w:w="40" w:type="dxa"/>
              <w:right w:w="20" w:type="dxa"/>
            </w:tcMar>
            <w:vAlign w:val="bottom"/>
          </w:tcPr>
          <w:p w14:paraId="675368A7" w14:textId="77777777" w:rsidR="001B77DD" w:rsidRDefault="00BF0A28">
            <w:pPr>
              <w:textAlignment w:val="bottom"/>
            </w:pPr>
            <w:r>
              <w:rPr>
                <w:rFonts w:ascii="Arial" w:eastAsia="宋体" w:hAnsi="Arial" w:cs="Arial"/>
                <w:color w:val="262626"/>
                <w:sz w:val="18"/>
                <w:szCs w:val="18"/>
              </w:rPr>
              <w:t>D</w:t>
            </w:r>
            <w:r>
              <w:rPr>
                <w:rFonts w:ascii="Arial" w:eastAsia="宋体" w:hAnsi="Arial" w:cs="Arial"/>
                <w:color w:val="262626"/>
                <w:sz w:val="18"/>
                <w:szCs w:val="18"/>
              </w:rPr>
              <w:t>eferred:</w:t>
            </w:r>
          </w:p>
        </w:tc>
        <w:tc>
          <w:tcPr>
            <w:tcW w:w="0" w:type="auto"/>
            <w:gridSpan w:val="3"/>
            <w:shd w:val="clear" w:color="auto" w:fill="auto"/>
            <w:tcMar>
              <w:top w:w="0" w:type="dxa"/>
              <w:left w:w="20" w:type="dxa"/>
              <w:bottom w:w="0" w:type="dxa"/>
              <w:right w:w="20" w:type="dxa"/>
            </w:tcMar>
            <w:vAlign w:val="bottom"/>
          </w:tcPr>
          <w:p w14:paraId="675368A8"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68A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AA"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68A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8AC"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68AD" w14:textId="77777777" w:rsidR="001B77DD" w:rsidRDefault="001B77DD">
            <w:pPr>
              <w:rPr>
                <w:rFonts w:ascii="宋体"/>
              </w:rPr>
            </w:pPr>
          </w:p>
        </w:tc>
      </w:tr>
      <w:tr w:rsidR="001B77DD" w14:paraId="675368B9" w14:textId="77777777">
        <w:tc>
          <w:tcPr>
            <w:tcW w:w="0" w:type="auto"/>
            <w:gridSpan w:val="3"/>
            <w:shd w:val="clear" w:color="auto" w:fill="auto"/>
            <w:tcMar>
              <w:top w:w="40" w:type="dxa"/>
              <w:left w:w="245" w:type="dxa"/>
              <w:bottom w:w="40" w:type="dxa"/>
              <w:right w:w="20" w:type="dxa"/>
            </w:tcMar>
            <w:vAlign w:val="bottom"/>
          </w:tcPr>
          <w:p w14:paraId="675368AF" w14:textId="77777777" w:rsidR="001B77DD" w:rsidRDefault="00BF0A28">
            <w:pPr>
              <w:textAlignment w:val="bottom"/>
            </w:pPr>
            <w:r>
              <w:rPr>
                <w:rFonts w:ascii="Arial" w:eastAsia="宋体" w:hAnsi="Arial" w:cs="Arial"/>
                <w:color w:val="262626"/>
                <w:sz w:val="18"/>
                <w:szCs w:val="18"/>
              </w:rPr>
              <w:t>Federal</w:t>
            </w:r>
          </w:p>
        </w:tc>
        <w:tc>
          <w:tcPr>
            <w:tcW w:w="0" w:type="auto"/>
            <w:gridSpan w:val="3"/>
            <w:shd w:val="clear" w:color="auto" w:fill="auto"/>
            <w:tcMar>
              <w:top w:w="0" w:type="dxa"/>
              <w:left w:w="20" w:type="dxa"/>
              <w:bottom w:w="0" w:type="dxa"/>
              <w:right w:w="20" w:type="dxa"/>
            </w:tcMar>
            <w:vAlign w:val="bottom"/>
          </w:tcPr>
          <w:p w14:paraId="675368B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B1" w14:textId="77777777" w:rsidR="001B77DD" w:rsidRDefault="00BF0A28">
            <w:pPr>
              <w:jc w:val="right"/>
              <w:textAlignment w:val="bottom"/>
            </w:pPr>
            <w:r>
              <w:rPr>
                <w:rFonts w:ascii="Arial" w:eastAsia="宋体" w:hAnsi="Arial" w:cs="Arial"/>
                <w:color w:val="0068B5"/>
                <w:sz w:val="18"/>
                <w:szCs w:val="18"/>
              </w:rPr>
              <w:t>(863)</w:t>
            </w:r>
          </w:p>
        </w:tc>
        <w:tc>
          <w:tcPr>
            <w:tcW w:w="0" w:type="auto"/>
            <w:shd w:val="clear" w:color="auto" w:fill="auto"/>
            <w:tcMar>
              <w:top w:w="40" w:type="dxa"/>
              <w:left w:w="0" w:type="dxa"/>
              <w:bottom w:w="40" w:type="dxa"/>
              <w:right w:w="20" w:type="dxa"/>
            </w:tcMar>
            <w:vAlign w:val="bottom"/>
          </w:tcPr>
          <w:p w14:paraId="675368B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B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B4" w14:textId="77777777" w:rsidR="001B77DD" w:rsidRDefault="00BF0A28">
            <w:pPr>
              <w:jc w:val="right"/>
              <w:textAlignment w:val="bottom"/>
            </w:pPr>
            <w:r>
              <w:rPr>
                <w:rFonts w:ascii="Arial" w:eastAsia="宋体" w:hAnsi="Arial" w:cs="Arial"/>
                <w:color w:val="262626"/>
                <w:sz w:val="18"/>
                <w:szCs w:val="18"/>
              </w:rPr>
              <w:t>1,369 </w:t>
            </w:r>
          </w:p>
        </w:tc>
        <w:tc>
          <w:tcPr>
            <w:tcW w:w="0" w:type="auto"/>
            <w:shd w:val="clear" w:color="auto" w:fill="auto"/>
            <w:tcMar>
              <w:top w:w="40" w:type="dxa"/>
              <w:left w:w="0" w:type="dxa"/>
              <w:bottom w:w="40" w:type="dxa"/>
              <w:right w:w="20" w:type="dxa"/>
            </w:tcMar>
            <w:vAlign w:val="bottom"/>
          </w:tcPr>
          <w:p w14:paraId="675368B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B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B7" w14:textId="77777777" w:rsidR="001B77DD" w:rsidRDefault="00BF0A28">
            <w:pPr>
              <w:jc w:val="right"/>
              <w:textAlignment w:val="bottom"/>
            </w:pPr>
            <w:r>
              <w:rPr>
                <w:rFonts w:ascii="Arial" w:eastAsia="宋体" w:hAnsi="Arial" w:cs="Arial"/>
                <w:color w:val="262626"/>
                <w:sz w:val="18"/>
                <w:szCs w:val="18"/>
              </w:rPr>
              <w:t>597 </w:t>
            </w:r>
          </w:p>
        </w:tc>
        <w:tc>
          <w:tcPr>
            <w:tcW w:w="0" w:type="auto"/>
            <w:shd w:val="clear" w:color="auto" w:fill="auto"/>
            <w:tcMar>
              <w:top w:w="40" w:type="dxa"/>
              <w:left w:w="0" w:type="dxa"/>
              <w:bottom w:w="40" w:type="dxa"/>
              <w:right w:w="20" w:type="dxa"/>
            </w:tcMar>
            <w:vAlign w:val="bottom"/>
          </w:tcPr>
          <w:p w14:paraId="675368B8" w14:textId="77777777" w:rsidR="001B77DD" w:rsidRDefault="001B77DD">
            <w:pPr>
              <w:jc w:val="right"/>
              <w:rPr>
                <w:rFonts w:ascii="宋体"/>
              </w:rPr>
            </w:pPr>
          </w:p>
        </w:tc>
      </w:tr>
      <w:tr w:rsidR="001B77DD" w14:paraId="675368C4" w14:textId="77777777">
        <w:tc>
          <w:tcPr>
            <w:tcW w:w="0" w:type="auto"/>
            <w:gridSpan w:val="3"/>
            <w:shd w:val="clear" w:color="auto" w:fill="auto"/>
            <w:tcMar>
              <w:top w:w="40" w:type="dxa"/>
              <w:left w:w="245" w:type="dxa"/>
              <w:bottom w:w="40" w:type="dxa"/>
              <w:right w:w="20" w:type="dxa"/>
            </w:tcMar>
            <w:vAlign w:val="bottom"/>
          </w:tcPr>
          <w:p w14:paraId="675368BA" w14:textId="77777777" w:rsidR="001B77DD" w:rsidRDefault="00BF0A28">
            <w:pPr>
              <w:textAlignment w:val="bottom"/>
            </w:pPr>
            <w:r>
              <w:rPr>
                <w:rFonts w:ascii="Arial" w:eastAsia="宋体" w:hAnsi="Arial" w:cs="Arial"/>
                <w:color w:val="262626"/>
                <w:sz w:val="18"/>
                <w:szCs w:val="18"/>
              </w:rPr>
              <w:t>State</w:t>
            </w:r>
          </w:p>
        </w:tc>
        <w:tc>
          <w:tcPr>
            <w:tcW w:w="0" w:type="auto"/>
            <w:gridSpan w:val="3"/>
            <w:shd w:val="clear" w:color="auto" w:fill="auto"/>
            <w:tcMar>
              <w:top w:w="0" w:type="dxa"/>
              <w:left w:w="20" w:type="dxa"/>
              <w:bottom w:w="0" w:type="dxa"/>
              <w:right w:w="20" w:type="dxa"/>
            </w:tcMar>
            <w:vAlign w:val="bottom"/>
          </w:tcPr>
          <w:p w14:paraId="675368B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BC" w14:textId="77777777" w:rsidR="001B77DD" w:rsidRDefault="00BF0A28">
            <w:pPr>
              <w:jc w:val="right"/>
              <w:textAlignment w:val="bottom"/>
            </w:pPr>
            <w:r>
              <w:rPr>
                <w:rFonts w:ascii="Arial" w:eastAsia="宋体" w:hAnsi="Arial" w:cs="Arial"/>
                <w:color w:val="0068B5"/>
                <w:sz w:val="18"/>
                <w:szCs w:val="18"/>
              </w:rPr>
              <w:t>(25)</w:t>
            </w:r>
          </w:p>
        </w:tc>
        <w:tc>
          <w:tcPr>
            <w:tcW w:w="0" w:type="auto"/>
            <w:shd w:val="clear" w:color="auto" w:fill="auto"/>
            <w:tcMar>
              <w:top w:w="40" w:type="dxa"/>
              <w:left w:w="0" w:type="dxa"/>
              <w:bottom w:w="40" w:type="dxa"/>
              <w:right w:w="20" w:type="dxa"/>
            </w:tcMar>
            <w:vAlign w:val="bottom"/>
          </w:tcPr>
          <w:p w14:paraId="675368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B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BF" w14:textId="77777777" w:rsidR="001B77DD" w:rsidRDefault="00BF0A28">
            <w:pPr>
              <w:jc w:val="right"/>
              <w:textAlignment w:val="bottom"/>
            </w:pPr>
            <w:r>
              <w:rPr>
                <w:rFonts w:ascii="Arial" w:eastAsia="宋体" w:hAnsi="Arial" w:cs="Arial"/>
                <w:color w:val="262626"/>
                <w:sz w:val="18"/>
                <w:szCs w:val="18"/>
              </w:rPr>
              <w:t>25 </w:t>
            </w:r>
          </w:p>
        </w:tc>
        <w:tc>
          <w:tcPr>
            <w:tcW w:w="0" w:type="auto"/>
            <w:shd w:val="clear" w:color="auto" w:fill="auto"/>
            <w:tcMar>
              <w:top w:w="40" w:type="dxa"/>
              <w:left w:w="0" w:type="dxa"/>
              <w:bottom w:w="40" w:type="dxa"/>
              <w:right w:w="20" w:type="dxa"/>
            </w:tcMar>
            <w:vAlign w:val="bottom"/>
          </w:tcPr>
          <w:p w14:paraId="675368C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C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C2" w14:textId="77777777" w:rsidR="001B77DD" w:rsidRDefault="00BF0A28">
            <w:pPr>
              <w:jc w:val="right"/>
              <w:textAlignment w:val="bottom"/>
            </w:pPr>
            <w:r>
              <w:rPr>
                <w:rFonts w:ascii="Arial" w:eastAsia="宋体" w:hAnsi="Arial" w:cs="Arial"/>
                <w:color w:val="262626"/>
                <w:sz w:val="18"/>
                <w:szCs w:val="18"/>
              </w:rPr>
              <w:t>1 </w:t>
            </w:r>
          </w:p>
        </w:tc>
        <w:tc>
          <w:tcPr>
            <w:tcW w:w="0" w:type="auto"/>
            <w:shd w:val="clear" w:color="auto" w:fill="auto"/>
            <w:tcMar>
              <w:top w:w="40" w:type="dxa"/>
              <w:left w:w="0" w:type="dxa"/>
              <w:bottom w:w="40" w:type="dxa"/>
              <w:right w:w="20" w:type="dxa"/>
            </w:tcMar>
            <w:vAlign w:val="bottom"/>
          </w:tcPr>
          <w:p w14:paraId="675368C3" w14:textId="77777777" w:rsidR="001B77DD" w:rsidRDefault="001B77DD">
            <w:pPr>
              <w:jc w:val="right"/>
              <w:rPr>
                <w:rFonts w:ascii="宋体"/>
              </w:rPr>
            </w:pPr>
          </w:p>
        </w:tc>
      </w:tr>
      <w:tr w:rsidR="001B77DD" w14:paraId="675368CF" w14:textId="77777777">
        <w:tc>
          <w:tcPr>
            <w:tcW w:w="0" w:type="auto"/>
            <w:gridSpan w:val="3"/>
            <w:shd w:val="clear" w:color="auto" w:fill="auto"/>
            <w:tcMar>
              <w:top w:w="40" w:type="dxa"/>
              <w:left w:w="245" w:type="dxa"/>
              <w:bottom w:w="40" w:type="dxa"/>
              <w:right w:w="20" w:type="dxa"/>
            </w:tcMar>
            <w:vAlign w:val="bottom"/>
          </w:tcPr>
          <w:p w14:paraId="675368C5" w14:textId="77777777" w:rsidR="001B77DD" w:rsidRDefault="00BF0A28">
            <w:pPr>
              <w:textAlignment w:val="bottom"/>
            </w:pPr>
            <w:r>
              <w:rPr>
                <w:rFonts w:ascii="Arial" w:eastAsia="宋体" w:hAnsi="Arial" w:cs="Arial"/>
                <w:color w:val="262626"/>
                <w:sz w:val="18"/>
                <w:szCs w:val="18"/>
              </w:rPr>
              <w:t>Non-US</w:t>
            </w:r>
          </w:p>
        </w:tc>
        <w:tc>
          <w:tcPr>
            <w:tcW w:w="0" w:type="auto"/>
            <w:gridSpan w:val="3"/>
            <w:shd w:val="clear" w:color="auto" w:fill="auto"/>
            <w:tcMar>
              <w:top w:w="0" w:type="dxa"/>
              <w:left w:w="20" w:type="dxa"/>
              <w:bottom w:w="0" w:type="dxa"/>
              <w:right w:w="20" w:type="dxa"/>
            </w:tcMar>
            <w:vAlign w:val="bottom"/>
          </w:tcPr>
          <w:p w14:paraId="675368C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C7" w14:textId="77777777" w:rsidR="001B77DD" w:rsidRDefault="00BF0A28">
            <w:pPr>
              <w:jc w:val="right"/>
              <w:textAlignment w:val="bottom"/>
            </w:pPr>
            <w:r>
              <w:rPr>
                <w:rFonts w:ascii="Arial" w:eastAsia="宋体" w:hAnsi="Arial" w:cs="Arial"/>
                <w:color w:val="0068B5"/>
                <w:sz w:val="18"/>
                <w:szCs w:val="18"/>
              </w:rPr>
              <w:t>146 </w:t>
            </w:r>
          </w:p>
        </w:tc>
        <w:tc>
          <w:tcPr>
            <w:tcW w:w="0" w:type="auto"/>
            <w:shd w:val="clear" w:color="auto" w:fill="auto"/>
            <w:tcMar>
              <w:top w:w="40" w:type="dxa"/>
              <w:left w:w="0" w:type="dxa"/>
              <w:bottom w:w="40" w:type="dxa"/>
              <w:right w:w="20" w:type="dxa"/>
            </w:tcMar>
            <w:vAlign w:val="bottom"/>
          </w:tcPr>
          <w:p w14:paraId="675368C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C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CA" w14:textId="77777777" w:rsidR="001B77DD" w:rsidRDefault="00BF0A28">
            <w:pPr>
              <w:jc w:val="right"/>
              <w:textAlignment w:val="bottom"/>
            </w:pPr>
            <w:r>
              <w:rPr>
                <w:rFonts w:ascii="Arial" w:eastAsia="宋体" w:hAnsi="Arial" w:cs="Arial"/>
                <w:color w:val="262626"/>
                <w:sz w:val="18"/>
                <w:szCs w:val="18"/>
              </w:rPr>
              <w:t>375 </w:t>
            </w:r>
          </w:p>
        </w:tc>
        <w:tc>
          <w:tcPr>
            <w:tcW w:w="0" w:type="auto"/>
            <w:shd w:val="clear" w:color="auto" w:fill="auto"/>
            <w:tcMar>
              <w:top w:w="40" w:type="dxa"/>
              <w:left w:w="0" w:type="dxa"/>
              <w:bottom w:w="40" w:type="dxa"/>
              <w:right w:w="20" w:type="dxa"/>
            </w:tcMar>
            <w:vAlign w:val="bottom"/>
          </w:tcPr>
          <w:p w14:paraId="675368C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C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8CD" w14:textId="77777777" w:rsidR="001B77DD" w:rsidRDefault="00BF0A28">
            <w:pPr>
              <w:jc w:val="right"/>
              <w:textAlignment w:val="bottom"/>
            </w:pPr>
            <w:r>
              <w:rPr>
                <w:rFonts w:ascii="Arial" w:eastAsia="宋体" w:hAnsi="Arial" w:cs="Arial"/>
                <w:color w:val="262626"/>
                <w:sz w:val="18"/>
                <w:szCs w:val="18"/>
              </w:rPr>
              <w:t>(76)</w:t>
            </w:r>
          </w:p>
        </w:tc>
        <w:tc>
          <w:tcPr>
            <w:tcW w:w="0" w:type="auto"/>
            <w:shd w:val="clear" w:color="auto" w:fill="auto"/>
            <w:tcMar>
              <w:top w:w="40" w:type="dxa"/>
              <w:left w:w="0" w:type="dxa"/>
              <w:bottom w:w="40" w:type="dxa"/>
              <w:right w:w="20" w:type="dxa"/>
            </w:tcMar>
            <w:vAlign w:val="bottom"/>
          </w:tcPr>
          <w:p w14:paraId="675368CE" w14:textId="77777777" w:rsidR="001B77DD" w:rsidRDefault="001B77DD">
            <w:pPr>
              <w:jc w:val="right"/>
              <w:rPr>
                <w:rFonts w:ascii="宋体"/>
              </w:rPr>
            </w:pPr>
          </w:p>
        </w:tc>
      </w:tr>
      <w:tr w:rsidR="001B77DD" w14:paraId="675368DA" w14:textId="77777777">
        <w:tc>
          <w:tcPr>
            <w:tcW w:w="0" w:type="auto"/>
            <w:gridSpan w:val="3"/>
            <w:shd w:val="clear" w:color="auto" w:fill="auto"/>
            <w:tcMar>
              <w:top w:w="40" w:type="dxa"/>
              <w:left w:w="20" w:type="dxa"/>
              <w:bottom w:w="40" w:type="dxa"/>
              <w:right w:w="20" w:type="dxa"/>
            </w:tcMar>
            <w:vAlign w:val="bottom"/>
          </w:tcPr>
          <w:p w14:paraId="675368D0" w14:textId="77777777" w:rsidR="001B77DD" w:rsidRDefault="00BF0A28">
            <w:pPr>
              <w:textAlignment w:val="bottom"/>
            </w:pPr>
            <w:r>
              <w:rPr>
                <w:rFonts w:ascii="Arial" w:eastAsia="宋体" w:hAnsi="Arial" w:cs="Arial"/>
                <w:b/>
                <w:bCs/>
                <w:color w:val="262626"/>
                <w:sz w:val="18"/>
                <w:szCs w:val="18"/>
              </w:rPr>
              <w:t>Total deferred provision for taxes</w:t>
            </w:r>
          </w:p>
        </w:tc>
        <w:tc>
          <w:tcPr>
            <w:tcW w:w="0" w:type="auto"/>
            <w:gridSpan w:val="3"/>
            <w:shd w:val="clear" w:color="auto" w:fill="auto"/>
            <w:tcMar>
              <w:top w:w="0" w:type="dxa"/>
              <w:left w:w="20" w:type="dxa"/>
              <w:bottom w:w="0" w:type="dxa"/>
              <w:right w:w="20" w:type="dxa"/>
            </w:tcMar>
            <w:vAlign w:val="bottom"/>
          </w:tcPr>
          <w:p w14:paraId="675368D1"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8D2" w14:textId="77777777" w:rsidR="001B77DD" w:rsidRDefault="00BF0A28">
            <w:pPr>
              <w:jc w:val="right"/>
              <w:textAlignment w:val="bottom"/>
            </w:pPr>
            <w:r>
              <w:rPr>
                <w:rFonts w:ascii="Arial" w:eastAsia="宋体" w:hAnsi="Arial" w:cs="Arial"/>
                <w:b/>
                <w:bCs/>
                <w:color w:val="0068B5"/>
                <w:sz w:val="18"/>
                <w:szCs w:val="18"/>
              </w:rPr>
              <w:t>(742)</w:t>
            </w:r>
          </w:p>
        </w:tc>
        <w:tc>
          <w:tcPr>
            <w:tcW w:w="0" w:type="auto"/>
            <w:tcBorders>
              <w:top w:val="single" w:sz="4" w:space="0" w:color="262626"/>
            </w:tcBorders>
            <w:shd w:val="clear" w:color="auto" w:fill="auto"/>
            <w:tcMar>
              <w:top w:w="40" w:type="dxa"/>
              <w:left w:w="0" w:type="dxa"/>
              <w:bottom w:w="40" w:type="dxa"/>
              <w:right w:w="20" w:type="dxa"/>
            </w:tcMar>
            <w:vAlign w:val="bottom"/>
          </w:tcPr>
          <w:p w14:paraId="675368D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D4"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68D5" w14:textId="77777777" w:rsidR="001B77DD" w:rsidRDefault="00BF0A28">
            <w:pPr>
              <w:jc w:val="right"/>
              <w:textAlignment w:val="bottom"/>
            </w:pPr>
            <w:r>
              <w:rPr>
                <w:rFonts w:ascii="Arial" w:eastAsia="宋体" w:hAnsi="Arial" w:cs="Arial"/>
                <w:b/>
                <w:bCs/>
                <w:color w:val="262626"/>
                <w:sz w:val="18"/>
                <w:szCs w:val="18"/>
              </w:rPr>
              <w:t>1,769</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68D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D7"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68D8" w14:textId="77777777" w:rsidR="001B77DD" w:rsidRDefault="00BF0A28">
            <w:pPr>
              <w:jc w:val="right"/>
              <w:textAlignment w:val="bottom"/>
            </w:pPr>
            <w:r>
              <w:rPr>
                <w:rFonts w:ascii="Arial" w:eastAsia="宋体" w:hAnsi="Arial" w:cs="Arial"/>
                <w:b/>
                <w:bCs/>
                <w:color w:val="262626"/>
                <w:sz w:val="18"/>
                <w:szCs w:val="18"/>
              </w:rPr>
              <w:t>522</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68D9" w14:textId="77777777" w:rsidR="001B77DD" w:rsidRDefault="001B77DD">
            <w:pPr>
              <w:jc w:val="right"/>
              <w:rPr>
                <w:rFonts w:ascii="宋体"/>
              </w:rPr>
            </w:pPr>
          </w:p>
        </w:tc>
      </w:tr>
      <w:tr w:rsidR="001B77DD" w14:paraId="675368E8" w14:textId="77777777">
        <w:tc>
          <w:tcPr>
            <w:tcW w:w="0" w:type="auto"/>
            <w:gridSpan w:val="3"/>
            <w:shd w:val="clear" w:color="auto" w:fill="auto"/>
            <w:tcMar>
              <w:top w:w="40" w:type="dxa"/>
              <w:left w:w="20" w:type="dxa"/>
              <w:bottom w:w="40" w:type="dxa"/>
              <w:right w:w="20" w:type="dxa"/>
            </w:tcMar>
            <w:vAlign w:val="bottom"/>
          </w:tcPr>
          <w:p w14:paraId="675368DB" w14:textId="77777777" w:rsidR="001B77DD" w:rsidRDefault="00BF0A28">
            <w:pPr>
              <w:textAlignment w:val="bottom"/>
            </w:pPr>
            <w:r>
              <w:rPr>
                <w:rFonts w:ascii="Arial" w:eastAsia="宋体" w:hAnsi="Arial" w:cs="Arial"/>
                <w:b/>
                <w:bCs/>
                <w:color w:val="262626"/>
                <w:sz w:val="18"/>
                <w:szCs w:val="18"/>
              </w:rPr>
              <w:t>T</w:t>
            </w:r>
            <w:r>
              <w:rPr>
                <w:rFonts w:ascii="Arial" w:eastAsia="宋体" w:hAnsi="Arial" w:cs="Arial"/>
                <w:b/>
                <w:bCs/>
                <w:color w:val="262626"/>
                <w:sz w:val="18"/>
                <w:szCs w:val="18"/>
              </w:rPr>
              <w:t>otal provision for taxes</w:t>
            </w:r>
          </w:p>
        </w:tc>
        <w:tc>
          <w:tcPr>
            <w:tcW w:w="0" w:type="auto"/>
            <w:gridSpan w:val="3"/>
            <w:shd w:val="clear" w:color="auto" w:fill="auto"/>
            <w:tcMar>
              <w:top w:w="0" w:type="dxa"/>
              <w:left w:w="20" w:type="dxa"/>
              <w:bottom w:w="0" w:type="dxa"/>
              <w:right w:w="20" w:type="dxa"/>
            </w:tcMar>
            <w:vAlign w:val="bottom"/>
          </w:tcPr>
          <w:p w14:paraId="675368DC" w14:textId="77777777" w:rsidR="001B77DD" w:rsidRDefault="001B77DD">
            <w:pPr>
              <w:rPr>
                <w:rFonts w:ascii="宋体"/>
              </w:rPr>
            </w:pPr>
          </w:p>
        </w:tc>
        <w:tc>
          <w:tcPr>
            <w:tcW w:w="0" w:type="auto"/>
            <w:tcBorders>
              <w:top w:val="single" w:sz="4" w:space="0" w:color="333333"/>
            </w:tcBorders>
            <w:shd w:val="clear" w:color="auto" w:fill="auto"/>
            <w:tcMar>
              <w:top w:w="40" w:type="dxa"/>
              <w:left w:w="20" w:type="dxa"/>
              <w:bottom w:w="40" w:type="dxa"/>
              <w:right w:w="0" w:type="dxa"/>
            </w:tcMar>
            <w:vAlign w:val="bottom"/>
          </w:tcPr>
          <w:p w14:paraId="675368DD"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333333"/>
            </w:tcBorders>
            <w:shd w:val="clear" w:color="auto" w:fill="auto"/>
            <w:tcMar>
              <w:top w:w="40" w:type="dxa"/>
              <w:left w:w="0" w:type="dxa"/>
              <w:bottom w:w="40" w:type="dxa"/>
              <w:right w:w="0" w:type="dxa"/>
            </w:tcMar>
            <w:vAlign w:val="bottom"/>
          </w:tcPr>
          <w:p w14:paraId="675368DE" w14:textId="77777777" w:rsidR="001B77DD" w:rsidRDefault="00BF0A28">
            <w:pPr>
              <w:jc w:val="right"/>
              <w:textAlignment w:val="bottom"/>
            </w:pPr>
            <w:r>
              <w:rPr>
                <w:rFonts w:ascii="Arial" w:eastAsia="宋体" w:hAnsi="Arial" w:cs="Arial"/>
                <w:b/>
                <w:bCs/>
                <w:color w:val="0068B5"/>
                <w:sz w:val="18"/>
                <w:szCs w:val="18"/>
              </w:rPr>
              <w:t>1,835</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68D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E0"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8E1"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8E2" w14:textId="77777777" w:rsidR="001B77DD" w:rsidRDefault="00BF0A28">
            <w:pPr>
              <w:jc w:val="right"/>
              <w:textAlignment w:val="bottom"/>
            </w:pPr>
            <w:r>
              <w:rPr>
                <w:rFonts w:ascii="Arial" w:eastAsia="宋体" w:hAnsi="Arial" w:cs="Arial"/>
                <w:b/>
                <w:bCs/>
                <w:color w:val="262626"/>
                <w:sz w:val="18"/>
                <w:szCs w:val="18"/>
              </w:rPr>
              <w:t>4,179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8E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8E4"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8E5"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8E6" w14:textId="77777777" w:rsidR="001B77DD" w:rsidRDefault="00BF0A28">
            <w:pPr>
              <w:jc w:val="right"/>
              <w:textAlignment w:val="bottom"/>
            </w:pPr>
            <w:r>
              <w:rPr>
                <w:rFonts w:ascii="Arial" w:eastAsia="宋体" w:hAnsi="Arial" w:cs="Arial"/>
                <w:b/>
                <w:bCs/>
                <w:color w:val="262626"/>
                <w:sz w:val="18"/>
                <w:szCs w:val="18"/>
              </w:rPr>
              <w:t>3,010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8E7" w14:textId="77777777" w:rsidR="001B77DD" w:rsidRDefault="001B77DD">
            <w:pPr>
              <w:jc w:val="right"/>
              <w:rPr>
                <w:rFonts w:ascii="宋体"/>
              </w:rPr>
            </w:pPr>
          </w:p>
        </w:tc>
      </w:tr>
      <w:tr w:rsidR="001B77DD" w14:paraId="675368F3" w14:textId="77777777">
        <w:tc>
          <w:tcPr>
            <w:tcW w:w="0" w:type="auto"/>
            <w:gridSpan w:val="3"/>
            <w:shd w:val="clear" w:color="auto" w:fill="auto"/>
            <w:tcMar>
              <w:top w:w="40" w:type="dxa"/>
              <w:left w:w="20" w:type="dxa"/>
              <w:bottom w:w="40" w:type="dxa"/>
              <w:right w:w="20" w:type="dxa"/>
            </w:tcMar>
            <w:vAlign w:val="bottom"/>
          </w:tcPr>
          <w:p w14:paraId="675368E9" w14:textId="77777777" w:rsidR="001B77DD" w:rsidRDefault="00BF0A28">
            <w:pPr>
              <w:textAlignment w:val="bottom"/>
            </w:pPr>
            <w:r>
              <w:rPr>
                <w:rFonts w:ascii="Arial" w:eastAsia="宋体" w:hAnsi="Arial" w:cs="Arial"/>
                <w:b/>
                <w:bCs/>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675368EA" w14:textId="77777777" w:rsidR="001B77DD" w:rsidRDefault="001B77DD">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68EB" w14:textId="77777777" w:rsidR="001B77DD" w:rsidRDefault="00BF0A28">
            <w:pPr>
              <w:jc w:val="right"/>
              <w:textAlignment w:val="bottom"/>
            </w:pPr>
            <w:r>
              <w:rPr>
                <w:rFonts w:ascii="Arial" w:eastAsia="宋体" w:hAnsi="Arial" w:cs="Arial"/>
                <w:b/>
                <w:bCs/>
                <w:color w:val="0068B5"/>
                <w:sz w:val="18"/>
                <w:szCs w:val="18"/>
              </w:rPr>
              <w:t>8.5</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68EC"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8ED" w14:textId="77777777" w:rsidR="001B77DD" w:rsidRDefault="001B77DD">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68EE" w14:textId="77777777" w:rsidR="001B77DD" w:rsidRDefault="00BF0A28">
            <w:pPr>
              <w:jc w:val="right"/>
              <w:textAlignment w:val="bottom"/>
            </w:pPr>
            <w:r>
              <w:rPr>
                <w:rFonts w:ascii="Arial" w:eastAsia="宋体" w:hAnsi="Arial" w:cs="Arial"/>
                <w:b/>
                <w:bCs/>
                <w:color w:val="262626"/>
                <w:sz w:val="18"/>
                <w:szCs w:val="18"/>
              </w:rPr>
              <w:t>16.7</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68EF"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8F0" w14:textId="77777777" w:rsidR="001B77DD" w:rsidRDefault="001B77DD">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75368F1" w14:textId="77777777" w:rsidR="001B77DD" w:rsidRDefault="00BF0A28">
            <w:pPr>
              <w:jc w:val="right"/>
              <w:textAlignment w:val="bottom"/>
            </w:pPr>
            <w:r>
              <w:rPr>
                <w:rFonts w:ascii="Arial" w:eastAsia="宋体" w:hAnsi="Arial" w:cs="Arial"/>
                <w:b/>
                <w:bCs/>
                <w:color w:val="262626"/>
                <w:sz w:val="18"/>
                <w:szCs w:val="18"/>
              </w:rPr>
              <w:t>12.5</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75368F2" w14:textId="77777777" w:rsidR="001B77DD" w:rsidRDefault="00BF0A28">
            <w:pPr>
              <w:jc w:val="right"/>
              <w:textAlignment w:val="bottom"/>
            </w:pPr>
            <w:r>
              <w:rPr>
                <w:rFonts w:ascii="Arial" w:eastAsia="宋体" w:hAnsi="Arial" w:cs="Arial"/>
                <w:b/>
                <w:bCs/>
                <w:color w:val="262626"/>
                <w:sz w:val="18"/>
                <w:szCs w:val="18"/>
              </w:rPr>
              <w:t>%</w:t>
            </w:r>
          </w:p>
        </w:tc>
      </w:tr>
    </w:tbl>
    <w:p w14:paraId="675368F4" w14:textId="77777777" w:rsidR="001B77DD" w:rsidRDefault="001B77DD">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901" w14:textId="77777777">
        <w:tc>
          <w:tcPr>
            <w:tcW w:w="50" w:type="pct"/>
            <w:shd w:val="clear" w:color="auto" w:fill="auto"/>
            <w:vAlign w:val="bottom"/>
          </w:tcPr>
          <w:p w14:paraId="675368F5" w14:textId="77777777" w:rsidR="001B77DD" w:rsidRDefault="001B77DD">
            <w:pPr>
              <w:rPr>
                <w:rFonts w:ascii="宋体"/>
              </w:rPr>
            </w:pPr>
          </w:p>
        </w:tc>
        <w:tc>
          <w:tcPr>
            <w:tcW w:w="276" w:type="pct"/>
            <w:shd w:val="clear" w:color="auto" w:fill="auto"/>
            <w:vAlign w:val="bottom"/>
          </w:tcPr>
          <w:p w14:paraId="675368F6" w14:textId="77777777" w:rsidR="001B77DD" w:rsidRDefault="001B77DD">
            <w:pPr>
              <w:rPr>
                <w:rFonts w:ascii="宋体"/>
              </w:rPr>
            </w:pPr>
          </w:p>
        </w:tc>
        <w:tc>
          <w:tcPr>
            <w:tcW w:w="5" w:type="pct"/>
            <w:shd w:val="clear" w:color="auto" w:fill="auto"/>
            <w:vAlign w:val="bottom"/>
          </w:tcPr>
          <w:p w14:paraId="675368F7" w14:textId="77777777" w:rsidR="001B77DD" w:rsidRDefault="001B77DD">
            <w:pPr>
              <w:rPr>
                <w:rFonts w:ascii="宋体"/>
              </w:rPr>
            </w:pPr>
          </w:p>
        </w:tc>
        <w:tc>
          <w:tcPr>
            <w:tcW w:w="50" w:type="pct"/>
            <w:shd w:val="clear" w:color="auto" w:fill="auto"/>
            <w:vAlign w:val="bottom"/>
          </w:tcPr>
          <w:p w14:paraId="675368F8" w14:textId="77777777" w:rsidR="001B77DD" w:rsidRDefault="001B77DD">
            <w:pPr>
              <w:rPr>
                <w:rFonts w:ascii="宋体"/>
              </w:rPr>
            </w:pPr>
          </w:p>
        </w:tc>
        <w:tc>
          <w:tcPr>
            <w:tcW w:w="940" w:type="pct"/>
            <w:shd w:val="clear" w:color="auto" w:fill="auto"/>
            <w:vAlign w:val="bottom"/>
          </w:tcPr>
          <w:p w14:paraId="675368F9" w14:textId="77777777" w:rsidR="001B77DD" w:rsidRDefault="001B77DD">
            <w:pPr>
              <w:rPr>
                <w:rFonts w:ascii="宋体"/>
              </w:rPr>
            </w:pPr>
          </w:p>
        </w:tc>
        <w:tc>
          <w:tcPr>
            <w:tcW w:w="5" w:type="pct"/>
            <w:shd w:val="clear" w:color="auto" w:fill="auto"/>
            <w:vAlign w:val="bottom"/>
          </w:tcPr>
          <w:p w14:paraId="675368FA" w14:textId="77777777" w:rsidR="001B77DD" w:rsidRDefault="001B77DD">
            <w:pPr>
              <w:rPr>
                <w:rFonts w:ascii="宋体"/>
              </w:rPr>
            </w:pPr>
          </w:p>
        </w:tc>
        <w:tc>
          <w:tcPr>
            <w:tcW w:w="50" w:type="pct"/>
            <w:shd w:val="clear" w:color="auto" w:fill="auto"/>
            <w:vAlign w:val="bottom"/>
          </w:tcPr>
          <w:p w14:paraId="675368FB" w14:textId="77777777" w:rsidR="001B77DD" w:rsidRDefault="001B77DD">
            <w:pPr>
              <w:rPr>
                <w:rFonts w:ascii="宋体"/>
              </w:rPr>
            </w:pPr>
          </w:p>
        </w:tc>
        <w:tc>
          <w:tcPr>
            <w:tcW w:w="1837" w:type="pct"/>
            <w:shd w:val="clear" w:color="auto" w:fill="auto"/>
            <w:vAlign w:val="bottom"/>
          </w:tcPr>
          <w:p w14:paraId="675368FC" w14:textId="77777777" w:rsidR="001B77DD" w:rsidRDefault="001B77DD">
            <w:pPr>
              <w:rPr>
                <w:rFonts w:ascii="宋体"/>
              </w:rPr>
            </w:pPr>
          </w:p>
        </w:tc>
        <w:tc>
          <w:tcPr>
            <w:tcW w:w="5" w:type="pct"/>
            <w:shd w:val="clear" w:color="auto" w:fill="auto"/>
            <w:vAlign w:val="bottom"/>
          </w:tcPr>
          <w:p w14:paraId="675368FD" w14:textId="77777777" w:rsidR="001B77DD" w:rsidRDefault="001B77DD">
            <w:pPr>
              <w:rPr>
                <w:rFonts w:ascii="宋体"/>
              </w:rPr>
            </w:pPr>
          </w:p>
        </w:tc>
        <w:tc>
          <w:tcPr>
            <w:tcW w:w="50" w:type="pct"/>
            <w:shd w:val="clear" w:color="auto" w:fill="auto"/>
            <w:vAlign w:val="bottom"/>
          </w:tcPr>
          <w:p w14:paraId="675368FE" w14:textId="77777777" w:rsidR="001B77DD" w:rsidRDefault="001B77DD">
            <w:pPr>
              <w:rPr>
                <w:rFonts w:ascii="宋体"/>
              </w:rPr>
            </w:pPr>
          </w:p>
        </w:tc>
        <w:tc>
          <w:tcPr>
            <w:tcW w:w="1724" w:type="pct"/>
            <w:shd w:val="clear" w:color="auto" w:fill="auto"/>
            <w:vAlign w:val="bottom"/>
          </w:tcPr>
          <w:p w14:paraId="675368FF" w14:textId="77777777" w:rsidR="001B77DD" w:rsidRDefault="001B77DD">
            <w:pPr>
              <w:rPr>
                <w:rFonts w:ascii="宋体"/>
              </w:rPr>
            </w:pPr>
          </w:p>
        </w:tc>
        <w:tc>
          <w:tcPr>
            <w:tcW w:w="5" w:type="pct"/>
            <w:shd w:val="clear" w:color="auto" w:fill="auto"/>
            <w:vAlign w:val="bottom"/>
          </w:tcPr>
          <w:p w14:paraId="67536900" w14:textId="77777777" w:rsidR="001B77DD" w:rsidRDefault="001B77DD">
            <w:pPr>
              <w:rPr>
                <w:rFonts w:ascii="宋体"/>
              </w:rPr>
            </w:pPr>
          </w:p>
        </w:tc>
      </w:tr>
      <w:tr w:rsidR="001B77DD" w14:paraId="67536906"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902"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45" wp14:editId="67538F46">
                  <wp:extent cx="304800" cy="304800"/>
                  <wp:effectExtent l="0" t="0" r="0" b="0"/>
                  <wp:docPr id="223" name="图片 30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30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903"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904"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905" w14:textId="77777777" w:rsidR="001B77DD" w:rsidRDefault="00BF0A28">
            <w:pPr>
              <w:jc w:val="right"/>
              <w:textAlignment w:val="center"/>
            </w:pPr>
            <w:r>
              <w:rPr>
                <w:rFonts w:ascii="Arial" w:eastAsia="宋体" w:hAnsi="Arial" w:cs="Arial"/>
                <w:color w:val="262626"/>
                <w:sz w:val="16"/>
                <w:szCs w:val="16"/>
              </w:rPr>
              <w:t>87</w:t>
            </w:r>
          </w:p>
        </w:tc>
      </w:tr>
    </w:tbl>
    <w:p w14:paraId="67536907" w14:textId="77777777" w:rsidR="001B77DD" w:rsidRDefault="00BF0A28">
      <w:r>
        <w:pict w14:anchorId="67538F47">
          <v:rect id="_x0000_i1113" style="width:415.3pt;height:1.5pt" o:hralign="center" o:hrstd="t" o:hr="t" fillcolor="#a0a0a0" stroked="f"/>
        </w:pict>
      </w:r>
    </w:p>
    <w:p w14:paraId="67536908" w14:textId="77777777" w:rsidR="001B77DD" w:rsidRDefault="00BF0A28">
      <w:pPr>
        <w:jc w:val="right"/>
      </w:pPr>
      <w:hyperlink r:id="rId175" w:anchor="i6c9ced68f6b24d58a3dcf326e8c3c699_16" w:history="1">
        <w:r>
          <w:rPr>
            <w:rStyle w:val="a5"/>
            <w:rFonts w:ascii="Arial" w:eastAsia="宋体" w:hAnsi="Arial" w:cs="Arial"/>
            <w:b/>
            <w:bCs/>
            <w:sz w:val="16"/>
            <w:szCs w:val="16"/>
          </w:rPr>
          <w:t>Table of Contents</w:t>
        </w:r>
      </w:hyperlink>
    </w:p>
    <w:p w14:paraId="67536909" w14:textId="77777777" w:rsidR="001B77DD" w:rsidRDefault="001B77DD">
      <w:pPr>
        <w:jc w:val="right"/>
      </w:pPr>
    </w:p>
    <w:p w14:paraId="6753690A" w14:textId="77777777" w:rsidR="001B77DD" w:rsidRDefault="00BF0A28">
      <w:pPr>
        <w:spacing w:before="180" w:after="120"/>
      </w:pPr>
      <w:r>
        <w:rPr>
          <w:rFonts w:ascii="Arial" w:eastAsia="宋体" w:hAnsi="Arial" w:cs="Arial"/>
          <w:color w:val="262626"/>
          <w:sz w:val="18"/>
          <w:szCs w:val="18"/>
        </w:rPr>
        <w:t>The difference between the tax provision at the statutory federal income tax rate a</w:t>
      </w:r>
      <w:r>
        <w:rPr>
          <w:rFonts w:ascii="Arial" w:eastAsia="宋体" w:hAnsi="Arial" w:cs="Arial"/>
          <w:color w:val="262626"/>
          <w:sz w:val="18"/>
          <w:szCs w:val="18"/>
        </w:rPr>
        <w:t>nd the tax provision as a percentage of income before income taxes (effective tax rate) for each period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015"/>
        <w:gridCol w:w="39"/>
        <w:gridCol w:w="36"/>
        <w:gridCol w:w="36"/>
        <w:gridCol w:w="36"/>
        <w:gridCol w:w="38"/>
        <w:gridCol w:w="753"/>
        <w:gridCol w:w="181"/>
        <w:gridCol w:w="36"/>
        <w:gridCol w:w="36"/>
        <w:gridCol w:w="36"/>
        <w:gridCol w:w="38"/>
        <w:gridCol w:w="753"/>
        <w:gridCol w:w="181"/>
        <w:gridCol w:w="36"/>
        <w:gridCol w:w="36"/>
        <w:gridCol w:w="36"/>
        <w:gridCol w:w="38"/>
        <w:gridCol w:w="755"/>
        <w:gridCol w:w="181"/>
      </w:tblGrid>
      <w:tr w:rsidR="001B77DD" w14:paraId="67536920" w14:textId="77777777">
        <w:tc>
          <w:tcPr>
            <w:tcW w:w="50" w:type="pct"/>
            <w:shd w:val="clear" w:color="auto" w:fill="auto"/>
            <w:vAlign w:val="bottom"/>
          </w:tcPr>
          <w:p w14:paraId="6753690B" w14:textId="77777777" w:rsidR="001B77DD" w:rsidRDefault="001B77DD">
            <w:pPr>
              <w:rPr>
                <w:rFonts w:ascii="宋体"/>
              </w:rPr>
            </w:pPr>
          </w:p>
        </w:tc>
        <w:tc>
          <w:tcPr>
            <w:tcW w:w="3059" w:type="pct"/>
            <w:shd w:val="clear" w:color="auto" w:fill="auto"/>
            <w:vAlign w:val="bottom"/>
          </w:tcPr>
          <w:p w14:paraId="6753690C" w14:textId="77777777" w:rsidR="001B77DD" w:rsidRDefault="001B77DD">
            <w:pPr>
              <w:rPr>
                <w:rFonts w:ascii="宋体"/>
              </w:rPr>
            </w:pPr>
          </w:p>
        </w:tc>
        <w:tc>
          <w:tcPr>
            <w:tcW w:w="5" w:type="pct"/>
            <w:shd w:val="clear" w:color="auto" w:fill="auto"/>
            <w:vAlign w:val="bottom"/>
          </w:tcPr>
          <w:p w14:paraId="6753690D" w14:textId="77777777" w:rsidR="001B77DD" w:rsidRDefault="001B77DD">
            <w:pPr>
              <w:rPr>
                <w:rFonts w:ascii="宋体"/>
              </w:rPr>
            </w:pPr>
          </w:p>
        </w:tc>
        <w:tc>
          <w:tcPr>
            <w:tcW w:w="5" w:type="pct"/>
            <w:shd w:val="clear" w:color="auto" w:fill="auto"/>
            <w:vAlign w:val="bottom"/>
          </w:tcPr>
          <w:p w14:paraId="6753690E" w14:textId="77777777" w:rsidR="001B77DD" w:rsidRDefault="001B77DD">
            <w:pPr>
              <w:rPr>
                <w:rFonts w:ascii="宋体"/>
              </w:rPr>
            </w:pPr>
          </w:p>
        </w:tc>
        <w:tc>
          <w:tcPr>
            <w:tcW w:w="24" w:type="pct"/>
            <w:shd w:val="clear" w:color="auto" w:fill="auto"/>
            <w:vAlign w:val="bottom"/>
          </w:tcPr>
          <w:p w14:paraId="6753690F" w14:textId="77777777" w:rsidR="001B77DD" w:rsidRDefault="001B77DD">
            <w:pPr>
              <w:rPr>
                <w:rFonts w:ascii="宋体"/>
              </w:rPr>
            </w:pPr>
          </w:p>
        </w:tc>
        <w:tc>
          <w:tcPr>
            <w:tcW w:w="5" w:type="pct"/>
            <w:shd w:val="clear" w:color="auto" w:fill="auto"/>
            <w:vAlign w:val="bottom"/>
          </w:tcPr>
          <w:p w14:paraId="67536910" w14:textId="77777777" w:rsidR="001B77DD" w:rsidRDefault="001B77DD">
            <w:pPr>
              <w:rPr>
                <w:rFonts w:ascii="宋体"/>
              </w:rPr>
            </w:pPr>
          </w:p>
        </w:tc>
        <w:tc>
          <w:tcPr>
            <w:tcW w:w="50" w:type="pct"/>
            <w:shd w:val="clear" w:color="auto" w:fill="auto"/>
            <w:vAlign w:val="bottom"/>
          </w:tcPr>
          <w:p w14:paraId="67536911" w14:textId="77777777" w:rsidR="001B77DD" w:rsidRDefault="001B77DD">
            <w:pPr>
              <w:rPr>
                <w:rFonts w:ascii="宋体"/>
              </w:rPr>
            </w:pPr>
          </w:p>
        </w:tc>
        <w:tc>
          <w:tcPr>
            <w:tcW w:w="539" w:type="pct"/>
            <w:shd w:val="clear" w:color="auto" w:fill="auto"/>
            <w:vAlign w:val="bottom"/>
          </w:tcPr>
          <w:p w14:paraId="67536912" w14:textId="77777777" w:rsidR="001B77DD" w:rsidRDefault="001B77DD">
            <w:pPr>
              <w:rPr>
                <w:rFonts w:ascii="宋体"/>
              </w:rPr>
            </w:pPr>
          </w:p>
        </w:tc>
        <w:tc>
          <w:tcPr>
            <w:tcW w:w="5" w:type="pct"/>
            <w:shd w:val="clear" w:color="auto" w:fill="auto"/>
            <w:vAlign w:val="bottom"/>
          </w:tcPr>
          <w:p w14:paraId="67536913" w14:textId="77777777" w:rsidR="001B77DD" w:rsidRDefault="001B77DD">
            <w:pPr>
              <w:rPr>
                <w:rFonts w:ascii="宋体"/>
              </w:rPr>
            </w:pPr>
          </w:p>
        </w:tc>
        <w:tc>
          <w:tcPr>
            <w:tcW w:w="5" w:type="pct"/>
            <w:shd w:val="clear" w:color="auto" w:fill="auto"/>
            <w:vAlign w:val="bottom"/>
          </w:tcPr>
          <w:p w14:paraId="67536914" w14:textId="77777777" w:rsidR="001B77DD" w:rsidRDefault="001B77DD">
            <w:pPr>
              <w:rPr>
                <w:rFonts w:ascii="宋体"/>
              </w:rPr>
            </w:pPr>
          </w:p>
        </w:tc>
        <w:tc>
          <w:tcPr>
            <w:tcW w:w="24" w:type="pct"/>
            <w:shd w:val="clear" w:color="auto" w:fill="auto"/>
            <w:vAlign w:val="bottom"/>
          </w:tcPr>
          <w:p w14:paraId="67536915" w14:textId="77777777" w:rsidR="001B77DD" w:rsidRDefault="001B77DD">
            <w:pPr>
              <w:rPr>
                <w:rFonts w:ascii="宋体"/>
              </w:rPr>
            </w:pPr>
          </w:p>
        </w:tc>
        <w:tc>
          <w:tcPr>
            <w:tcW w:w="5" w:type="pct"/>
            <w:shd w:val="clear" w:color="auto" w:fill="auto"/>
            <w:vAlign w:val="bottom"/>
          </w:tcPr>
          <w:p w14:paraId="67536916" w14:textId="77777777" w:rsidR="001B77DD" w:rsidRDefault="001B77DD">
            <w:pPr>
              <w:rPr>
                <w:rFonts w:ascii="宋体"/>
              </w:rPr>
            </w:pPr>
          </w:p>
        </w:tc>
        <w:tc>
          <w:tcPr>
            <w:tcW w:w="50" w:type="pct"/>
            <w:shd w:val="clear" w:color="auto" w:fill="auto"/>
            <w:vAlign w:val="bottom"/>
          </w:tcPr>
          <w:p w14:paraId="67536917" w14:textId="77777777" w:rsidR="001B77DD" w:rsidRDefault="001B77DD">
            <w:pPr>
              <w:rPr>
                <w:rFonts w:ascii="宋体"/>
              </w:rPr>
            </w:pPr>
          </w:p>
        </w:tc>
        <w:tc>
          <w:tcPr>
            <w:tcW w:w="539" w:type="pct"/>
            <w:shd w:val="clear" w:color="auto" w:fill="auto"/>
            <w:vAlign w:val="bottom"/>
          </w:tcPr>
          <w:p w14:paraId="67536918" w14:textId="77777777" w:rsidR="001B77DD" w:rsidRDefault="001B77DD">
            <w:pPr>
              <w:rPr>
                <w:rFonts w:ascii="宋体"/>
              </w:rPr>
            </w:pPr>
          </w:p>
        </w:tc>
        <w:tc>
          <w:tcPr>
            <w:tcW w:w="5" w:type="pct"/>
            <w:shd w:val="clear" w:color="auto" w:fill="auto"/>
            <w:vAlign w:val="bottom"/>
          </w:tcPr>
          <w:p w14:paraId="67536919" w14:textId="77777777" w:rsidR="001B77DD" w:rsidRDefault="001B77DD">
            <w:pPr>
              <w:rPr>
                <w:rFonts w:ascii="宋体"/>
              </w:rPr>
            </w:pPr>
          </w:p>
        </w:tc>
        <w:tc>
          <w:tcPr>
            <w:tcW w:w="5" w:type="pct"/>
            <w:shd w:val="clear" w:color="auto" w:fill="auto"/>
            <w:vAlign w:val="bottom"/>
          </w:tcPr>
          <w:p w14:paraId="6753691A" w14:textId="77777777" w:rsidR="001B77DD" w:rsidRDefault="001B77DD">
            <w:pPr>
              <w:rPr>
                <w:rFonts w:ascii="宋体"/>
              </w:rPr>
            </w:pPr>
          </w:p>
        </w:tc>
        <w:tc>
          <w:tcPr>
            <w:tcW w:w="24" w:type="pct"/>
            <w:shd w:val="clear" w:color="auto" w:fill="auto"/>
            <w:vAlign w:val="bottom"/>
          </w:tcPr>
          <w:p w14:paraId="6753691B" w14:textId="77777777" w:rsidR="001B77DD" w:rsidRDefault="001B77DD">
            <w:pPr>
              <w:rPr>
                <w:rFonts w:ascii="宋体"/>
              </w:rPr>
            </w:pPr>
          </w:p>
        </w:tc>
        <w:tc>
          <w:tcPr>
            <w:tcW w:w="5" w:type="pct"/>
            <w:shd w:val="clear" w:color="auto" w:fill="auto"/>
            <w:vAlign w:val="bottom"/>
          </w:tcPr>
          <w:p w14:paraId="6753691C" w14:textId="77777777" w:rsidR="001B77DD" w:rsidRDefault="001B77DD">
            <w:pPr>
              <w:rPr>
                <w:rFonts w:ascii="宋体"/>
              </w:rPr>
            </w:pPr>
          </w:p>
        </w:tc>
        <w:tc>
          <w:tcPr>
            <w:tcW w:w="50" w:type="pct"/>
            <w:shd w:val="clear" w:color="auto" w:fill="auto"/>
            <w:vAlign w:val="bottom"/>
          </w:tcPr>
          <w:p w14:paraId="6753691D" w14:textId="77777777" w:rsidR="001B77DD" w:rsidRDefault="001B77DD">
            <w:pPr>
              <w:rPr>
                <w:rFonts w:ascii="宋体"/>
              </w:rPr>
            </w:pPr>
          </w:p>
        </w:tc>
        <w:tc>
          <w:tcPr>
            <w:tcW w:w="539" w:type="pct"/>
            <w:shd w:val="clear" w:color="auto" w:fill="auto"/>
            <w:vAlign w:val="bottom"/>
          </w:tcPr>
          <w:p w14:paraId="6753691E" w14:textId="77777777" w:rsidR="001B77DD" w:rsidRDefault="001B77DD">
            <w:pPr>
              <w:rPr>
                <w:rFonts w:ascii="宋体"/>
              </w:rPr>
            </w:pPr>
          </w:p>
        </w:tc>
        <w:tc>
          <w:tcPr>
            <w:tcW w:w="5" w:type="pct"/>
            <w:shd w:val="clear" w:color="auto" w:fill="auto"/>
            <w:vAlign w:val="bottom"/>
          </w:tcPr>
          <w:p w14:paraId="6753691F" w14:textId="77777777" w:rsidR="001B77DD" w:rsidRDefault="001B77DD">
            <w:pPr>
              <w:rPr>
                <w:rFonts w:ascii="宋体"/>
              </w:rPr>
            </w:pPr>
          </w:p>
        </w:tc>
      </w:tr>
      <w:tr w:rsidR="001B77DD" w14:paraId="67536928" w14:textId="77777777">
        <w:tc>
          <w:tcPr>
            <w:tcW w:w="0" w:type="auto"/>
            <w:gridSpan w:val="3"/>
            <w:shd w:val="clear" w:color="auto" w:fill="auto"/>
            <w:tcMar>
              <w:top w:w="40" w:type="dxa"/>
              <w:left w:w="20" w:type="dxa"/>
              <w:bottom w:w="40" w:type="dxa"/>
              <w:right w:w="20" w:type="dxa"/>
            </w:tcMar>
            <w:vAlign w:val="bottom"/>
          </w:tcPr>
          <w:p w14:paraId="67536921" w14:textId="77777777" w:rsidR="001B77DD" w:rsidRDefault="00BF0A28">
            <w:pPr>
              <w:textAlignment w:val="bottom"/>
            </w:pPr>
            <w:r>
              <w:rPr>
                <w:rFonts w:ascii="Arial" w:eastAsia="宋体" w:hAnsi="Arial" w:cs="Arial"/>
                <w:b/>
                <w:bCs/>
                <w:color w:val="262626"/>
                <w:sz w:val="18"/>
                <w:szCs w:val="18"/>
              </w:rPr>
              <w:t>Y</w:t>
            </w:r>
            <w:r>
              <w:rPr>
                <w:rFonts w:ascii="Arial" w:eastAsia="宋体" w:hAnsi="Arial" w:cs="Arial"/>
                <w:b/>
                <w:bCs/>
                <w:color w:val="262626"/>
                <w:sz w:val="18"/>
                <w:szCs w:val="18"/>
              </w:rPr>
              <w:t>ears Ended</w:t>
            </w:r>
          </w:p>
        </w:tc>
        <w:tc>
          <w:tcPr>
            <w:tcW w:w="0" w:type="auto"/>
            <w:gridSpan w:val="3"/>
            <w:shd w:val="clear" w:color="auto" w:fill="auto"/>
            <w:tcMar>
              <w:top w:w="0" w:type="dxa"/>
              <w:left w:w="20" w:type="dxa"/>
              <w:bottom w:w="0" w:type="dxa"/>
              <w:right w:w="20" w:type="dxa"/>
            </w:tcMar>
            <w:vAlign w:val="bottom"/>
          </w:tcPr>
          <w:p w14:paraId="6753692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923"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92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925"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92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927"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93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929" w14:textId="77777777" w:rsidR="001B77DD" w:rsidRDefault="00BF0A28">
            <w:pPr>
              <w:textAlignment w:val="bottom"/>
            </w:pPr>
            <w:r>
              <w:rPr>
                <w:rFonts w:ascii="Arial" w:eastAsia="宋体" w:hAnsi="Arial" w:cs="Arial"/>
                <w:color w:val="262626"/>
                <w:sz w:val="18"/>
                <w:szCs w:val="18"/>
              </w:rPr>
              <w:t>Statutory federal income tax rate</w:t>
            </w:r>
          </w:p>
        </w:tc>
        <w:tc>
          <w:tcPr>
            <w:tcW w:w="0" w:type="auto"/>
            <w:gridSpan w:val="3"/>
            <w:shd w:val="clear" w:color="auto" w:fill="auto"/>
            <w:tcMar>
              <w:top w:w="0" w:type="dxa"/>
              <w:left w:w="20" w:type="dxa"/>
              <w:bottom w:w="0" w:type="dxa"/>
              <w:right w:w="20" w:type="dxa"/>
            </w:tcMar>
            <w:vAlign w:val="bottom"/>
          </w:tcPr>
          <w:p w14:paraId="6753692A"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692B" w14:textId="77777777" w:rsidR="001B77DD" w:rsidRDefault="00BF0A28">
            <w:pPr>
              <w:jc w:val="right"/>
              <w:textAlignment w:val="bottom"/>
            </w:pPr>
            <w:r>
              <w:rPr>
                <w:rFonts w:ascii="Arial" w:eastAsia="宋体" w:hAnsi="Arial" w:cs="Arial"/>
                <w:color w:val="0068B5"/>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92C"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92D"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692E" w14:textId="77777777" w:rsidR="001B77DD" w:rsidRDefault="00BF0A28">
            <w:pPr>
              <w:jc w:val="right"/>
              <w:textAlignment w:val="bottom"/>
            </w:pPr>
            <w:r>
              <w:rPr>
                <w:rFonts w:ascii="Arial" w:eastAsia="宋体" w:hAnsi="Arial" w:cs="Arial"/>
                <w:color w:val="262626"/>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92F"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930"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6931" w14:textId="77777777" w:rsidR="001B77DD" w:rsidRDefault="00BF0A28">
            <w:pPr>
              <w:jc w:val="right"/>
              <w:textAlignment w:val="bottom"/>
            </w:pPr>
            <w:r>
              <w:rPr>
                <w:rFonts w:ascii="Arial" w:eastAsia="宋体" w:hAnsi="Arial" w:cs="Arial"/>
                <w:color w:val="262626"/>
                <w:sz w:val="18"/>
                <w:szCs w:val="18"/>
              </w:rPr>
              <w:t>21.0 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932" w14:textId="77777777" w:rsidR="001B77DD" w:rsidRDefault="00BF0A28">
            <w:pPr>
              <w:jc w:val="right"/>
              <w:textAlignment w:val="bottom"/>
            </w:pPr>
            <w:r>
              <w:rPr>
                <w:rFonts w:ascii="Arial" w:eastAsia="宋体" w:hAnsi="Arial" w:cs="Arial"/>
                <w:color w:val="262626"/>
                <w:sz w:val="18"/>
                <w:szCs w:val="18"/>
              </w:rPr>
              <w:t>%</w:t>
            </w:r>
          </w:p>
        </w:tc>
      </w:tr>
      <w:tr w:rsidR="001B77DD" w14:paraId="6753693B" w14:textId="77777777">
        <w:tc>
          <w:tcPr>
            <w:tcW w:w="0" w:type="auto"/>
            <w:gridSpan w:val="3"/>
            <w:shd w:val="clear" w:color="auto" w:fill="auto"/>
            <w:tcMar>
              <w:top w:w="40" w:type="dxa"/>
              <w:left w:w="20" w:type="dxa"/>
              <w:bottom w:w="40" w:type="dxa"/>
              <w:right w:w="20" w:type="dxa"/>
            </w:tcMar>
            <w:vAlign w:val="bottom"/>
          </w:tcPr>
          <w:p w14:paraId="67536934" w14:textId="77777777" w:rsidR="001B77DD" w:rsidRDefault="00BF0A28">
            <w:pPr>
              <w:textAlignment w:val="bottom"/>
            </w:pPr>
            <w:r>
              <w:rPr>
                <w:rFonts w:ascii="Arial" w:eastAsia="宋体" w:hAnsi="Arial" w:cs="Arial"/>
                <w:color w:val="262626"/>
                <w:sz w:val="18"/>
                <w:szCs w:val="18"/>
              </w:rPr>
              <w:t>Increase (reduction) in rate resulting from:</w:t>
            </w:r>
          </w:p>
        </w:tc>
        <w:tc>
          <w:tcPr>
            <w:tcW w:w="0" w:type="auto"/>
            <w:gridSpan w:val="3"/>
            <w:shd w:val="clear" w:color="auto" w:fill="auto"/>
            <w:tcMar>
              <w:top w:w="0" w:type="dxa"/>
              <w:left w:w="20" w:type="dxa"/>
              <w:bottom w:w="0" w:type="dxa"/>
              <w:right w:w="20" w:type="dxa"/>
            </w:tcMar>
            <w:vAlign w:val="bottom"/>
          </w:tcPr>
          <w:p w14:paraId="6753693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93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93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93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93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93A" w14:textId="77777777" w:rsidR="001B77DD" w:rsidRDefault="001B77DD">
            <w:pPr>
              <w:rPr>
                <w:rFonts w:ascii="宋体"/>
              </w:rPr>
            </w:pPr>
          </w:p>
        </w:tc>
      </w:tr>
      <w:tr w:rsidR="001B77DD" w14:paraId="67536946" w14:textId="77777777">
        <w:tc>
          <w:tcPr>
            <w:tcW w:w="0" w:type="auto"/>
            <w:gridSpan w:val="3"/>
            <w:shd w:val="clear" w:color="auto" w:fill="auto"/>
            <w:tcMar>
              <w:top w:w="40" w:type="dxa"/>
              <w:left w:w="155" w:type="dxa"/>
              <w:bottom w:w="40" w:type="dxa"/>
              <w:right w:w="20" w:type="dxa"/>
            </w:tcMar>
            <w:vAlign w:val="bottom"/>
          </w:tcPr>
          <w:p w14:paraId="6753693C" w14:textId="77777777" w:rsidR="001B77DD" w:rsidRDefault="00BF0A28">
            <w:pPr>
              <w:textAlignment w:val="bottom"/>
            </w:pPr>
            <w:r>
              <w:rPr>
                <w:rFonts w:ascii="Arial" w:eastAsia="宋体" w:hAnsi="Arial" w:cs="Arial"/>
                <w:color w:val="262626"/>
                <w:sz w:val="18"/>
                <w:szCs w:val="18"/>
              </w:rPr>
              <w:t>Non-US income taxed at different rates</w:t>
            </w:r>
          </w:p>
        </w:tc>
        <w:tc>
          <w:tcPr>
            <w:tcW w:w="0" w:type="auto"/>
            <w:gridSpan w:val="3"/>
            <w:shd w:val="clear" w:color="auto" w:fill="auto"/>
            <w:tcMar>
              <w:top w:w="0" w:type="dxa"/>
              <w:left w:w="20" w:type="dxa"/>
              <w:bottom w:w="0" w:type="dxa"/>
              <w:right w:w="20" w:type="dxa"/>
            </w:tcMar>
            <w:vAlign w:val="bottom"/>
          </w:tcPr>
          <w:p w14:paraId="6753693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3E" w14:textId="77777777" w:rsidR="001B77DD" w:rsidRDefault="00BF0A28">
            <w:pPr>
              <w:jc w:val="right"/>
              <w:textAlignment w:val="bottom"/>
            </w:pPr>
            <w:r>
              <w:rPr>
                <w:rFonts w:ascii="Arial" w:eastAsia="宋体" w:hAnsi="Arial" w:cs="Arial"/>
                <w:color w:val="0068B5"/>
                <w:sz w:val="18"/>
                <w:szCs w:val="18"/>
              </w:rPr>
              <w:t>(5.9)</w:t>
            </w:r>
          </w:p>
        </w:tc>
        <w:tc>
          <w:tcPr>
            <w:tcW w:w="0" w:type="auto"/>
            <w:shd w:val="clear" w:color="auto" w:fill="auto"/>
            <w:tcMar>
              <w:top w:w="40" w:type="dxa"/>
              <w:left w:w="0" w:type="dxa"/>
              <w:bottom w:w="40" w:type="dxa"/>
              <w:right w:w="20" w:type="dxa"/>
            </w:tcMar>
            <w:vAlign w:val="bottom"/>
          </w:tcPr>
          <w:p w14:paraId="6753693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4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41" w14:textId="77777777" w:rsidR="001B77DD" w:rsidRDefault="00BF0A28">
            <w:pPr>
              <w:jc w:val="right"/>
              <w:textAlignment w:val="bottom"/>
            </w:pPr>
            <w:r>
              <w:rPr>
                <w:rFonts w:ascii="Arial" w:eastAsia="宋体" w:hAnsi="Arial" w:cs="Arial"/>
                <w:color w:val="262626"/>
                <w:sz w:val="18"/>
                <w:szCs w:val="18"/>
              </w:rPr>
              <w:t>(3.7)</w:t>
            </w:r>
          </w:p>
        </w:tc>
        <w:tc>
          <w:tcPr>
            <w:tcW w:w="0" w:type="auto"/>
            <w:shd w:val="clear" w:color="auto" w:fill="auto"/>
            <w:tcMar>
              <w:top w:w="40" w:type="dxa"/>
              <w:left w:w="0" w:type="dxa"/>
              <w:bottom w:w="40" w:type="dxa"/>
              <w:right w:w="20" w:type="dxa"/>
            </w:tcMar>
            <w:vAlign w:val="bottom"/>
          </w:tcPr>
          <w:p w14:paraId="6753694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4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44" w14:textId="77777777" w:rsidR="001B77DD" w:rsidRDefault="00BF0A28">
            <w:pPr>
              <w:jc w:val="right"/>
              <w:textAlignment w:val="bottom"/>
            </w:pPr>
            <w:r>
              <w:rPr>
                <w:rFonts w:ascii="Arial" w:eastAsia="宋体" w:hAnsi="Arial" w:cs="Arial"/>
                <w:color w:val="262626"/>
                <w:sz w:val="18"/>
                <w:szCs w:val="18"/>
              </w:rPr>
              <w:t>(3.7)</w:t>
            </w:r>
          </w:p>
        </w:tc>
        <w:tc>
          <w:tcPr>
            <w:tcW w:w="0" w:type="auto"/>
            <w:shd w:val="clear" w:color="auto" w:fill="auto"/>
            <w:tcMar>
              <w:top w:w="40" w:type="dxa"/>
              <w:left w:w="0" w:type="dxa"/>
              <w:bottom w:w="40" w:type="dxa"/>
              <w:right w:w="20" w:type="dxa"/>
            </w:tcMar>
            <w:vAlign w:val="bottom"/>
          </w:tcPr>
          <w:p w14:paraId="67536945" w14:textId="77777777" w:rsidR="001B77DD" w:rsidRDefault="001B77DD">
            <w:pPr>
              <w:jc w:val="right"/>
              <w:rPr>
                <w:rFonts w:ascii="宋体"/>
              </w:rPr>
            </w:pPr>
          </w:p>
        </w:tc>
      </w:tr>
      <w:tr w:rsidR="001B77DD" w14:paraId="67536951" w14:textId="77777777">
        <w:tc>
          <w:tcPr>
            <w:tcW w:w="0" w:type="auto"/>
            <w:gridSpan w:val="3"/>
            <w:shd w:val="clear" w:color="auto" w:fill="auto"/>
            <w:tcMar>
              <w:top w:w="40" w:type="dxa"/>
              <w:left w:w="155" w:type="dxa"/>
              <w:bottom w:w="40" w:type="dxa"/>
              <w:right w:w="20" w:type="dxa"/>
            </w:tcMar>
            <w:vAlign w:val="bottom"/>
          </w:tcPr>
          <w:p w14:paraId="67536947" w14:textId="77777777" w:rsidR="001B77DD" w:rsidRDefault="00BF0A28">
            <w:pPr>
              <w:textAlignment w:val="bottom"/>
            </w:pPr>
            <w:r>
              <w:rPr>
                <w:rFonts w:ascii="Arial" w:eastAsia="宋体" w:hAnsi="Arial" w:cs="Arial"/>
                <w:color w:val="262626"/>
                <w:sz w:val="18"/>
                <w:szCs w:val="18"/>
              </w:rPr>
              <w:t>Research and development tax credits</w:t>
            </w:r>
          </w:p>
        </w:tc>
        <w:tc>
          <w:tcPr>
            <w:tcW w:w="0" w:type="auto"/>
            <w:gridSpan w:val="3"/>
            <w:shd w:val="clear" w:color="auto" w:fill="auto"/>
            <w:tcMar>
              <w:top w:w="0" w:type="dxa"/>
              <w:left w:w="20" w:type="dxa"/>
              <w:bottom w:w="0" w:type="dxa"/>
              <w:right w:w="20" w:type="dxa"/>
            </w:tcMar>
            <w:vAlign w:val="bottom"/>
          </w:tcPr>
          <w:p w14:paraId="6753694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49" w14:textId="77777777" w:rsidR="001B77DD" w:rsidRDefault="00BF0A28">
            <w:pPr>
              <w:jc w:val="right"/>
              <w:textAlignment w:val="bottom"/>
            </w:pPr>
            <w:r>
              <w:rPr>
                <w:rFonts w:ascii="Arial" w:eastAsia="宋体" w:hAnsi="Arial" w:cs="Arial"/>
                <w:color w:val="0068B5"/>
                <w:sz w:val="18"/>
                <w:szCs w:val="18"/>
              </w:rPr>
              <w:t>(2.4)</w:t>
            </w:r>
          </w:p>
        </w:tc>
        <w:tc>
          <w:tcPr>
            <w:tcW w:w="0" w:type="auto"/>
            <w:shd w:val="clear" w:color="auto" w:fill="auto"/>
            <w:tcMar>
              <w:top w:w="40" w:type="dxa"/>
              <w:left w:w="0" w:type="dxa"/>
              <w:bottom w:w="40" w:type="dxa"/>
              <w:right w:w="20" w:type="dxa"/>
            </w:tcMar>
            <w:vAlign w:val="bottom"/>
          </w:tcPr>
          <w:p w14:paraId="6753694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4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4C" w14:textId="77777777" w:rsidR="001B77DD" w:rsidRDefault="00BF0A28">
            <w:pPr>
              <w:jc w:val="right"/>
              <w:textAlignment w:val="bottom"/>
            </w:pPr>
            <w:r>
              <w:rPr>
                <w:rFonts w:ascii="Arial" w:eastAsia="宋体" w:hAnsi="Arial" w:cs="Arial"/>
                <w:color w:val="262626"/>
                <w:sz w:val="18"/>
                <w:szCs w:val="18"/>
              </w:rPr>
              <w:t>(2.1)</w:t>
            </w:r>
          </w:p>
        </w:tc>
        <w:tc>
          <w:tcPr>
            <w:tcW w:w="0" w:type="auto"/>
            <w:shd w:val="clear" w:color="auto" w:fill="auto"/>
            <w:tcMar>
              <w:top w:w="40" w:type="dxa"/>
              <w:left w:w="0" w:type="dxa"/>
              <w:bottom w:w="40" w:type="dxa"/>
              <w:right w:w="20" w:type="dxa"/>
            </w:tcMar>
            <w:vAlign w:val="bottom"/>
          </w:tcPr>
          <w:p w14:paraId="6753694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4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4F" w14:textId="77777777" w:rsidR="001B77DD" w:rsidRDefault="00BF0A28">
            <w:pPr>
              <w:jc w:val="right"/>
              <w:textAlignment w:val="bottom"/>
            </w:pPr>
            <w:r>
              <w:rPr>
                <w:rFonts w:ascii="Arial" w:eastAsia="宋体" w:hAnsi="Arial" w:cs="Arial"/>
                <w:color w:val="262626"/>
                <w:sz w:val="18"/>
                <w:szCs w:val="18"/>
              </w:rPr>
              <w:t>(2.3)</w:t>
            </w:r>
          </w:p>
        </w:tc>
        <w:tc>
          <w:tcPr>
            <w:tcW w:w="0" w:type="auto"/>
            <w:shd w:val="clear" w:color="auto" w:fill="auto"/>
            <w:tcMar>
              <w:top w:w="40" w:type="dxa"/>
              <w:left w:w="0" w:type="dxa"/>
              <w:bottom w:w="40" w:type="dxa"/>
              <w:right w:w="20" w:type="dxa"/>
            </w:tcMar>
            <w:vAlign w:val="bottom"/>
          </w:tcPr>
          <w:p w14:paraId="67536950" w14:textId="77777777" w:rsidR="001B77DD" w:rsidRDefault="001B77DD">
            <w:pPr>
              <w:jc w:val="right"/>
              <w:rPr>
                <w:rFonts w:ascii="宋体"/>
              </w:rPr>
            </w:pPr>
          </w:p>
        </w:tc>
      </w:tr>
      <w:tr w:rsidR="001B77DD" w14:paraId="6753695C" w14:textId="77777777">
        <w:tc>
          <w:tcPr>
            <w:tcW w:w="0" w:type="auto"/>
            <w:gridSpan w:val="3"/>
            <w:shd w:val="clear" w:color="auto" w:fill="auto"/>
            <w:tcMar>
              <w:top w:w="40" w:type="dxa"/>
              <w:left w:w="155" w:type="dxa"/>
              <w:bottom w:w="40" w:type="dxa"/>
              <w:right w:w="20" w:type="dxa"/>
            </w:tcMar>
            <w:vAlign w:val="bottom"/>
          </w:tcPr>
          <w:p w14:paraId="67536952" w14:textId="77777777" w:rsidR="001B77DD" w:rsidRDefault="00BF0A28">
            <w:pPr>
              <w:textAlignment w:val="bottom"/>
            </w:pPr>
            <w:r>
              <w:rPr>
                <w:rFonts w:ascii="Arial" w:eastAsia="宋体" w:hAnsi="Arial" w:cs="Arial"/>
                <w:color w:val="262626"/>
                <w:sz w:val="18"/>
                <w:szCs w:val="18"/>
              </w:rPr>
              <w:t>Restructuring of certain non-U.S. subsidiaries</w:t>
            </w:r>
          </w:p>
        </w:tc>
        <w:tc>
          <w:tcPr>
            <w:tcW w:w="0" w:type="auto"/>
            <w:gridSpan w:val="3"/>
            <w:shd w:val="clear" w:color="auto" w:fill="auto"/>
            <w:tcMar>
              <w:top w:w="0" w:type="dxa"/>
              <w:left w:w="20" w:type="dxa"/>
              <w:bottom w:w="0" w:type="dxa"/>
              <w:right w:w="20" w:type="dxa"/>
            </w:tcMar>
            <w:vAlign w:val="bottom"/>
          </w:tcPr>
          <w:p w14:paraId="6753695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54" w14:textId="77777777" w:rsidR="001B77DD" w:rsidRDefault="00BF0A28">
            <w:pPr>
              <w:jc w:val="right"/>
              <w:textAlignment w:val="bottom"/>
            </w:pPr>
            <w:r>
              <w:rPr>
                <w:rFonts w:ascii="Arial" w:eastAsia="宋体" w:hAnsi="Arial" w:cs="Arial"/>
                <w:color w:val="0068B5"/>
                <w:sz w:val="18"/>
                <w:szCs w:val="18"/>
              </w:rPr>
              <w:t>(3.4)</w:t>
            </w:r>
          </w:p>
        </w:tc>
        <w:tc>
          <w:tcPr>
            <w:tcW w:w="0" w:type="auto"/>
            <w:shd w:val="clear" w:color="auto" w:fill="auto"/>
            <w:tcMar>
              <w:top w:w="40" w:type="dxa"/>
              <w:left w:w="0" w:type="dxa"/>
              <w:bottom w:w="40" w:type="dxa"/>
              <w:right w:w="20" w:type="dxa"/>
            </w:tcMar>
            <w:vAlign w:val="bottom"/>
          </w:tcPr>
          <w:p w14:paraId="675369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5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57"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95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5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5A"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95B" w14:textId="77777777" w:rsidR="001B77DD" w:rsidRDefault="001B77DD">
            <w:pPr>
              <w:jc w:val="right"/>
              <w:rPr>
                <w:rFonts w:ascii="宋体"/>
              </w:rPr>
            </w:pPr>
          </w:p>
        </w:tc>
      </w:tr>
      <w:tr w:rsidR="001B77DD" w14:paraId="67536967" w14:textId="77777777">
        <w:tc>
          <w:tcPr>
            <w:tcW w:w="0" w:type="auto"/>
            <w:gridSpan w:val="3"/>
            <w:shd w:val="clear" w:color="auto" w:fill="auto"/>
            <w:tcMar>
              <w:top w:w="40" w:type="dxa"/>
              <w:left w:w="155" w:type="dxa"/>
              <w:bottom w:w="40" w:type="dxa"/>
              <w:right w:w="20" w:type="dxa"/>
            </w:tcMar>
            <w:vAlign w:val="bottom"/>
          </w:tcPr>
          <w:p w14:paraId="6753695D" w14:textId="77777777" w:rsidR="001B77DD" w:rsidRDefault="00BF0A28">
            <w:pPr>
              <w:textAlignment w:val="bottom"/>
            </w:pPr>
            <w:r>
              <w:rPr>
                <w:rFonts w:ascii="Arial" w:eastAsia="宋体" w:hAnsi="Arial" w:cs="Arial"/>
                <w:color w:val="262626"/>
                <w:sz w:val="18"/>
                <w:szCs w:val="18"/>
              </w:rPr>
              <w:t>Foreign derived intangible income benefit</w:t>
            </w:r>
          </w:p>
        </w:tc>
        <w:tc>
          <w:tcPr>
            <w:tcW w:w="0" w:type="auto"/>
            <w:gridSpan w:val="3"/>
            <w:shd w:val="clear" w:color="auto" w:fill="auto"/>
            <w:tcMar>
              <w:top w:w="0" w:type="dxa"/>
              <w:left w:w="20" w:type="dxa"/>
              <w:bottom w:w="0" w:type="dxa"/>
              <w:right w:w="20" w:type="dxa"/>
            </w:tcMar>
            <w:vAlign w:val="bottom"/>
          </w:tcPr>
          <w:p w14:paraId="6753695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5F" w14:textId="77777777" w:rsidR="001B77DD" w:rsidRDefault="00BF0A28">
            <w:pPr>
              <w:jc w:val="right"/>
              <w:textAlignment w:val="bottom"/>
            </w:pPr>
            <w:r>
              <w:rPr>
                <w:rFonts w:ascii="Arial" w:eastAsia="宋体" w:hAnsi="Arial" w:cs="Arial"/>
                <w:color w:val="0068B5"/>
                <w:sz w:val="18"/>
                <w:szCs w:val="18"/>
              </w:rPr>
              <w:t>(2.2)</w:t>
            </w:r>
          </w:p>
        </w:tc>
        <w:tc>
          <w:tcPr>
            <w:tcW w:w="0" w:type="auto"/>
            <w:shd w:val="clear" w:color="auto" w:fill="auto"/>
            <w:tcMar>
              <w:top w:w="40" w:type="dxa"/>
              <w:left w:w="0" w:type="dxa"/>
              <w:bottom w:w="40" w:type="dxa"/>
              <w:right w:w="20" w:type="dxa"/>
            </w:tcMar>
            <w:vAlign w:val="bottom"/>
          </w:tcPr>
          <w:p w14:paraId="6753696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6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62" w14:textId="77777777" w:rsidR="001B77DD" w:rsidRDefault="00BF0A28">
            <w:pPr>
              <w:jc w:val="right"/>
              <w:textAlignment w:val="bottom"/>
            </w:pPr>
            <w:r>
              <w:rPr>
                <w:rFonts w:ascii="Arial" w:eastAsia="宋体" w:hAnsi="Arial" w:cs="Arial"/>
                <w:color w:val="262626"/>
                <w:sz w:val="18"/>
                <w:szCs w:val="18"/>
              </w:rPr>
              <w:t>(1.9)</w:t>
            </w:r>
          </w:p>
        </w:tc>
        <w:tc>
          <w:tcPr>
            <w:tcW w:w="0" w:type="auto"/>
            <w:shd w:val="clear" w:color="auto" w:fill="auto"/>
            <w:tcMar>
              <w:top w:w="40" w:type="dxa"/>
              <w:left w:w="0" w:type="dxa"/>
              <w:bottom w:w="40" w:type="dxa"/>
              <w:right w:w="20" w:type="dxa"/>
            </w:tcMar>
            <w:vAlign w:val="bottom"/>
          </w:tcPr>
          <w:p w14:paraId="675369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6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65" w14:textId="77777777" w:rsidR="001B77DD" w:rsidRDefault="00BF0A28">
            <w:pPr>
              <w:jc w:val="right"/>
              <w:textAlignment w:val="bottom"/>
            </w:pPr>
            <w:r>
              <w:rPr>
                <w:rFonts w:ascii="Arial" w:eastAsia="宋体" w:hAnsi="Arial" w:cs="Arial"/>
                <w:color w:val="262626"/>
                <w:sz w:val="18"/>
                <w:szCs w:val="18"/>
              </w:rPr>
              <w:t>(3.2)</w:t>
            </w:r>
          </w:p>
        </w:tc>
        <w:tc>
          <w:tcPr>
            <w:tcW w:w="0" w:type="auto"/>
            <w:shd w:val="clear" w:color="auto" w:fill="auto"/>
            <w:tcMar>
              <w:top w:w="40" w:type="dxa"/>
              <w:left w:w="0" w:type="dxa"/>
              <w:bottom w:w="40" w:type="dxa"/>
              <w:right w:w="20" w:type="dxa"/>
            </w:tcMar>
            <w:vAlign w:val="bottom"/>
          </w:tcPr>
          <w:p w14:paraId="67536966" w14:textId="77777777" w:rsidR="001B77DD" w:rsidRDefault="001B77DD">
            <w:pPr>
              <w:jc w:val="right"/>
              <w:rPr>
                <w:rFonts w:ascii="宋体"/>
              </w:rPr>
            </w:pPr>
          </w:p>
        </w:tc>
      </w:tr>
      <w:tr w:rsidR="001B77DD" w14:paraId="67536972" w14:textId="77777777">
        <w:tc>
          <w:tcPr>
            <w:tcW w:w="0" w:type="auto"/>
            <w:gridSpan w:val="3"/>
            <w:shd w:val="clear" w:color="auto" w:fill="auto"/>
            <w:tcMar>
              <w:top w:w="40" w:type="dxa"/>
              <w:left w:w="155" w:type="dxa"/>
              <w:bottom w:w="40" w:type="dxa"/>
              <w:right w:w="20" w:type="dxa"/>
            </w:tcMar>
            <w:vAlign w:val="bottom"/>
          </w:tcPr>
          <w:p w14:paraId="67536968" w14:textId="77777777" w:rsidR="001B77DD" w:rsidRDefault="00BF0A28">
            <w:pPr>
              <w:textAlignment w:val="bottom"/>
            </w:pPr>
            <w:r>
              <w:rPr>
                <w:rFonts w:ascii="Arial" w:eastAsia="宋体" w:hAnsi="Arial" w:cs="Arial"/>
                <w:color w:val="262626"/>
                <w:sz w:val="18"/>
                <w:szCs w:val="18"/>
              </w:rPr>
              <w:t>Change in permanent reinvestment assertion</w:t>
            </w:r>
          </w:p>
        </w:tc>
        <w:tc>
          <w:tcPr>
            <w:tcW w:w="0" w:type="auto"/>
            <w:gridSpan w:val="3"/>
            <w:shd w:val="clear" w:color="auto" w:fill="auto"/>
            <w:tcMar>
              <w:top w:w="0" w:type="dxa"/>
              <w:left w:w="20" w:type="dxa"/>
              <w:bottom w:w="0" w:type="dxa"/>
              <w:right w:w="20" w:type="dxa"/>
            </w:tcMar>
            <w:vAlign w:val="bottom"/>
          </w:tcPr>
          <w:p w14:paraId="6753696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6A"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96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6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6D" w14:textId="77777777" w:rsidR="001B77DD" w:rsidRDefault="00BF0A28">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6753696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6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70"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971" w14:textId="77777777" w:rsidR="001B77DD" w:rsidRDefault="001B77DD">
            <w:pPr>
              <w:jc w:val="right"/>
              <w:rPr>
                <w:rFonts w:ascii="宋体"/>
              </w:rPr>
            </w:pPr>
          </w:p>
        </w:tc>
      </w:tr>
      <w:tr w:rsidR="001B77DD" w14:paraId="6753697A" w14:textId="77777777">
        <w:trPr>
          <w:hidden/>
        </w:trPr>
        <w:tc>
          <w:tcPr>
            <w:tcW w:w="0" w:type="auto"/>
            <w:gridSpan w:val="3"/>
            <w:shd w:val="clear" w:color="auto" w:fill="auto"/>
            <w:vAlign w:val="bottom"/>
          </w:tcPr>
          <w:p w14:paraId="67536973" w14:textId="77777777" w:rsidR="001B77DD" w:rsidRDefault="001B77DD">
            <w:pPr>
              <w:rPr>
                <w:rFonts w:ascii="宋体"/>
                <w:vanish/>
              </w:rPr>
            </w:pPr>
          </w:p>
        </w:tc>
        <w:tc>
          <w:tcPr>
            <w:tcW w:w="0" w:type="auto"/>
            <w:gridSpan w:val="3"/>
            <w:shd w:val="clear" w:color="auto" w:fill="auto"/>
            <w:vAlign w:val="bottom"/>
          </w:tcPr>
          <w:p w14:paraId="67536974" w14:textId="77777777" w:rsidR="001B77DD" w:rsidRDefault="001B77DD">
            <w:pPr>
              <w:rPr>
                <w:rFonts w:ascii="宋体"/>
                <w:vanish/>
              </w:rPr>
            </w:pPr>
          </w:p>
        </w:tc>
        <w:tc>
          <w:tcPr>
            <w:tcW w:w="0" w:type="auto"/>
            <w:gridSpan w:val="3"/>
            <w:shd w:val="clear" w:color="auto" w:fill="auto"/>
            <w:vAlign w:val="bottom"/>
          </w:tcPr>
          <w:p w14:paraId="67536975" w14:textId="77777777" w:rsidR="001B77DD" w:rsidRDefault="001B77DD">
            <w:pPr>
              <w:rPr>
                <w:rFonts w:ascii="宋体"/>
                <w:vanish/>
              </w:rPr>
            </w:pPr>
          </w:p>
        </w:tc>
        <w:tc>
          <w:tcPr>
            <w:tcW w:w="0" w:type="auto"/>
            <w:gridSpan w:val="3"/>
            <w:shd w:val="clear" w:color="auto" w:fill="auto"/>
            <w:vAlign w:val="bottom"/>
          </w:tcPr>
          <w:p w14:paraId="67536976" w14:textId="77777777" w:rsidR="001B77DD" w:rsidRDefault="001B77DD">
            <w:pPr>
              <w:rPr>
                <w:rFonts w:ascii="宋体"/>
                <w:vanish/>
              </w:rPr>
            </w:pPr>
          </w:p>
        </w:tc>
        <w:tc>
          <w:tcPr>
            <w:tcW w:w="0" w:type="auto"/>
            <w:gridSpan w:val="3"/>
            <w:shd w:val="clear" w:color="auto" w:fill="auto"/>
            <w:vAlign w:val="bottom"/>
          </w:tcPr>
          <w:p w14:paraId="67536977" w14:textId="77777777" w:rsidR="001B77DD" w:rsidRDefault="001B77DD">
            <w:pPr>
              <w:rPr>
                <w:rFonts w:ascii="宋体"/>
                <w:vanish/>
              </w:rPr>
            </w:pPr>
          </w:p>
        </w:tc>
        <w:tc>
          <w:tcPr>
            <w:tcW w:w="0" w:type="auto"/>
            <w:gridSpan w:val="3"/>
            <w:shd w:val="clear" w:color="auto" w:fill="auto"/>
            <w:vAlign w:val="bottom"/>
          </w:tcPr>
          <w:p w14:paraId="67536978" w14:textId="77777777" w:rsidR="001B77DD" w:rsidRDefault="001B77DD">
            <w:pPr>
              <w:rPr>
                <w:rFonts w:ascii="宋体"/>
                <w:vanish/>
              </w:rPr>
            </w:pPr>
          </w:p>
        </w:tc>
        <w:tc>
          <w:tcPr>
            <w:tcW w:w="0" w:type="auto"/>
            <w:gridSpan w:val="3"/>
            <w:shd w:val="clear" w:color="auto" w:fill="auto"/>
            <w:vAlign w:val="bottom"/>
          </w:tcPr>
          <w:p w14:paraId="67536979" w14:textId="77777777" w:rsidR="001B77DD" w:rsidRDefault="001B77DD">
            <w:pPr>
              <w:rPr>
                <w:rFonts w:ascii="宋体"/>
                <w:vanish/>
              </w:rPr>
            </w:pPr>
          </w:p>
        </w:tc>
      </w:tr>
      <w:tr w:rsidR="001B77DD" w14:paraId="67536982" w14:textId="77777777">
        <w:trPr>
          <w:hidden/>
        </w:trPr>
        <w:tc>
          <w:tcPr>
            <w:tcW w:w="0" w:type="auto"/>
            <w:gridSpan w:val="3"/>
            <w:shd w:val="clear" w:color="auto" w:fill="auto"/>
            <w:vAlign w:val="bottom"/>
          </w:tcPr>
          <w:p w14:paraId="6753697B" w14:textId="77777777" w:rsidR="001B77DD" w:rsidRDefault="001B77DD">
            <w:pPr>
              <w:rPr>
                <w:rFonts w:ascii="宋体"/>
                <w:vanish/>
              </w:rPr>
            </w:pPr>
          </w:p>
        </w:tc>
        <w:tc>
          <w:tcPr>
            <w:tcW w:w="0" w:type="auto"/>
            <w:gridSpan w:val="3"/>
            <w:shd w:val="clear" w:color="auto" w:fill="auto"/>
            <w:vAlign w:val="bottom"/>
          </w:tcPr>
          <w:p w14:paraId="6753697C" w14:textId="77777777" w:rsidR="001B77DD" w:rsidRDefault="001B77DD">
            <w:pPr>
              <w:rPr>
                <w:rFonts w:ascii="宋体"/>
                <w:vanish/>
              </w:rPr>
            </w:pPr>
          </w:p>
        </w:tc>
        <w:tc>
          <w:tcPr>
            <w:tcW w:w="0" w:type="auto"/>
            <w:gridSpan w:val="3"/>
            <w:shd w:val="clear" w:color="auto" w:fill="auto"/>
            <w:vAlign w:val="bottom"/>
          </w:tcPr>
          <w:p w14:paraId="6753697D" w14:textId="77777777" w:rsidR="001B77DD" w:rsidRDefault="001B77DD">
            <w:pPr>
              <w:rPr>
                <w:rFonts w:ascii="宋体"/>
                <w:vanish/>
              </w:rPr>
            </w:pPr>
          </w:p>
        </w:tc>
        <w:tc>
          <w:tcPr>
            <w:tcW w:w="0" w:type="auto"/>
            <w:gridSpan w:val="3"/>
            <w:shd w:val="clear" w:color="auto" w:fill="auto"/>
            <w:vAlign w:val="bottom"/>
          </w:tcPr>
          <w:p w14:paraId="6753697E" w14:textId="77777777" w:rsidR="001B77DD" w:rsidRDefault="001B77DD">
            <w:pPr>
              <w:rPr>
                <w:rFonts w:ascii="宋体"/>
                <w:vanish/>
              </w:rPr>
            </w:pPr>
          </w:p>
        </w:tc>
        <w:tc>
          <w:tcPr>
            <w:tcW w:w="0" w:type="auto"/>
            <w:gridSpan w:val="3"/>
            <w:shd w:val="clear" w:color="auto" w:fill="auto"/>
            <w:vAlign w:val="bottom"/>
          </w:tcPr>
          <w:p w14:paraId="6753697F" w14:textId="77777777" w:rsidR="001B77DD" w:rsidRDefault="001B77DD">
            <w:pPr>
              <w:rPr>
                <w:rFonts w:ascii="宋体"/>
                <w:vanish/>
              </w:rPr>
            </w:pPr>
          </w:p>
        </w:tc>
        <w:tc>
          <w:tcPr>
            <w:tcW w:w="0" w:type="auto"/>
            <w:gridSpan w:val="3"/>
            <w:shd w:val="clear" w:color="auto" w:fill="auto"/>
            <w:vAlign w:val="bottom"/>
          </w:tcPr>
          <w:p w14:paraId="67536980" w14:textId="77777777" w:rsidR="001B77DD" w:rsidRDefault="001B77DD">
            <w:pPr>
              <w:rPr>
                <w:rFonts w:ascii="宋体"/>
                <w:vanish/>
              </w:rPr>
            </w:pPr>
          </w:p>
        </w:tc>
        <w:tc>
          <w:tcPr>
            <w:tcW w:w="0" w:type="auto"/>
            <w:gridSpan w:val="3"/>
            <w:shd w:val="clear" w:color="auto" w:fill="auto"/>
            <w:vAlign w:val="bottom"/>
          </w:tcPr>
          <w:p w14:paraId="67536981" w14:textId="77777777" w:rsidR="001B77DD" w:rsidRDefault="001B77DD">
            <w:pPr>
              <w:rPr>
                <w:rFonts w:ascii="宋体"/>
                <w:vanish/>
              </w:rPr>
            </w:pPr>
          </w:p>
        </w:tc>
      </w:tr>
      <w:tr w:rsidR="001B77DD" w14:paraId="6753698D" w14:textId="77777777">
        <w:tc>
          <w:tcPr>
            <w:tcW w:w="0" w:type="auto"/>
            <w:gridSpan w:val="3"/>
            <w:shd w:val="clear" w:color="auto" w:fill="auto"/>
            <w:tcMar>
              <w:top w:w="40" w:type="dxa"/>
              <w:left w:w="155" w:type="dxa"/>
              <w:bottom w:w="40" w:type="dxa"/>
              <w:right w:w="20" w:type="dxa"/>
            </w:tcMar>
            <w:vAlign w:val="bottom"/>
          </w:tcPr>
          <w:p w14:paraId="67536983" w14:textId="77777777" w:rsidR="001B77DD" w:rsidRDefault="00BF0A28">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753698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85" w14:textId="77777777" w:rsidR="001B77DD" w:rsidRDefault="00BF0A28">
            <w:pPr>
              <w:jc w:val="right"/>
              <w:textAlignment w:val="bottom"/>
            </w:pPr>
            <w:r>
              <w:rPr>
                <w:rFonts w:ascii="Arial" w:eastAsia="宋体" w:hAnsi="Arial" w:cs="Arial"/>
                <w:color w:val="0068B5"/>
                <w:sz w:val="18"/>
                <w:szCs w:val="18"/>
              </w:rPr>
              <w:t>1.4 </w:t>
            </w:r>
          </w:p>
        </w:tc>
        <w:tc>
          <w:tcPr>
            <w:tcW w:w="0" w:type="auto"/>
            <w:shd w:val="clear" w:color="auto" w:fill="auto"/>
            <w:tcMar>
              <w:top w:w="40" w:type="dxa"/>
              <w:left w:w="0" w:type="dxa"/>
              <w:bottom w:w="40" w:type="dxa"/>
              <w:right w:w="20" w:type="dxa"/>
            </w:tcMar>
            <w:vAlign w:val="bottom"/>
          </w:tcPr>
          <w:p w14:paraId="6753698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8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88" w14:textId="77777777" w:rsidR="001B77DD" w:rsidRDefault="00BF0A28">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6753698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8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8B" w14:textId="77777777" w:rsidR="001B77DD" w:rsidRDefault="00BF0A28">
            <w:pPr>
              <w:jc w:val="right"/>
              <w:textAlignment w:val="bottom"/>
            </w:pPr>
            <w:r>
              <w:rPr>
                <w:rFonts w:ascii="Arial" w:eastAsia="宋体" w:hAnsi="Arial" w:cs="Arial"/>
                <w:color w:val="262626"/>
                <w:sz w:val="18"/>
                <w:szCs w:val="18"/>
              </w:rPr>
              <w:t>0.7 </w:t>
            </w:r>
          </w:p>
        </w:tc>
        <w:tc>
          <w:tcPr>
            <w:tcW w:w="0" w:type="auto"/>
            <w:shd w:val="clear" w:color="auto" w:fill="auto"/>
            <w:tcMar>
              <w:top w:w="40" w:type="dxa"/>
              <w:left w:w="0" w:type="dxa"/>
              <w:bottom w:w="40" w:type="dxa"/>
              <w:right w:w="20" w:type="dxa"/>
            </w:tcMar>
            <w:vAlign w:val="bottom"/>
          </w:tcPr>
          <w:p w14:paraId="6753698C" w14:textId="77777777" w:rsidR="001B77DD" w:rsidRDefault="001B77DD">
            <w:pPr>
              <w:jc w:val="right"/>
              <w:rPr>
                <w:rFonts w:ascii="宋体"/>
              </w:rPr>
            </w:pPr>
          </w:p>
        </w:tc>
      </w:tr>
      <w:tr w:rsidR="001B77DD" w14:paraId="67536998" w14:textId="77777777">
        <w:tc>
          <w:tcPr>
            <w:tcW w:w="0" w:type="auto"/>
            <w:gridSpan w:val="3"/>
            <w:shd w:val="clear" w:color="auto" w:fill="auto"/>
            <w:tcMar>
              <w:top w:w="40" w:type="dxa"/>
              <w:left w:w="20" w:type="dxa"/>
              <w:bottom w:w="40" w:type="dxa"/>
              <w:right w:w="20" w:type="dxa"/>
            </w:tcMar>
            <w:vAlign w:val="bottom"/>
          </w:tcPr>
          <w:p w14:paraId="6753698E" w14:textId="77777777" w:rsidR="001B77DD" w:rsidRDefault="00BF0A28">
            <w:pPr>
              <w:textAlignment w:val="bottom"/>
            </w:pPr>
            <w:r>
              <w:rPr>
                <w:rFonts w:ascii="Arial" w:eastAsia="宋体" w:hAnsi="Arial" w:cs="Arial"/>
                <w:b/>
                <w:bCs/>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6753698F" w14:textId="77777777" w:rsidR="001B77DD" w:rsidRDefault="001B77DD">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990" w14:textId="77777777" w:rsidR="001B77DD" w:rsidRDefault="00BF0A28">
            <w:pPr>
              <w:jc w:val="right"/>
              <w:textAlignment w:val="bottom"/>
            </w:pPr>
            <w:r>
              <w:rPr>
                <w:rFonts w:ascii="Arial" w:eastAsia="宋体" w:hAnsi="Arial" w:cs="Arial"/>
                <w:b/>
                <w:bCs/>
                <w:color w:val="0068B5"/>
                <w:sz w:val="18"/>
                <w:szCs w:val="18"/>
              </w:rPr>
              <w:t>8.5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991" w14:textId="77777777" w:rsidR="001B77DD" w:rsidRDefault="00BF0A2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7536992" w14:textId="77777777" w:rsidR="001B77DD" w:rsidRDefault="001B77DD">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993" w14:textId="77777777" w:rsidR="001B77DD" w:rsidRDefault="00BF0A28">
            <w:pPr>
              <w:jc w:val="right"/>
              <w:textAlignment w:val="bottom"/>
            </w:pPr>
            <w:r>
              <w:rPr>
                <w:rFonts w:ascii="Arial" w:eastAsia="宋体" w:hAnsi="Arial" w:cs="Arial"/>
                <w:b/>
                <w:bCs/>
                <w:color w:val="262626"/>
                <w:sz w:val="18"/>
                <w:szCs w:val="18"/>
              </w:rPr>
              <w:t>16.7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994"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6995" w14:textId="77777777" w:rsidR="001B77DD" w:rsidRDefault="001B77DD">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996" w14:textId="77777777" w:rsidR="001B77DD" w:rsidRDefault="00BF0A28">
            <w:pPr>
              <w:jc w:val="right"/>
              <w:textAlignment w:val="bottom"/>
            </w:pPr>
            <w:r>
              <w:rPr>
                <w:rFonts w:ascii="Arial" w:eastAsia="宋体" w:hAnsi="Arial" w:cs="Arial"/>
                <w:b/>
                <w:bCs/>
                <w:color w:val="262626"/>
                <w:sz w:val="18"/>
                <w:szCs w:val="18"/>
              </w:rPr>
              <w:t>12.5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997" w14:textId="77777777" w:rsidR="001B77DD" w:rsidRDefault="00BF0A28">
            <w:pPr>
              <w:jc w:val="right"/>
              <w:textAlignment w:val="bottom"/>
            </w:pPr>
            <w:r>
              <w:rPr>
                <w:rFonts w:ascii="Arial" w:eastAsia="宋体" w:hAnsi="Arial" w:cs="Arial"/>
                <w:b/>
                <w:bCs/>
                <w:color w:val="262626"/>
                <w:sz w:val="18"/>
                <w:szCs w:val="18"/>
              </w:rPr>
              <w:t>%</w:t>
            </w:r>
          </w:p>
        </w:tc>
      </w:tr>
    </w:tbl>
    <w:p w14:paraId="67536999" w14:textId="77777777" w:rsidR="001B77DD" w:rsidRDefault="00BF0A28">
      <w:pPr>
        <w:spacing w:after="180"/>
      </w:pPr>
      <w:r>
        <w:rPr>
          <w:rFonts w:ascii="Arial" w:eastAsia="宋体" w:hAnsi="Arial" w:cs="Arial"/>
          <w:color w:val="262626"/>
          <w:sz w:val="18"/>
          <w:szCs w:val="18"/>
        </w:rPr>
        <w:t>Our effective tax rate decreased in 2021 compared to 2020, primarily driven by one-time tax benefits due to the restructuring of certain non-US subsidiaries as well as a higher proportion of our income in non-US jurisdictions. As a resu</w:t>
      </w:r>
      <w:r>
        <w:rPr>
          <w:rFonts w:ascii="Arial" w:eastAsia="宋体" w:hAnsi="Arial" w:cs="Arial"/>
          <w:color w:val="262626"/>
          <w:sz w:val="18"/>
          <w:szCs w:val="18"/>
        </w:rPr>
        <w:t xml:space="preserve">lt of the restructuring, we established deferred tax assets and released the valuation allowances of certain foreign deferred tax assets. The majority of these deferred tax assets established in 2021 fully offset the deferred tax liabilities recognized in </w:t>
      </w:r>
      <w:r>
        <w:rPr>
          <w:rFonts w:ascii="Arial" w:eastAsia="宋体" w:hAnsi="Arial" w:cs="Arial"/>
          <w:color w:val="262626"/>
          <w:sz w:val="18"/>
          <w:szCs w:val="18"/>
        </w:rPr>
        <w:t>2020 driven by a change in our permanent reinvestment assertion with respect to undistributed earnings in China, as a result of the planned divestiture of our NAND memory business.</w:t>
      </w:r>
    </w:p>
    <w:p w14:paraId="6753699A" w14:textId="77777777" w:rsidR="001B77DD" w:rsidRDefault="00BF0A28">
      <w:pPr>
        <w:spacing w:after="180"/>
      </w:pPr>
      <w:r>
        <w:rPr>
          <w:rFonts w:ascii="Arial" w:eastAsia="宋体" w:hAnsi="Arial" w:cs="Arial"/>
          <w:color w:val="262626"/>
          <w:sz w:val="18"/>
          <w:szCs w:val="18"/>
        </w:rPr>
        <w:t>Our effective tax rate increased in 2020 compared to 2019, primarily driven</w:t>
      </w:r>
      <w:r>
        <w:rPr>
          <w:rFonts w:ascii="Arial" w:eastAsia="宋体" w:hAnsi="Arial" w:cs="Arial"/>
          <w:color w:val="262626"/>
          <w:sz w:val="18"/>
          <w:szCs w:val="18"/>
        </w:rPr>
        <w:t xml:space="preserve"> by a change in our permanent reinvestment assertion with respect to undistributed earnings in China, as a result of the planned divestiture of our NAND memory business. It also increased due to the reduction in our foreign derived intangible income benefi</w:t>
      </w:r>
      <w:r>
        <w:rPr>
          <w:rFonts w:ascii="Arial" w:eastAsia="宋体" w:hAnsi="Arial" w:cs="Arial"/>
          <w:color w:val="262626"/>
          <w:sz w:val="18"/>
          <w:szCs w:val="18"/>
        </w:rPr>
        <w:t>t in 2020.</w:t>
      </w:r>
    </w:p>
    <w:p w14:paraId="6753699B" w14:textId="77777777" w:rsidR="001B77DD" w:rsidRDefault="00BF0A28">
      <w:pPr>
        <w:spacing w:after="180"/>
      </w:pPr>
      <w:r>
        <w:rPr>
          <w:rFonts w:ascii="Arial" w:eastAsia="宋体" w:hAnsi="Arial" w:cs="Arial"/>
          <w:color w:val="262626"/>
          <w:sz w:val="18"/>
          <w:szCs w:val="18"/>
        </w:rPr>
        <w:t>We derive the effective tax rate benefit attributed to non-US income taxed at different rates primarily from our operations in Hong Kong, Ireland, Israel, and Malaysia. The statutory tax rates in these jurisdictions range from 12.5% to 24.0%. We</w:t>
      </w:r>
      <w:r>
        <w:rPr>
          <w:rFonts w:ascii="Arial" w:eastAsia="宋体" w:hAnsi="Arial" w:cs="Arial"/>
          <w:color w:val="262626"/>
          <w:sz w:val="18"/>
          <w:szCs w:val="18"/>
        </w:rPr>
        <w:t xml:space="preserve"> are subject to reduced tax rates in Israel and Malaysia as long as we conduct certain eligible activities and make certain capital investments. We have conditional reduced tax rates that expire at various dates through 2056 and we expect to apply for rene</w:t>
      </w:r>
      <w:r>
        <w:rPr>
          <w:rFonts w:ascii="Arial" w:eastAsia="宋体" w:hAnsi="Arial" w:cs="Arial"/>
          <w:color w:val="262626"/>
          <w:sz w:val="18"/>
          <w:szCs w:val="18"/>
        </w:rPr>
        <w:t>wals upon expiration.</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9A8" w14:textId="77777777">
        <w:tc>
          <w:tcPr>
            <w:tcW w:w="50" w:type="pct"/>
            <w:shd w:val="clear" w:color="auto" w:fill="auto"/>
            <w:vAlign w:val="bottom"/>
          </w:tcPr>
          <w:p w14:paraId="6753699C" w14:textId="77777777" w:rsidR="001B77DD" w:rsidRDefault="001B77DD">
            <w:pPr>
              <w:rPr>
                <w:rFonts w:ascii="宋体"/>
              </w:rPr>
            </w:pPr>
          </w:p>
        </w:tc>
        <w:tc>
          <w:tcPr>
            <w:tcW w:w="276" w:type="pct"/>
            <w:shd w:val="clear" w:color="auto" w:fill="auto"/>
            <w:vAlign w:val="bottom"/>
          </w:tcPr>
          <w:p w14:paraId="6753699D" w14:textId="77777777" w:rsidR="001B77DD" w:rsidRDefault="001B77DD">
            <w:pPr>
              <w:rPr>
                <w:rFonts w:ascii="宋体"/>
              </w:rPr>
            </w:pPr>
          </w:p>
        </w:tc>
        <w:tc>
          <w:tcPr>
            <w:tcW w:w="5" w:type="pct"/>
            <w:shd w:val="clear" w:color="auto" w:fill="auto"/>
            <w:vAlign w:val="bottom"/>
          </w:tcPr>
          <w:p w14:paraId="6753699E" w14:textId="77777777" w:rsidR="001B77DD" w:rsidRDefault="001B77DD">
            <w:pPr>
              <w:rPr>
                <w:rFonts w:ascii="宋体"/>
              </w:rPr>
            </w:pPr>
          </w:p>
        </w:tc>
        <w:tc>
          <w:tcPr>
            <w:tcW w:w="50" w:type="pct"/>
            <w:shd w:val="clear" w:color="auto" w:fill="auto"/>
            <w:vAlign w:val="bottom"/>
          </w:tcPr>
          <w:p w14:paraId="6753699F" w14:textId="77777777" w:rsidR="001B77DD" w:rsidRDefault="001B77DD">
            <w:pPr>
              <w:rPr>
                <w:rFonts w:ascii="宋体"/>
              </w:rPr>
            </w:pPr>
          </w:p>
        </w:tc>
        <w:tc>
          <w:tcPr>
            <w:tcW w:w="940" w:type="pct"/>
            <w:shd w:val="clear" w:color="auto" w:fill="auto"/>
            <w:vAlign w:val="bottom"/>
          </w:tcPr>
          <w:p w14:paraId="675369A0" w14:textId="77777777" w:rsidR="001B77DD" w:rsidRDefault="001B77DD">
            <w:pPr>
              <w:rPr>
                <w:rFonts w:ascii="宋体"/>
              </w:rPr>
            </w:pPr>
          </w:p>
        </w:tc>
        <w:tc>
          <w:tcPr>
            <w:tcW w:w="5" w:type="pct"/>
            <w:shd w:val="clear" w:color="auto" w:fill="auto"/>
            <w:vAlign w:val="bottom"/>
          </w:tcPr>
          <w:p w14:paraId="675369A1" w14:textId="77777777" w:rsidR="001B77DD" w:rsidRDefault="001B77DD">
            <w:pPr>
              <w:rPr>
                <w:rFonts w:ascii="宋体"/>
              </w:rPr>
            </w:pPr>
          </w:p>
        </w:tc>
        <w:tc>
          <w:tcPr>
            <w:tcW w:w="50" w:type="pct"/>
            <w:shd w:val="clear" w:color="auto" w:fill="auto"/>
            <w:vAlign w:val="bottom"/>
          </w:tcPr>
          <w:p w14:paraId="675369A2" w14:textId="77777777" w:rsidR="001B77DD" w:rsidRDefault="001B77DD">
            <w:pPr>
              <w:rPr>
                <w:rFonts w:ascii="宋体"/>
              </w:rPr>
            </w:pPr>
          </w:p>
        </w:tc>
        <w:tc>
          <w:tcPr>
            <w:tcW w:w="1837" w:type="pct"/>
            <w:shd w:val="clear" w:color="auto" w:fill="auto"/>
            <w:vAlign w:val="bottom"/>
          </w:tcPr>
          <w:p w14:paraId="675369A3" w14:textId="77777777" w:rsidR="001B77DD" w:rsidRDefault="001B77DD">
            <w:pPr>
              <w:rPr>
                <w:rFonts w:ascii="宋体"/>
              </w:rPr>
            </w:pPr>
          </w:p>
        </w:tc>
        <w:tc>
          <w:tcPr>
            <w:tcW w:w="5" w:type="pct"/>
            <w:shd w:val="clear" w:color="auto" w:fill="auto"/>
            <w:vAlign w:val="bottom"/>
          </w:tcPr>
          <w:p w14:paraId="675369A4" w14:textId="77777777" w:rsidR="001B77DD" w:rsidRDefault="001B77DD">
            <w:pPr>
              <w:rPr>
                <w:rFonts w:ascii="宋体"/>
              </w:rPr>
            </w:pPr>
          </w:p>
        </w:tc>
        <w:tc>
          <w:tcPr>
            <w:tcW w:w="50" w:type="pct"/>
            <w:shd w:val="clear" w:color="auto" w:fill="auto"/>
            <w:vAlign w:val="bottom"/>
          </w:tcPr>
          <w:p w14:paraId="675369A5" w14:textId="77777777" w:rsidR="001B77DD" w:rsidRDefault="001B77DD">
            <w:pPr>
              <w:rPr>
                <w:rFonts w:ascii="宋体"/>
              </w:rPr>
            </w:pPr>
          </w:p>
        </w:tc>
        <w:tc>
          <w:tcPr>
            <w:tcW w:w="1724" w:type="pct"/>
            <w:shd w:val="clear" w:color="auto" w:fill="auto"/>
            <w:vAlign w:val="bottom"/>
          </w:tcPr>
          <w:p w14:paraId="675369A6" w14:textId="77777777" w:rsidR="001B77DD" w:rsidRDefault="001B77DD">
            <w:pPr>
              <w:rPr>
                <w:rFonts w:ascii="宋体"/>
              </w:rPr>
            </w:pPr>
          </w:p>
        </w:tc>
        <w:tc>
          <w:tcPr>
            <w:tcW w:w="5" w:type="pct"/>
            <w:shd w:val="clear" w:color="auto" w:fill="auto"/>
            <w:vAlign w:val="bottom"/>
          </w:tcPr>
          <w:p w14:paraId="675369A7" w14:textId="77777777" w:rsidR="001B77DD" w:rsidRDefault="001B77DD">
            <w:pPr>
              <w:rPr>
                <w:rFonts w:ascii="宋体"/>
              </w:rPr>
            </w:pPr>
          </w:p>
        </w:tc>
      </w:tr>
      <w:tr w:rsidR="001B77DD" w14:paraId="675369AD"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9A9"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48" wp14:editId="67538F49">
                  <wp:extent cx="304800" cy="304800"/>
                  <wp:effectExtent l="0" t="0" r="0" b="0"/>
                  <wp:docPr id="215" name="图片 30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30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9AA"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9AB"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9AC" w14:textId="77777777" w:rsidR="001B77DD" w:rsidRDefault="00BF0A28">
            <w:pPr>
              <w:jc w:val="right"/>
              <w:textAlignment w:val="center"/>
            </w:pPr>
            <w:r>
              <w:rPr>
                <w:rFonts w:ascii="Arial" w:eastAsia="宋体" w:hAnsi="Arial" w:cs="Arial"/>
                <w:color w:val="262626"/>
                <w:sz w:val="16"/>
                <w:szCs w:val="16"/>
              </w:rPr>
              <w:t>88</w:t>
            </w:r>
          </w:p>
        </w:tc>
      </w:tr>
    </w:tbl>
    <w:p w14:paraId="675369AE" w14:textId="77777777" w:rsidR="001B77DD" w:rsidRDefault="00BF0A28">
      <w:r>
        <w:pict w14:anchorId="67538F4A">
          <v:rect id="_x0000_i1114" style="width:415.3pt;height:1.5pt" o:hralign="center" o:hrstd="t" o:hr="t" fillcolor="#a0a0a0" stroked="f"/>
        </w:pict>
      </w:r>
    </w:p>
    <w:p w14:paraId="675369AF" w14:textId="77777777" w:rsidR="001B77DD" w:rsidRDefault="00BF0A28">
      <w:pPr>
        <w:jc w:val="right"/>
      </w:pPr>
      <w:hyperlink r:id="rId176" w:anchor="i6c9ced68f6b24d58a3dcf326e8c3c699_16" w:history="1">
        <w:r>
          <w:rPr>
            <w:rStyle w:val="a5"/>
            <w:rFonts w:ascii="Arial" w:eastAsia="宋体" w:hAnsi="Arial" w:cs="Arial"/>
            <w:b/>
            <w:bCs/>
            <w:sz w:val="16"/>
            <w:szCs w:val="16"/>
          </w:rPr>
          <w:t>Table of Contents</w:t>
        </w:r>
      </w:hyperlink>
    </w:p>
    <w:p w14:paraId="675369B0" w14:textId="77777777" w:rsidR="001B77DD" w:rsidRDefault="001B77DD">
      <w:pPr>
        <w:jc w:val="right"/>
      </w:pPr>
    </w:p>
    <w:p w14:paraId="675369B1" w14:textId="77777777" w:rsidR="001B77DD" w:rsidRDefault="00BF0A28">
      <w:pPr>
        <w:spacing w:after="180"/>
      </w:pPr>
      <w:r>
        <w:rPr>
          <w:rFonts w:ascii="Arial" w:eastAsia="宋体" w:hAnsi="Arial" w:cs="Arial"/>
          <w:color w:val="0068B5"/>
        </w:rPr>
        <w:t>Deferred and Current Income Taxes</w:t>
      </w:r>
    </w:p>
    <w:p w14:paraId="675369B2" w14:textId="77777777" w:rsidR="001B77DD" w:rsidRDefault="00BF0A28">
      <w:pPr>
        <w:spacing w:after="120"/>
      </w:pPr>
      <w:r>
        <w:rPr>
          <w:rFonts w:ascii="Arial" w:eastAsia="宋体" w:hAnsi="Arial" w:cs="Arial"/>
          <w:color w:val="262626"/>
          <w:sz w:val="18"/>
          <w:szCs w:val="18"/>
        </w:rPr>
        <w:t>Deferred income taxes reflect the net tax effects</w:t>
      </w:r>
      <w:r>
        <w:rPr>
          <w:rFonts w:ascii="Arial" w:eastAsia="宋体" w:hAnsi="Arial" w:cs="Arial"/>
          <w:color w:val="262626"/>
          <w:sz w:val="18"/>
          <w:szCs w:val="18"/>
        </w:rPr>
        <w:t xml:space="preserve"> of temporary differences between the carrying amounts of assets and liabilities for financial reporting purposes and the amounts for income tax purposes. Significant components of our deferred tax assets and liabilities at the end of each period were as f</w:t>
      </w:r>
      <w:r>
        <w:rPr>
          <w:rFonts w:ascii="Arial" w:eastAsia="宋体" w:hAnsi="Arial" w:cs="Arial"/>
          <w:color w:val="262626"/>
          <w:sz w:val="18"/>
          <w:szCs w:val="18"/>
        </w:rPr>
        <w:t>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1B77DD" w14:paraId="675369C2" w14:textId="77777777">
        <w:tc>
          <w:tcPr>
            <w:tcW w:w="50" w:type="pct"/>
            <w:shd w:val="clear" w:color="auto" w:fill="auto"/>
            <w:vAlign w:val="bottom"/>
          </w:tcPr>
          <w:p w14:paraId="675369B3" w14:textId="77777777" w:rsidR="001B77DD" w:rsidRDefault="001B77DD">
            <w:pPr>
              <w:rPr>
                <w:rFonts w:ascii="宋体"/>
              </w:rPr>
            </w:pPr>
          </w:p>
        </w:tc>
        <w:tc>
          <w:tcPr>
            <w:tcW w:w="3688" w:type="pct"/>
            <w:shd w:val="clear" w:color="auto" w:fill="auto"/>
            <w:vAlign w:val="bottom"/>
          </w:tcPr>
          <w:p w14:paraId="675369B4" w14:textId="77777777" w:rsidR="001B77DD" w:rsidRDefault="001B77DD">
            <w:pPr>
              <w:rPr>
                <w:rFonts w:ascii="宋体"/>
              </w:rPr>
            </w:pPr>
          </w:p>
        </w:tc>
        <w:tc>
          <w:tcPr>
            <w:tcW w:w="5" w:type="pct"/>
            <w:shd w:val="clear" w:color="auto" w:fill="auto"/>
            <w:vAlign w:val="bottom"/>
          </w:tcPr>
          <w:p w14:paraId="675369B5" w14:textId="77777777" w:rsidR="001B77DD" w:rsidRDefault="001B77DD">
            <w:pPr>
              <w:rPr>
                <w:rFonts w:ascii="宋体"/>
              </w:rPr>
            </w:pPr>
          </w:p>
        </w:tc>
        <w:tc>
          <w:tcPr>
            <w:tcW w:w="5" w:type="pct"/>
            <w:shd w:val="clear" w:color="auto" w:fill="auto"/>
            <w:vAlign w:val="bottom"/>
          </w:tcPr>
          <w:p w14:paraId="675369B6" w14:textId="77777777" w:rsidR="001B77DD" w:rsidRDefault="001B77DD">
            <w:pPr>
              <w:rPr>
                <w:rFonts w:ascii="宋体"/>
              </w:rPr>
            </w:pPr>
          </w:p>
        </w:tc>
        <w:tc>
          <w:tcPr>
            <w:tcW w:w="24" w:type="pct"/>
            <w:shd w:val="clear" w:color="auto" w:fill="auto"/>
            <w:vAlign w:val="bottom"/>
          </w:tcPr>
          <w:p w14:paraId="675369B7" w14:textId="77777777" w:rsidR="001B77DD" w:rsidRDefault="001B77DD">
            <w:pPr>
              <w:rPr>
                <w:rFonts w:ascii="宋体"/>
              </w:rPr>
            </w:pPr>
          </w:p>
        </w:tc>
        <w:tc>
          <w:tcPr>
            <w:tcW w:w="5" w:type="pct"/>
            <w:shd w:val="clear" w:color="auto" w:fill="auto"/>
            <w:vAlign w:val="bottom"/>
          </w:tcPr>
          <w:p w14:paraId="675369B8" w14:textId="77777777" w:rsidR="001B77DD" w:rsidRDefault="001B77DD">
            <w:pPr>
              <w:rPr>
                <w:rFonts w:ascii="宋体"/>
              </w:rPr>
            </w:pPr>
          </w:p>
        </w:tc>
        <w:tc>
          <w:tcPr>
            <w:tcW w:w="50" w:type="pct"/>
            <w:shd w:val="clear" w:color="auto" w:fill="auto"/>
            <w:vAlign w:val="bottom"/>
          </w:tcPr>
          <w:p w14:paraId="675369B9" w14:textId="77777777" w:rsidR="001B77DD" w:rsidRDefault="001B77DD">
            <w:pPr>
              <w:rPr>
                <w:rFonts w:ascii="宋体"/>
              </w:rPr>
            </w:pPr>
          </w:p>
        </w:tc>
        <w:tc>
          <w:tcPr>
            <w:tcW w:w="539" w:type="pct"/>
            <w:shd w:val="clear" w:color="auto" w:fill="auto"/>
            <w:vAlign w:val="bottom"/>
          </w:tcPr>
          <w:p w14:paraId="675369BA" w14:textId="77777777" w:rsidR="001B77DD" w:rsidRDefault="001B77DD">
            <w:pPr>
              <w:rPr>
                <w:rFonts w:ascii="宋体"/>
              </w:rPr>
            </w:pPr>
          </w:p>
        </w:tc>
        <w:tc>
          <w:tcPr>
            <w:tcW w:w="5" w:type="pct"/>
            <w:shd w:val="clear" w:color="auto" w:fill="auto"/>
            <w:vAlign w:val="bottom"/>
          </w:tcPr>
          <w:p w14:paraId="675369BB" w14:textId="77777777" w:rsidR="001B77DD" w:rsidRDefault="001B77DD">
            <w:pPr>
              <w:rPr>
                <w:rFonts w:ascii="宋体"/>
              </w:rPr>
            </w:pPr>
          </w:p>
        </w:tc>
        <w:tc>
          <w:tcPr>
            <w:tcW w:w="5" w:type="pct"/>
            <w:shd w:val="clear" w:color="auto" w:fill="auto"/>
            <w:vAlign w:val="bottom"/>
          </w:tcPr>
          <w:p w14:paraId="675369BC" w14:textId="77777777" w:rsidR="001B77DD" w:rsidRDefault="001B77DD">
            <w:pPr>
              <w:rPr>
                <w:rFonts w:ascii="宋体"/>
              </w:rPr>
            </w:pPr>
          </w:p>
        </w:tc>
        <w:tc>
          <w:tcPr>
            <w:tcW w:w="24" w:type="pct"/>
            <w:shd w:val="clear" w:color="auto" w:fill="auto"/>
            <w:vAlign w:val="bottom"/>
          </w:tcPr>
          <w:p w14:paraId="675369BD" w14:textId="77777777" w:rsidR="001B77DD" w:rsidRDefault="001B77DD">
            <w:pPr>
              <w:rPr>
                <w:rFonts w:ascii="宋体"/>
              </w:rPr>
            </w:pPr>
          </w:p>
        </w:tc>
        <w:tc>
          <w:tcPr>
            <w:tcW w:w="5" w:type="pct"/>
            <w:shd w:val="clear" w:color="auto" w:fill="auto"/>
            <w:vAlign w:val="bottom"/>
          </w:tcPr>
          <w:p w14:paraId="675369BE" w14:textId="77777777" w:rsidR="001B77DD" w:rsidRDefault="001B77DD">
            <w:pPr>
              <w:rPr>
                <w:rFonts w:ascii="宋体"/>
              </w:rPr>
            </w:pPr>
          </w:p>
        </w:tc>
        <w:tc>
          <w:tcPr>
            <w:tcW w:w="50" w:type="pct"/>
            <w:shd w:val="clear" w:color="auto" w:fill="auto"/>
            <w:vAlign w:val="bottom"/>
          </w:tcPr>
          <w:p w14:paraId="675369BF" w14:textId="77777777" w:rsidR="001B77DD" w:rsidRDefault="001B77DD">
            <w:pPr>
              <w:rPr>
                <w:rFonts w:ascii="宋体"/>
              </w:rPr>
            </w:pPr>
          </w:p>
        </w:tc>
        <w:tc>
          <w:tcPr>
            <w:tcW w:w="539" w:type="pct"/>
            <w:shd w:val="clear" w:color="auto" w:fill="auto"/>
            <w:vAlign w:val="bottom"/>
          </w:tcPr>
          <w:p w14:paraId="675369C0" w14:textId="77777777" w:rsidR="001B77DD" w:rsidRDefault="001B77DD">
            <w:pPr>
              <w:rPr>
                <w:rFonts w:ascii="宋体"/>
              </w:rPr>
            </w:pPr>
          </w:p>
        </w:tc>
        <w:tc>
          <w:tcPr>
            <w:tcW w:w="5" w:type="pct"/>
            <w:shd w:val="clear" w:color="auto" w:fill="auto"/>
            <w:vAlign w:val="bottom"/>
          </w:tcPr>
          <w:p w14:paraId="675369C1" w14:textId="77777777" w:rsidR="001B77DD" w:rsidRDefault="001B77DD">
            <w:pPr>
              <w:rPr>
                <w:rFonts w:ascii="宋体"/>
              </w:rPr>
            </w:pPr>
          </w:p>
        </w:tc>
      </w:tr>
      <w:tr w:rsidR="001B77DD" w14:paraId="675369C8" w14:textId="77777777">
        <w:tc>
          <w:tcPr>
            <w:tcW w:w="0" w:type="auto"/>
            <w:gridSpan w:val="3"/>
            <w:shd w:val="clear" w:color="auto" w:fill="auto"/>
            <w:tcMar>
              <w:top w:w="40" w:type="dxa"/>
              <w:left w:w="20" w:type="dxa"/>
              <w:bottom w:w="40" w:type="dxa"/>
              <w:right w:w="20" w:type="dxa"/>
            </w:tcMar>
            <w:vAlign w:val="bottom"/>
          </w:tcPr>
          <w:p w14:paraId="675369C3"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9C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9C5"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9C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9C7"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69C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9C9" w14:textId="77777777" w:rsidR="001B77DD" w:rsidRDefault="00BF0A28">
            <w:pPr>
              <w:textAlignment w:val="bottom"/>
            </w:pPr>
            <w:r>
              <w:rPr>
                <w:rFonts w:ascii="Arial" w:eastAsia="宋体" w:hAnsi="Arial" w:cs="Arial"/>
                <w:color w:val="262626"/>
                <w:sz w:val="18"/>
                <w:szCs w:val="18"/>
              </w:rPr>
              <w:t>Deferred tax assets:</w:t>
            </w:r>
          </w:p>
        </w:tc>
        <w:tc>
          <w:tcPr>
            <w:tcW w:w="0" w:type="auto"/>
            <w:gridSpan w:val="3"/>
            <w:shd w:val="clear" w:color="auto" w:fill="auto"/>
            <w:tcMar>
              <w:top w:w="0" w:type="dxa"/>
              <w:left w:w="20" w:type="dxa"/>
              <w:bottom w:w="0" w:type="dxa"/>
              <w:right w:w="20" w:type="dxa"/>
            </w:tcMar>
            <w:vAlign w:val="bottom"/>
          </w:tcPr>
          <w:p w14:paraId="675369CA"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9C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9CC"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9CD" w14:textId="77777777" w:rsidR="001B77DD" w:rsidRDefault="001B77DD">
            <w:pPr>
              <w:rPr>
                <w:rFonts w:ascii="宋体"/>
              </w:rPr>
            </w:pPr>
          </w:p>
        </w:tc>
      </w:tr>
      <w:tr w:rsidR="001B77DD" w14:paraId="675369D8" w14:textId="77777777">
        <w:tc>
          <w:tcPr>
            <w:tcW w:w="0" w:type="auto"/>
            <w:gridSpan w:val="3"/>
            <w:shd w:val="clear" w:color="auto" w:fill="auto"/>
            <w:tcMar>
              <w:top w:w="40" w:type="dxa"/>
              <w:left w:w="155" w:type="dxa"/>
              <w:bottom w:w="40" w:type="dxa"/>
              <w:right w:w="20" w:type="dxa"/>
            </w:tcMar>
            <w:vAlign w:val="bottom"/>
          </w:tcPr>
          <w:p w14:paraId="675369CF" w14:textId="77777777" w:rsidR="001B77DD" w:rsidRDefault="00BF0A28">
            <w:pPr>
              <w:textAlignment w:val="bottom"/>
            </w:pPr>
            <w:r>
              <w:rPr>
                <w:rFonts w:ascii="Arial" w:eastAsia="宋体" w:hAnsi="Arial" w:cs="Arial"/>
                <w:color w:val="262626"/>
                <w:sz w:val="18"/>
                <w:szCs w:val="18"/>
              </w:rPr>
              <w:t>Accrued compensation and other benefits</w:t>
            </w:r>
          </w:p>
        </w:tc>
        <w:tc>
          <w:tcPr>
            <w:tcW w:w="0" w:type="auto"/>
            <w:gridSpan w:val="3"/>
            <w:shd w:val="clear" w:color="auto" w:fill="auto"/>
            <w:tcMar>
              <w:top w:w="0" w:type="dxa"/>
              <w:left w:w="20" w:type="dxa"/>
              <w:bottom w:w="0" w:type="dxa"/>
              <w:right w:w="20" w:type="dxa"/>
            </w:tcMar>
            <w:vAlign w:val="bottom"/>
          </w:tcPr>
          <w:p w14:paraId="675369D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9D1"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69D2" w14:textId="77777777" w:rsidR="001B77DD" w:rsidRDefault="00BF0A28">
            <w:pPr>
              <w:jc w:val="right"/>
              <w:textAlignment w:val="bottom"/>
            </w:pPr>
            <w:r>
              <w:rPr>
                <w:rFonts w:ascii="Arial" w:eastAsia="宋体" w:hAnsi="Arial" w:cs="Arial"/>
                <w:color w:val="0068B5"/>
                <w:sz w:val="18"/>
                <w:szCs w:val="18"/>
              </w:rPr>
              <w:t>1,019 </w:t>
            </w:r>
          </w:p>
        </w:tc>
        <w:tc>
          <w:tcPr>
            <w:tcW w:w="0" w:type="auto"/>
            <w:shd w:val="clear" w:color="auto" w:fill="auto"/>
            <w:tcMar>
              <w:top w:w="40" w:type="dxa"/>
              <w:left w:w="0" w:type="dxa"/>
              <w:bottom w:w="40" w:type="dxa"/>
              <w:right w:w="20" w:type="dxa"/>
            </w:tcMar>
            <w:vAlign w:val="bottom"/>
          </w:tcPr>
          <w:p w14:paraId="675369D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D4"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9D5"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9D6" w14:textId="77777777" w:rsidR="001B77DD" w:rsidRDefault="00BF0A28">
            <w:pPr>
              <w:jc w:val="right"/>
              <w:textAlignment w:val="bottom"/>
            </w:pPr>
            <w:r>
              <w:rPr>
                <w:rFonts w:ascii="Arial" w:eastAsia="宋体" w:hAnsi="Arial" w:cs="Arial"/>
                <w:color w:val="262626"/>
                <w:sz w:val="18"/>
                <w:szCs w:val="18"/>
              </w:rPr>
              <w:t>865 </w:t>
            </w:r>
          </w:p>
        </w:tc>
        <w:tc>
          <w:tcPr>
            <w:tcW w:w="0" w:type="auto"/>
            <w:shd w:val="clear" w:color="auto" w:fill="auto"/>
            <w:tcMar>
              <w:top w:w="40" w:type="dxa"/>
              <w:left w:w="0" w:type="dxa"/>
              <w:bottom w:w="40" w:type="dxa"/>
              <w:right w:w="20" w:type="dxa"/>
            </w:tcMar>
            <w:vAlign w:val="bottom"/>
          </w:tcPr>
          <w:p w14:paraId="675369D7" w14:textId="77777777" w:rsidR="001B77DD" w:rsidRDefault="001B77DD">
            <w:pPr>
              <w:jc w:val="right"/>
              <w:rPr>
                <w:rFonts w:ascii="宋体"/>
              </w:rPr>
            </w:pPr>
          </w:p>
        </w:tc>
      </w:tr>
      <w:tr w:rsidR="001B77DD" w14:paraId="675369E0" w14:textId="77777777">
        <w:tc>
          <w:tcPr>
            <w:tcW w:w="0" w:type="auto"/>
            <w:gridSpan w:val="3"/>
            <w:shd w:val="clear" w:color="auto" w:fill="auto"/>
            <w:tcMar>
              <w:top w:w="40" w:type="dxa"/>
              <w:left w:w="155" w:type="dxa"/>
              <w:bottom w:w="40" w:type="dxa"/>
              <w:right w:w="20" w:type="dxa"/>
            </w:tcMar>
            <w:vAlign w:val="bottom"/>
          </w:tcPr>
          <w:p w14:paraId="675369D9" w14:textId="77777777" w:rsidR="001B77DD" w:rsidRDefault="00BF0A2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75369D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DB" w14:textId="77777777" w:rsidR="001B77DD" w:rsidRDefault="00BF0A28">
            <w:pPr>
              <w:jc w:val="right"/>
              <w:textAlignment w:val="bottom"/>
            </w:pPr>
            <w:r>
              <w:rPr>
                <w:rFonts w:ascii="Arial" w:eastAsia="宋体" w:hAnsi="Arial" w:cs="Arial"/>
                <w:color w:val="0068B5"/>
                <w:sz w:val="18"/>
                <w:szCs w:val="18"/>
              </w:rPr>
              <w:t>477 </w:t>
            </w:r>
          </w:p>
        </w:tc>
        <w:tc>
          <w:tcPr>
            <w:tcW w:w="0" w:type="auto"/>
            <w:shd w:val="clear" w:color="auto" w:fill="auto"/>
            <w:tcMar>
              <w:top w:w="40" w:type="dxa"/>
              <w:left w:w="0" w:type="dxa"/>
              <w:bottom w:w="40" w:type="dxa"/>
              <w:right w:w="20" w:type="dxa"/>
            </w:tcMar>
            <w:vAlign w:val="bottom"/>
          </w:tcPr>
          <w:p w14:paraId="675369D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D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DE" w14:textId="77777777" w:rsidR="001B77DD" w:rsidRDefault="00BF0A28">
            <w:pPr>
              <w:jc w:val="right"/>
              <w:textAlignment w:val="bottom"/>
            </w:pPr>
            <w:r>
              <w:rPr>
                <w:rFonts w:ascii="Arial" w:eastAsia="宋体" w:hAnsi="Arial" w:cs="Arial"/>
                <w:color w:val="262626"/>
                <w:sz w:val="18"/>
                <w:szCs w:val="18"/>
              </w:rPr>
              <w:t>324 </w:t>
            </w:r>
          </w:p>
        </w:tc>
        <w:tc>
          <w:tcPr>
            <w:tcW w:w="0" w:type="auto"/>
            <w:shd w:val="clear" w:color="auto" w:fill="auto"/>
            <w:tcMar>
              <w:top w:w="40" w:type="dxa"/>
              <w:left w:w="0" w:type="dxa"/>
              <w:bottom w:w="40" w:type="dxa"/>
              <w:right w:w="20" w:type="dxa"/>
            </w:tcMar>
            <w:vAlign w:val="bottom"/>
          </w:tcPr>
          <w:p w14:paraId="675369DF" w14:textId="77777777" w:rsidR="001B77DD" w:rsidRDefault="001B77DD">
            <w:pPr>
              <w:jc w:val="right"/>
              <w:rPr>
                <w:rFonts w:ascii="宋体"/>
              </w:rPr>
            </w:pPr>
          </w:p>
        </w:tc>
      </w:tr>
      <w:tr w:rsidR="001B77DD" w14:paraId="675369E8" w14:textId="77777777">
        <w:tc>
          <w:tcPr>
            <w:tcW w:w="0" w:type="auto"/>
            <w:gridSpan w:val="3"/>
            <w:shd w:val="clear" w:color="auto" w:fill="auto"/>
            <w:tcMar>
              <w:top w:w="40" w:type="dxa"/>
              <w:left w:w="155" w:type="dxa"/>
              <w:bottom w:w="40" w:type="dxa"/>
              <w:right w:w="20" w:type="dxa"/>
            </w:tcMar>
            <w:vAlign w:val="bottom"/>
          </w:tcPr>
          <w:p w14:paraId="675369E1" w14:textId="77777777" w:rsidR="001B77DD" w:rsidRDefault="00BF0A28">
            <w:pPr>
              <w:textAlignment w:val="bottom"/>
            </w:pPr>
            <w:r>
              <w:rPr>
                <w:rFonts w:ascii="Arial" w:eastAsia="宋体" w:hAnsi="Arial" w:cs="Arial"/>
                <w:color w:val="262626"/>
                <w:sz w:val="18"/>
                <w:szCs w:val="18"/>
              </w:rPr>
              <w:t>Litigation charge</w:t>
            </w:r>
          </w:p>
        </w:tc>
        <w:tc>
          <w:tcPr>
            <w:tcW w:w="0" w:type="auto"/>
            <w:gridSpan w:val="3"/>
            <w:shd w:val="clear" w:color="auto" w:fill="auto"/>
            <w:tcMar>
              <w:top w:w="0" w:type="dxa"/>
              <w:left w:w="20" w:type="dxa"/>
              <w:bottom w:w="0" w:type="dxa"/>
              <w:right w:w="20" w:type="dxa"/>
            </w:tcMar>
            <w:vAlign w:val="bottom"/>
          </w:tcPr>
          <w:p w14:paraId="675369E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E3" w14:textId="77777777" w:rsidR="001B77DD" w:rsidRDefault="00BF0A28">
            <w:pPr>
              <w:jc w:val="right"/>
              <w:textAlignment w:val="bottom"/>
            </w:pPr>
            <w:r>
              <w:rPr>
                <w:rFonts w:ascii="Arial" w:eastAsia="宋体" w:hAnsi="Arial" w:cs="Arial"/>
                <w:color w:val="0068B5"/>
                <w:sz w:val="18"/>
                <w:szCs w:val="18"/>
              </w:rPr>
              <w:t>467 </w:t>
            </w:r>
          </w:p>
        </w:tc>
        <w:tc>
          <w:tcPr>
            <w:tcW w:w="0" w:type="auto"/>
            <w:shd w:val="clear" w:color="auto" w:fill="auto"/>
            <w:tcMar>
              <w:top w:w="40" w:type="dxa"/>
              <w:left w:w="0" w:type="dxa"/>
              <w:bottom w:w="40" w:type="dxa"/>
              <w:right w:w="20" w:type="dxa"/>
            </w:tcMar>
            <w:vAlign w:val="bottom"/>
          </w:tcPr>
          <w:p w14:paraId="675369E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E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E6"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9E7" w14:textId="77777777" w:rsidR="001B77DD" w:rsidRDefault="001B77DD">
            <w:pPr>
              <w:jc w:val="right"/>
              <w:rPr>
                <w:rFonts w:ascii="宋体"/>
              </w:rPr>
            </w:pPr>
          </w:p>
        </w:tc>
      </w:tr>
      <w:tr w:rsidR="001B77DD" w14:paraId="675369F0" w14:textId="77777777">
        <w:tc>
          <w:tcPr>
            <w:tcW w:w="0" w:type="auto"/>
            <w:gridSpan w:val="3"/>
            <w:shd w:val="clear" w:color="auto" w:fill="auto"/>
            <w:tcMar>
              <w:top w:w="40" w:type="dxa"/>
              <w:left w:w="155" w:type="dxa"/>
              <w:bottom w:w="40" w:type="dxa"/>
              <w:right w:w="20" w:type="dxa"/>
            </w:tcMar>
            <w:vAlign w:val="bottom"/>
          </w:tcPr>
          <w:p w14:paraId="675369E9" w14:textId="77777777" w:rsidR="001B77DD" w:rsidRDefault="00BF0A28">
            <w:pPr>
              <w:textAlignment w:val="bottom"/>
            </w:pPr>
            <w:r>
              <w:rPr>
                <w:rFonts w:ascii="Arial" w:eastAsia="宋体" w:hAnsi="Arial" w:cs="Arial"/>
                <w:color w:val="262626"/>
                <w:sz w:val="18"/>
                <w:szCs w:val="18"/>
              </w:rPr>
              <w:t>Inventory</w:t>
            </w:r>
          </w:p>
        </w:tc>
        <w:tc>
          <w:tcPr>
            <w:tcW w:w="0" w:type="auto"/>
            <w:gridSpan w:val="3"/>
            <w:shd w:val="clear" w:color="auto" w:fill="auto"/>
            <w:tcMar>
              <w:top w:w="0" w:type="dxa"/>
              <w:left w:w="20" w:type="dxa"/>
              <w:bottom w:w="0" w:type="dxa"/>
              <w:right w:w="20" w:type="dxa"/>
            </w:tcMar>
            <w:vAlign w:val="bottom"/>
          </w:tcPr>
          <w:p w14:paraId="675369E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EB" w14:textId="77777777" w:rsidR="001B77DD" w:rsidRDefault="00BF0A28">
            <w:pPr>
              <w:jc w:val="right"/>
              <w:textAlignment w:val="bottom"/>
            </w:pPr>
            <w:r>
              <w:rPr>
                <w:rFonts w:ascii="Arial" w:eastAsia="宋体" w:hAnsi="Arial" w:cs="Arial"/>
                <w:color w:val="0068B5"/>
                <w:sz w:val="18"/>
                <w:szCs w:val="18"/>
              </w:rPr>
              <w:t>914 </w:t>
            </w:r>
          </w:p>
        </w:tc>
        <w:tc>
          <w:tcPr>
            <w:tcW w:w="0" w:type="auto"/>
            <w:shd w:val="clear" w:color="auto" w:fill="auto"/>
            <w:tcMar>
              <w:top w:w="40" w:type="dxa"/>
              <w:left w:w="0" w:type="dxa"/>
              <w:bottom w:w="40" w:type="dxa"/>
              <w:right w:w="20" w:type="dxa"/>
            </w:tcMar>
            <w:vAlign w:val="bottom"/>
          </w:tcPr>
          <w:p w14:paraId="675369E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E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EE" w14:textId="77777777" w:rsidR="001B77DD" w:rsidRDefault="00BF0A28">
            <w:pPr>
              <w:jc w:val="right"/>
              <w:textAlignment w:val="bottom"/>
            </w:pPr>
            <w:r>
              <w:rPr>
                <w:rFonts w:ascii="Arial" w:eastAsia="宋体" w:hAnsi="Arial" w:cs="Arial"/>
                <w:color w:val="262626"/>
                <w:sz w:val="18"/>
                <w:szCs w:val="18"/>
              </w:rPr>
              <w:t>835 </w:t>
            </w:r>
          </w:p>
        </w:tc>
        <w:tc>
          <w:tcPr>
            <w:tcW w:w="0" w:type="auto"/>
            <w:shd w:val="clear" w:color="auto" w:fill="auto"/>
            <w:tcMar>
              <w:top w:w="40" w:type="dxa"/>
              <w:left w:w="0" w:type="dxa"/>
              <w:bottom w:w="40" w:type="dxa"/>
              <w:right w:w="20" w:type="dxa"/>
            </w:tcMar>
            <w:vAlign w:val="bottom"/>
          </w:tcPr>
          <w:p w14:paraId="675369EF" w14:textId="77777777" w:rsidR="001B77DD" w:rsidRDefault="001B77DD">
            <w:pPr>
              <w:jc w:val="right"/>
              <w:rPr>
                <w:rFonts w:ascii="宋体"/>
              </w:rPr>
            </w:pPr>
          </w:p>
        </w:tc>
      </w:tr>
      <w:tr w:rsidR="001B77DD" w14:paraId="675369F8" w14:textId="77777777">
        <w:tc>
          <w:tcPr>
            <w:tcW w:w="0" w:type="auto"/>
            <w:gridSpan w:val="3"/>
            <w:shd w:val="clear" w:color="auto" w:fill="auto"/>
            <w:tcMar>
              <w:top w:w="40" w:type="dxa"/>
              <w:left w:w="155" w:type="dxa"/>
              <w:bottom w:w="40" w:type="dxa"/>
              <w:right w:w="20" w:type="dxa"/>
            </w:tcMar>
            <w:vAlign w:val="bottom"/>
          </w:tcPr>
          <w:p w14:paraId="675369F1" w14:textId="77777777" w:rsidR="001B77DD" w:rsidRDefault="00BF0A28">
            <w:pPr>
              <w:textAlignment w:val="bottom"/>
            </w:pPr>
            <w:r>
              <w:rPr>
                <w:rFonts w:ascii="Arial" w:eastAsia="宋体" w:hAnsi="Arial" w:cs="Arial"/>
                <w:color w:val="262626"/>
                <w:sz w:val="18"/>
                <w:szCs w:val="18"/>
              </w:rPr>
              <w:t xml:space="preserve">R&amp;D </w:t>
            </w:r>
            <w:r>
              <w:rPr>
                <w:rFonts w:ascii="Arial" w:eastAsia="宋体" w:hAnsi="Arial" w:cs="Arial"/>
                <w:color w:val="262626"/>
                <w:sz w:val="18"/>
                <w:szCs w:val="18"/>
              </w:rPr>
              <w:t>expenditures capitalization</w:t>
            </w:r>
          </w:p>
        </w:tc>
        <w:tc>
          <w:tcPr>
            <w:tcW w:w="0" w:type="auto"/>
            <w:gridSpan w:val="3"/>
            <w:shd w:val="clear" w:color="auto" w:fill="auto"/>
            <w:tcMar>
              <w:top w:w="0" w:type="dxa"/>
              <w:left w:w="20" w:type="dxa"/>
              <w:bottom w:w="0" w:type="dxa"/>
              <w:right w:w="20" w:type="dxa"/>
            </w:tcMar>
            <w:vAlign w:val="bottom"/>
          </w:tcPr>
          <w:p w14:paraId="675369F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F3" w14:textId="77777777" w:rsidR="001B77DD" w:rsidRDefault="00BF0A28">
            <w:pPr>
              <w:jc w:val="right"/>
              <w:textAlignment w:val="bottom"/>
            </w:pPr>
            <w:r>
              <w:rPr>
                <w:rFonts w:ascii="Arial" w:eastAsia="宋体" w:hAnsi="Arial" w:cs="Arial"/>
                <w:color w:val="0068B5"/>
                <w:sz w:val="18"/>
                <w:szCs w:val="18"/>
              </w:rPr>
              <w:t>519 </w:t>
            </w:r>
          </w:p>
        </w:tc>
        <w:tc>
          <w:tcPr>
            <w:tcW w:w="0" w:type="auto"/>
            <w:shd w:val="clear" w:color="auto" w:fill="auto"/>
            <w:tcMar>
              <w:top w:w="40" w:type="dxa"/>
              <w:left w:w="0" w:type="dxa"/>
              <w:bottom w:w="40" w:type="dxa"/>
              <w:right w:w="20" w:type="dxa"/>
            </w:tcMar>
            <w:vAlign w:val="bottom"/>
          </w:tcPr>
          <w:p w14:paraId="675369F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F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F6"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9F7" w14:textId="77777777" w:rsidR="001B77DD" w:rsidRDefault="001B77DD">
            <w:pPr>
              <w:jc w:val="right"/>
              <w:rPr>
                <w:rFonts w:ascii="宋体"/>
              </w:rPr>
            </w:pPr>
          </w:p>
        </w:tc>
      </w:tr>
      <w:tr w:rsidR="001B77DD" w14:paraId="67536A00" w14:textId="77777777">
        <w:tc>
          <w:tcPr>
            <w:tcW w:w="0" w:type="auto"/>
            <w:gridSpan w:val="3"/>
            <w:shd w:val="clear" w:color="auto" w:fill="auto"/>
            <w:tcMar>
              <w:top w:w="40" w:type="dxa"/>
              <w:left w:w="155" w:type="dxa"/>
              <w:bottom w:w="40" w:type="dxa"/>
              <w:right w:w="20" w:type="dxa"/>
            </w:tcMar>
            <w:vAlign w:val="bottom"/>
          </w:tcPr>
          <w:p w14:paraId="675369F9" w14:textId="77777777" w:rsidR="001B77DD" w:rsidRDefault="00BF0A28">
            <w:pPr>
              <w:textAlignment w:val="bottom"/>
            </w:pPr>
            <w:r>
              <w:rPr>
                <w:rFonts w:ascii="Arial" w:eastAsia="宋体" w:hAnsi="Arial" w:cs="Arial"/>
                <w:color w:val="262626"/>
                <w:sz w:val="18"/>
                <w:szCs w:val="18"/>
              </w:rPr>
              <w:t>State credits and net operating losses</w:t>
            </w:r>
          </w:p>
        </w:tc>
        <w:tc>
          <w:tcPr>
            <w:tcW w:w="0" w:type="auto"/>
            <w:gridSpan w:val="3"/>
            <w:shd w:val="clear" w:color="auto" w:fill="auto"/>
            <w:tcMar>
              <w:top w:w="0" w:type="dxa"/>
              <w:left w:w="20" w:type="dxa"/>
              <w:bottom w:w="0" w:type="dxa"/>
              <w:right w:w="20" w:type="dxa"/>
            </w:tcMar>
            <w:vAlign w:val="bottom"/>
          </w:tcPr>
          <w:p w14:paraId="675369F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FB" w14:textId="77777777" w:rsidR="001B77DD" w:rsidRDefault="00BF0A28">
            <w:pPr>
              <w:jc w:val="right"/>
              <w:textAlignment w:val="bottom"/>
            </w:pPr>
            <w:r>
              <w:rPr>
                <w:rFonts w:ascii="Arial" w:eastAsia="宋体" w:hAnsi="Arial" w:cs="Arial"/>
                <w:color w:val="0068B5"/>
                <w:sz w:val="18"/>
                <w:szCs w:val="18"/>
              </w:rPr>
              <w:t>2,010 </w:t>
            </w:r>
          </w:p>
        </w:tc>
        <w:tc>
          <w:tcPr>
            <w:tcW w:w="0" w:type="auto"/>
            <w:shd w:val="clear" w:color="auto" w:fill="auto"/>
            <w:tcMar>
              <w:top w:w="40" w:type="dxa"/>
              <w:left w:w="0" w:type="dxa"/>
              <w:bottom w:w="40" w:type="dxa"/>
              <w:right w:w="20" w:type="dxa"/>
            </w:tcMar>
            <w:vAlign w:val="bottom"/>
          </w:tcPr>
          <w:p w14:paraId="675369F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9F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9FE" w14:textId="77777777" w:rsidR="001B77DD" w:rsidRDefault="00BF0A28">
            <w:pPr>
              <w:jc w:val="right"/>
              <w:textAlignment w:val="bottom"/>
            </w:pPr>
            <w:r>
              <w:rPr>
                <w:rFonts w:ascii="Arial" w:eastAsia="宋体" w:hAnsi="Arial" w:cs="Arial"/>
                <w:color w:val="262626"/>
                <w:sz w:val="18"/>
                <w:szCs w:val="18"/>
              </w:rPr>
              <w:t>1,829 </w:t>
            </w:r>
          </w:p>
        </w:tc>
        <w:tc>
          <w:tcPr>
            <w:tcW w:w="0" w:type="auto"/>
            <w:shd w:val="clear" w:color="auto" w:fill="auto"/>
            <w:tcMar>
              <w:top w:w="40" w:type="dxa"/>
              <w:left w:w="0" w:type="dxa"/>
              <w:bottom w:w="40" w:type="dxa"/>
              <w:right w:w="20" w:type="dxa"/>
            </w:tcMar>
            <w:vAlign w:val="bottom"/>
          </w:tcPr>
          <w:p w14:paraId="675369FF" w14:textId="77777777" w:rsidR="001B77DD" w:rsidRDefault="001B77DD">
            <w:pPr>
              <w:jc w:val="right"/>
              <w:rPr>
                <w:rFonts w:ascii="宋体"/>
              </w:rPr>
            </w:pPr>
          </w:p>
        </w:tc>
      </w:tr>
      <w:tr w:rsidR="001B77DD" w14:paraId="67536A08" w14:textId="77777777">
        <w:tc>
          <w:tcPr>
            <w:tcW w:w="0" w:type="auto"/>
            <w:gridSpan w:val="3"/>
            <w:shd w:val="clear" w:color="auto" w:fill="auto"/>
            <w:tcMar>
              <w:top w:w="40" w:type="dxa"/>
              <w:left w:w="155" w:type="dxa"/>
              <w:bottom w:w="40" w:type="dxa"/>
              <w:right w:w="20" w:type="dxa"/>
            </w:tcMar>
            <w:vAlign w:val="bottom"/>
          </w:tcPr>
          <w:p w14:paraId="67536A01" w14:textId="77777777" w:rsidR="001B77DD" w:rsidRDefault="00BF0A28">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67536A0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03" w14:textId="77777777" w:rsidR="001B77DD" w:rsidRDefault="00BF0A28">
            <w:pPr>
              <w:jc w:val="right"/>
              <w:textAlignment w:val="bottom"/>
            </w:pPr>
            <w:r>
              <w:rPr>
                <w:rFonts w:ascii="Arial" w:eastAsia="宋体" w:hAnsi="Arial" w:cs="Arial"/>
                <w:color w:val="0068B5"/>
                <w:sz w:val="18"/>
                <w:szCs w:val="18"/>
              </w:rPr>
              <w:t>819 </w:t>
            </w:r>
          </w:p>
        </w:tc>
        <w:tc>
          <w:tcPr>
            <w:tcW w:w="0" w:type="auto"/>
            <w:shd w:val="clear" w:color="auto" w:fill="auto"/>
            <w:tcMar>
              <w:top w:w="40" w:type="dxa"/>
              <w:left w:w="0" w:type="dxa"/>
              <w:bottom w:w="40" w:type="dxa"/>
              <w:right w:w="20" w:type="dxa"/>
            </w:tcMar>
            <w:vAlign w:val="bottom"/>
          </w:tcPr>
          <w:p w14:paraId="67536A0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0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06" w14:textId="77777777" w:rsidR="001B77DD" w:rsidRDefault="00BF0A28">
            <w:pPr>
              <w:jc w:val="right"/>
              <w:textAlignment w:val="bottom"/>
            </w:pPr>
            <w:r>
              <w:rPr>
                <w:rFonts w:ascii="Arial" w:eastAsia="宋体" w:hAnsi="Arial" w:cs="Arial"/>
                <w:color w:val="262626"/>
                <w:sz w:val="18"/>
                <w:szCs w:val="18"/>
              </w:rPr>
              <w:t>617 </w:t>
            </w:r>
          </w:p>
        </w:tc>
        <w:tc>
          <w:tcPr>
            <w:tcW w:w="0" w:type="auto"/>
            <w:shd w:val="clear" w:color="auto" w:fill="auto"/>
            <w:tcMar>
              <w:top w:w="40" w:type="dxa"/>
              <w:left w:w="0" w:type="dxa"/>
              <w:bottom w:w="40" w:type="dxa"/>
              <w:right w:w="20" w:type="dxa"/>
            </w:tcMar>
            <w:vAlign w:val="bottom"/>
          </w:tcPr>
          <w:p w14:paraId="67536A07" w14:textId="77777777" w:rsidR="001B77DD" w:rsidRDefault="001B77DD">
            <w:pPr>
              <w:jc w:val="right"/>
              <w:rPr>
                <w:rFonts w:ascii="宋体"/>
              </w:rPr>
            </w:pPr>
          </w:p>
        </w:tc>
      </w:tr>
      <w:tr w:rsidR="001B77DD" w14:paraId="67536A10" w14:textId="77777777">
        <w:tc>
          <w:tcPr>
            <w:tcW w:w="0" w:type="auto"/>
            <w:gridSpan w:val="3"/>
            <w:shd w:val="clear" w:color="auto" w:fill="auto"/>
            <w:tcMar>
              <w:top w:w="40" w:type="dxa"/>
              <w:left w:w="20" w:type="dxa"/>
              <w:bottom w:w="40" w:type="dxa"/>
              <w:right w:w="20" w:type="dxa"/>
            </w:tcMar>
            <w:vAlign w:val="bottom"/>
          </w:tcPr>
          <w:p w14:paraId="67536A09" w14:textId="77777777" w:rsidR="001B77DD" w:rsidRDefault="00BF0A28">
            <w:pPr>
              <w:textAlignment w:val="bottom"/>
            </w:pPr>
            <w:r>
              <w:rPr>
                <w:rFonts w:ascii="Arial" w:eastAsia="宋体" w:hAnsi="Arial" w:cs="Arial"/>
                <w:b/>
                <w:bCs/>
                <w:color w:val="262626"/>
                <w:sz w:val="18"/>
                <w:szCs w:val="18"/>
              </w:rPr>
              <w:t>Gross deferred tax assets</w:t>
            </w:r>
          </w:p>
        </w:tc>
        <w:tc>
          <w:tcPr>
            <w:tcW w:w="0" w:type="auto"/>
            <w:gridSpan w:val="3"/>
            <w:shd w:val="clear" w:color="auto" w:fill="auto"/>
            <w:tcMar>
              <w:top w:w="0" w:type="dxa"/>
              <w:left w:w="20" w:type="dxa"/>
              <w:bottom w:w="0" w:type="dxa"/>
              <w:right w:w="20" w:type="dxa"/>
            </w:tcMar>
            <w:vAlign w:val="bottom"/>
          </w:tcPr>
          <w:p w14:paraId="67536A0A"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A0B" w14:textId="77777777" w:rsidR="001B77DD" w:rsidRDefault="00BF0A28">
            <w:pPr>
              <w:jc w:val="right"/>
              <w:textAlignment w:val="bottom"/>
            </w:pPr>
            <w:r>
              <w:rPr>
                <w:rFonts w:ascii="Arial" w:eastAsia="宋体" w:hAnsi="Arial" w:cs="Arial"/>
                <w:b/>
                <w:bCs/>
                <w:color w:val="0068B5"/>
                <w:sz w:val="18"/>
                <w:szCs w:val="18"/>
              </w:rPr>
              <w:t>6,225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A0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0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6A0E" w14:textId="77777777" w:rsidR="001B77DD" w:rsidRDefault="00BF0A28">
            <w:pPr>
              <w:jc w:val="right"/>
              <w:textAlignment w:val="bottom"/>
            </w:pPr>
            <w:r>
              <w:rPr>
                <w:rFonts w:ascii="Arial" w:eastAsia="宋体" w:hAnsi="Arial" w:cs="Arial"/>
                <w:b/>
                <w:bCs/>
                <w:color w:val="262626"/>
                <w:sz w:val="18"/>
                <w:szCs w:val="18"/>
              </w:rPr>
              <w:t>4,470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6A0F" w14:textId="77777777" w:rsidR="001B77DD" w:rsidRDefault="001B77DD">
            <w:pPr>
              <w:jc w:val="right"/>
              <w:rPr>
                <w:rFonts w:ascii="宋体"/>
              </w:rPr>
            </w:pPr>
          </w:p>
        </w:tc>
      </w:tr>
      <w:tr w:rsidR="001B77DD" w14:paraId="67536A18" w14:textId="77777777">
        <w:tc>
          <w:tcPr>
            <w:tcW w:w="0" w:type="auto"/>
            <w:gridSpan w:val="3"/>
            <w:shd w:val="clear" w:color="auto" w:fill="auto"/>
            <w:tcMar>
              <w:top w:w="40" w:type="dxa"/>
              <w:left w:w="20" w:type="dxa"/>
              <w:bottom w:w="40" w:type="dxa"/>
              <w:right w:w="20" w:type="dxa"/>
            </w:tcMar>
            <w:vAlign w:val="bottom"/>
          </w:tcPr>
          <w:p w14:paraId="67536A11" w14:textId="77777777" w:rsidR="001B77DD" w:rsidRDefault="00BF0A28">
            <w:pPr>
              <w:textAlignment w:val="bottom"/>
            </w:pPr>
            <w:r>
              <w:rPr>
                <w:rFonts w:ascii="Arial" w:eastAsia="宋体" w:hAnsi="Arial" w:cs="Arial"/>
                <w:color w:val="262626"/>
                <w:sz w:val="18"/>
                <w:szCs w:val="18"/>
              </w:rPr>
              <w:t>Valuation allowance</w:t>
            </w:r>
          </w:p>
        </w:tc>
        <w:tc>
          <w:tcPr>
            <w:tcW w:w="0" w:type="auto"/>
            <w:gridSpan w:val="3"/>
            <w:shd w:val="clear" w:color="auto" w:fill="auto"/>
            <w:tcMar>
              <w:top w:w="0" w:type="dxa"/>
              <w:left w:w="20" w:type="dxa"/>
              <w:bottom w:w="0" w:type="dxa"/>
              <w:right w:w="20" w:type="dxa"/>
            </w:tcMar>
            <w:vAlign w:val="bottom"/>
          </w:tcPr>
          <w:p w14:paraId="67536A1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13" w14:textId="77777777" w:rsidR="001B77DD" w:rsidRDefault="00BF0A28">
            <w:pPr>
              <w:jc w:val="right"/>
              <w:textAlignment w:val="bottom"/>
            </w:pPr>
            <w:r>
              <w:rPr>
                <w:rFonts w:ascii="Arial" w:eastAsia="宋体" w:hAnsi="Arial" w:cs="Arial"/>
                <w:color w:val="0068B5"/>
                <w:sz w:val="18"/>
                <w:szCs w:val="18"/>
              </w:rPr>
              <w:t>(2,259)</w:t>
            </w:r>
          </w:p>
        </w:tc>
        <w:tc>
          <w:tcPr>
            <w:tcW w:w="0" w:type="auto"/>
            <w:shd w:val="clear" w:color="auto" w:fill="auto"/>
            <w:tcMar>
              <w:top w:w="40" w:type="dxa"/>
              <w:left w:w="0" w:type="dxa"/>
              <w:bottom w:w="40" w:type="dxa"/>
              <w:right w:w="20" w:type="dxa"/>
            </w:tcMar>
            <w:vAlign w:val="bottom"/>
          </w:tcPr>
          <w:p w14:paraId="67536A1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1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16" w14:textId="77777777" w:rsidR="001B77DD" w:rsidRDefault="00BF0A28">
            <w:pPr>
              <w:jc w:val="right"/>
              <w:textAlignment w:val="bottom"/>
            </w:pPr>
            <w:r>
              <w:rPr>
                <w:rFonts w:ascii="Arial" w:eastAsia="宋体" w:hAnsi="Arial" w:cs="Arial"/>
                <w:color w:val="262626"/>
                <w:sz w:val="18"/>
                <w:szCs w:val="18"/>
              </w:rPr>
              <w:t>(1,963)</w:t>
            </w:r>
          </w:p>
        </w:tc>
        <w:tc>
          <w:tcPr>
            <w:tcW w:w="0" w:type="auto"/>
            <w:shd w:val="clear" w:color="auto" w:fill="auto"/>
            <w:tcMar>
              <w:top w:w="40" w:type="dxa"/>
              <w:left w:w="0" w:type="dxa"/>
              <w:bottom w:w="40" w:type="dxa"/>
              <w:right w:w="20" w:type="dxa"/>
            </w:tcMar>
            <w:vAlign w:val="bottom"/>
          </w:tcPr>
          <w:p w14:paraId="67536A17" w14:textId="77777777" w:rsidR="001B77DD" w:rsidRDefault="001B77DD">
            <w:pPr>
              <w:jc w:val="right"/>
              <w:rPr>
                <w:rFonts w:ascii="宋体"/>
              </w:rPr>
            </w:pPr>
          </w:p>
        </w:tc>
      </w:tr>
      <w:tr w:rsidR="001B77DD" w14:paraId="67536A20" w14:textId="77777777">
        <w:tc>
          <w:tcPr>
            <w:tcW w:w="0" w:type="auto"/>
            <w:gridSpan w:val="3"/>
            <w:shd w:val="clear" w:color="auto" w:fill="auto"/>
            <w:tcMar>
              <w:top w:w="40" w:type="dxa"/>
              <w:left w:w="20" w:type="dxa"/>
              <w:bottom w:w="40" w:type="dxa"/>
              <w:right w:w="20" w:type="dxa"/>
            </w:tcMar>
            <w:vAlign w:val="bottom"/>
          </w:tcPr>
          <w:p w14:paraId="67536A19" w14:textId="77777777" w:rsidR="001B77DD" w:rsidRDefault="00BF0A28">
            <w:pPr>
              <w:textAlignment w:val="bottom"/>
            </w:pPr>
            <w:r>
              <w:rPr>
                <w:rFonts w:ascii="Arial" w:eastAsia="宋体" w:hAnsi="Arial" w:cs="Arial"/>
                <w:b/>
                <w:bCs/>
                <w:color w:val="262626"/>
                <w:sz w:val="18"/>
                <w:szCs w:val="18"/>
              </w:rPr>
              <w:t>Total deferred tax assets</w:t>
            </w:r>
          </w:p>
        </w:tc>
        <w:tc>
          <w:tcPr>
            <w:tcW w:w="0" w:type="auto"/>
            <w:gridSpan w:val="3"/>
            <w:shd w:val="clear" w:color="auto" w:fill="auto"/>
            <w:tcMar>
              <w:top w:w="0" w:type="dxa"/>
              <w:left w:w="20" w:type="dxa"/>
              <w:bottom w:w="0" w:type="dxa"/>
              <w:right w:w="20" w:type="dxa"/>
            </w:tcMar>
            <w:vAlign w:val="bottom"/>
          </w:tcPr>
          <w:p w14:paraId="67536A1A"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6A1B" w14:textId="77777777" w:rsidR="001B77DD" w:rsidRDefault="00BF0A28">
            <w:pPr>
              <w:jc w:val="right"/>
              <w:textAlignment w:val="bottom"/>
            </w:pPr>
            <w:r>
              <w:rPr>
                <w:rFonts w:ascii="Arial" w:eastAsia="宋体" w:hAnsi="Arial" w:cs="Arial"/>
                <w:b/>
                <w:bCs/>
                <w:color w:val="0068B5"/>
                <w:sz w:val="18"/>
                <w:szCs w:val="18"/>
              </w:rPr>
              <w:t>3,966</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6A1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1D"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6A1E" w14:textId="77777777" w:rsidR="001B77DD" w:rsidRDefault="00BF0A28">
            <w:pPr>
              <w:jc w:val="right"/>
              <w:textAlignment w:val="bottom"/>
            </w:pPr>
            <w:r>
              <w:rPr>
                <w:rFonts w:ascii="Arial" w:eastAsia="宋体" w:hAnsi="Arial" w:cs="Arial"/>
                <w:b/>
                <w:bCs/>
                <w:color w:val="262626"/>
                <w:sz w:val="18"/>
                <w:szCs w:val="18"/>
              </w:rPr>
              <w:t>2,507</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6A1F" w14:textId="77777777" w:rsidR="001B77DD" w:rsidRDefault="001B77DD">
            <w:pPr>
              <w:jc w:val="right"/>
              <w:rPr>
                <w:rFonts w:ascii="宋体"/>
              </w:rPr>
            </w:pPr>
          </w:p>
        </w:tc>
      </w:tr>
      <w:tr w:rsidR="001B77DD" w14:paraId="67536A26" w14:textId="77777777">
        <w:tc>
          <w:tcPr>
            <w:tcW w:w="0" w:type="auto"/>
            <w:gridSpan w:val="3"/>
            <w:shd w:val="clear" w:color="auto" w:fill="auto"/>
            <w:tcMar>
              <w:top w:w="40" w:type="dxa"/>
              <w:left w:w="20" w:type="dxa"/>
              <w:bottom w:w="40" w:type="dxa"/>
              <w:right w:w="20" w:type="dxa"/>
            </w:tcMar>
            <w:vAlign w:val="bottom"/>
          </w:tcPr>
          <w:p w14:paraId="67536A21" w14:textId="77777777" w:rsidR="001B77DD" w:rsidRDefault="00BF0A28">
            <w:pPr>
              <w:textAlignment w:val="bottom"/>
            </w:pPr>
            <w:r>
              <w:rPr>
                <w:rFonts w:ascii="Arial" w:eastAsia="宋体" w:hAnsi="Arial" w:cs="Arial"/>
                <w:color w:val="262626"/>
                <w:sz w:val="18"/>
                <w:szCs w:val="18"/>
              </w:rPr>
              <w:t>Deferred tax liabilities:</w:t>
            </w:r>
          </w:p>
        </w:tc>
        <w:tc>
          <w:tcPr>
            <w:tcW w:w="0" w:type="auto"/>
            <w:gridSpan w:val="3"/>
            <w:shd w:val="clear" w:color="auto" w:fill="auto"/>
            <w:tcMar>
              <w:top w:w="0" w:type="dxa"/>
              <w:left w:w="20" w:type="dxa"/>
              <w:bottom w:w="0" w:type="dxa"/>
              <w:right w:w="20" w:type="dxa"/>
            </w:tcMar>
            <w:vAlign w:val="bottom"/>
          </w:tcPr>
          <w:p w14:paraId="67536A22"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6A2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24"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6A25" w14:textId="77777777" w:rsidR="001B77DD" w:rsidRDefault="001B77DD">
            <w:pPr>
              <w:rPr>
                <w:rFonts w:ascii="宋体"/>
              </w:rPr>
            </w:pPr>
          </w:p>
        </w:tc>
      </w:tr>
      <w:tr w:rsidR="001B77DD" w14:paraId="67536A2E" w14:textId="77777777">
        <w:tc>
          <w:tcPr>
            <w:tcW w:w="0" w:type="auto"/>
            <w:gridSpan w:val="3"/>
            <w:shd w:val="clear" w:color="auto" w:fill="auto"/>
            <w:tcMar>
              <w:top w:w="40" w:type="dxa"/>
              <w:left w:w="155" w:type="dxa"/>
              <w:bottom w:w="40" w:type="dxa"/>
              <w:right w:w="20" w:type="dxa"/>
            </w:tcMar>
            <w:vAlign w:val="bottom"/>
          </w:tcPr>
          <w:p w14:paraId="67536A27" w14:textId="77777777" w:rsidR="001B77DD" w:rsidRDefault="00BF0A28">
            <w:pPr>
              <w:textAlignment w:val="bottom"/>
            </w:pPr>
            <w:r>
              <w:rPr>
                <w:rFonts w:ascii="Arial" w:eastAsia="宋体" w:hAnsi="Arial" w:cs="Arial"/>
                <w:color w:val="262626"/>
                <w:sz w:val="18"/>
                <w:szCs w:val="18"/>
              </w:rPr>
              <w:t>Property, plant and equipment</w:t>
            </w:r>
          </w:p>
        </w:tc>
        <w:tc>
          <w:tcPr>
            <w:tcW w:w="0" w:type="auto"/>
            <w:gridSpan w:val="3"/>
            <w:shd w:val="clear" w:color="auto" w:fill="auto"/>
            <w:tcMar>
              <w:top w:w="0" w:type="dxa"/>
              <w:left w:w="20" w:type="dxa"/>
              <w:bottom w:w="0" w:type="dxa"/>
              <w:right w:w="20" w:type="dxa"/>
            </w:tcMar>
            <w:vAlign w:val="bottom"/>
          </w:tcPr>
          <w:p w14:paraId="67536A2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29" w14:textId="77777777" w:rsidR="001B77DD" w:rsidRDefault="00BF0A28">
            <w:pPr>
              <w:jc w:val="right"/>
              <w:textAlignment w:val="bottom"/>
            </w:pPr>
            <w:r>
              <w:rPr>
                <w:rFonts w:ascii="Arial" w:eastAsia="宋体" w:hAnsi="Arial" w:cs="Arial"/>
                <w:color w:val="0068B5"/>
                <w:sz w:val="18"/>
                <w:szCs w:val="18"/>
              </w:rPr>
              <w:t>(4,213)</w:t>
            </w:r>
          </w:p>
        </w:tc>
        <w:tc>
          <w:tcPr>
            <w:tcW w:w="0" w:type="auto"/>
            <w:shd w:val="clear" w:color="auto" w:fill="auto"/>
            <w:tcMar>
              <w:top w:w="40" w:type="dxa"/>
              <w:left w:w="0" w:type="dxa"/>
              <w:bottom w:w="40" w:type="dxa"/>
              <w:right w:w="20" w:type="dxa"/>
            </w:tcMar>
            <w:vAlign w:val="bottom"/>
          </w:tcPr>
          <w:p w14:paraId="67536A2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2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2C" w14:textId="77777777" w:rsidR="001B77DD" w:rsidRDefault="00BF0A28">
            <w:pPr>
              <w:jc w:val="right"/>
              <w:textAlignment w:val="bottom"/>
            </w:pPr>
            <w:r>
              <w:rPr>
                <w:rFonts w:ascii="Arial" w:eastAsia="宋体" w:hAnsi="Arial" w:cs="Arial"/>
                <w:color w:val="262626"/>
                <w:sz w:val="18"/>
                <w:szCs w:val="18"/>
              </w:rPr>
              <w:t>(3,109)</w:t>
            </w:r>
          </w:p>
        </w:tc>
        <w:tc>
          <w:tcPr>
            <w:tcW w:w="0" w:type="auto"/>
            <w:shd w:val="clear" w:color="auto" w:fill="auto"/>
            <w:tcMar>
              <w:top w:w="40" w:type="dxa"/>
              <w:left w:w="0" w:type="dxa"/>
              <w:bottom w:w="40" w:type="dxa"/>
              <w:right w:w="20" w:type="dxa"/>
            </w:tcMar>
            <w:vAlign w:val="bottom"/>
          </w:tcPr>
          <w:p w14:paraId="67536A2D" w14:textId="77777777" w:rsidR="001B77DD" w:rsidRDefault="001B77DD">
            <w:pPr>
              <w:jc w:val="right"/>
              <w:rPr>
                <w:rFonts w:ascii="宋体"/>
              </w:rPr>
            </w:pPr>
          </w:p>
        </w:tc>
      </w:tr>
      <w:tr w:rsidR="001B77DD" w14:paraId="67536A36" w14:textId="77777777">
        <w:tc>
          <w:tcPr>
            <w:tcW w:w="0" w:type="auto"/>
            <w:gridSpan w:val="3"/>
            <w:shd w:val="clear" w:color="auto" w:fill="auto"/>
            <w:tcMar>
              <w:top w:w="40" w:type="dxa"/>
              <w:left w:w="155" w:type="dxa"/>
              <w:bottom w:w="40" w:type="dxa"/>
              <w:right w:w="20" w:type="dxa"/>
            </w:tcMar>
            <w:vAlign w:val="bottom"/>
          </w:tcPr>
          <w:p w14:paraId="67536A2F" w14:textId="77777777" w:rsidR="001B77DD" w:rsidRDefault="00BF0A28">
            <w:pPr>
              <w:textAlignment w:val="bottom"/>
            </w:pPr>
            <w:r>
              <w:rPr>
                <w:rFonts w:ascii="Arial" w:eastAsia="宋体" w:hAnsi="Arial" w:cs="Arial"/>
                <w:color w:val="262626"/>
                <w:sz w:val="18"/>
                <w:szCs w:val="18"/>
              </w:rPr>
              <w:t>Licenses and intangibles</w:t>
            </w:r>
          </w:p>
        </w:tc>
        <w:tc>
          <w:tcPr>
            <w:tcW w:w="0" w:type="auto"/>
            <w:gridSpan w:val="3"/>
            <w:shd w:val="clear" w:color="auto" w:fill="auto"/>
            <w:tcMar>
              <w:top w:w="0" w:type="dxa"/>
              <w:left w:w="20" w:type="dxa"/>
              <w:bottom w:w="0" w:type="dxa"/>
              <w:right w:w="20" w:type="dxa"/>
            </w:tcMar>
            <w:vAlign w:val="bottom"/>
          </w:tcPr>
          <w:p w14:paraId="67536A3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31" w14:textId="77777777" w:rsidR="001B77DD" w:rsidRDefault="00BF0A28">
            <w:pPr>
              <w:jc w:val="right"/>
              <w:textAlignment w:val="bottom"/>
            </w:pPr>
            <w:r>
              <w:rPr>
                <w:rFonts w:ascii="Arial" w:eastAsia="宋体" w:hAnsi="Arial" w:cs="Arial"/>
                <w:color w:val="0068B5"/>
                <w:sz w:val="18"/>
                <w:szCs w:val="18"/>
              </w:rPr>
              <w:t>(486)</w:t>
            </w:r>
          </w:p>
        </w:tc>
        <w:tc>
          <w:tcPr>
            <w:tcW w:w="0" w:type="auto"/>
            <w:shd w:val="clear" w:color="auto" w:fill="auto"/>
            <w:tcMar>
              <w:top w:w="40" w:type="dxa"/>
              <w:left w:w="0" w:type="dxa"/>
              <w:bottom w:w="40" w:type="dxa"/>
              <w:right w:w="20" w:type="dxa"/>
            </w:tcMar>
            <w:vAlign w:val="bottom"/>
          </w:tcPr>
          <w:p w14:paraId="67536A3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3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34" w14:textId="77777777" w:rsidR="001B77DD" w:rsidRDefault="00BF0A28">
            <w:pPr>
              <w:jc w:val="right"/>
              <w:textAlignment w:val="bottom"/>
            </w:pPr>
            <w:r>
              <w:rPr>
                <w:rFonts w:ascii="Arial" w:eastAsia="宋体" w:hAnsi="Arial" w:cs="Arial"/>
                <w:color w:val="262626"/>
                <w:sz w:val="18"/>
                <w:szCs w:val="18"/>
              </w:rPr>
              <w:t>(725)</w:t>
            </w:r>
          </w:p>
        </w:tc>
        <w:tc>
          <w:tcPr>
            <w:tcW w:w="0" w:type="auto"/>
            <w:shd w:val="clear" w:color="auto" w:fill="auto"/>
            <w:tcMar>
              <w:top w:w="40" w:type="dxa"/>
              <w:left w:w="0" w:type="dxa"/>
              <w:bottom w:w="40" w:type="dxa"/>
              <w:right w:w="20" w:type="dxa"/>
            </w:tcMar>
            <w:vAlign w:val="bottom"/>
          </w:tcPr>
          <w:p w14:paraId="67536A35" w14:textId="77777777" w:rsidR="001B77DD" w:rsidRDefault="001B77DD">
            <w:pPr>
              <w:jc w:val="right"/>
              <w:rPr>
                <w:rFonts w:ascii="宋体"/>
              </w:rPr>
            </w:pPr>
          </w:p>
        </w:tc>
      </w:tr>
      <w:tr w:rsidR="001B77DD" w14:paraId="67536A3C" w14:textId="77777777">
        <w:trPr>
          <w:hidden/>
        </w:trPr>
        <w:tc>
          <w:tcPr>
            <w:tcW w:w="0" w:type="auto"/>
            <w:gridSpan w:val="3"/>
            <w:shd w:val="clear" w:color="auto" w:fill="auto"/>
            <w:vAlign w:val="bottom"/>
          </w:tcPr>
          <w:p w14:paraId="67536A37" w14:textId="77777777" w:rsidR="001B77DD" w:rsidRDefault="001B77DD">
            <w:pPr>
              <w:rPr>
                <w:rFonts w:ascii="宋体"/>
                <w:vanish/>
              </w:rPr>
            </w:pPr>
          </w:p>
        </w:tc>
        <w:tc>
          <w:tcPr>
            <w:tcW w:w="0" w:type="auto"/>
            <w:gridSpan w:val="3"/>
            <w:shd w:val="clear" w:color="auto" w:fill="auto"/>
            <w:vAlign w:val="bottom"/>
          </w:tcPr>
          <w:p w14:paraId="67536A38" w14:textId="77777777" w:rsidR="001B77DD" w:rsidRDefault="001B77DD">
            <w:pPr>
              <w:rPr>
                <w:rFonts w:ascii="宋体"/>
                <w:vanish/>
              </w:rPr>
            </w:pPr>
          </w:p>
        </w:tc>
        <w:tc>
          <w:tcPr>
            <w:tcW w:w="0" w:type="auto"/>
            <w:gridSpan w:val="3"/>
            <w:shd w:val="clear" w:color="auto" w:fill="auto"/>
            <w:vAlign w:val="bottom"/>
          </w:tcPr>
          <w:p w14:paraId="67536A39" w14:textId="77777777" w:rsidR="001B77DD" w:rsidRDefault="001B77DD">
            <w:pPr>
              <w:rPr>
                <w:rFonts w:ascii="宋体"/>
                <w:vanish/>
              </w:rPr>
            </w:pPr>
          </w:p>
        </w:tc>
        <w:tc>
          <w:tcPr>
            <w:tcW w:w="0" w:type="auto"/>
            <w:gridSpan w:val="3"/>
            <w:shd w:val="clear" w:color="auto" w:fill="auto"/>
            <w:vAlign w:val="bottom"/>
          </w:tcPr>
          <w:p w14:paraId="67536A3A" w14:textId="77777777" w:rsidR="001B77DD" w:rsidRDefault="001B77DD">
            <w:pPr>
              <w:rPr>
                <w:rFonts w:ascii="宋体"/>
                <w:vanish/>
              </w:rPr>
            </w:pPr>
          </w:p>
        </w:tc>
        <w:tc>
          <w:tcPr>
            <w:tcW w:w="0" w:type="auto"/>
            <w:gridSpan w:val="3"/>
            <w:shd w:val="clear" w:color="auto" w:fill="auto"/>
            <w:vAlign w:val="bottom"/>
          </w:tcPr>
          <w:p w14:paraId="67536A3B" w14:textId="77777777" w:rsidR="001B77DD" w:rsidRDefault="001B77DD">
            <w:pPr>
              <w:rPr>
                <w:rFonts w:ascii="宋体"/>
                <w:vanish/>
              </w:rPr>
            </w:pPr>
          </w:p>
        </w:tc>
      </w:tr>
      <w:tr w:rsidR="001B77DD" w14:paraId="67536A44" w14:textId="77777777">
        <w:tc>
          <w:tcPr>
            <w:tcW w:w="0" w:type="auto"/>
            <w:gridSpan w:val="3"/>
            <w:shd w:val="clear" w:color="auto" w:fill="auto"/>
            <w:tcMar>
              <w:top w:w="40" w:type="dxa"/>
              <w:left w:w="155" w:type="dxa"/>
              <w:bottom w:w="40" w:type="dxa"/>
              <w:right w:w="20" w:type="dxa"/>
            </w:tcMar>
            <w:vAlign w:val="bottom"/>
          </w:tcPr>
          <w:p w14:paraId="67536A3D" w14:textId="77777777" w:rsidR="001B77DD" w:rsidRDefault="00BF0A28">
            <w:pPr>
              <w:textAlignment w:val="bottom"/>
            </w:pPr>
            <w:r>
              <w:rPr>
                <w:rFonts w:ascii="Arial" w:eastAsia="宋体" w:hAnsi="Arial" w:cs="Arial"/>
                <w:color w:val="262626"/>
                <w:sz w:val="18"/>
                <w:szCs w:val="18"/>
              </w:rPr>
              <w:t>Unrealized gains on investments and derivatives</w:t>
            </w:r>
          </w:p>
        </w:tc>
        <w:tc>
          <w:tcPr>
            <w:tcW w:w="0" w:type="auto"/>
            <w:gridSpan w:val="3"/>
            <w:shd w:val="clear" w:color="auto" w:fill="auto"/>
            <w:tcMar>
              <w:top w:w="0" w:type="dxa"/>
              <w:left w:w="20" w:type="dxa"/>
              <w:bottom w:w="0" w:type="dxa"/>
              <w:right w:w="20" w:type="dxa"/>
            </w:tcMar>
            <w:vAlign w:val="bottom"/>
          </w:tcPr>
          <w:p w14:paraId="67536A3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3F" w14:textId="77777777" w:rsidR="001B77DD" w:rsidRDefault="00BF0A28">
            <w:pPr>
              <w:jc w:val="right"/>
              <w:textAlignment w:val="bottom"/>
            </w:pPr>
            <w:r>
              <w:rPr>
                <w:rFonts w:ascii="Arial" w:eastAsia="宋体" w:hAnsi="Arial" w:cs="Arial"/>
                <w:color w:val="0068B5"/>
                <w:sz w:val="18"/>
                <w:szCs w:val="18"/>
              </w:rPr>
              <w:t>(819)</w:t>
            </w:r>
          </w:p>
        </w:tc>
        <w:tc>
          <w:tcPr>
            <w:tcW w:w="0" w:type="auto"/>
            <w:shd w:val="clear" w:color="auto" w:fill="auto"/>
            <w:tcMar>
              <w:top w:w="40" w:type="dxa"/>
              <w:left w:w="0" w:type="dxa"/>
              <w:bottom w:w="40" w:type="dxa"/>
              <w:right w:w="20" w:type="dxa"/>
            </w:tcMar>
            <w:vAlign w:val="bottom"/>
          </w:tcPr>
          <w:p w14:paraId="67536A4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4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42" w14:textId="77777777" w:rsidR="001B77DD" w:rsidRDefault="00BF0A28">
            <w:pPr>
              <w:jc w:val="right"/>
              <w:textAlignment w:val="bottom"/>
            </w:pPr>
            <w:r>
              <w:rPr>
                <w:rFonts w:ascii="Arial" w:eastAsia="宋体" w:hAnsi="Arial" w:cs="Arial"/>
                <w:color w:val="262626"/>
                <w:sz w:val="18"/>
                <w:szCs w:val="18"/>
              </w:rPr>
              <w:t>(735)</w:t>
            </w:r>
          </w:p>
        </w:tc>
        <w:tc>
          <w:tcPr>
            <w:tcW w:w="0" w:type="auto"/>
            <w:shd w:val="clear" w:color="auto" w:fill="auto"/>
            <w:tcMar>
              <w:top w:w="40" w:type="dxa"/>
              <w:left w:w="0" w:type="dxa"/>
              <w:bottom w:w="40" w:type="dxa"/>
              <w:right w:w="20" w:type="dxa"/>
            </w:tcMar>
            <w:vAlign w:val="bottom"/>
          </w:tcPr>
          <w:p w14:paraId="67536A43" w14:textId="77777777" w:rsidR="001B77DD" w:rsidRDefault="001B77DD">
            <w:pPr>
              <w:jc w:val="right"/>
              <w:rPr>
                <w:rFonts w:ascii="宋体"/>
              </w:rPr>
            </w:pPr>
          </w:p>
        </w:tc>
      </w:tr>
      <w:tr w:rsidR="001B77DD" w14:paraId="67536A4C" w14:textId="77777777">
        <w:tc>
          <w:tcPr>
            <w:tcW w:w="0" w:type="auto"/>
            <w:gridSpan w:val="3"/>
            <w:shd w:val="clear" w:color="auto" w:fill="FFFFFF"/>
            <w:tcMar>
              <w:top w:w="40" w:type="dxa"/>
              <w:left w:w="140" w:type="dxa"/>
              <w:bottom w:w="40" w:type="dxa"/>
              <w:right w:w="20" w:type="dxa"/>
            </w:tcMar>
          </w:tcPr>
          <w:p w14:paraId="67536A45" w14:textId="77777777" w:rsidR="001B77DD" w:rsidRDefault="00BF0A28">
            <w:pPr>
              <w:textAlignment w:val="top"/>
            </w:pPr>
            <w:r>
              <w:rPr>
                <w:rFonts w:ascii="Arial" w:eastAsia="宋体" w:hAnsi="Arial" w:cs="Arial"/>
                <w:color w:val="262626"/>
                <w:sz w:val="18"/>
                <w:szCs w:val="18"/>
              </w:rPr>
              <w:t xml:space="preserve">Unremitted earnings of non-US </w:t>
            </w:r>
            <w:r>
              <w:rPr>
                <w:rFonts w:ascii="Arial" w:eastAsia="宋体" w:hAnsi="Arial" w:cs="Arial"/>
                <w:color w:val="262626"/>
                <w:sz w:val="18"/>
                <w:szCs w:val="18"/>
              </w:rPr>
              <w:t>subsidiaries</w:t>
            </w:r>
          </w:p>
        </w:tc>
        <w:tc>
          <w:tcPr>
            <w:tcW w:w="0" w:type="auto"/>
            <w:gridSpan w:val="3"/>
            <w:shd w:val="clear" w:color="auto" w:fill="auto"/>
            <w:tcMar>
              <w:top w:w="0" w:type="dxa"/>
              <w:left w:w="20" w:type="dxa"/>
              <w:bottom w:w="0" w:type="dxa"/>
              <w:right w:w="20" w:type="dxa"/>
            </w:tcMar>
            <w:vAlign w:val="bottom"/>
          </w:tcPr>
          <w:p w14:paraId="67536A4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47"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A4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4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4A" w14:textId="77777777" w:rsidR="001B77DD" w:rsidRDefault="00BF0A28">
            <w:pPr>
              <w:jc w:val="right"/>
              <w:textAlignment w:val="bottom"/>
            </w:pPr>
            <w:r>
              <w:rPr>
                <w:rFonts w:ascii="Arial" w:eastAsia="宋体" w:hAnsi="Arial" w:cs="Arial"/>
                <w:color w:val="262626"/>
                <w:sz w:val="18"/>
                <w:szCs w:val="18"/>
              </w:rPr>
              <w:t>(403)</w:t>
            </w:r>
          </w:p>
        </w:tc>
        <w:tc>
          <w:tcPr>
            <w:tcW w:w="0" w:type="auto"/>
            <w:shd w:val="clear" w:color="auto" w:fill="auto"/>
            <w:tcMar>
              <w:top w:w="40" w:type="dxa"/>
              <w:left w:w="0" w:type="dxa"/>
              <w:bottom w:w="40" w:type="dxa"/>
              <w:right w:w="20" w:type="dxa"/>
            </w:tcMar>
            <w:vAlign w:val="bottom"/>
          </w:tcPr>
          <w:p w14:paraId="67536A4B" w14:textId="77777777" w:rsidR="001B77DD" w:rsidRDefault="001B77DD">
            <w:pPr>
              <w:jc w:val="right"/>
              <w:rPr>
                <w:rFonts w:ascii="宋体"/>
              </w:rPr>
            </w:pPr>
          </w:p>
        </w:tc>
      </w:tr>
      <w:tr w:rsidR="001B77DD" w14:paraId="67536A54" w14:textId="77777777">
        <w:tc>
          <w:tcPr>
            <w:tcW w:w="0" w:type="auto"/>
            <w:gridSpan w:val="3"/>
            <w:shd w:val="clear" w:color="auto" w:fill="auto"/>
            <w:tcMar>
              <w:top w:w="40" w:type="dxa"/>
              <w:left w:w="155" w:type="dxa"/>
              <w:bottom w:w="40" w:type="dxa"/>
              <w:right w:w="20" w:type="dxa"/>
            </w:tcMar>
            <w:vAlign w:val="bottom"/>
          </w:tcPr>
          <w:p w14:paraId="67536A4D" w14:textId="77777777" w:rsidR="001B77DD" w:rsidRDefault="00BF0A28">
            <w:pPr>
              <w:textAlignment w:val="bottom"/>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67536A4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4F" w14:textId="77777777" w:rsidR="001B77DD" w:rsidRDefault="00BF0A28">
            <w:pPr>
              <w:jc w:val="right"/>
              <w:textAlignment w:val="bottom"/>
            </w:pPr>
            <w:r>
              <w:rPr>
                <w:rFonts w:ascii="Arial" w:eastAsia="宋体" w:hAnsi="Arial" w:cs="Arial"/>
                <w:color w:val="0068B5"/>
                <w:sz w:val="18"/>
                <w:szCs w:val="18"/>
              </w:rPr>
              <w:t>(241)</w:t>
            </w:r>
          </w:p>
        </w:tc>
        <w:tc>
          <w:tcPr>
            <w:tcW w:w="0" w:type="auto"/>
            <w:shd w:val="clear" w:color="auto" w:fill="auto"/>
            <w:tcMar>
              <w:top w:w="40" w:type="dxa"/>
              <w:left w:w="0" w:type="dxa"/>
              <w:bottom w:w="40" w:type="dxa"/>
              <w:right w:w="20" w:type="dxa"/>
            </w:tcMar>
            <w:vAlign w:val="bottom"/>
          </w:tcPr>
          <w:p w14:paraId="67536A5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5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52" w14:textId="77777777" w:rsidR="001B77DD" w:rsidRDefault="00BF0A28">
            <w:pPr>
              <w:jc w:val="right"/>
              <w:textAlignment w:val="bottom"/>
            </w:pPr>
            <w:r>
              <w:rPr>
                <w:rFonts w:ascii="Arial" w:eastAsia="宋体" w:hAnsi="Arial" w:cs="Arial"/>
                <w:color w:val="262626"/>
                <w:sz w:val="18"/>
                <w:szCs w:val="18"/>
              </w:rPr>
              <w:t>(146)</w:t>
            </w:r>
          </w:p>
        </w:tc>
        <w:tc>
          <w:tcPr>
            <w:tcW w:w="0" w:type="auto"/>
            <w:shd w:val="clear" w:color="auto" w:fill="auto"/>
            <w:tcMar>
              <w:top w:w="40" w:type="dxa"/>
              <w:left w:w="0" w:type="dxa"/>
              <w:bottom w:w="40" w:type="dxa"/>
              <w:right w:w="20" w:type="dxa"/>
            </w:tcMar>
            <w:vAlign w:val="bottom"/>
          </w:tcPr>
          <w:p w14:paraId="67536A53" w14:textId="77777777" w:rsidR="001B77DD" w:rsidRDefault="001B77DD">
            <w:pPr>
              <w:jc w:val="right"/>
              <w:rPr>
                <w:rFonts w:ascii="宋体"/>
              </w:rPr>
            </w:pPr>
          </w:p>
        </w:tc>
      </w:tr>
      <w:tr w:rsidR="001B77DD" w14:paraId="67536A5C" w14:textId="77777777">
        <w:tc>
          <w:tcPr>
            <w:tcW w:w="0" w:type="auto"/>
            <w:gridSpan w:val="3"/>
            <w:shd w:val="clear" w:color="auto" w:fill="auto"/>
            <w:tcMar>
              <w:top w:w="40" w:type="dxa"/>
              <w:left w:w="20" w:type="dxa"/>
              <w:bottom w:w="40" w:type="dxa"/>
              <w:right w:w="20" w:type="dxa"/>
            </w:tcMar>
            <w:vAlign w:val="bottom"/>
          </w:tcPr>
          <w:p w14:paraId="67536A55" w14:textId="77777777" w:rsidR="001B77DD" w:rsidRDefault="00BF0A28">
            <w:pPr>
              <w:textAlignment w:val="bottom"/>
            </w:pPr>
            <w:r>
              <w:rPr>
                <w:rFonts w:ascii="Arial" w:eastAsia="宋体" w:hAnsi="Arial" w:cs="Arial"/>
                <w:b/>
                <w:bCs/>
                <w:color w:val="262626"/>
                <w:sz w:val="18"/>
                <w:szCs w:val="18"/>
              </w:rPr>
              <w:t>Total deferred tax liabilities</w:t>
            </w:r>
          </w:p>
        </w:tc>
        <w:tc>
          <w:tcPr>
            <w:tcW w:w="0" w:type="auto"/>
            <w:gridSpan w:val="3"/>
            <w:shd w:val="clear" w:color="auto" w:fill="auto"/>
            <w:tcMar>
              <w:top w:w="0" w:type="dxa"/>
              <w:left w:w="20" w:type="dxa"/>
              <w:bottom w:w="0" w:type="dxa"/>
              <w:right w:w="20" w:type="dxa"/>
            </w:tcMar>
            <w:vAlign w:val="bottom"/>
          </w:tcPr>
          <w:p w14:paraId="67536A56"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6A57" w14:textId="77777777" w:rsidR="001B77DD" w:rsidRDefault="00BF0A28">
            <w:pPr>
              <w:jc w:val="right"/>
              <w:textAlignment w:val="bottom"/>
            </w:pPr>
            <w:r>
              <w:rPr>
                <w:rFonts w:ascii="Arial" w:eastAsia="宋体" w:hAnsi="Arial" w:cs="Arial"/>
                <w:b/>
                <w:bCs/>
                <w:color w:val="0068B5"/>
                <w:sz w:val="18"/>
                <w:szCs w:val="18"/>
              </w:rPr>
              <w:t>(5,759)</w:t>
            </w:r>
          </w:p>
        </w:tc>
        <w:tc>
          <w:tcPr>
            <w:tcW w:w="0" w:type="auto"/>
            <w:tcBorders>
              <w:top w:val="single" w:sz="4" w:space="0" w:color="333333"/>
            </w:tcBorders>
            <w:shd w:val="clear" w:color="auto" w:fill="auto"/>
            <w:tcMar>
              <w:top w:w="40" w:type="dxa"/>
              <w:left w:w="0" w:type="dxa"/>
              <w:bottom w:w="40" w:type="dxa"/>
              <w:right w:w="20" w:type="dxa"/>
            </w:tcMar>
            <w:vAlign w:val="bottom"/>
          </w:tcPr>
          <w:p w14:paraId="67536A5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59"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6A5A" w14:textId="77777777" w:rsidR="001B77DD" w:rsidRDefault="00BF0A28">
            <w:pPr>
              <w:jc w:val="right"/>
              <w:textAlignment w:val="bottom"/>
            </w:pPr>
            <w:r>
              <w:rPr>
                <w:rFonts w:ascii="Arial" w:eastAsia="宋体" w:hAnsi="Arial" w:cs="Arial"/>
                <w:b/>
                <w:bCs/>
                <w:color w:val="262626"/>
                <w:sz w:val="18"/>
                <w:szCs w:val="18"/>
              </w:rPr>
              <w:t>(5,118)</w:t>
            </w:r>
          </w:p>
        </w:tc>
        <w:tc>
          <w:tcPr>
            <w:tcW w:w="0" w:type="auto"/>
            <w:tcBorders>
              <w:top w:val="single" w:sz="4" w:space="0" w:color="333333"/>
            </w:tcBorders>
            <w:shd w:val="clear" w:color="auto" w:fill="auto"/>
            <w:tcMar>
              <w:top w:w="40" w:type="dxa"/>
              <w:left w:w="0" w:type="dxa"/>
              <w:bottom w:w="40" w:type="dxa"/>
              <w:right w:w="20" w:type="dxa"/>
            </w:tcMar>
            <w:vAlign w:val="bottom"/>
          </w:tcPr>
          <w:p w14:paraId="67536A5B" w14:textId="77777777" w:rsidR="001B77DD" w:rsidRDefault="001B77DD">
            <w:pPr>
              <w:jc w:val="right"/>
              <w:rPr>
                <w:rFonts w:ascii="宋体"/>
              </w:rPr>
            </w:pPr>
          </w:p>
        </w:tc>
      </w:tr>
      <w:tr w:rsidR="001B77DD" w14:paraId="67536A66" w14:textId="77777777">
        <w:tc>
          <w:tcPr>
            <w:tcW w:w="0" w:type="auto"/>
            <w:gridSpan w:val="3"/>
            <w:shd w:val="clear" w:color="auto" w:fill="auto"/>
            <w:tcMar>
              <w:top w:w="40" w:type="dxa"/>
              <w:left w:w="20" w:type="dxa"/>
              <w:bottom w:w="40" w:type="dxa"/>
              <w:right w:w="20" w:type="dxa"/>
            </w:tcMar>
            <w:vAlign w:val="bottom"/>
          </w:tcPr>
          <w:p w14:paraId="67536A5D" w14:textId="77777777" w:rsidR="001B77DD" w:rsidRDefault="00BF0A28">
            <w:pPr>
              <w:textAlignment w:val="bottom"/>
            </w:pPr>
            <w:r>
              <w:rPr>
                <w:rFonts w:ascii="Arial" w:eastAsia="宋体" w:hAnsi="Arial" w:cs="Arial"/>
                <w:b/>
                <w:bCs/>
                <w:color w:val="262626"/>
                <w:sz w:val="18"/>
                <w:szCs w:val="18"/>
              </w:rPr>
              <w:t>Net deferred tax assets (liabilities)</w:t>
            </w:r>
          </w:p>
        </w:tc>
        <w:tc>
          <w:tcPr>
            <w:tcW w:w="0" w:type="auto"/>
            <w:gridSpan w:val="3"/>
            <w:shd w:val="clear" w:color="auto" w:fill="auto"/>
            <w:tcMar>
              <w:top w:w="0" w:type="dxa"/>
              <w:left w:w="20" w:type="dxa"/>
              <w:bottom w:w="0" w:type="dxa"/>
              <w:right w:w="20" w:type="dxa"/>
            </w:tcMar>
            <w:vAlign w:val="bottom"/>
          </w:tcPr>
          <w:p w14:paraId="67536A5E"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A5F"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A60" w14:textId="77777777" w:rsidR="001B77DD" w:rsidRDefault="00BF0A28">
            <w:pPr>
              <w:jc w:val="right"/>
              <w:textAlignment w:val="bottom"/>
            </w:pPr>
            <w:r>
              <w:rPr>
                <w:rFonts w:ascii="Arial" w:eastAsia="宋体" w:hAnsi="Arial" w:cs="Arial"/>
                <w:b/>
                <w:bCs/>
                <w:color w:val="0068B5"/>
                <w:sz w:val="18"/>
                <w:szCs w:val="18"/>
              </w:rPr>
              <w:t>(1,793)</w:t>
            </w:r>
          </w:p>
        </w:tc>
        <w:tc>
          <w:tcPr>
            <w:tcW w:w="0" w:type="auto"/>
            <w:tcBorders>
              <w:top w:val="single" w:sz="4" w:space="0" w:color="262626"/>
            </w:tcBorders>
            <w:shd w:val="clear" w:color="auto" w:fill="auto"/>
            <w:tcMar>
              <w:top w:w="40" w:type="dxa"/>
              <w:left w:w="0" w:type="dxa"/>
              <w:bottom w:w="40" w:type="dxa"/>
              <w:right w:w="20" w:type="dxa"/>
            </w:tcMar>
            <w:vAlign w:val="bottom"/>
          </w:tcPr>
          <w:p w14:paraId="67536A6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62"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6A6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6A64" w14:textId="77777777" w:rsidR="001B77DD" w:rsidRDefault="00BF0A28">
            <w:pPr>
              <w:jc w:val="right"/>
              <w:textAlignment w:val="bottom"/>
            </w:pPr>
            <w:r>
              <w:rPr>
                <w:rFonts w:ascii="Arial" w:eastAsia="宋体" w:hAnsi="Arial" w:cs="Arial"/>
                <w:b/>
                <w:bCs/>
                <w:color w:val="262626"/>
                <w:sz w:val="18"/>
                <w:szCs w:val="18"/>
              </w:rPr>
              <w:t>(2,611)</w:t>
            </w:r>
          </w:p>
        </w:tc>
        <w:tc>
          <w:tcPr>
            <w:tcW w:w="0" w:type="auto"/>
            <w:tcBorders>
              <w:top w:val="single" w:sz="4" w:space="0" w:color="262626"/>
            </w:tcBorders>
            <w:shd w:val="clear" w:color="auto" w:fill="auto"/>
            <w:tcMar>
              <w:top w:w="40" w:type="dxa"/>
              <w:left w:w="0" w:type="dxa"/>
              <w:bottom w:w="40" w:type="dxa"/>
              <w:right w:w="20" w:type="dxa"/>
            </w:tcMar>
            <w:vAlign w:val="bottom"/>
          </w:tcPr>
          <w:p w14:paraId="67536A65" w14:textId="77777777" w:rsidR="001B77DD" w:rsidRDefault="001B77DD">
            <w:pPr>
              <w:jc w:val="right"/>
              <w:rPr>
                <w:rFonts w:ascii="宋体"/>
              </w:rPr>
            </w:pPr>
          </w:p>
        </w:tc>
      </w:tr>
      <w:tr w:rsidR="001B77DD" w14:paraId="67536A6C" w14:textId="77777777">
        <w:trPr>
          <w:trHeight w:val="120"/>
        </w:trPr>
        <w:tc>
          <w:tcPr>
            <w:tcW w:w="0" w:type="auto"/>
            <w:gridSpan w:val="3"/>
            <w:shd w:val="clear" w:color="auto" w:fill="auto"/>
            <w:tcMar>
              <w:top w:w="0" w:type="dxa"/>
              <w:left w:w="20" w:type="dxa"/>
              <w:bottom w:w="0" w:type="dxa"/>
              <w:right w:w="20" w:type="dxa"/>
            </w:tcMar>
            <w:vAlign w:val="bottom"/>
          </w:tcPr>
          <w:p w14:paraId="67536A6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68"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6A6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6A"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6A6B" w14:textId="77777777" w:rsidR="001B77DD" w:rsidRDefault="001B77DD">
            <w:pPr>
              <w:rPr>
                <w:rFonts w:ascii="宋体"/>
              </w:rPr>
            </w:pPr>
          </w:p>
        </w:tc>
      </w:tr>
      <w:tr w:rsidR="001B77DD" w14:paraId="67536A72" w14:textId="77777777">
        <w:tc>
          <w:tcPr>
            <w:tcW w:w="0" w:type="auto"/>
            <w:gridSpan w:val="3"/>
            <w:shd w:val="clear" w:color="auto" w:fill="auto"/>
            <w:tcMar>
              <w:top w:w="40" w:type="dxa"/>
              <w:left w:w="20" w:type="dxa"/>
              <w:bottom w:w="40" w:type="dxa"/>
              <w:right w:w="20" w:type="dxa"/>
            </w:tcMar>
            <w:vAlign w:val="bottom"/>
          </w:tcPr>
          <w:p w14:paraId="67536A6D" w14:textId="77777777" w:rsidR="001B77DD" w:rsidRDefault="00BF0A28">
            <w:pPr>
              <w:textAlignment w:val="bottom"/>
            </w:pPr>
            <w:r>
              <w:rPr>
                <w:rFonts w:ascii="Arial" w:eastAsia="宋体" w:hAnsi="Arial" w:cs="Arial"/>
                <w:color w:val="262626"/>
                <w:sz w:val="18"/>
                <w:szCs w:val="18"/>
              </w:rPr>
              <w:t>Reported as:</w:t>
            </w:r>
          </w:p>
        </w:tc>
        <w:tc>
          <w:tcPr>
            <w:tcW w:w="0" w:type="auto"/>
            <w:gridSpan w:val="3"/>
            <w:shd w:val="clear" w:color="auto" w:fill="auto"/>
            <w:tcMar>
              <w:top w:w="0" w:type="dxa"/>
              <w:left w:w="20" w:type="dxa"/>
              <w:bottom w:w="0" w:type="dxa"/>
              <w:right w:w="20" w:type="dxa"/>
            </w:tcMar>
            <w:vAlign w:val="bottom"/>
          </w:tcPr>
          <w:p w14:paraId="67536A6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6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7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71" w14:textId="77777777" w:rsidR="001B77DD" w:rsidRDefault="001B77DD">
            <w:pPr>
              <w:rPr>
                <w:rFonts w:ascii="宋体"/>
              </w:rPr>
            </w:pPr>
          </w:p>
        </w:tc>
      </w:tr>
      <w:tr w:rsidR="001B77DD" w14:paraId="67536A7A" w14:textId="77777777">
        <w:tc>
          <w:tcPr>
            <w:tcW w:w="0" w:type="auto"/>
            <w:gridSpan w:val="3"/>
            <w:shd w:val="clear" w:color="auto" w:fill="auto"/>
            <w:tcMar>
              <w:top w:w="40" w:type="dxa"/>
              <w:left w:w="155" w:type="dxa"/>
              <w:bottom w:w="40" w:type="dxa"/>
              <w:right w:w="20" w:type="dxa"/>
            </w:tcMar>
            <w:vAlign w:val="bottom"/>
          </w:tcPr>
          <w:p w14:paraId="67536A73" w14:textId="77777777" w:rsidR="001B77DD" w:rsidRDefault="00BF0A28">
            <w:pPr>
              <w:textAlignment w:val="bottom"/>
            </w:pPr>
            <w:r>
              <w:rPr>
                <w:rFonts w:ascii="Arial" w:eastAsia="宋体" w:hAnsi="Arial" w:cs="Arial"/>
                <w:color w:val="262626"/>
                <w:sz w:val="18"/>
                <w:szCs w:val="18"/>
              </w:rPr>
              <w:t>Deferred tax assets</w:t>
            </w:r>
          </w:p>
        </w:tc>
        <w:tc>
          <w:tcPr>
            <w:tcW w:w="0" w:type="auto"/>
            <w:gridSpan w:val="3"/>
            <w:shd w:val="clear" w:color="auto" w:fill="auto"/>
            <w:tcMar>
              <w:top w:w="0" w:type="dxa"/>
              <w:left w:w="20" w:type="dxa"/>
              <w:bottom w:w="0" w:type="dxa"/>
              <w:right w:w="20" w:type="dxa"/>
            </w:tcMar>
            <w:vAlign w:val="bottom"/>
          </w:tcPr>
          <w:p w14:paraId="67536A7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75" w14:textId="77777777" w:rsidR="001B77DD" w:rsidRDefault="00BF0A28">
            <w:pPr>
              <w:jc w:val="right"/>
              <w:textAlignment w:val="bottom"/>
            </w:pPr>
            <w:r>
              <w:rPr>
                <w:rFonts w:ascii="Arial" w:eastAsia="宋体" w:hAnsi="Arial" w:cs="Arial"/>
                <w:color w:val="0068B5"/>
                <w:sz w:val="18"/>
                <w:szCs w:val="18"/>
              </w:rPr>
              <w:t>874 </w:t>
            </w:r>
          </w:p>
        </w:tc>
        <w:tc>
          <w:tcPr>
            <w:tcW w:w="0" w:type="auto"/>
            <w:shd w:val="clear" w:color="auto" w:fill="auto"/>
            <w:tcMar>
              <w:top w:w="40" w:type="dxa"/>
              <w:left w:w="0" w:type="dxa"/>
              <w:bottom w:w="40" w:type="dxa"/>
              <w:right w:w="20" w:type="dxa"/>
            </w:tcMar>
            <w:vAlign w:val="bottom"/>
          </w:tcPr>
          <w:p w14:paraId="67536A7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7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78" w14:textId="77777777" w:rsidR="001B77DD" w:rsidRDefault="00BF0A28">
            <w:pPr>
              <w:jc w:val="right"/>
              <w:textAlignment w:val="bottom"/>
            </w:pPr>
            <w:r>
              <w:rPr>
                <w:rFonts w:ascii="Arial" w:eastAsia="宋体" w:hAnsi="Arial" w:cs="Arial"/>
                <w:color w:val="262626"/>
                <w:sz w:val="18"/>
                <w:szCs w:val="18"/>
              </w:rPr>
              <w:t>1,232 </w:t>
            </w:r>
          </w:p>
        </w:tc>
        <w:tc>
          <w:tcPr>
            <w:tcW w:w="0" w:type="auto"/>
            <w:shd w:val="clear" w:color="auto" w:fill="auto"/>
            <w:tcMar>
              <w:top w:w="40" w:type="dxa"/>
              <w:left w:w="0" w:type="dxa"/>
              <w:bottom w:w="40" w:type="dxa"/>
              <w:right w:w="20" w:type="dxa"/>
            </w:tcMar>
            <w:vAlign w:val="bottom"/>
          </w:tcPr>
          <w:p w14:paraId="67536A79" w14:textId="77777777" w:rsidR="001B77DD" w:rsidRDefault="001B77DD">
            <w:pPr>
              <w:jc w:val="right"/>
              <w:rPr>
                <w:rFonts w:ascii="宋体"/>
              </w:rPr>
            </w:pPr>
          </w:p>
        </w:tc>
      </w:tr>
      <w:tr w:rsidR="001B77DD" w14:paraId="67536A82" w14:textId="77777777">
        <w:tc>
          <w:tcPr>
            <w:tcW w:w="0" w:type="auto"/>
            <w:gridSpan w:val="3"/>
            <w:shd w:val="clear" w:color="auto" w:fill="auto"/>
            <w:tcMar>
              <w:top w:w="40" w:type="dxa"/>
              <w:left w:w="155" w:type="dxa"/>
              <w:bottom w:w="40" w:type="dxa"/>
              <w:right w:w="20" w:type="dxa"/>
            </w:tcMar>
            <w:vAlign w:val="bottom"/>
          </w:tcPr>
          <w:p w14:paraId="67536A7B" w14:textId="77777777" w:rsidR="001B77DD" w:rsidRDefault="00BF0A28">
            <w:pPr>
              <w:textAlignment w:val="bottom"/>
            </w:pPr>
            <w:r>
              <w:rPr>
                <w:rFonts w:ascii="Arial" w:eastAsia="宋体" w:hAnsi="Arial" w:cs="Arial"/>
                <w:color w:val="262626"/>
                <w:sz w:val="18"/>
                <w:szCs w:val="18"/>
              </w:rPr>
              <w:t xml:space="preserve">Deferred tax </w:t>
            </w: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7536A7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7D" w14:textId="77777777" w:rsidR="001B77DD" w:rsidRDefault="00BF0A28">
            <w:pPr>
              <w:jc w:val="right"/>
              <w:textAlignment w:val="bottom"/>
            </w:pPr>
            <w:r>
              <w:rPr>
                <w:rFonts w:ascii="Arial" w:eastAsia="宋体" w:hAnsi="Arial" w:cs="Arial"/>
                <w:color w:val="0068B5"/>
                <w:sz w:val="18"/>
                <w:szCs w:val="18"/>
              </w:rPr>
              <w:t>(2,667)</w:t>
            </w:r>
          </w:p>
        </w:tc>
        <w:tc>
          <w:tcPr>
            <w:tcW w:w="0" w:type="auto"/>
            <w:shd w:val="clear" w:color="auto" w:fill="auto"/>
            <w:tcMar>
              <w:top w:w="40" w:type="dxa"/>
              <w:left w:w="0" w:type="dxa"/>
              <w:bottom w:w="40" w:type="dxa"/>
              <w:right w:w="20" w:type="dxa"/>
            </w:tcMar>
            <w:vAlign w:val="bottom"/>
          </w:tcPr>
          <w:p w14:paraId="67536A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7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A80" w14:textId="77777777" w:rsidR="001B77DD" w:rsidRDefault="00BF0A28">
            <w:pPr>
              <w:jc w:val="right"/>
              <w:textAlignment w:val="bottom"/>
            </w:pPr>
            <w:r>
              <w:rPr>
                <w:rFonts w:ascii="Arial" w:eastAsia="宋体" w:hAnsi="Arial" w:cs="Arial"/>
                <w:color w:val="262626"/>
                <w:sz w:val="18"/>
                <w:szCs w:val="18"/>
              </w:rPr>
              <w:t>(3,843)</w:t>
            </w:r>
          </w:p>
        </w:tc>
        <w:tc>
          <w:tcPr>
            <w:tcW w:w="0" w:type="auto"/>
            <w:shd w:val="clear" w:color="auto" w:fill="auto"/>
            <w:tcMar>
              <w:top w:w="40" w:type="dxa"/>
              <w:left w:w="0" w:type="dxa"/>
              <w:bottom w:w="40" w:type="dxa"/>
              <w:right w:w="20" w:type="dxa"/>
            </w:tcMar>
            <w:vAlign w:val="bottom"/>
          </w:tcPr>
          <w:p w14:paraId="67536A81" w14:textId="77777777" w:rsidR="001B77DD" w:rsidRDefault="001B77DD">
            <w:pPr>
              <w:jc w:val="right"/>
              <w:rPr>
                <w:rFonts w:ascii="宋体"/>
              </w:rPr>
            </w:pPr>
          </w:p>
        </w:tc>
      </w:tr>
      <w:tr w:rsidR="001B77DD" w14:paraId="67536A8C" w14:textId="77777777">
        <w:tc>
          <w:tcPr>
            <w:tcW w:w="0" w:type="auto"/>
            <w:gridSpan w:val="3"/>
            <w:shd w:val="clear" w:color="auto" w:fill="auto"/>
            <w:tcMar>
              <w:top w:w="40" w:type="dxa"/>
              <w:left w:w="20" w:type="dxa"/>
              <w:bottom w:w="40" w:type="dxa"/>
              <w:right w:w="20" w:type="dxa"/>
            </w:tcMar>
            <w:vAlign w:val="bottom"/>
          </w:tcPr>
          <w:p w14:paraId="67536A83" w14:textId="77777777" w:rsidR="001B77DD" w:rsidRDefault="00BF0A28">
            <w:pPr>
              <w:textAlignment w:val="bottom"/>
            </w:pPr>
            <w:r>
              <w:rPr>
                <w:rFonts w:ascii="Arial" w:eastAsia="宋体" w:hAnsi="Arial" w:cs="Arial"/>
                <w:b/>
                <w:bCs/>
                <w:color w:val="262626"/>
                <w:sz w:val="18"/>
                <w:szCs w:val="18"/>
              </w:rPr>
              <w:t>Net deferred tax assets (liabilities)</w:t>
            </w:r>
          </w:p>
        </w:tc>
        <w:tc>
          <w:tcPr>
            <w:tcW w:w="0" w:type="auto"/>
            <w:gridSpan w:val="3"/>
            <w:shd w:val="clear" w:color="auto" w:fill="auto"/>
            <w:tcMar>
              <w:top w:w="0" w:type="dxa"/>
              <w:left w:w="20" w:type="dxa"/>
              <w:bottom w:w="0" w:type="dxa"/>
              <w:right w:w="20" w:type="dxa"/>
            </w:tcMar>
            <w:vAlign w:val="bottom"/>
          </w:tcPr>
          <w:p w14:paraId="67536A8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A85"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A86" w14:textId="77777777" w:rsidR="001B77DD" w:rsidRDefault="00BF0A28">
            <w:pPr>
              <w:jc w:val="right"/>
              <w:textAlignment w:val="bottom"/>
            </w:pPr>
            <w:r>
              <w:rPr>
                <w:rFonts w:ascii="Arial" w:eastAsia="宋体" w:hAnsi="Arial" w:cs="Arial"/>
                <w:b/>
                <w:bCs/>
                <w:color w:val="0068B5"/>
                <w:sz w:val="18"/>
                <w:szCs w:val="18"/>
              </w:rPr>
              <w:t>(1,793)</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A8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8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A89"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A8A" w14:textId="77777777" w:rsidR="001B77DD" w:rsidRDefault="00BF0A28">
            <w:pPr>
              <w:jc w:val="right"/>
              <w:textAlignment w:val="bottom"/>
            </w:pPr>
            <w:r>
              <w:rPr>
                <w:rFonts w:ascii="Arial" w:eastAsia="宋体" w:hAnsi="Arial" w:cs="Arial"/>
                <w:b/>
                <w:bCs/>
                <w:color w:val="262626"/>
                <w:sz w:val="18"/>
                <w:szCs w:val="18"/>
              </w:rPr>
              <w:t>(2,611)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A8B" w14:textId="77777777" w:rsidR="001B77DD" w:rsidRDefault="001B77DD">
            <w:pPr>
              <w:jc w:val="right"/>
              <w:rPr>
                <w:rFonts w:ascii="宋体"/>
              </w:rPr>
            </w:pPr>
          </w:p>
        </w:tc>
      </w:tr>
    </w:tbl>
    <w:p w14:paraId="67536A8D" w14:textId="77777777" w:rsidR="001B77DD" w:rsidRDefault="00BF0A28">
      <w:pPr>
        <w:spacing w:before="60"/>
      </w:pPr>
      <w:r>
        <w:rPr>
          <w:rFonts w:ascii="Arial" w:eastAsia="宋体" w:hAnsi="Arial" w:cs="Arial"/>
          <w:color w:val="262626"/>
          <w:sz w:val="18"/>
          <w:szCs w:val="18"/>
        </w:rPr>
        <w:t>Change in valuation allowance for deferred tax assets were as 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3537"/>
        <w:gridCol w:w="37"/>
        <w:gridCol w:w="36"/>
        <w:gridCol w:w="36"/>
        <w:gridCol w:w="36"/>
        <w:gridCol w:w="122"/>
        <w:gridCol w:w="842"/>
        <w:gridCol w:w="36"/>
        <w:gridCol w:w="36"/>
        <w:gridCol w:w="36"/>
        <w:gridCol w:w="36"/>
        <w:gridCol w:w="122"/>
        <w:gridCol w:w="1055"/>
        <w:gridCol w:w="36"/>
        <w:gridCol w:w="36"/>
        <w:gridCol w:w="36"/>
        <w:gridCol w:w="36"/>
        <w:gridCol w:w="122"/>
        <w:gridCol w:w="1045"/>
        <w:gridCol w:w="36"/>
        <w:gridCol w:w="36"/>
        <w:gridCol w:w="36"/>
        <w:gridCol w:w="36"/>
        <w:gridCol w:w="122"/>
        <w:gridCol w:w="706"/>
        <w:gridCol w:w="36"/>
      </w:tblGrid>
      <w:tr w:rsidR="001B77DD" w14:paraId="67536AA9" w14:textId="77777777">
        <w:tc>
          <w:tcPr>
            <w:tcW w:w="50" w:type="pct"/>
            <w:shd w:val="clear" w:color="auto" w:fill="auto"/>
            <w:vAlign w:val="bottom"/>
          </w:tcPr>
          <w:p w14:paraId="67536A8E" w14:textId="77777777" w:rsidR="001B77DD" w:rsidRDefault="001B77DD">
            <w:pPr>
              <w:rPr>
                <w:rFonts w:ascii="宋体"/>
              </w:rPr>
            </w:pPr>
          </w:p>
        </w:tc>
        <w:tc>
          <w:tcPr>
            <w:tcW w:w="2188" w:type="pct"/>
            <w:shd w:val="clear" w:color="auto" w:fill="auto"/>
            <w:vAlign w:val="bottom"/>
          </w:tcPr>
          <w:p w14:paraId="67536A8F" w14:textId="77777777" w:rsidR="001B77DD" w:rsidRDefault="001B77DD">
            <w:pPr>
              <w:rPr>
                <w:rFonts w:ascii="宋体"/>
              </w:rPr>
            </w:pPr>
          </w:p>
        </w:tc>
        <w:tc>
          <w:tcPr>
            <w:tcW w:w="5" w:type="pct"/>
            <w:shd w:val="clear" w:color="auto" w:fill="auto"/>
            <w:vAlign w:val="bottom"/>
          </w:tcPr>
          <w:p w14:paraId="67536A90" w14:textId="77777777" w:rsidR="001B77DD" w:rsidRDefault="001B77DD">
            <w:pPr>
              <w:rPr>
                <w:rFonts w:ascii="宋体"/>
              </w:rPr>
            </w:pPr>
          </w:p>
        </w:tc>
        <w:tc>
          <w:tcPr>
            <w:tcW w:w="5" w:type="pct"/>
            <w:shd w:val="clear" w:color="auto" w:fill="auto"/>
            <w:vAlign w:val="bottom"/>
          </w:tcPr>
          <w:p w14:paraId="67536A91" w14:textId="77777777" w:rsidR="001B77DD" w:rsidRDefault="001B77DD">
            <w:pPr>
              <w:rPr>
                <w:rFonts w:ascii="宋体"/>
              </w:rPr>
            </w:pPr>
          </w:p>
        </w:tc>
        <w:tc>
          <w:tcPr>
            <w:tcW w:w="24" w:type="pct"/>
            <w:shd w:val="clear" w:color="auto" w:fill="auto"/>
            <w:vAlign w:val="bottom"/>
          </w:tcPr>
          <w:p w14:paraId="67536A92" w14:textId="77777777" w:rsidR="001B77DD" w:rsidRDefault="001B77DD">
            <w:pPr>
              <w:rPr>
                <w:rFonts w:ascii="宋体"/>
              </w:rPr>
            </w:pPr>
          </w:p>
        </w:tc>
        <w:tc>
          <w:tcPr>
            <w:tcW w:w="5" w:type="pct"/>
            <w:shd w:val="clear" w:color="auto" w:fill="auto"/>
            <w:vAlign w:val="bottom"/>
          </w:tcPr>
          <w:p w14:paraId="67536A93" w14:textId="77777777" w:rsidR="001B77DD" w:rsidRDefault="001B77DD">
            <w:pPr>
              <w:rPr>
                <w:rFonts w:ascii="宋体"/>
              </w:rPr>
            </w:pPr>
          </w:p>
        </w:tc>
        <w:tc>
          <w:tcPr>
            <w:tcW w:w="50" w:type="pct"/>
            <w:shd w:val="clear" w:color="auto" w:fill="auto"/>
            <w:vAlign w:val="bottom"/>
          </w:tcPr>
          <w:p w14:paraId="67536A94" w14:textId="77777777" w:rsidR="001B77DD" w:rsidRDefault="001B77DD">
            <w:pPr>
              <w:rPr>
                <w:rFonts w:ascii="宋体"/>
              </w:rPr>
            </w:pPr>
          </w:p>
        </w:tc>
        <w:tc>
          <w:tcPr>
            <w:tcW w:w="594" w:type="pct"/>
            <w:shd w:val="clear" w:color="auto" w:fill="auto"/>
            <w:vAlign w:val="bottom"/>
          </w:tcPr>
          <w:p w14:paraId="67536A95" w14:textId="77777777" w:rsidR="001B77DD" w:rsidRDefault="001B77DD">
            <w:pPr>
              <w:rPr>
                <w:rFonts w:ascii="宋体"/>
              </w:rPr>
            </w:pPr>
          </w:p>
        </w:tc>
        <w:tc>
          <w:tcPr>
            <w:tcW w:w="5" w:type="pct"/>
            <w:shd w:val="clear" w:color="auto" w:fill="auto"/>
            <w:vAlign w:val="bottom"/>
          </w:tcPr>
          <w:p w14:paraId="67536A96" w14:textId="77777777" w:rsidR="001B77DD" w:rsidRDefault="001B77DD">
            <w:pPr>
              <w:rPr>
                <w:rFonts w:ascii="宋体"/>
              </w:rPr>
            </w:pPr>
          </w:p>
        </w:tc>
        <w:tc>
          <w:tcPr>
            <w:tcW w:w="5" w:type="pct"/>
            <w:shd w:val="clear" w:color="auto" w:fill="auto"/>
            <w:vAlign w:val="bottom"/>
          </w:tcPr>
          <w:p w14:paraId="67536A97" w14:textId="77777777" w:rsidR="001B77DD" w:rsidRDefault="001B77DD">
            <w:pPr>
              <w:rPr>
                <w:rFonts w:ascii="宋体"/>
              </w:rPr>
            </w:pPr>
          </w:p>
        </w:tc>
        <w:tc>
          <w:tcPr>
            <w:tcW w:w="24" w:type="pct"/>
            <w:shd w:val="clear" w:color="auto" w:fill="auto"/>
            <w:vAlign w:val="bottom"/>
          </w:tcPr>
          <w:p w14:paraId="67536A98" w14:textId="77777777" w:rsidR="001B77DD" w:rsidRDefault="001B77DD">
            <w:pPr>
              <w:rPr>
                <w:rFonts w:ascii="宋体"/>
              </w:rPr>
            </w:pPr>
          </w:p>
        </w:tc>
        <w:tc>
          <w:tcPr>
            <w:tcW w:w="5" w:type="pct"/>
            <w:shd w:val="clear" w:color="auto" w:fill="auto"/>
            <w:vAlign w:val="bottom"/>
          </w:tcPr>
          <w:p w14:paraId="67536A99" w14:textId="77777777" w:rsidR="001B77DD" w:rsidRDefault="001B77DD">
            <w:pPr>
              <w:rPr>
                <w:rFonts w:ascii="宋体"/>
              </w:rPr>
            </w:pPr>
          </w:p>
        </w:tc>
        <w:tc>
          <w:tcPr>
            <w:tcW w:w="50" w:type="pct"/>
            <w:shd w:val="clear" w:color="auto" w:fill="auto"/>
            <w:vAlign w:val="bottom"/>
          </w:tcPr>
          <w:p w14:paraId="67536A9A" w14:textId="77777777" w:rsidR="001B77DD" w:rsidRDefault="001B77DD">
            <w:pPr>
              <w:rPr>
                <w:rFonts w:ascii="宋体"/>
              </w:rPr>
            </w:pPr>
          </w:p>
        </w:tc>
        <w:tc>
          <w:tcPr>
            <w:tcW w:w="601" w:type="pct"/>
            <w:shd w:val="clear" w:color="auto" w:fill="auto"/>
            <w:vAlign w:val="bottom"/>
          </w:tcPr>
          <w:p w14:paraId="67536A9B" w14:textId="77777777" w:rsidR="001B77DD" w:rsidRDefault="001B77DD">
            <w:pPr>
              <w:rPr>
                <w:rFonts w:ascii="宋体"/>
              </w:rPr>
            </w:pPr>
          </w:p>
        </w:tc>
        <w:tc>
          <w:tcPr>
            <w:tcW w:w="5" w:type="pct"/>
            <w:shd w:val="clear" w:color="auto" w:fill="auto"/>
            <w:vAlign w:val="bottom"/>
          </w:tcPr>
          <w:p w14:paraId="67536A9C" w14:textId="77777777" w:rsidR="001B77DD" w:rsidRDefault="001B77DD">
            <w:pPr>
              <w:rPr>
                <w:rFonts w:ascii="宋体"/>
              </w:rPr>
            </w:pPr>
          </w:p>
        </w:tc>
        <w:tc>
          <w:tcPr>
            <w:tcW w:w="5" w:type="pct"/>
            <w:shd w:val="clear" w:color="auto" w:fill="auto"/>
            <w:vAlign w:val="bottom"/>
          </w:tcPr>
          <w:p w14:paraId="67536A9D" w14:textId="77777777" w:rsidR="001B77DD" w:rsidRDefault="001B77DD">
            <w:pPr>
              <w:rPr>
                <w:rFonts w:ascii="宋体"/>
              </w:rPr>
            </w:pPr>
          </w:p>
        </w:tc>
        <w:tc>
          <w:tcPr>
            <w:tcW w:w="24" w:type="pct"/>
            <w:shd w:val="clear" w:color="auto" w:fill="auto"/>
            <w:vAlign w:val="bottom"/>
          </w:tcPr>
          <w:p w14:paraId="67536A9E" w14:textId="77777777" w:rsidR="001B77DD" w:rsidRDefault="001B77DD">
            <w:pPr>
              <w:rPr>
                <w:rFonts w:ascii="宋体"/>
              </w:rPr>
            </w:pPr>
          </w:p>
        </w:tc>
        <w:tc>
          <w:tcPr>
            <w:tcW w:w="5" w:type="pct"/>
            <w:shd w:val="clear" w:color="auto" w:fill="auto"/>
            <w:vAlign w:val="bottom"/>
          </w:tcPr>
          <w:p w14:paraId="67536A9F" w14:textId="77777777" w:rsidR="001B77DD" w:rsidRDefault="001B77DD">
            <w:pPr>
              <w:rPr>
                <w:rFonts w:ascii="宋体"/>
              </w:rPr>
            </w:pPr>
          </w:p>
        </w:tc>
        <w:tc>
          <w:tcPr>
            <w:tcW w:w="50" w:type="pct"/>
            <w:shd w:val="clear" w:color="auto" w:fill="auto"/>
            <w:vAlign w:val="bottom"/>
          </w:tcPr>
          <w:p w14:paraId="67536AA0" w14:textId="77777777" w:rsidR="001B77DD" w:rsidRDefault="001B77DD">
            <w:pPr>
              <w:rPr>
                <w:rFonts w:ascii="宋体"/>
              </w:rPr>
            </w:pPr>
          </w:p>
        </w:tc>
        <w:tc>
          <w:tcPr>
            <w:tcW w:w="601" w:type="pct"/>
            <w:shd w:val="clear" w:color="auto" w:fill="auto"/>
            <w:vAlign w:val="bottom"/>
          </w:tcPr>
          <w:p w14:paraId="67536AA1" w14:textId="77777777" w:rsidR="001B77DD" w:rsidRDefault="001B77DD">
            <w:pPr>
              <w:rPr>
                <w:rFonts w:ascii="宋体"/>
              </w:rPr>
            </w:pPr>
          </w:p>
        </w:tc>
        <w:tc>
          <w:tcPr>
            <w:tcW w:w="5" w:type="pct"/>
            <w:shd w:val="clear" w:color="auto" w:fill="auto"/>
            <w:vAlign w:val="bottom"/>
          </w:tcPr>
          <w:p w14:paraId="67536AA2" w14:textId="77777777" w:rsidR="001B77DD" w:rsidRDefault="001B77DD">
            <w:pPr>
              <w:rPr>
                <w:rFonts w:ascii="宋体"/>
              </w:rPr>
            </w:pPr>
          </w:p>
        </w:tc>
        <w:tc>
          <w:tcPr>
            <w:tcW w:w="5" w:type="pct"/>
            <w:shd w:val="clear" w:color="auto" w:fill="auto"/>
            <w:vAlign w:val="bottom"/>
          </w:tcPr>
          <w:p w14:paraId="67536AA3" w14:textId="77777777" w:rsidR="001B77DD" w:rsidRDefault="001B77DD">
            <w:pPr>
              <w:rPr>
                <w:rFonts w:ascii="宋体"/>
              </w:rPr>
            </w:pPr>
          </w:p>
        </w:tc>
        <w:tc>
          <w:tcPr>
            <w:tcW w:w="24" w:type="pct"/>
            <w:shd w:val="clear" w:color="auto" w:fill="auto"/>
            <w:vAlign w:val="bottom"/>
          </w:tcPr>
          <w:p w14:paraId="67536AA4" w14:textId="77777777" w:rsidR="001B77DD" w:rsidRDefault="001B77DD">
            <w:pPr>
              <w:rPr>
                <w:rFonts w:ascii="宋体"/>
              </w:rPr>
            </w:pPr>
          </w:p>
        </w:tc>
        <w:tc>
          <w:tcPr>
            <w:tcW w:w="5" w:type="pct"/>
            <w:shd w:val="clear" w:color="auto" w:fill="auto"/>
            <w:vAlign w:val="bottom"/>
          </w:tcPr>
          <w:p w14:paraId="67536AA5" w14:textId="77777777" w:rsidR="001B77DD" w:rsidRDefault="001B77DD">
            <w:pPr>
              <w:rPr>
                <w:rFonts w:ascii="宋体"/>
              </w:rPr>
            </w:pPr>
          </w:p>
        </w:tc>
        <w:tc>
          <w:tcPr>
            <w:tcW w:w="50" w:type="pct"/>
            <w:shd w:val="clear" w:color="auto" w:fill="auto"/>
            <w:vAlign w:val="bottom"/>
          </w:tcPr>
          <w:p w14:paraId="67536AA6" w14:textId="77777777" w:rsidR="001B77DD" w:rsidRDefault="001B77DD">
            <w:pPr>
              <w:rPr>
                <w:rFonts w:ascii="宋体"/>
              </w:rPr>
            </w:pPr>
          </w:p>
        </w:tc>
        <w:tc>
          <w:tcPr>
            <w:tcW w:w="601" w:type="pct"/>
            <w:shd w:val="clear" w:color="auto" w:fill="auto"/>
            <w:vAlign w:val="bottom"/>
          </w:tcPr>
          <w:p w14:paraId="67536AA7" w14:textId="77777777" w:rsidR="001B77DD" w:rsidRDefault="001B77DD">
            <w:pPr>
              <w:rPr>
                <w:rFonts w:ascii="宋体"/>
              </w:rPr>
            </w:pPr>
          </w:p>
        </w:tc>
        <w:tc>
          <w:tcPr>
            <w:tcW w:w="5" w:type="pct"/>
            <w:shd w:val="clear" w:color="auto" w:fill="auto"/>
            <w:vAlign w:val="bottom"/>
          </w:tcPr>
          <w:p w14:paraId="67536AA8" w14:textId="77777777" w:rsidR="001B77DD" w:rsidRDefault="001B77DD">
            <w:pPr>
              <w:rPr>
                <w:rFonts w:ascii="宋体"/>
              </w:rPr>
            </w:pPr>
          </w:p>
        </w:tc>
      </w:tr>
      <w:tr w:rsidR="001B77DD" w14:paraId="67536AB3" w14:textId="77777777">
        <w:tc>
          <w:tcPr>
            <w:tcW w:w="0" w:type="auto"/>
            <w:gridSpan w:val="3"/>
            <w:shd w:val="clear" w:color="auto" w:fill="auto"/>
            <w:tcMar>
              <w:top w:w="40" w:type="dxa"/>
              <w:left w:w="20" w:type="dxa"/>
              <w:bottom w:w="40" w:type="dxa"/>
              <w:right w:w="20" w:type="dxa"/>
            </w:tcMar>
            <w:vAlign w:val="bottom"/>
          </w:tcPr>
          <w:p w14:paraId="67536AAA"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6AA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AAC" w14:textId="77777777" w:rsidR="001B77DD" w:rsidRDefault="00BF0A28">
            <w:pPr>
              <w:jc w:val="center"/>
              <w:textAlignment w:val="bottom"/>
            </w:pPr>
            <w:r>
              <w:rPr>
                <w:rFonts w:ascii="Arial" w:eastAsia="宋体" w:hAnsi="Arial" w:cs="Arial"/>
                <w:b/>
                <w:bCs/>
                <w:color w:val="262626"/>
                <w:sz w:val="18"/>
                <w:szCs w:val="18"/>
              </w:rPr>
              <w:t>Balance at Beginning of Year</w:t>
            </w:r>
          </w:p>
        </w:tc>
        <w:tc>
          <w:tcPr>
            <w:tcW w:w="0" w:type="auto"/>
            <w:gridSpan w:val="3"/>
            <w:shd w:val="clear" w:color="auto" w:fill="auto"/>
            <w:tcMar>
              <w:top w:w="0" w:type="dxa"/>
              <w:left w:w="20" w:type="dxa"/>
              <w:bottom w:w="0" w:type="dxa"/>
              <w:right w:w="20" w:type="dxa"/>
            </w:tcMar>
            <w:vAlign w:val="bottom"/>
          </w:tcPr>
          <w:p w14:paraId="67536AA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AAE" w14:textId="77777777" w:rsidR="001B77DD" w:rsidRDefault="00BF0A28">
            <w:pPr>
              <w:jc w:val="center"/>
              <w:textAlignment w:val="bottom"/>
            </w:pPr>
            <w:r>
              <w:rPr>
                <w:rFonts w:ascii="Arial" w:eastAsia="宋体" w:hAnsi="Arial" w:cs="Arial"/>
                <w:b/>
                <w:bCs/>
                <w:color w:val="262626"/>
                <w:sz w:val="18"/>
                <w:szCs w:val="18"/>
              </w:rPr>
              <w:t>Additions Charged to Expenses/</w:t>
            </w:r>
            <w:r>
              <w:rPr>
                <w:rFonts w:ascii="Arial" w:eastAsia="宋体" w:hAnsi="Arial" w:cs="Arial"/>
                <w:b/>
                <w:bCs/>
                <w:color w:val="262626"/>
                <w:sz w:val="18"/>
                <w:szCs w:val="18"/>
              </w:rPr>
              <w:br/>
              <w:t>Other Accounts</w:t>
            </w:r>
          </w:p>
        </w:tc>
        <w:tc>
          <w:tcPr>
            <w:tcW w:w="0" w:type="auto"/>
            <w:gridSpan w:val="3"/>
            <w:shd w:val="clear" w:color="auto" w:fill="auto"/>
            <w:tcMar>
              <w:top w:w="0" w:type="dxa"/>
              <w:left w:w="20" w:type="dxa"/>
              <w:bottom w:w="0" w:type="dxa"/>
              <w:right w:w="20" w:type="dxa"/>
            </w:tcMar>
            <w:vAlign w:val="bottom"/>
          </w:tcPr>
          <w:p w14:paraId="67536AA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AB0" w14:textId="77777777" w:rsidR="001B77DD" w:rsidRDefault="00BF0A28">
            <w:pPr>
              <w:jc w:val="center"/>
              <w:textAlignment w:val="bottom"/>
            </w:pPr>
            <w:r>
              <w:rPr>
                <w:rFonts w:ascii="Arial" w:eastAsia="宋体" w:hAnsi="Arial" w:cs="Arial"/>
                <w:b/>
                <w:bCs/>
                <w:color w:val="262626"/>
                <w:sz w:val="18"/>
                <w:szCs w:val="18"/>
              </w:rPr>
              <w:t>Net</w:t>
            </w:r>
            <w:r>
              <w:rPr>
                <w:rFonts w:ascii="Arial" w:eastAsia="宋体" w:hAnsi="Arial" w:cs="Arial"/>
                <w:b/>
                <w:bCs/>
                <w:color w:val="262626"/>
                <w:sz w:val="18"/>
                <w:szCs w:val="18"/>
              </w:rPr>
              <w:br/>
              <w:t>(Deductions)</w:t>
            </w:r>
            <w:r>
              <w:rPr>
                <w:rFonts w:ascii="Arial" w:eastAsia="宋体" w:hAnsi="Arial" w:cs="Arial"/>
                <w:b/>
                <w:bCs/>
                <w:color w:val="262626"/>
                <w:sz w:val="18"/>
                <w:szCs w:val="18"/>
              </w:rPr>
              <w:br/>
              <w:t>Recoveries</w:t>
            </w:r>
          </w:p>
        </w:tc>
        <w:tc>
          <w:tcPr>
            <w:tcW w:w="0" w:type="auto"/>
            <w:gridSpan w:val="3"/>
            <w:shd w:val="clear" w:color="auto" w:fill="auto"/>
            <w:tcMar>
              <w:top w:w="0" w:type="dxa"/>
              <w:left w:w="20" w:type="dxa"/>
              <w:bottom w:w="0" w:type="dxa"/>
              <w:right w:w="20" w:type="dxa"/>
            </w:tcMar>
            <w:vAlign w:val="bottom"/>
          </w:tcPr>
          <w:p w14:paraId="67536AB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AB2" w14:textId="77777777" w:rsidR="001B77DD" w:rsidRDefault="00BF0A28">
            <w:pPr>
              <w:jc w:val="center"/>
              <w:textAlignment w:val="bottom"/>
            </w:pPr>
            <w:r>
              <w:rPr>
                <w:rFonts w:ascii="Arial" w:eastAsia="宋体" w:hAnsi="Arial" w:cs="Arial"/>
                <w:b/>
                <w:bCs/>
                <w:color w:val="262626"/>
                <w:sz w:val="18"/>
                <w:szCs w:val="18"/>
              </w:rPr>
              <w:t>Balance at</w:t>
            </w:r>
            <w:r>
              <w:rPr>
                <w:rFonts w:ascii="Arial" w:eastAsia="宋体" w:hAnsi="Arial" w:cs="Arial"/>
                <w:b/>
                <w:bCs/>
                <w:color w:val="262626"/>
                <w:sz w:val="18"/>
                <w:szCs w:val="18"/>
              </w:rPr>
              <w:br/>
              <w:t>End of Year</w:t>
            </w:r>
          </w:p>
        </w:tc>
      </w:tr>
      <w:tr w:rsidR="001B77DD" w14:paraId="67536ABD" w14:textId="77777777">
        <w:trPr>
          <w:hidden/>
        </w:trPr>
        <w:tc>
          <w:tcPr>
            <w:tcW w:w="0" w:type="auto"/>
            <w:gridSpan w:val="3"/>
            <w:shd w:val="clear" w:color="auto" w:fill="auto"/>
            <w:vAlign w:val="bottom"/>
          </w:tcPr>
          <w:p w14:paraId="67536AB4" w14:textId="77777777" w:rsidR="001B77DD" w:rsidRDefault="001B77DD">
            <w:pPr>
              <w:rPr>
                <w:rFonts w:ascii="宋体"/>
                <w:vanish/>
              </w:rPr>
            </w:pPr>
          </w:p>
        </w:tc>
        <w:tc>
          <w:tcPr>
            <w:tcW w:w="0" w:type="auto"/>
            <w:gridSpan w:val="3"/>
            <w:shd w:val="clear" w:color="auto" w:fill="auto"/>
            <w:vAlign w:val="bottom"/>
          </w:tcPr>
          <w:p w14:paraId="67536AB5" w14:textId="77777777" w:rsidR="001B77DD" w:rsidRDefault="001B77DD">
            <w:pPr>
              <w:rPr>
                <w:rFonts w:ascii="宋体"/>
                <w:vanish/>
              </w:rPr>
            </w:pPr>
          </w:p>
        </w:tc>
        <w:tc>
          <w:tcPr>
            <w:tcW w:w="0" w:type="auto"/>
            <w:gridSpan w:val="3"/>
            <w:shd w:val="clear" w:color="auto" w:fill="auto"/>
            <w:vAlign w:val="bottom"/>
          </w:tcPr>
          <w:p w14:paraId="67536AB6" w14:textId="77777777" w:rsidR="001B77DD" w:rsidRDefault="001B77DD">
            <w:pPr>
              <w:rPr>
                <w:rFonts w:ascii="宋体"/>
                <w:vanish/>
              </w:rPr>
            </w:pPr>
          </w:p>
        </w:tc>
        <w:tc>
          <w:tcPr>
            <w:tcW w:w="0" w:type="auto"/>
            <w:gridSpan w:val="3"/>
            <w:shd w:val="clear" w:color="auto" w:fill="auto"/>
            <w:vAlign w:val="bottom"/>
          </w:tcPr>
          <w:p w14:paraId="67536AB7" w14:textId="77777777" w:rsidR="001B77DD" w:rsidRDefault="001B77DD">
            <w:pPr>
              <w:rPr>
                <w:rFonts w:ascii="宋体"/>
                <w:vanish/>
              </w:rPr>
            </w:pPr>
          </w:p>
        </w:tc>
        <w:tc>
          <w:tcPr>
            <w:tcW w:w="0" w:type="auto"/>
            <w:gridSpan w:val="3"/>
            <w:shd w:val="clear" w:color="auto" w:fill="auto"/>
            <w:vAlign w:val="bottom"/>
          </w:tcPr>
          <w:p w14:paraId="67536AB8" w14:textId="77777777" w:rsidR="001B77DD" w:rsidRDefault="001B77DD">
            <w:pPr>
              <w:rPr>
                <w:rFonts w:ascii="宋体"/>
                <w:vanish/>
              </w:rPr>
            </w:pPr>
          </w:p>
        </w:tc>
        <w:tc>
          <w:tcPr>
            <w:tcW w:w="0" w:type="auto"/>
            <w:gridSpan w:val="3"/>
            <w:shd w:val="clear" w:color="auto" w:fill="auto"/>
            <w:vAlign w:val="bottom"/>
          </w:tcPr>
          <w:p w14:paraId="67536AB9" w14:textId="77777777" w:rsidR="001B77DD" w:rsidRDefault="001B77DD">
            <w:pPr>
              <w:rPr>
                <w:rFonts w:ascii="宋体"/>
                <w:vanish/>
              </w:rPr>
            </w:pPr>
          </w:p>
        </w:tc>
        <w:tc>
          <w:tcPr>
            <w:tcW w:w="0" w:type="auto"/>
            <w:gridSpan w:val="3"/>
            <w:shd w:val="clear" w:color="auto" w:fill="auto"/>
            <w:vAlign w:val="bottom"/>
          </w:tcPr>
          <w:p w14:paraId="67536ABA" w14:textId="77777777" w:rsidR="001B77DD" w:rsidRDefault="001B77DD">
            <w:pPr>
              <w:rPr>
                <w:rFonts w:ascii="宋体"/>
                <w:vanish/>
              </w:rPr>
            </w:pPr>
          </w:p>
        </w:tc>
        <w:tc>
          <w:tcPr>
            <w:tcW w:w="0" w:type="auto"/>
            <w:gridSpan w:val="3"/>
            <w:shd w:val="clear" w:color="auto" w:fill="auto"/>
            <w:vAlign w:val="bottom"/>
          </w:tcPr>
          <w:p w14:paraId="67536ABB" w14:textId="77777777" w:rsidR="001B77DD" w:rsidRDefault="001B77DD">
            <w:pPr>
              <w:rPr>
                <w:rFonts w:ascii="宋体"/>
                <w:vanish/>
              </w:rPr>
            </w:pPr>
          </w:p>
        </w:tc>
        <w:tc>
          <w:tcPr>
            <w:tcW w:w="0" w:type="auto"/>
            <w:gridSpan w:val="3"/>
            <w:shd w:val="clear" w:color="auto" w:fill="auto"/>
            <w:vAlign w:val="bottom"/>
          </w:tcPr>
          <w:p w14:paraId="67536ABC" w14:textId="77777777" w:rsidR="001B77DD" w:rsidRDefault="001B77DD">
            <w:pPr>
              <w:rPr>
                <w:rFonts w:ascii="宋体"/>
                <w:vanish/>
              </w:rPr>
            </w:pPr>
          </w:p>
        </w:tc>
      </w:tr>
      <w:tr w:rsidR="001B77DD" w14:paraId="67536AC7" w14:textId="77777777">
        <w:trPr>
          <w:hidden/>
        </w:trPr>
        <w:tc>
          <w:tcPr>
            <w:tcW w:w="0" w:type="auto"/>
            <w:gridSpan w:val="3"/>
            <w:shd w:val="clear" w:color="auto" w:fill="auto"/>
            <w:vAlign w:val="bottom"/>
          </w:tcPr>
          <w:p w14:paraId="67536ABE" w14:textId="77777777" w:rsidR="001B77DD" w:rsidRDefault="001B77DD">
            <w:pPr>
              <w:rPr>
                <w:rFonts w:ascii="宋体"/>
                <w:vanish/>
              </w:rPr>
            </w:pPr>
          </w:p>
        </w:tc>
        <w:tc>
          <w:tcPr>
            <w:tcW w:w="0" w:type="auto"/>
            <w:gridSpan w:val="3"/>
            <w:shd w:val="clear" w:color="auto" w:fill="auto"/>
            <w:vAlign w:val="bottom"/>
          </w:tcPr>
          <w:p w14:paraId="67536ABF" w14:textId="77777777" w:rsidR="001B77DD" w:rsidRDefault="001B77DD">
            <w:pPr>
              <w:rPr>
                <w:rFonts w:ascii="宋体"/>
                <w:vanish/>
              </w:rPr>
            </w:pPr>
          </w:p>
        </w:tc>
        <w:tc>
          <w:tcPr>
            <w:tcW w:w="0" w:type="auto"/>
            <w:gridSpan w:val="3"/>
            <w:shd w:val="clear" w:color="auto" w:fill="auto"/>
            <w:vAlign w:val="bottom"/>
          </w:tcPr>
          <w:p w14:paraId="67536AC0" w14:textId="77777777" w:rsidR="001B77DD" w:rsidRDefault="001B77DD">
            <w:pPr>
              <w:rPr>
                <w:rFonts w:ascii="宋体"/>
                <w:vanish/>
              </w:rPr>
            </w:pPr>
          </w:p>
        </w:tc>
        <w:tc>
          <w:tcPr>
            <w:tcW w:w="0" w:type="auto"/>
            <w:gridSpan w:val="3"/>
            <w:shd w:val="clear" w:color="auto" w:fill="auto"/>
            <w:vAlign w:val="bottom"/>
          </w:tcPr>
          <w:p w14:paraId="67536AC1" w14:textId="77777777" w:rsidR="001B77DD" w:rsidRDefault="001B77DD">
            <w:pPr>
              <w:rPr>
                <w:rFonts w:ascii="宋体"/>
                <w:vanish/>
              </w:rPr>
            </w:pPr>
          </w:p>
        </w:tc>
        <w:tc>
          <w:tcPr>
            <w:tcW w:w="0" w:type="auto"/>
            <w:gridSpan w:val="3"/>
            <w:shd w:val="clear" w:color="auto" w:fill="auto"/>
            <w:vAlign w:val="bottom"/>
          </w:tcPr>
          <w:p w14:paraId="67536AC2" w14:textId="77777777" w:rsidR="001B77DD" w:rsidRDefault="001B77DD">
            <w:pPr>
              <w:rPr>
                <w:rFonts w:ascii="宋体"/>
                <w:vanish/>
              </w:rPr>
            </w:pPr>
          </w:p>
        </w:tc>
        <w:tc>
          <w:tcPr>
            <w:tcW w:w="0" w:type="auto"/>
            <w:gridSpan w:val="3"/>
            <w:shd w:val="clear" w:color="auto" w:fill="auto"/>
            <w:vAlign w:val="bottom"/>
          </w:tcPr>
          <w:p w14:paraId="67536AC3" w14:textId="77777777" w:rsidR="001B77DD" w:rsidRDefault="001B77DD">
            <w:pPr>
              <w:rPr>
                <w:rFonts w:ascii="宋体"/>
                <w:vanish/>
              </w:rPr>
            </w:pPr>
          </w:p>
        </w:tc>
        <w:tc>
          <w:tcPr>
            <w:tcW w:w="0" w:type="auto"/>
            <w:gridSpan w:val="3"/>
            <w:shd w:val="clear" w:color="auto" w:fill="auto"/>
            <w:vAlign w:val="bottom"/>
          </w:tcPr>
          <w:p w14:paraId="67536AC4" w14:textId="77777777" w:rsidR="001B77DD" w:rsidRDefault="001B77DD">
            <w:pPr>
              <w:rPr>
                <w:rFonts w:ascii="宋体"/>
                <w:vanish/>
              </w:rPr>
            </w:pPr>
          </w:p>
        </w:tc>
        <w:tc>
          <w:tcPr>
            <w:tcW w:w="0" w:type="auto"/>
            <w:gridSpan w:val="3"/>
            <w:shd w:val="clear" w:color="auto" w:fill="auto"/>
            <w:vAlign w:val="bottom"/>
          </w:tcPr>
          <w:p w14:paraId="67536AC5" w14:textId="77777777" w:rsidR="001B77DD" w:rsidRDefault="001B77DD">
            <w:pPr>
              <w:rPr>
                <w:rFonts w:ascii="宋体"/>
                <w:vanish/>
              </w:rPr>
            </w:pPr>
          </w:p>
        </w:tc>
        <w:tc>
          <w:tcPr>
            <w:tcW w:w="0" w:type="auto"/>
            <w:gridSpan w:val="3"/>
            <w:shd w:val="clear" w:color="auto" w:fill="auto"/>
            <w:vAlign w:val="bottom"/>
          </w:tcPr>
          <w:p w14:paraId="67536AC6" w14:textId="77777777" w:rsidR="001B77DD" w:rsidRDefault="001B77DD">
            <w:pPr>
              <w:rPr>
                <w:rFonts w:ascii="宋体"/>
                <w:vanish/>
              </w:rPr>
            </w:pPr>
          </w:p>
        </w:tc>
      </w:tr>
      <w:tr w:rsidR="001B77DD" w14:paraId="67536AD1" w14:textId="77777777">
        <w:trPr>
          <w:hidden/>
        </w:trPr>
        <w:tc>
          <w:tcPr>
            <w:tcW w:w="0" w:type="auto"/>
            <w:gridSpan w:val="3"/>
            <w:shd w:val="clear" w:color="auto" w:fill="auto"/>
            <w:vAlign w:val="bottom"/>
          </w:tcPr>
          <w:p w14:paraId="67536AC8" w14:textId="77777777" w:rsidR="001B77DD" w:rsidRDefault="001B77DD">
            <w:pPr>
              <w:rPr>
                <w:rFonts w:ascii="宋体"/>
                <w:vanish/>
              </w:rPr>
            </w:pPr>
          </w:p>
        </w:tc>
        <w:tc>
          <w:tcPr>
            <w:tcW w:w="0" w:type="auto"/>
            <w:gridSpan w:val="3"/>
            <w:shd w:val="clear" w:color="auto" w:fill="auto"/>
            <w:vAlign w:val="bottom"/>
          </w:tcPr>
          <w:p w14:paraId="67536AC9" w14:textId="77777777" w:rsidR="001B77DD" w:rsidRDefault="001B77DD">
            <w:pPr>
              <w:rPr>
                <w:rFonts w:ascii="宋体"/>
                <w:vanish/>
              </w:rPr>
            </w:pPr>
          </w:p>
        </w:tc>
        <w:tc>
          <w:tcPr>
            <w:tcW w:w="0" w:type="auto"/>
            <w:gridSpan w:val="3"/>
            <w:shd w:val="clear" w:color="auto" w:fill="auto"/>
            <w:vAlign w:val="bottom"/>
          </w:tcPr>
          <w:p w14:paraId="67536ACA" w14:textId="77777777" w:rsidR="001B77DD" w:rsidRDefault="001B77DD">
            <w:pPr>
              <w:rPr>
                <w:rFonts w:ascii="宋体"/>
                <w:vanish/>
              </w:rPr>
            </w:pPr>
          </w:p>
        </w:tc>
        <w:tc>
          <w:tcPr>
            <w:tcW w:w="0" w:type="auto"/>
            <w:gridSpan w:val="3"/>
            <w:shd w:val="clear" w:color="auto" w:fill="auto"/>
            <w:vAlign w:val="bottom"/>
          </w:tcPr>
          <w:p w14:paraId="67536ACB" w14:textId="77777777" w:rsidR="001B77DD" w:rsidRDefault="001B77DD">
            <w:pPr>
              <w:rPr>
                <w:rFonts w:ascii="宋体"/>
                <w:vanish/>
              </w:rPr>
            </w:pPr>
          </w:p>
        </w:tc>
        <w:tc>
          <w:tcPr>
            <w:tcW w:w="0" w:type="auto"/>
            <w:gridSpan w:val="3"/>
            <w:shd w:val="clear" w:color="auto" w:fill="auto"/>
            <w:vAlign w:val="bottom"/>
          </w:tcPr>
          <w:p w14:paraId="67536ACC" w14:textId="77777777" w:rsidR="001B77DD" w:rsidRDefault="001B77DD">
            <w:pPr>
              <w:rPr>
                <w:rFonts w:ascii="宋体"/>
                <w:vanish/>
              </w:rPr>
            </w:pPr>
          </w:p>
        </w:tc>
        <w:tc>
          <w:tcPr>
            <w:tcW w:w="0" w:type="auto"/>
            <w:gridSpan w:val="3"/>
            <w:shd w:val="clear" w:color="auto" w:fill="auto"/>
            <w:vAlign w:val="bottom"/>
          </w:tcPr>
          <w:p w14:paraId="67536ACD" w14:textId="77777777" w:rsidR="001B77DD" w:rsidRDefault="001B77DD">
            <w:pPr>
              <w:rPr>
                <w:rFonts w:ascii="宋体"/>
                <w:vanish/>
              </w:rPr>
            </w:pPr>
          </w:p>
        </w:tc>
        <w:tc>
          <w:tcPr>
            <w:tcW w:w="0" w:type="auto"/>
            <w:gridSpan w:val="3"/>
            <w:shd w:val="clear" w:color="auto" w:fill="auto"/>
            <w:vAlign w:val="bottom"/>
          </w:tcPr>
          <w:p w14:paraId="67536ACE" w14:textId="77777777" w:rsidR="001B77DD" w:rsidRDefault="001B77DD">
            <w:pPr>
              <w:rPr>
                <w:rFonts w:ascii="宋体"/>
                <w:vanish/>
              </w:rPr>
            </w:pPr>
          </w:p>
        </w:tc>
        <w:tc>
          <w:tcPr>
            <w:tcW w:w="0" w:type="auto"/>
            <w:gridSpan w:val="3"/>
            <w:shd w:val="clear" w:color="auto" w:fill="auto"/>
            <w:vAlign w:val="bottom"/>
          </w:tcPr>
          <w:p w14:paraId="67536ACF" w14:textId="77777777" w:rsidR="001B77DD" w:rsidRDefault="001B77DD">
            <w:pPr>
              <w:rPr>
                <w:rFonts w:ascii="宋体"/>
                <w:vanish/>
              </w:rPr>
            </w:pPr>
          </w:p>
        </w:tc>
        <w:tc>
          <w:tcPr>
            <w:tcW w:w="0" w:type="auto"/>
            <w:gridSpan w:val="3"/>
            <w:shd w:val="clear" w:color="auto" w:fill="auto"/>
            <w:vAlign w:val="bottom"/>
          </w:tcPr>
          <w:p w14:paraId="67536AD0" w14:textId="77777777" w:rsidR="001B77DD" w:rsidRDefault="001B77DD">
            <w:pPr>
              <w:rPr>
                <w:rFonts w:ascii="宋体"/>
                <w:vanish/>
              </w:rPr>
            </w:pPr>
          </w:p>
        </w:tc>
      </w:tr>
      <w:tr w:rsidR="001B77DD" w14:paraId="67536ADB" w14:textId="77777777">
        <w:trPr>
          <w:hidden/>
        </w:trPr>
        <w:tc>
          <w:tcPr>
            <w:tcW w:w="0" w:type="auto"/>
            <w:gridSpan w:val="3"/>
            <w:shd w:val="clear" w:color="auto" w:fill="auto"/>
            <w:vAlign w:val="bottom"/>
          </w:tcPr>
          <w:p w14:paraId="67536AD2" w14:textId="77777777" w:rsidR="001B77DD" w:rsidRDefault="001B77DD">
            <w:pPr>
              <w:rPr>
                <w:rFonts w:ascii="宋体"/>
                <w:vanish/>
              </w:rPr>
            </w:pPr>
          </w:p>
        </w:tc>
        <w:tc>
          <w:tcPr>
            <w:tcW w:w="0" w:type="auto"/>
            <w:gridSpan w:val="3"/>
            <w:shd w:val="clear" w:color="auto" w:fill="auto"/>
            <w:vAlign w:val="bottom"/>
          </w:tcPr>
          <w:p w14:paraId="67536AD3" w14:textId="77777777" w:rsidR="001B77DD" w:rsidRDefault="001B77DD">
            <w:pPr>
              <w:rPr>
                <w:rFonts w:ascii="宋体"/>
                <w:vanish/>
              </w:rPr>
            </w:pPr>
          </w:p>
        </w:tc>
        <w:tc>
          <w:tcPr>
            <w:tcW w:w="0" w:type="auto"/>
            <w:gridSpan w:val="3"/>
            <w:shd w:val="clear" w:color="auto" w:fill="auto"/>
            <w:vAlign w:val="bottom"/>
          </w:tcPr>
          <w:p w14:paraId="67536AD4" w14:textId="77777777" w:rsidR="001B77DD" w:rsidRDefault="001B77DD">
            <w:pPr>
              <w:rPr>
                <w:rFonts w:ascii="宋体"/>
                <w:vanish/>
              </w:rPr>
            </w:pPr>
          </w:p>
        </w:tc>
        <w:tc>
          <w:tcPr>
            <w:tcW w:w="0" w:type="auto"/>
            <w:gridSpan w:val="3"/>
            <w:shd w:val="clear" w:color="auto" w:fill="auto"/>
            <w:vAlign w:val="bottom"/>
          </w:tcPr>
          <w:p w14:paraId="67536AD5" w14:textId="77777777" w:rsidR="001B77DD" w:rsidRDefault="001B77DD">
            <w:pPr>
              <w:rPr>
                <w:rFonts w:ascii="宋体"/>
                <w:vanish/>
              </w:rPr>
            </w:pPr>
          </w:p>
        </w:tc>
        <w:tc>
          <w:tcPr>
            <w:tcW w:w="0" w:type="auto"/>
            <w:gridSpan w:val="3"/>
            <w:shd w:val="clear" w:color="auto" w:fill="auto"/>
            <w:vAlign w:val="bottom"/>
          </w:tcPr>
          <w:p w14:paraId="67536AD6" w14:textId="77777777" w:rsidR="001B77DD" w:rsidRDefault="001B77DD">
            <w:pPr>
              <w:rPr>
                <w:rFonts w:ascii="宋体"/>
                <w:vanish/>
              </w:rPr>
            </w:pPr>
          </w:p>
        </w:tc>
        <w:tc>
          <w:tcPr>
            <w:tcW w:w="0" w:type="auto"/>
            <w:gridSpan w:val="3"/>
            <w:shd w:val="clear" w:color="auto" w:fill="auto"/>
            <w:vAlign w:val="bottom"/>
          </w:tcPr>
          <w:p w14:paraId="67536AD7" w14:textId="77777777" w:rsidR="001B77DD" w:rsidRDefault="001B77DD">
            <w:pPr>
              <w:rPr>
                <w:rFonts w:ascii="宋体"/>
                <w:vanish/>
              </w:rPr>
            </w:pPr>
          </w:p>
        </w:tc>
        <w:tc>
          <w:tcPr>
            <w:tcW w:w="0" w:type="auto"/>
            <w:gridSpan w:val="3"/>
            <w:shd w:val="clear" w:color="auto" w:fill="auto"/>
            <w:vAlign w:val="bottom"/>
          </w:tcPr>
          <w:p w14:paraId="67536AD8" w14:textId="77777777" w:rsidR="001B77DD" w:rsidRDefault="001B77DD">
            <w:pPr>
              <w:rPr>
                <w:rFonts w:ascii="宋体"/>
                <w:vanish/>
              </w:rPr>
            </w:pPr>
          </w:p>
        </w:tc>
        <w:tc>
          <w:tcPr>
            <w:tcW w:w="0" w:type="auto"/>
            <w:gridSpan w:val="3"/>
            <w:shd w:val="clear" w:color="auto" w:fill="auto"/>
            <w:vAlign w:val="bottom"/>
          </w:tcPr>
          <w:p w14:paraId="67536AD9" w14:textId="77777777" w:rsidR="001B77DD" w:rsidRDefault="001B77DD">
            <w:pPr>
              <w:rPr>
                <w:rFonts w:ascii="宋体"/>
                <w:vanish/>
              </w:rPr>
            </w:pPr>
          </w:p>
        </w:tc>
        <w:tc>
          <w:tcPr>
            <w:tcW w:w="0" w:type="auto"/>
            <w:gridSpan w:val="3"/>
            <w:shd w:val="clear" w:color="auto" w:fill="auto"/>
            <w:vAlign w:val="bottom"/>
          </w:tcPr>
          <w:p w14:paraId="67536ADA" w14:textId="77777777" w:rsidR="001B77DD" w:rsidRDefault="001B77DD">
            <w:pPr>
              <w:rPr>
                <w:rFonts w:ascii="宋体"/>
                <w:vanish/>
              </w:rPr>
            </w:pPr>
          </w:p>
        </w:tc>
      </w:tr>
      <w:tr w:rsidR="001B77DD" w14:paraId="67536AE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ADC" w14:textId="77777777" w:rsidR="001B77DD" w:rsidRDefault="00BF0A28">
            <w:pPr>
              <w:textAlignment w:val="bottom"/>
            </w:pPr>
            <w:r>
              <w:rPr>
                <w:rFonts w:ascii="Arial" w:eastAsia="宋体" w:hAnsi="Arial" w:cs="Arial"/>
                <w:color w:val="262626"/>
                <w:sz w:val="18"/>
                <w:szCs w:val="18"/>
              </w:rPr>
              <w:t>Valuation allowance for deferred tax assets</w:t>
            </w:r>
          </w:p>
        </w:tc>
        <w:tc>
          <w:tcPr>
            <w:tcW w:w="0" w:type="auto"/>
            <w:gridSpan w:val="3"/>
            <w:shd w:val="clear" w:color="auto" w:fill="auto"/>
            <w:tcMar>
              <w:top w:w="0" w:type="dxa"/>
              <w:left w:w="20" w:type="dxa"/>
              <w:bottom w:w="0" w:type="dxa"/>
              <w:right w:w="20" w:type="dxa"/>
            </w:tcMar>
            <w:vAlign w:val="bottom"/>
          </w:tcPr>
          <w:p w14:paraId="67536ADD"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AD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DF"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AE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E1"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AE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AE3"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6AE4" w14:textId="77777777" w:rsidR="001B77DD" w:rsidRDefault="001B77DD">
            <w:pPr>
              <w:rPr>
                <w:rFonts w:ascii="宋体"/>
              </w:rPr>
            </w:pPr>
          </w:p>
        </w:tc>
      </w:tr>
      <w:tr w:rsidR="001B77DD" w14:paraId="67536AF7" w14:textId="77777777">
        <w:tc>
          <w:tcPr>
            <w:tcW w:w="0" w:type="auto"/>
            <w:gridSpan w:val="3"/>
            <w:shd w:val="clear" w:color="auto" w:fill="auto"/>
            <w:tcMar>
              <w:top w:w="40" w:type="dxa"/>
              <w:left w:w="20" w:type="dxa"/>
              <w:bottom w:w="40" w:type="dxa"/>
              <w:right w:w="20" w:type="dxa"/>
            </w:tcMar>
            <w:vAlign w:val="bottom"/>
          </w:tcPr>
          <w:p w14:paraId="67536AE6" w14:textId="77777777" w:rsidR="001B77DD" w:rsidRDefault="00BF0A28">
            <w:pPr>
              <w:textAlignment w:val="bottom"/>
            </w:pPr>
            <w:r>
              <w:rPr>
                <w:rFonts w:ascii="Arial" w:eastAsia="宋体" w:hAnsi="Arial" w:cs="Arial"/>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67536AE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AE8"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6AE9" w14:textId="77777777" w:rsidR="001B77DD" w:rsidRDefault="00BF0A28">
            <w:pPr>
              <w:jc w:val="right"/>
              <w:textAlignment w:val="bottom"/>
            </w:pPr>
            <w:r>
              <w:rPr>
                <w:rFonts w:ascii="Arial" w:eastAsia="宋体" w:hAnsi="Arial" w:cs="Arial"/>
                <w:color w:val="0068B5"/>
                <w:sz w:val="18"/>
                <w:szCs w:val="18"/>
              </w:rPr>
              <w:t>1,963 </w:t>
            </w:r>
          </w:p>
        </w:tc>
        <w:tc>
          <w:tcPr>
            <w:tcW w:w="0" w:type="auto"/>
            <w:shd w:val="clear" w:color="auto" w:fill="auto"/>
            <w:tcMar>
              <w:top w:w="40" w:type="dxa"/>
              <w:left w:w="0" w:type="dxa"/>
              <w:bottom w:w="40" w:type="dxa"/>
              <w:right w:w="20" w:type="dxa"/>
            </w:tcMar>
            <w:vAlign w:val="bottom"/>
          </w:tcPr>
          <w:p w14:paraId="67536A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E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AEC"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6AED" w14:textId="77777777" w:rsidR="001B77DD" w:rsidRDefault="00BF0A28">
            <w:pPr>
              <w:jc w:val="right"/>
              <w:textAlignment w:val="bottom"/>
            </w:pPr>
            <w:r>
              <w:rPr>
                <w:rFonts w:ascii="Arial" w:eastAsia="宋体" w:hAnsi="Arial" w:cs="Arial"/>
                <w:color w:val="0068B5"/>
                <w:sz w:val="18"/>
                <w:szCs w:val="18"/>
              </w:rPr>
              <w:t>442 </w:t>
            </w:r>
          </w:p>
        </w:tc>
        <w:tc>
          <w:tcPr>
            <w:tcW w:w="0" w:type="auto"/>
            <w:shd w:val="clear" w:color="auto" w:fill="auto"/>
            <w:tcMar>
              <w:top w:w="40" w:type="dxa"/>
              <w:left w:w="0" w:type="dxa"/>
              <w:bottom w:w="40" w:type="dxa"/>
              <w:right w:w="20" w:type="dxa"/>
            </w:tcMar>
            <w:vAlign w:val="bottom"/>
          </w:tcPr>
          <w:p w14:paraId="67536AE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EF"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AF0"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6AF1" w14:textId="77777777" w:rsidR="001B77DD" w:rsidRDefault="00BF0A28">
            <w:pPr>
              <w:jc w:val="right"/>
              <w:textAlignment w:val="bottom"/>
            </w:pPr>
            <w:r>
              <w:rPr>
                <w:rFonts w:ascii="Arial" w:eastAsia="宋体" w:hAnsi="Arial" w:cs="Arial"/>
                <w:color w:val="0068B5"/>
                <w:sz w:val="18"/>
                <w:szCs w:val="18"/>
              </w:rPr>
              <w:t>(146)</w:t>
            </w:r>
          </w:p>
        </w:tc>
        <w:tc>
          <w:tcPr>
            <w:tcW w:w="0" w:type="auto"/>
            <w:shd w:val="clear" w:color="auto" w:fill="auto"/>
            <w:tcMar>
              <w:top w:w="40" w:type="dxa"/>
              <w:left w:w="0" w:type="dxa"/>
              <w:bottom w:w="40" w:type="dxa"/>
              <w:right w:w="20" w:type="dxa"/>
            </w:tcMar>
            <w:vAlign w:val="bottom"/>
          </w:tcPr>
          <w:p w14:paraId="67536AF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F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AF4"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6AF5" w14:textId="77777777" w:rsidR="001B77DD" w:rsidRDefault="00BF0A28">
            <w:pPr>
              <w:jc w:val="right"/>
              <w:textAlignment w:val="bottom"/>
            </w:pPr>
            <w:r>
              <w:rPr>
                <w:rFonts w:ascii="Arial" w:eastAsia="宋体" w:hAnsi="Arial" w:cs="Arial"/>
                <w:color w:val="0068B5"/>
                <w:sz w:val="18"/>
                <w:szCs w:val="18"/>
              </w:rPr>
              <w:t>2,259 </w:t>
            </w:r>
          </w:p>
        </w:tc>
        <w:tc>
          <w:tcPr>
            <w:tcW w:w="0" w:type="auto"/>
            <w:shd w:val="clear" w:color="auto" w:fill="auto"/>
            <w:tcMar>
              <w:top w:w="40" w:type="dxa"/>
              <w:left w:w="0" w:type="dxa"/>
              <w:bottom w:w="40" w:type="dxa"/>
              <w:right w:w="20" w:type="dxa"/>
            </w:tcMar>
            <w:vAlign w:val="bottom"/>
          </w:tcPr>
          <w:p w14:paraId="67536AF6" w14:textId="77777777" w:rsidR="001B77DD" w:rsidRDefault="001B77DD">
            <w:pPr>
              <w:jc w:val="right"/>
              <w:rPr>
                <w:rFonts w:ascii="宋体"/>
              </w:rPr>
            </w:pPr>
          </w:p>
        </w:tc>
      </w:tr>
      <w:tr w:rsidR="001B77DD" w14:paraId="67536B09" w14:textId="77777777">
        <w:tc>
          <w:tcPr>
            <w:tcW w:w="0" w:type="auto"/>
            <w:gridSpan w:val="3"/>
            <w:shd w:val="clear" w:color="auto" w:fill="auto"/>
            <w:tcMar>
              <w:top w:w="40" w:type="dxa"/>
              <w:left w:w="20" w:type="dxa"/>
              <w:bottom w:w="40" w:type="dxa"/>
              <w:right w:w="20" w:type="dxa"/>
            </w:tcMar>
            <w:vAlign w:val="bottom"/>
          </w:tcPr>
          <w:p w14:paraId="67536AF8" w14:textId="77777777" w:rsidR="001B77DD" w:rsidRDefault="00BF0A28">
            <w:pPr>
              <w:textAlignment w:val="bottom"/>
            </w:pPr>
            <w:r>
              <w:rPr>
                <w:rFonts w:ascii="Arial" w:eastAsia="宋体" w:hAnsi="Arial" w:cs="Arial"/>
                <w:color w:val="262626"/>
                <w:sz w:val="18"/>
                <w:szCs w:val="18"/>
              </w:rPr>
              <w:t>December 26, 2020</w:t>
            </w:r>
          </w:p>
        </w:tc>
        <w:tc>
          <w:tcPr>
            <w:tcW w:w="0" w:type="auto"/>
            <w:gridSpan w:val="3"/>
            <w:shd w:val="clear" w:color="auto" w:fill="auto"/>
            <w:tcMar>
              <w:top w:w="0" w:type="dxa"/>
              <w:left w:w="20" w:type="dxa"/>
              <w:bottom w:w="0" w:type="dxa"/>
              <w:right w:w="20" w:type="dxa"/>
            </w:tcMar>
            <w:vAlign w:val="bottom"/>
          </w:tcPr>
          <w:p w14:paraId="67536AF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AFA"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AFB" w14:textId="77777777" w:rsidR="001B77DD" w:rsidRDefault="00BF0A28">
            <w:pPr>
              <w:jc w:val="right"/>
              <w:textAlignment w:val="bottom"/>
            </w:pPr>
            <w:r>
              <w:rPr>
                <w:rFonts w:ascii="Arial" w:eastAsia="宋体" w:hAnsi="Arial" w:cs="Arial"/>
                <w:color w:val="262626"/>
                <w:sz w:val="18"/>
                <w:szCs w:val="18"/>
              </w:rPr>
              <w:t>1,534 </w:t>
            </w:r>
          </w:p>
        </w:tc>
        <w:tc>
          <w:tcPr>
            <w:tcW w:w="0" w:type="auto"/>
            <w:shd w:val="clear" w:color="auto" w:fill="auto"/>
            <w:tcMar>
              <w:top w:w="40" w:type="dxa"/>
              <w:left w:w="0" w:type="dxa"/>
              <w:bottom w:w="40" w:type="dxa"/>
              <w:right w:w="20" w:type="dxa"/>
            </w:tcMar>
            <w:vAlign w:val="bottom"/>
          </w:tcPr>
          <w:p w14:paraId="67536AF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AFD"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AFE"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AFF" w14:textId="77777777" w:rsidR="001B77DD" w:rsidRDefault="00BF0A28">
            <w:pPr>
              <w:jc w:val="right"/>
              <w:textAlignment w:val="bottom"/>
            </w:pPr>
            <w:r>
              <w:rPr>
                <w:rFonts w:ascii="Arial" w:eastAsia="宋体" w:hAnsi="Arial" w:cs="Arial"/>
                <w:color w:val="262626"/>
                <w:sz w:val="18"/>
                <w:szCs w:val="18"/>
              </w:rPr>
              <w:t>378 </w:t>
            </w:r>
          </w:p>
        </w:tc>
        <w:tc>
          <w:tcPr>
            <w:tcW w:w="0" w:type="auto"/>
            <w:shd w:val="clear" w:color="auto" w:fill="auto"/>
            <w:tcMar>
              <w:top w:w="40" w:type="dxa"/>
              <w:left w:w="0" w:type="dxa"/>
              <w:bottom w:w="40" w:type="dxa"/>
              <w:right w:w="20" w:type="dxa"/>
            </w:tcMar>
            <w:vAlign w:val="bottom"/>
          </w:tcPr>
          <w:p w14:paraId="67536B0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01"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B02"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B03" w14:textId="77777777" w:rsidR="001B77DD" w:rsidRDefault="00BF0A28">
            <w:pPr>
              <w:jc w:val="right"/>
              <w:textAlignment w:val="bottom"/>
            </w:pPr>
            <w:r>
              <w:rPr>
                <w:rFonts w:ascii="Arial" w:eastAsia="宋体" w:hAnsi="Arial" w:cs="Arial"/>
                <w:color w:val="262626"/>
                <w:sz w:val="18"/>
                <w:szCs w:val="18"/>
              </w:rPr>
              <w:t>51 </w:t>
            </w:r>
          </w:p>
        </w:tc>
        <w:tc>
          <w:tcPr>
            <w:tcW w:w="0" w:type="auto"/>
            <w:shd w:val="clear" w:color="auto" w:fill="auto"/>
            <w:tcMar>
              <w:top w:w="40" w:type="dxa"/>
              <w:left w:w="0" w:type="dxa"/>
              <w:bottom w:w="40" w:type="dxa"/>
              <w:right w:w="20" w:type="dxa"/>
            </w:tcMar>
            <w:vAlign w:val="bottom"/>
          </w:tcPr>
          <w:p w14:paraId="67536B0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0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B06"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B07" w14:textId="77777777" w:rsidR="001B77DD" w:rsidRDefault="00BF0A28">
            <w:pPr>
              <w:jc w:val="right"/>
              <w:textAlignment w:val="bottom"/>
            </w:pPr>
            <w:r>
              <w:rPr>
                <w:rFonts w:ascii="Arial" w:eastAsia="宋体" w:hAnsi="Arial" w:cs="Arial"/>
                <w:color w:val="262626"/>
                <w:sz w:val="18"/>
                <w:szCs w:val="18"/>
              </w:rPr>
              <w:t>1,963 </w:t>
            </w:r>
          </w:p>
        </w:tc>
        <w:tc>
          <w:tcPr>
            <w:tcW w:w="0" w:type="auto"/>
            <w:shd w:val="clear" w:color="auto" w:fill="auto"/>
            <w:tcMar>
              <w:top w:w="40" w:type="dxa"/>
              <w:left w:w="0" w:type="dxa"/>
              <w:bottom w:w="40" w:type="dxa"/>
              <w:right w:w="20" w:type="dxa"/>
            </w:tcMar>
            <w:vAlign w:val="bottom"/>
          </w:tcPr>
          <w:p w14:paraId="67536B08" w14:textId="77777777" w:rsidR="001B77DD" w:rsidRDefault="001B77DD">
            <w:pPr>
              <w:jc w:val="right"/>
              <w:rPr>
                <w:rFonts w:ascii="宋体"/>
              </w:rPr>
            </w:pPr>
          </w:p>
        </w:tc>
      </w:tr>
      <w:tr w:rsidR="001B77DD" w14:paraId="67536B1B" w14:textId="77777777">
        <w:tc>
          <w:tcPr>
            <w:tcW w:w="0" w:type="auto"/>
            <w:gridSpan w:val="3"/>
            <w:shd w:val="clear" w:color="auto" w:fill="auto"/>
            <w:tcMar>
              <w:top w:w="40" w:type="dxa"/>
              <w:left w:w="20" w:type="dxa"/>
              <w:bottom w:w="40" w:type="dxa"/>
              <w:right w:w="20" w:type="dxa"/>
            </w:tcMar>
            <w:vAlign w:val="bottom"/>
          </w:tcPr>
          <w:p w14:paraId="67536B0A" w14:textId="77777777" w:rsidR="001B77DD" w:rsidRDefault="00BF0A28">
            <w:pPr>
              <w:textAlignment w:val="bottom"/>
            </w:pPr>
            <w:r>
              <w:rPr>
                <w:rFonts w:ascii="Arial" w:eastAsia="宋体" w:hAnsi="Arial" w:cs="Arial"/>
                <w:color w:val="262626"/>
                <w:sz w:val="18"/>
                <w:szCs w:val="18"/>
              </w:rPr>
              <w:t>December 28, 2019</w:t>
            </w:r>
          </w:p>
        </w:tc>
        <w:tc>
          <w:tcPr>
            <w:tcW w:w="0" w:type="auto"/>
            <w:gridSpan w:val="3"/>
            <w:shd w:val="clear" w:color="auto" w:fill="auto"/>
            <w:tcMar>
              <w:top w:w="0" w:type="dxa"/>
              <w:left w:w="20" w:type="dxa"/>
              <w:bottom w:w="0" w:type="dxa"/>
              <w:right w:w="20" w:type="dxa"/>
            </w:tcMar>
            <w:vAlign w:val="bottom"/>
          </w:tcPr>
          <w:p w14:paraId="67536B0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B0C"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B0D" w14:textId="77777777" w:rsidR="001B77DD" w:rsidRDefault="00BF0A28">
            <w:pPr>
              <w:jc w:val="right"/>
              <w:textAlignment w:val="bottom"/>
            </w:pPr>
            <w:r>
              <w:rPr>
                <w:rFonts w:ascii="Arial" w:eastAsia="宋体" w:hAnsi="Arial" w:cs="Arial"/>
                <w:color w:val="262626"/>
                <w:sz w:val="18"/>
                <w:szCs w:val="18"/>
              </w:rPr>
              <w:t>1,302 </w:t>
            </w:r>
          </w:p>
        </w:tc>
        <w:tc>
          <w:tcPr>
            <w:tcW w:w="0" w:type="auto"/>
            <w:shd w:val="clear" w:color="auto" w:fill="auto"/>
            <w:tcMar>
              <w:top w:w="40" w:type="dxa"/>
              <w:left w:w="0" w:type="dxa"/>
              <w:bottom w:w="40" w:type="dxa"/>
              <w:right w:w="20" w:type="dxa"/>
            </w:tcMar>
            <w:vAlign w:val="bottom"/>
          </w:tcPr>
          <w:p w14:paraId="67536B0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0F"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B10"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B11" w14:textId="77777777" w:rsidR="001B77DD" w:rsidRDefault="00BF0A28">
            <w:pPr>
              <w:jc w:val="right"/>
              <w:textAlignment w:val="bottom"/>
            </w:pPr>
            <w:r>
              <w:rPr>
                <w:rFonts w:ascii="Arial" w:eastAsia="宋体" w:hAnsi="Arial" w:cs="Arial"/>
                <w:color w:val="262626"/>
                <w:sz w:val="18"/>
                <w:szCs w:val="18"/>
              </w:rPr>
              <w:t>239 </w:t>
            </w:r>
          </w:p>
        </w:tc>
        <w:tc>
          <w:tcPr>
            <w:tcW w:w="0" w:type="auto"/>
            <w:shd w:val="clear" w:color="auto" w:fill="auto"/>
            <w:tcMar>
              <w:top w:w="40" w:type="dxa"/>
              <w:left w:w="0" w:type="dxa"/>
              <w:bottom w:w="40" w:type="dxa"/>
              <w:right w:w="20" w:type="dxa"/>
            </w:tcMar>
            <w:vAlign w:val="bottom"/>
          </w:tcPr>
          <w:p w14:paraId="67536B1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1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B14"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B15" w14:textId="77777777" w:rsidR="001B77DD" w:rsidRDefault="00BF0A28">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67536B1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1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6B18"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6B19" w14:textId="77777777" w:rsidR="001B77DD" w:rsidRDefault="00BF0A28">
            <w:pPr>
              <w:jc w:val="right"/>
              <w:textAlignment w:val="bottom"/>
            </w:pPr>
            <w:r>
              <w:rPr>
                <w:rFonts w:ascii="Arial" w:eastAsia="宋体" w:hAnsi="Arial" w:cs="Arial"/>
                <w:color w:val="262626"/>
                <w:sz w:val="18"/>
                <w:szCs w:val="18"/>
              </w:rPr>
              <w:t>1,534 </w:t>
            </w:r>
          </w:p>
        </w:tc>
        <w:tc>
          <w:tcPr>
            <w:tcW w:w="0" w:type="auto"/>
            <w:shd w:val="clear" w:color="auto" w:fill="auto"/>
            <w:tcMar>
              <w:top w:w="40" w:type="dxa"/>
              <w:left w:w="0" w:type="dxa"/>
              <w:bottom w:w="40" w:type="dxa"/>
              <w:right w:w="20" w:type="dxa"/>
            </w:tcMar>
            <w:vAlign w:val="bottom"/>
          </w:tcPr>
          <w:p w14:paraId="67536B1A" w14:textId="77777777" w:rsidR="001B77DD" w:rsidRDefault="001B77DD">
            <w:pPr>
              <w:jc w:val="right"/>
              <w:rPr>
                <w:rFonts w:ascii="宋体"/>
              </w:rPr>
            </w:pPr>
          </w:p>
        </w:tc>
      </w:tr>
    </w:tbl>
    <w:p w14:paraId="67536B1C" w14:textId="77777777" w:rsidR="001B77DD" w:rsidRDefault="00BF0A28">
      <w:pPr>
        <w:spacing w:before="140" w:after="180"/>
      </w:pPr>
      <w:r>
        <w:rPr>
          <w:rFonts w:ascii="Arial" w:eastAsia="宋体" w:hAnsi="Arial" w:cs="Arial"/>
          <w:color w:val="262626"/>
          <w:sz w:val="18"/>
          <w:szCs w:val="18"/>
        </w:rPr>
        <w:t>Deferred tax assets are included within other long-term assets on the Consolidated Balance Sheets.</w:t>
      </w:r>
    </w:p>
    <w:p w14:paraId="67536B1D" w14:textId="77777777" w:rsidR="001B77DD" w:rsidRDefault="00BF0A28">
      <w:pPr>
        <w:spacing w:after="180"/>
      </w:pPr>
      <w:r>
        <w:rPr>
          <w:rFonts w:ascii="Arial" w:eastAsia="宋体" w:hAnsi="Arial" w:cs="Arial"/>
          <w:color w:val="262626"/>
          <w:sz w:val="18"/>
          <w:szCs w:val="18"/>
        </w:rPr>
        <w:t>The valuation allowance as of December 25, 2021 inc</w:t>
      </w:r>
      <w:r>
        <w:rPr>
          <w:rFonts w:ascii="Arial" w:eastAsia="宋体" w:hAnsi="Arial" w:cs="Arial"/>
          <w:color w:val="262626"/>
          <w:sz w:val="18"/>
          <w:szCs w:val="18"/>
        </w:rPr>
        <w:t>luded allowances primarily related to unrealized state credit carryforwards of $2.0 billion.</w:t>
      </w:r>
    </w:p>
    <w:p w14:paraId="67536B1E" w14:textId="77777777" w:rsidR="001B77DD" w:rsidRDefault="00BF0A28">
      <w:pPr>
        <w:spacing w:after="180"/>
      </w:pPr>
      <w:r>
        <w:rPr>
          <w:rFonts w:ascii="Arial" w:eastAsia="宋体" w:hAnsi="Arial" w:cs="Arial"/>
          <w:color w:val="262626"/>
          <w:sz w:val="18"/>
          <w:szCs w:val="18"/>
        </w:rPr>
        <w:t xml:space="preserve">As of December 25, 2021, our federal and non-US net operating loss carryforwards for income tax purposes were $644 million and $1.1 billion, respectively. Most of </w:t>
      </w:r>
      <w:r>
        <w:rPr>
          <w:rFonts w:ascii="Arial" w:eastAsia="宋体" w:hAnsi="Arial" w:cs="Arial"/>
          <w:color w:val="262626"/>
          <w:sz w:val="18"/>
          <w:szCs w:val="18"/>
        </w:rPr>
        <w:t>the non-US net operating loss carryforwards have no expiration date. The remaining non-US and US federal net operating loss carryforwards expire at various dates through 2040. A significant amount of the net operating loss carryforwards in the US relates t</w:t>
      </w:r>
      <w:r>
        <w:rPr>
          <w:rFonts w:ascii="Arial" w:eastAsia="宋体" w:hAnsi="Arial" w:cs="Arial"/>
          <w:color w:val="262626"/>
          <w:sz w:val="18"/>
          <w:szCs w:val="18"/>
        </w:rPr>
        <w:t>o acquisitions and, as a result, is limited in the amount that can be recognized in any one year. The federal and non-US net operating loss carryforwards include $357 million and $860 million, respectively, that is not likely to be recovered and has been r</w:t>
      </w:r>
      <w:r>
        <w:rPr>
          <w:rFonts w:ascii="Arial" w:eastAsia="宋体" w:hAnsi="Arial" w:cs="Arial"/>
          <w:color w:val="262626"/>
          <w:sz w:val="18"/>
          <w:szCs w:val="18"/>
        </w:rPr>
        <w:t>educed by a valuation allowance.</w:t>
      </w:r>
    </w:p>
    <w:p w14:paraId="67536B1F" w14:textId="77777777" w:rsidR="001B77DD" w:rsidRDefault="00BF0A28">
      <w:pPr>
        <w:spacing w:after="180"/>
      </w:pPr>
      <w:r>
        <w:rPr>
          <w:rFonts w:ascii="Arial" w:eastAsia="宋体" w:hAnsi="Arial" w:cs="Arial"/>
          <w:color w:val="262626"/>
          <w:sz w:val="18"/>
          <w:szCs w:val="18"/>
        </w:rPr>
        <w:t>At December 25, 2021, we have undistributed earnings of certain foreign subsidiaries of approximately $18.9 billion that we have indefinitely invested, and on which we have not recognized deferred taxes. Estimating the amou</w:t>
      </w:r>
      <w:r>
        <w:rPr>
          <w:rFonts w:ascii="Arial" w:eastAsia="宋体" w:hAnsi="Arial" w:cs="Arial"/>
          <w:color w:val="262626"/>
          <w:sz w:val="18"/>
          <w:szCs w:val="18"/>
        </w:rPr>
        <w:t>nt of potential tax is not practicable because of the complexity and variety of assumptions necessary to compute the tax.</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B2C" w14:textId="77777777">
        <w:tc>
          <w:tcPr>
            <w:tcW w:w="50" w:type="pct"/>
            <w:shd w:val="clear" w:color="auto" w:fill="auto"/>
            <w:vAlign w:val="bottom"/>
          </w:tcPr>
          <w:p w14:paraId="67536B20" w14:textId="77777777" w:rsidR="001B77DD" w:rsidRDefault="001B77DD">
            <w:pPr>
              <w:rPr>
                <w:rFonts w:ascii="宋体"/>
              </w:rPr>
            </w:pPr>
          </w:p>
        </w:tc>
        <w:tc>
          <w:tcPr>
            <w:tcW w:w="276" w:type="pct"/>
            <w:shd w:val="clear" w:color="auto" w:fill="auto"/>
            <w:vAlign w:val="bottom"/>
          </w:tcPr>
          <w:p w14:paraId="67536B21" w14:textId="77777777" w:rsidR="001B77DD" w:rsidRDefault="001B77DD">
            <w:pPr>
              <w:rPr>
                <w:rFonts w:ascii="宋体"/>
              </w:rPr>
            </w:pPr>
          </w:p>
        </w:tc>
        <w:tc>
          <w:tcPr>
            <w:tcW w:w="5" w:type="pct"/>
            <w:shd w:val="clear" w:color="auto" w:fill="auto"/>
            <w:vAlign w:val="bottom"/>
          </w:tcPr>
          <w:p w14:paraId="67536B22" w14:textId="77777777" w:rsidR="001B77DD" w:rsidRDefault="001B77DD">
            <w:pPr>
              <w:rPr>
                <w:rFonts w:ascii="宋体"/>
              </w:rPr>
            </w:pPr>
          </w:p>
        </w:tc>
        <w:tc>
          <w:tcPr>
            <w:tcW w:w="50" w:type="pct"/>
            <w:shd w:val="clear" w:color="auto" w:fill="auto"/>
            <w:vAlign w:val="bottom"/>
          </w:tcPr>
          <w:p w14:paraId="67536B23" w14:textId="77777777" w:rsidR="001B77DD" w:rsidRDefault="001B77DD">
            <w:pPr>
              <w:rPr>
                <w:rFonts w:ascii="宋体"/>
              </w:rPr>
            </w:pPr>
          </w:p>
        </w:tc>
        <w:tc>
          <w:tcPr>
            <w:tcW w:w="940" w:type="pct"/>
            <w:shd w:val="clear" w:color="auto" w:fill="auto"/>
            <w:vAlign w:val="bottom"/>
          </w:tcPr>
          <w:p w14:paraId="67536B24" w14:textId="77777777" w:rsidR="001B77DD" w:rsidRDefault="001B77DD">
            <w:pPr>
              <w:rPr>
                <w:rFonts w:ascii="宋体"/>
              </w:rPr>
            </w:pPr>
          </w:p>
        </w:tc>
        <w:tc>
          <w:tcPr>
            <w:tcW w:w="5" w:type="pct"/>
            <w:shd w:val="clear" w:color="auto" w:fill="auto"/>
            <w:vAlign w:val="bottom"/>
          </w:tcPr>
          <w:p w14:paraId="67536B25" w14:textId="77777777" w:rsidR="001B77DD" w:rsidRDefault="001B77DD">
            <w:pPr>
              <w:rPr>
                <w:rFonts w:ascii="宋体"/>
              </w:rPr>
            </w:pPr>
          </w:p>
        </w:tc>
        <w:tc>
          <w:tcPr>
            <w:tcW w:w="50" w:type="pct"/>
            <w:shd w:val="clear" w:color="auto" w:fill="auto"/>
            <w:vAlign w:val="bottom"/>
          </w:tcPr>
          <w:p w14:paraId="67536B26" w14:textId="77777777" w:rsidR="001B77DD" w:rsidRDefault="001B77DD">
            <w:pPr>
              <w:rPr>
                <w:rFonts w:ascii="宋体"/>
              </w:rPr>
            </w:pPr>
          </w:p>
        </w:tc>
        <w:tc>
          <w:tcPr>
            <w:tcW w:w="1837" w:type="pct"/>
            <w:shd w:val="clear" w:color="auto" w:fill="auto"/>
            <w:vAlign w:val="bottom"/>
          </w:tcPr>
          <w:p w14:paraId="67536B27" w14:textId="77777777" w:rsidR="001B77DD" w:rsidRDefault="001B77DD">
            <w:pPr>
              <w:rPr>
                <w:rFonts w:ascii="宋体"/>
              </w:rPr>
            </w:pPr>
          </w:p>
        </w:tc>
        <w:tc>
          <w:tcPr>
            <w:tcW w:w="5" w:type="pct"/>
            <w:shd w:val="clear" w:color="auto" w:fill="auto"/>
            <w:vAlign w:val="bottom"/>
          </w:tcPr>
          <w:p w14:paraId="67536B28" w14:textId="77777777" w:rsidR="001B77DD" w:rsidRDefault="001B77DD">
            <w:pPr>
              <w:rPr>
                <w:rFonts w:ascii="宋体"/>
              </w:rPr>
            </w:pPr>
          </w:p>
        </w:tc>
        <w:tc>
          <w:tcPr>
            <w:tcW w:w="50" w:type="pct"/>
            <w:shd w:val="clear" w:color="auto" w:fill="auto"/>
            <w:vAlign w:val="bottom"/>
          </w:tcPr>
          <w:p w14:paraId="67536B29" w14:textId="77777777" w:rsidR="001B77DD" w:rsidRDefault="001B77DD">
            <w:pPr>
              <w:rPr>
                <w:rFonts w:ascii="宋体"/>
              </w:rPr>
            </w:pPr>
          </w:p>
        </w:tc>
        <w:tc>
          <w:tcPr>
            <w:tcW w:w="1724" w:type="pct"/>
            <w:shd w:val="clear" w:color="auto" w:fill="auto"/>
            <w:vAlign w:val="bottom"/>
          </w:tcPr>
          <w:p w14:paraId="67536B2A" w14:textId="77777777" w:rsidR="001B77DD" w:rsidRDefault="001B77DD">
            <w:pPr>
              <w:rPr>
                <w:rFonts w:ascii="宋体"/>
              </w:rPr>
            </w:pPr>
          </w:p>
        </w:tc>
        <w:tc>
          <w:tcPr>
            <w:tcW w:w="5" w:type="pct"/>
            <w:shd w:val="clear" w:color="auto" w:fill="auto"/>
            <w:vAlign w:val="bottom"/>
          </w:tcPr>
          <w:p w14:paraId="67536B2B" w14:textId="77777777" w:rsidR="001B77DD" w:rsidRDefault="001B77DD">
            <w:pPr>
              <w:rPr>
                <w:rFonts w:ascii="宋体"/>
              </w:rPr>
            </w:pPr>
          </w:p>
        </w:tc>
      </w:tr>
      <w:tr w:rsidR="001B77DD" w14:paraId="67536B31"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B2D"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4B" wp14:editId="67538F4C">
                  <wp:extent cx="304800" cy="304800"/>
                  <wp:effectExtent l="0" t="0" r="0" b="0"/>
                  <wp:docPr id="224" name="图片 30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30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B2E"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B2F"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B30" w14:textId="77777777" w:rsidR="001B77DD" w:rsidRDefault="00BF0A28">
            <w:pPr>
              <w:jc w:val="right"/>
              <w:textAlignment w:val="center"/>
            </w:pPr>
            <w:r>
              <w:rPr>
                <w:rFonts w:ascii="Arial" w:eastAsia="宋体" w:hAnsi="Arial" w:cs="Arial"/>
                <w:color w:val="262626"/>
                <w:sz w:val="16"/>
                <w:szCs w:val="16"/>
              </w:rPr>
              <w:t>89</w:t>
            </w:r>
          </w:p>
        </w:tc>
      </w:tr>
    </w:tbl>
    <w:p w14:paraId="67536B32" w14:textId="77777777" w:rsidR="001B77DD" w:rsidRDefault="00BF0A28">
      <w:r>
        <w:pict w14:anchorId="67538F4D">
          <v:rect id="_x0000_i1115" style="width:415.3pt;height:1.5pt" o:hralign="center" o:hrstd="t" o:hr="t" fillcolor="#a0a0a0" stroked="f"/>
        </w:pict>
      </w:r>
    </w:p>
    <w:p w14:paraId="67536B33" w14:textId="77777777" w:rsidR="001B77DD" w:rsidRDefault="00BF0A28">
      <w:pPr>
        <w:jc w:val="right"/>
      </w:pPr>
      <w:hyperlink r:id="rId177" w:anchor="i6c9ced68f6b24d58a3dcf326e8c3c699_16" w:history="1">
        <w:r>
          <w:rPr>
            <w:rStyle w:val="a5"/>
            <w:rFonts w:ascii="Arial" w:eastAsia="宋体" w:hAnsi="Arial" w:cs="Arial"/>
            <w:b/>
            <w:bCs/>
            <w:sz w:val="16"/>
            <w:szCs w:val="16"/>
          </w:rPr>
          <w:t>Table of Contents</w:t>
        </w:r>
      </w:hyperlink>
    </w:p>
    <w:p w14:paraId="67536B34" w14:textId="77777777" w:rsidR="001B77DD" w:rsidRDefault="001B77DD">
      <w:pPr>
        <w:jc w:val="right"/>
      </w:pPr>
    </w:p>
    <w:p w14:paraId="67536B35" w14:textId="77777777" w:rsidR="001B77DD" w:rsidRDefault="00BF0A28">
      <w:pPr>
        <w:spacing w:after="180"/>
      </w:pPr>
      <w:r>
        <w:rPr>
          <w:rFonts w:ascii="Arial" w:eastAsia="宋体" w:hAnsi="Arial" w:cs="Arial"/>
          <w:color w:val="262626"/>
          <w:sz w:val="18"/>
          <w:szCs w:val="18"/>
        </w:rPr>
        <w:t>Current income taxes receivable of $23 million as of December 25, 2021 ($131 millio</w:t>
      </w:r>
      <w:r>
        <w:rPr>
          <w:rFonts w:ascii="Arial" w:eastAsia="宋体" w:hAnsi="Arial" w:cs="Arial"/>
          <w:color w:val="262626"/>
          <w:sz w:val="18"/>
          <w:szCs w:val="18"/>
        </w:rPr>
        <w:t>n as of December 26, 2020) are included in other current assets. Current income taxes payable of $1.1 billion as of December 25, 2021 ($756 million as of December 26, 2020) are included in other accrued liabilities.</w:t>
      </w:r>
    </w:p>
    <w:p w14:paraId="67536B36" w14:textId="77777777" w:rsidR="001B77DD" w:rsidRDefault="00BF0A28">
      <w:pPr>
        <w:spacing w:after="180"/>
      </w:pPr>
      <w:r>
        <w:rPr>
          <w:rFonts w:ascii="Arial" w:eastAsia="宋体" w:hAnsi="Arial" w:cs="Arial"/>
          <w:color w:val="262626"/>
          <w:sz w:val="18"/>
          <w:szCs w:val="18"/>
        </w:rPr>
        <w:t>Long-term income taxes payable of $4.3 b</w:t>
      </w:r>
      <w:r>
        <w:rPr>
          <w:rFonts w:ascii="Arial" w:eastAsia="宋体" w:hAnsi="Arial" w:cs="Arial"/>
          <w:color w:val="262626"/>
          <w:sz w:val="18"/>
          <w:szCs w:val="18"/>
        </w:rPr>
        <w:t>illion as of December 25, 2021 ($4.6 billion as of December 26, 2020) is primarily comprised of the transition tax from Tax Reform, which is payable over eight years beginning in 2018, as well as amounts for uncertain tax positions, reduced by the associat</w:t>
      </w:r>
      <w:r>
        <w:rPr>
          <w:rFonts w:ascii="Arial" w:eastAsia="宋体" w:hAnsi="Arial" w:cs="Arial"/>
          <w:color w:val="262626"/>
          <w:sz w:val="18"/>
          <w:szCs w:val="18"/>
        </w:rPr>
        <w:t>ed deduction for state taxes and non-US tax credits.</w:t>
      </w:r>
    </w:p>
    <w:p w14:paraId="67536B37" w14:textId="77777777" w:rsidR="001B77DD" w:rsidRDefault="00BF0A28">
      <w:pPr>
        <w:spacing w:after="180"/>
      </w:pPr>
      <w:r>
        <w:rPr>
          <w:rFonts w:ascii="Arial" w:eastAsia="宋体" w:hAnsi="Arial" w:cs="Arial"/>
          <w:color w:val="0068B5"/>
        </w:rPr>
        <w:t>Uncertain Tax Positions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1B77DD" w14:paraId="67536B4D" w14:textId="77777777">
        <w:tc>
          <w:tcPr>
            <w:tcW w:w="50" w:type="pct"/>
            <w:shd w:val="clear" w:color="auto" w:fill="auto"/>
            <w:vAlign w:val="bottom"/>
          </w:tcPr>
          <w:p w14:paraId="67536B38" w14:textId="77777777" w:rsidR="001B77DD" w:rsidRDefault="001B77DD">
            <w:pPr>
              <w:rPr>
                <w:rFonts w:ascii="宋体"/>
              </w:rPr>
            </w:pPr>
          </w:p>
        </w:tc>
        <w:tc>
          <w:tcPr>
            <w:tcW w:w="3059" w:type="pct"/>
            <w:shd w:val="clear" w:color="auto" w:fill="auto"/>
            <w:vAlign w:val="bottom"/>
          </w:tcPr>
          <w:p w14:paraId="67536B39" w14:textId="77777777" w:rsidR="001B77DD" w:rsidRDefault="001B77DD">
            <w:pPr>
              <w:rPr>
                <w:rFonts w:ascii="宋体"/>
              </w:rPr>
            </w:pPr>
          </w:p>
        </w:tc>
        <w:tc>
          <w:tcPr>
            <w:tcW w:w="5" w:type="pct"/>
            <w:shd w:val="clear" w:color="auto" w:fill="auto"/>
            <w:vAlign w:val="bottom"/>
          </w:tcPr>
          <w:p w14:paraId="67536B3A" w14:textId="77777777" w:rsidR="001B77DD" w:rsidRDefault="001B77DD">
            <w:pPr>
              <w:rPr>
                <w:rFonts w:ascii="宋体"/>
              </w:rPr>
            </w:pPr>
          </w:p>
        </w:tc>
        <w:tc>
          <w:tcPr>
            <w:tcW w:w="5" w:type="pct"/>
            <w:shd w:val="clear" w:color="auto" w:fill="auto"/>
            <w:vAlign w:val="bottom"/>
          </w:tcPr>
          <w:p w14:paraId="67536B3B" w14:textId="77777777" w:rsidR="001B77DD" w:rsidRDefault="001B77DD">
            <w:pPr>
              <w:rPr>
                <w:rFonts w:ascii="宋体"/>
              </w:rPr>
            </w:pPr>
          </w:p>
        </w:tc>
        <w:tc>
          <w:tcPr>
            <w:tcW w:w="24" w:type="pct"/>
            <w:shd w:val="clear" w:color="auto" w:fill="auto"/>
            <w:vAlign w:val="bottom"/>
          </w:tcPr>
          <w:p w14:paraId="67536B3C" w14:textId="77777777" w:rsidR="001B77DD" w:rsidRDefault="001B77DD">
            <w:pPr>
              <w:rPr>
                <w:rFonts w:ascii="宋体"/>
              </w:rPr>
            </w:pPr>
          </w:p>
        </w:tc>
        <w:tc>
          <w:tcPr>
            <w:tcW w:w="5" w:type="pct"/>
            <w:shd w:val="clear" w:color="auto" w:fill="auto"/>
            <w:vAlign w:val="bottom"/>
          </w:tcPr>
          <w:p w14:paraId="67536B3D" w14:textId="77777777" w:rsidR="001B77DD" w:rsidRDefault="001B77DD">
            <w:pPr>
              <w:rPr>
                <w:rFonts w:ascii="宋体"/>
              </w:rPr>
            </w:pPr>
          </w:p>
        </w:tc>
        <w:tc>
          <w:tcPr>
            <w:tcW w:w="50" w:type="pct"/>
            <w:shd w:val="clear" w:color="auto" w:fill="auto"/>
            <w:vAlign w:val="bottom"/>
          </w:tcPr>
          <w:p w14:paraId="67536B3E" w14:textId="77777777" w:rsidR="001B77DD" w:rsidRDefault="001B77DD">
            <w:pPr>
              <w:rPr>
                <w:rFonts w:ascii="宋体"/>
              </w:rPr>
            </w:pPr>
          </w:p>
        </w:tc>
        <w:tc>
          <w:tcPr>
            <w:tcW w:w="539" w:type="pct"/>
            <w:shd w:val="clear" w:color="auto" w:fill="auto"/>
            <w:vAlign w:val="bottom"/>
          </w:tcPr>
          <w:p w14:paraId="67536B3F" w14:textId="77777777" w:rsidR="001B77DD" w:rsidRDefault="001B77DD">
            <w:pPr>
              <w:rPr>
                <w:rFonts w:ascii="宋体"/>
              </w:rPr>
            </w:pPr>
          </w:p>
        </w:tc>
        <w:tc>
          <w:tcPr>
            <w:tcW w:w="5" w:type="pct"/>
            <w:shd w:val="clear" w:color="auto" w:fill="auto"/>
            <w:vAlign w:val="bottom"/>
          </w:tcPr>
          <w:p w14:paraId="67536B40" w14:textId="77777777" w:rsidR="001B77DD" w:rsidRDefault="001B77DD">
            <w:pPr>
              <w:rPr>
                <w:rFonts w:ascii="宋体"/>
              </w:rPr>
            </w:pPr>
          </w:p>
        </w:tc>
        <w:tc>
          <w:tcPr>
            <w:tcW w:w="5" w:type="pct"/>
            <w:shd w:val="clear" w:color="auto" w:fill="auto"/>
            <w:vAlign w:val="bottom"/>
          </w:tcPr>
          <w:p w14:paraId="67536B41" w14:textId="77777777" w:rsidR="001B77DD" w:rsidRDefault="001B77DD">
            <w:pPr>
              <w:rPr>
                <w:rFonts w:ascii="宋体"/>
              </w:rPr>
            </w:pPr>
          </w:p>
        </w:tc>
        <w:tc>
          <w:tcPr>
            <w:tcW w:w="24" w:type="pct"/>
            <w:shd w:val="clear" w:color="auto" w:fill="auto"/>
            <w:vAlign w:val="bottom"/>
          </w:tcPr>
          <w:p w14:paraId="67536B42" w14:textId="77777777" w:rsidR="001B77DD" w:rsidRDefault="001B77DD">
            <w:pPr>
              <w:rPr>
                <w:rFonts w:ascii="宋体"/>
              </w:rPr>
            </w:pPr>
          </w:p>
        </w:tc>
        <w:tc>
          <w:tcPr>
            <w:tcW w:w="5" w:type="pct"/>
            <w:shd w:val="clear" w:color="auto" w:fill="auto"/>
            <w:vAlign w:val="bottom"/>
          </w:tcPr>
          <w:p w14:paraId="67536B43" w14:textId="77777777" w:rsidR="001B77DD" w:rsidRDefault="001B77DD">
            <w:pPr>
              <w:rPr>
                <w:rFonts w:ascii="宋体"/>
              </w:rPr>
            </w:pPr>
          </w:p>
        </w:tc>
        <w:tc>
          <w:tcPr>
            <w:tcW w:w="50" w:type="pct"/>
            <w:shd w:val="clear" w:color="auto" w:fill="auto"/>
            <w:vAlign w:val="bottom"/>
          </w:tcPr>
          <w:p w14:paraId="67536B44" w14:textId="77777777" w:rsidR="001B77DD" w:rsidRDefault="001B77DD">
            <w:pPr>
              <w:rPr>
                <w:rFonts w:ascii="宋体"/>
              </w:rPr>
            </w:pPr>
          </w:p>
        </w:tc>
        <w:tc>
          <w:tcPr>
            <w:tcW w:w="539" w:type="pct"/>
            <w:shd w:val="clear" w:color="auto" w:fill="auto"/>
            <w:vAlign w:val="bottom"/>
          </w:tcPr>
          <w:p w14:paraId="67536B45" w14:textId="77777777" w:rsidR="001B77DD" w:rsidRDefault="001B77DD">
            <w:pPr>
              <w:rPr>
                <w:rFonts w:ascii="宋体"/>
              </w:rPr>
            </w:pPr>
          </w:p>
        </w:tc>
        <w:tc>
          <w:tcPr>
            <w:tcW w:w="5" w:type="pct"/>
            <w:shd w:val="clear" w:color="auto" w:fill="auto"/>
            <w:vAlign w:val="bottom"/>
          </w:tcPr>
          <w:p w14:paraId="67536B46" w14:textId="77777777" w:rsidR="001B77DD" w:rsidRDefault="001B77DD">
            <w:pPr>
              <w:rPr>
                <w:rFonts w:ascii="宋体"/>
              </w:rPr>
            </w:pPr>
          </w:p>
        </w:tc>
        <w:tc>
          <w:tcPr>
            <w:tcW w:w="5" w:type="pct"/>
            <w:shd w:val="clear" w:color="auto" w:fill="auto"/>
            <w:vAlign w:val="bottom"/>
          </w:tcPr>
          <w:p w14:paraId="67536B47" w14:textId="77777777" w:rsidR="001B77DD" w:rsidRDefault="001B77DD">
            <w:pPr>
              <w:rPr>
                <w:rFonts w:ascii="宋体"/>
              </w:rPr>
            </w:pPr>
          </w:p>
        </w:tc>
        <w:tc>
          <w:tcPr>
            <w:tcW w:w="24" w:type="pct"/>
            <w:shd w:val="clear" w:color="auto" w:fill="auto"/>
            <w:vAlign w:val="bottom"/>
          </w:tcPr>
          <w:p w14:paraId="67536B48" w14:textId="77777777" w:rsidR="001B77DD" w:rsidRDefault="001B77DD">
            <w:pPr>
              <w:rPr>
                <w:rFonts w:ascii="宋体"/>
              </w:rPr>
            </w:pPr>
          </w:p>
        </w:tc>
        <w:tc>
          <w:tcPr>
            <w:tcW w:w="5" w:type="pct"/>
            <w:shd w:val="clear" w:color="auto" w:fill="auto"/>
            <w:vAlign w:val="bottom"/>
          </w:tcPr>
          <w:p w14:paraId="67536B49" w14:textId="77777777" w:rsidR="001B77DD" w:rsidRDefault="001B77DD">
            <w:pPr>
              <w:rPr>
                <w:rFonts w:ascii="宋体"/>
              </w:rPr>
            </w:pPr>
          </w:p>
        </w:tc>
        <w:tc>
          <w:tcPr>
            <w:tcW w:w="50" w:type="pct"/>
            <w:shd w:val="clear" w:color="auto" w:fill="auto"/>
            <w:vAlign w:val="bottom"/>
          </w:tcPr>
          <w:p w14:paraId="67536B4A" w14:textId="77777777" w:rsidR="001B77DD" w:rsidRDefault="001B77DD">
            <w:pPr>
              <w:rPr>
                <w:rFonts w:ascii="宋体"/>
              </w:rPr>
            </w:pPr>
          </w:p>
        </w:tc>
        <w:tc>
          <w:tcPr>
            <w:tcW w:w="539" w:type="pct"/>
            <w:shd w:val="clear" w:color="auto" w:fill="auto"/>
            <w:vAlign w:val="bottom"/>
          </w:tcPr>
          <w:p w14:paraId="67536B4B" w14:textId="77777777" w:rsidR="001B77DD" w:rsidRDefault="001B77DD">
            <w:pPr>
              <w:rPr>
                <w:rFonts w:ascii="宋体"/>
              </w:rPr>
            </w:pPr>
          </w:p>
        </w:tc>
        <w:tc>
          <w:tcPr>
            <w:tcW w:w="5" w:type="pct"/>
            <w:shd w:val="clear" w:color="auto" w:fill="auto"/>
            <w:vAlign w:val="bottom"/>
          </w:tcPr>
          <w:p w14:paraId="67536B4C" w14:textId="77777777" w:rsidR="001B77DD" w:rsidRDefault="001B77DD">
            <w:pPr>
              <w:rPr>
                <w:rFonts w:ascii="宋体"/>
              </w:rPr>
            </w:pPr>
          </w:p>
        </w:tc>
      </w:tr>
      <w:tr w:rsidR="001B77DD" w14:paraId="67536B55" w14:textId="77777777">
        <w:tc>
          <w:tcPr>
            <w:tcW w:w="0" w:type="auto"/>
            <w:gridSpan w:val="3"/>
            <w:shd w:val="clear" w:color="auto" w:fill="auto"/>
            <w:tcMar>
              <w:top w:w="40" w:type="dxa"/>
              <w:left w:w="20" w:type="dxa"/>
              <w:bottom w:w="40" w:type="dxa"/>
              <w:right w:w="20" w:type="dxa"/>
            </w:tcMar>
            <w:vAlign w:val="bottom"/>
          </w:tcPr>
          <w:p w14:paraId="67536B4E" w14:textId="77777777" w:rsidR="001B77DD" w:rsidRDefault="00BF0A28">
            <w:pPr>
              <w:textAlignment w:val="bottom"/>
            </w:pPr>
            <w:r>
              <w:rPr>
                <w:rFonts w:ascii="Arial" w:eastAsia="宋体" w:hAnsi="Arial" w:cs="Arial"/>
                <w:b/>
                <w:bCs/>
                <w:color w:val="262626"/>
                <w:sz w:val="18"/>
                <w:szCs w:val="18"/>
              </w:rPr>
              <w:t>(In Millio</w:t>
            </w:r>
            <w:r>
              <w:rPr>
                <w:rFonts w:ascii="Arial" w:eastAsia="宋体" w:hAnsi="Arial" w:cs="Arial"/>
                <w:b/>
                <w:bCs/>
                <w:color w:val="262626"/>
                <w:sz w:val="18"/>
                <w:szCs w:val="18"/>
              </w:rPr>
              <w:t>ns)</w:t>
            </w:r>
          </w:p>
        </w:tc>
        <w:tc>
          <w:tcPr>
            <w:tcW w:w="0" w:type="auto"/>
            <w:gridSpan w:val="3"/>
            <w:shd w:val="clear" w:color="auto" w:fill="auto"/>
            <w:tcMar>
              <w:top w:w="0" w:type="dxa"/>
              <w:left w:w="20" w:type="dxa"/>
              <w:bottom w:w="0" w:type="dxa"/>
              <w:right w:w="20" w:type="dxa"/>
            </w:tcMar>
            <w:vAlign w:val="bottom"/>
          </w:tcPr>
          <w:p w14:paraId="67536B4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B50"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B5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B52"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B5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B54"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B6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B56" w14:textId="77777777" w:rsidR="001B77DD" w:rsidRDefault="00BF0A28">
            <w:pPr>
              <w:textAlignment w:val="bottom"/>
            </w:pPr>
            <w:r>
              <w:rPr>
                <w:rFonts w:ascii="Arial" w:eastAsia="宋体" w:hAnsi="Arial" w:cs="Arial"/>
                <w:b/>
                <w:bCs/>
                <w:color w:val="262626"/>
                <w:sz w:val="18"/>
                <w:szCs w:val="18"/>
              </w:rPr>
              <w:t>Beginning gross unrecognized tax benefits</w:t>
            </w:r>
          </w:p>
        </w:tc>
        <w:tc>
          <w:tcPr>
            <w:tcW w:w="0" w:type="auto"/>
            <w:gridSpan w:val="3"/>
            <w:shd w:val="clear" w:color="auto" w:fill="auto"/>
            <w:tcMar>
              <w:top w:w="0" w:type="dxa"/>
              <w:left w:w="20" w:type="dxa"/>
              <w:bottom w:w="0" w:type="dxa"/>
              <w:right w:w="20" w:type="dxa"/>
            </w:tcMar>
            <w:vAlign w:val="bottom"/>
          </w:tcPr>
          <w:p w14:paraId="67536B5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B58"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B59" w14:textId="77777777" w:rsidR="001B77DD" w:rsidRDefault="00BF0A28">
            <w:pPr>
              <w:jc w:val="right"/>
              <w:textAlignment w:val="bottom"/>
            </w:pPr>
            <w:r>
              <w:rPr>
                <w:rFonts w:ascii="Arial" w:eastAsia="宋体" w:hAnsi="Arial" w:cs="Arial"/>
                <w:b/>
                <w:bCs/>
                <w:color w:val="0068B5"/>
                <w:sz w:val="18"/>
                <w:szCs w:val="18"/>
              </w:rPr>
              <w:t>828</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B5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5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B5C"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B5D" w14:textId="77777777" w:rsidR="001B77DD" w:rsidRDefault="00BF0A28">
            <w:pPr>
              <w:jc w:val="right"/>
              <w:textAlignment w:val="bottom"/>
            </w:pPr>
            <w:r>
              <w:rPr>
                <w:rFonts w:ascii="Arial" w:eastAsia="宋体" w:hAnsi="Arial" w:cs="Arial"/>
                <w:b/>
                <w:bCs/>
                <w:color w:val="262626"/>
                <w:sz w:val="18"/>
                <w:szCs w:val="18"/>
              </w:rPr>
              <w:t>548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B5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5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B60"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B61" w14:textId="77777777" w:rsidR="001B77DD" w:rsidRDefault="00BF0A28">
            <w:pPr>
              <w:jc w:val="right"/>
              <w:textAlignment w:val="bottom"/>
            </w:pPr>
            <w:r>
              <w:rPr>
                <w:rFonts w:ascii="Arial" w:eastAsia="宋体" w:hAnsi="Arial" w:cs="Arial"/>
                <w:b/>
                <w:bCs/>
                <w:color w:val="262626"/>
                <w:sz w:val="18"/>
                <w:szCs w:val="18"/>
              </w:rPr>
              <w:t>283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B62" w14:textId="77777777" w:rsidR="001B77DD" w:rsidRDefault="001B77DD">
            <w:pPr>
              <w:jc w:val="right"/>
              <w:rPr>
                <w:rFonts w:ascii="宋体"/>
              </w:rPr>
            </w:pPr>
          </w:p>
        </w:tc>
      </w:tr>
      <w:tr w:rsidR="001B77DD" w14:paraId="67536B6E" w14:textId="77777777">
        <w:tc>
          <w:tcPr>
            <w:tcW w:w="0" w:type="auto"/>
            <w:gridSpan w:val="3"/>
            <w:shd w:val="clear" w:color="auto" w:fill="auto"/>
            <w:tcMar>
              <w:top w:w="40" w:type="dxa"/>
              <w:left w:w="20" w:type="dxa"/>
              <w:bottom w:w="40" w:type="dxa"/>
              <w:right w:w="20" w:type="dxa"/>
            </w:tcMar>
            <w:vAlign w:val="bottom"/>
          </w:tcPr>
          <w:p w14:paraId="67536B64" w14:textId="77777777" w:rsidR="001B77DD" w:rsidRDefault="00BF0A28">
            <w:pPr>
              <w:textAlignment w:val="bottom"/>
            </w:pPr>
            <w:r>
              <w:rPr>
                <w:rFonts w:ascii="Arial" w:eastAsia="宋体" w:hAnsi="Arial" w:cs="Arial"/>
                <w:color w:val="262626"/>
                <w:sz w:val="18"/>
                <w:szCs w:val="18"/>
              </w:rPr>
              <w:t xml:space="preserve">Settlements and effective settlements with tax authorities </w:t>
            </w:r>
          </w:p>
        </w:tc>
        <w:tc>
          <w:tcPr>
            <w:tcW w:w="0" w:type="auto"/>
            <w:gridSpan w:val="3"/>
            <w:shd w:val="clear" w:color="auto" w:fill="auto"/>
            <w:tcMar>
              <w:top w:w="0" w:type="dxa"/>
              <w:left w:w="20" w:type="dxa"/>
              <w:bottom w:w="0" w:type="dxa"/>
              <w:right w:w="20" w:type="dxa"/>
            </w:tcMar>
            <w:vAlign w:val="bottom"/>
          </w:tcPr>
          <w:p w14:paraId="67536B6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66" w14:textId="77777777" w:rsidR="001B77DD" w:rsidRDefault="00BF0A28">
            <w:pPr>
              <w:jc w:val="right"/>
              <w:textAlignment w:val="bottom"/>
            </w:pPr>
            <w:r>
              <w:rPr>
                <w:rFonts w:ascii="Arial" w:eastAsia="宋体" w:hAnsi="Arial" w:cs="Arial"/>
                <w:color w:val="0068B5"/>
                <w:sz w:val="18"/>
                <w:szCs w:val="18"/>
              </w:rPr>
              <w:t>(25)</w:t>
            </w:r>
          </w:p>
        </w:tc>
        <w:tc>
          <w:tcPr>
            <w:tcW w:w="0" w:type="auto"/>
            <w:shd w:val="clear" w:color="auto" w:fill="auto"/>
            <w:tcMar>
              <w:top w:w="40" w:type="dxa"/>
              <w:left w:w="0" w:type="dxa"/>
              <w:bottom w:w="40" w:type="dxa"/>
              <w:right w:w="20" w:type="dxa"/>
            </w:tcMar>
            <w:vAlign w:val="bottom"/>
          </w:tcPr>
          <w:p w14:paraId="67536B6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6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69" w14:textId="77777777" w:rsidR="001B77DD" w:rsidRDefault="00BF0A28">
            <w:pPr>
              <w:jc w:val="right"/>
              <w:textAlignment w:val="bottom"/>
            </w:pPr>
            <w:r>
              <w:rPr>
                <w:rFonts w:ascii="Arial" w:eastAsia="宋体" w:hAnsi="Arial" w:cs="Arial"/>
                <w:color w:val="262626"/>
                <w:sz w:val="18"/>
                <w:szCs w:val="18"/>
              </w:rPr>
              <w:t>(142)</w:t>
            </w:r>
          </w:p>
        </w:tc>
        <w:tc>
          <w:tcPr>
            <w:tcW w:w="0" w:type="auto"/>
            <w:shd w:val="clear" w:color="auto" w:fill="auto"/>
            <w:tcMar>
              <w:top w:w="40" w:type="dxa"/>
              <w:left w:w="0" w:type="dxa"/>
              <w:bottom w:w="40" w:type="dxa"/>
              <w:right w:w="20" w:type="dxa"/>
            </w:tcMar>
            <w:vAlign w:val="bottom"/>
          </w:tcPr>
          <w:p w14:paraId="67536B6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6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6C" w14:textId="77777777" w:rsidR="001B77DD" w:rsidRDefault="00BF0A28">
            <w:pPr>
              <w:jc w:val="right"/>
              <w:textAlignment w:val="bottom"/>
            </w:pPr>
            <w:r>
              <w:rPr>
                <w:rFonts w:ascii="Arial" w:eastAsia="宋体" w:hAnsi="Arial" w:cs="Arial"/>
                <w:color w:val="262626"/>
                <w:sz w:val="18"/>
                <w:szCs w:val="18"/>
              </w:rPr>
              <w:t>(4)</w:t>
            </w:r>
          </w:p>
        </w:tc>
        <w:tc>
          <w:tcPr>
            <w:tcW w:w="0" w:type="auto"/>
            <w:shd w:val="clear" w:color="auto" w:fill="auto"/>
            <w:tcMar>
              <w:top w:w="40" w:type="dxa"/>
              <w:left w:w="0" w:type="dxa"/>
              <w:bottom w:w="40" w:type="dxa"/>
              <w:right w:w="20" w:type="dxa"/>
            </w:tcMar>
            <w:vAlign w:val="bottom"/>
          </w:tcPr>
          <w:p w14:paraId="67536B6D" w14:textId="77777777" w:rsidR="001B77DD" w:rsidRDefault="001B77DD">
            <w:pPr>
              <w:jc w:val="right"/>
              <w:rPr>
                <w:rFonts w:ascii="宋体"/>
              </w:rPr>
            </w:pPr>
          </w:p>
        </w:tc>
      </w:tr>
      <w:tr w:rsidR="001B77DD" w14:paraId="67536B76" w14:textId="77777777">
        <w:trPr>
          <w:hidden/>
        </w:trPr>
        <w:tc>
          <w:tcPr>
            <w:tcW w:w="0" w:type="auto"/>
            <w:gridSpan w:val="3"/>
            <w:shd w:val="clear" w:color="auto" w:fill="auto"/>
            <w:vAlign w:val="bottom"/>
          </w:tcPr>
          <w:p w14:paraId="67536B6F" w14:textId="77777777" w:rsidR="001B77DD" w:rsidRDefault="001B77DD">
            <w:pPr>
              <w:rPr>
                <w:rFonts w:ascii="宋体"/>
                <w:vanish/>
              </w:rPr>
            </w:pPr>
          </w:p>
        </w:tc>
        <w:tc>
          <w:tcPr>
            <w:tcW w:w="0" w:type="auto"/>
            <w:gridSpan w:val="3"/>
            <w:shd w:val="clear" w:color="auto" w:fill="auto"/>
            <w:vAlign w:val="bottom"/>
          </w:tcPr>
          <w:p w14:paraId="67536B70" w14:textId="77777777" w:rsidR="001B77DD" w:rsidRDefault="001B77DD">
            <w:pPr>
              <w:rPr>
                <w:rFonts w:ascii="宋体"/>
                <w:vanish/>
              </w:rPr>
            </w:pPr>
          </w:p>
        </w:tc>
        <w:tc>
          <w:tcPr>
            <w:tcW w:w="0" w:type="auto"/>
            <w:gridSpan w:val="3"/>
            <w:shd w:val="clear" w:color="auto" w:fill="auto"/>
            <w:vAlign w:val="bottom"/>
          </w:tcPr>
          <w:p w14:paraId="67536B71" w14:textId="77777777" w:rsidR="001B77DD" w:rsidRDefault="001B77DD">
            <w:pPr>
              <w:rPr>
                <w:rFonts w:ascii="宋体"/>
                <w:vanish/>
              </w:rPr>
            </w:pPr>
          </w:p>
        </w:tc>
        <w:tc>
          <w:tcPr>
            <w:tcW w:w="0" w:type="auto"/>
            <w:gridSpan w:val="3"/>
            <w:shd w:val="clear" w:color="auto" w:fill="auto"/>
            <w:vAlign w:val="bottom"/>
          </w:tcPr>
          <w:p w14:paraId="67536B72" w14:textId="77777777" w:rsidR="001B77DD" w:rsidRDefault="001B77DD">
            <w:pPr>
              <w:rPr>
                <w:rFonts w:ascii="宋体"/>
                <w:vanish/>
              </w:rPr>
            </w:pPr>
          </w:p>
        </w:tc>
        <w:tc>
          <w:tcPr>
            <w:tcW w:w="0" w:type="auto"/>
            <w:gridSpan w:val="3"/>
            <w:shd w:val="clear" w:color="auto" w:fill="auto"/>
            <w:vAlign w:val="bottom"/>
          </w:tcPr>
          <w:p w14:paraId="67536B73" w14:textId="77777777" w:rsidR="001B77DD" w:rsidRDefault="001B77DD">
            <w:pPr>
              <w:rPr>
                <w:rFonts w:ascii="宋体"/>
                <w:vanish/>
              </w:rPr>
            </w:pPr>
          </w:p>
        </w:tc>
        <w:tc>
          <w:tcPr>
            <w:tcW w:w="0" w:type="auto"/>
            <w:gridSpan w:val="3"/>
            <w:shd w:val="clear" w:color="auto" w:fill="auto"/>
            <w:vAlign w:val="bottom"/>
          </w:tcPr>
          <w:p w14:paraId="67536B74" w14:textId="77777777" w:rsidR="001B77DD" w:rsidRDefault="001B77DD">
            <w:pPr>
              <w:rPr>
                <w:rFonts w:ascii="宋体"/>
                <w:vanish/>
              </w:rPr>
            </w:pPr>
          </w:p>
        </w:tc>
        <w:tc>
          <w:tcPr>
            <w:tcW w:w="0" w:type="auto"/>
            <w:gridSpan w:val="3"/>
            <w:shd w:val="clear" w:color="auto" w:fill="auto"/>
            <w:vAlign w:val="bottom"/>
          </w:tcPr>
          <w:p w14:paraId="67536B75" w14:textId="77777777" w:rsidR="001B77DD" w:rsidRDefault="001B77DD">
            <w:pPr>
              <w:rPr>
                <w:rFonts w:ascii="宋体"/>
                <w:vanish/>
              </w:rPr>
            </w:pPr>
          </w:p>
        </w:tc>
      </w:tr>
      <w:tr w:rsidR="001B77DD" w14:paraId="67536B80" w14:textId="77777777">
        <w:tc>
          <w:tcPr>
            <w:tcW w:w="0" w:type="auto"/>
            <w:gridSpan w:val="3"/>
            <w:shd w:val="clear" w:color="auto" w:fill="auto"/>
            <w:tcMar>
              <w:top w:w="40" w:type="dxa"/>
              <w:left w:w="20" w:type="dxa"/>
              <w:bottom w:w="40" w:type="dxa"/>
              <w:right w:w="20" w:type="dxa"/>
            </w:tcMar>
            <w:vAlign w:val="bottom"/>
          </w:tcPr>
          <w:p w14:paraId="67536B77" w14:textId="77777777" w:rsidR="001B77DD" w:rsidRDefault="00BF0A28">
            <w:pPr>
              <w:textAlignment w:val="bottom"/>
            </w:pPr>
            <w:r>
              <w:rPr>
                <w:rFonts w:ascii="Arial" w:eastAsia="宋体" w:hAnsi="Arial" w:cs="Arial"/>
                <w:color w:val="262626"/>
                <w:sz w:val="18"/>
                <w:szCs w:val="18"/>
              </w:rPr>
              <w:t>Changes in balances related to tax position taken during prior periods</w:t>
            </w:r>
          </w:p>
        </w:tc>
        <w:tc>
          <w:tcPr>
            <w:tcW w:w="0" w:type="auto"/>
            <w:gridSpan w:val="3"/>
            <w:shd w:val="clear" w:color="auto" w:fill="auto"/>
            <w:tcMar>
              <w:top w:w="0" w:type="dxa"/>
              <w:left w:w="20" w:type="dxa"/>
              <w:bottom w:w="0" w:type="dxa"/>
              <w:right w:w="20" w:type="dxa"/>
            </w:tcMar>
            <w:vAlign w:val="bottom"/>
          </w:tcPr>
          <w:p w14:paraId="67536B7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79" w14:textId="77777777" w:rsidR="001B77DD" w:rsidRDefault="00BF0A28">
            <w:pPr>
              <w:jc w:val="right"/>
              <w:textAlignment w:val="bottom"/>
            </w:pPr>
            <w:r>
              <w:rPr>
                <w:rFonts w:ascii="Arial" w:eastAsia="宋体" w:hAnsi="Arial" w:cs="Arial"/>
                <w:color w:val="0068B5"/>
                <w:sz w:val="18"/>
                <w:szCs w:val="18"/>
              </w:rPr>
              <w:t>(26)</w:t>
            </w:r>
          </w:p>
        </w:tc>
        <w:tc>
          <w:tcPr>
            <w:tcW w:w="0" w:type="auto"/>
            <w:shd w:val="clear" w:color="auto" w:fill="auto"/>
            <w:tcMar>
              <w:top w:w="40" w:type="dxa"/>
              <w:left w:w="0" w:type="dxa"/>
              <w:bottom w:w="40" w:type="dxa"/>
              <w:right w:w="20" w:type="dxa"/>
            </w:tcMar>
            <w:vAlign w:val="bottom"/>
          </w:tcPr>
          <w:p w14:paraId="67536B7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7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B7C" w14:textId="77777777" w:rsidR="001B77DD" w:rsidRDefault="00BF0A28">
            <w:pPr>
              <w:jc w:val="right"/>
              <w:textAlignment w:val="bottom"/>
            </w:pPr>
            <w:r>
              <w:rPr>
                <w:rFonts w:ascii="Arial" w:eastAsia="宋体" w:hAnsi="Arial" w:cs="Arial"/>
                <w:color w:val="262626"/>
                <w:sz w:val="18"/>
                <w:szCs w:val="18"/>
              </w:rPr>
              <w:t>165</w:t>
            </w:r>
          </w:p>
        </w:tc>
        <w:tc>
          <w:tcPr>
            <w:tcW w:w="0" w:type="auto"/>
            <w:gridSpan w:val="3"/>
            <w:shd w:val="clear" w:color="auto" w:fill="auto"/>
            <w:tcMar>
              <w:top w:w="0" w:type="dxa"/>
              <w:left w:w="20" w:type="dxa"/>
              <w:bottom w:w="0" w:type="dxa"/>
              <w:right w:w="20" w:type="dxa"/>
            </w:tcMar>
            <w:vAlign w:val="bottom"/>
          </w:tcPr>
          <w:p w14:paraId="67536B7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7E" w14:textId="77777777" w:rsidR="001B77DD" w:rsidRDefault="00BF0A28">
            <w:pPr>
              <w:jc w:val="right"/>
              <w:textAlignment w:val="bottom"/>
            </w:pPr>
            <w:r>
              <w:rPr>
                <w:rFonts w:ascii="Arial" w:eastAsia="宋体" w:hAnsi="Arial" w:cs="Arial"/>
                <w:color w:val="262626"/>
                <w:sz w:val="18"/>
                <w:szCs w:val="18"/>
              </w:rPr>
              <w:t>122 </w:t>
            </w:r>
          </w:p>
        </w:tc>
        <w:tc>
          <w:tcPr>
            <w:tcW w:w="0" w:type="auto"/>
            <w:shd w:val="clear" w:color="auto" w:fill="auto"/>
            <w:tcMar>
              <w:top w:w="40" w:type="dxa"/>
              <w:left w:w="0" w:type="dxa"/>
              <w:bottom w:w="40" w:type="dxa"/>
              <w:right w:w="20" w:type="dxa"/>
            </w:tcMar>
            <w:vAlign w:val="bottom"/>
          </w:tcPr>
          <w:p w14:paraId="67536B7F" w14:textId="77777777" w:rsidR="001B77DD" w:rsidRDefault="001B77DD">
            <w:pPr>
              <w:jc w:val="right"/>
              <w:rPr>
                <w:rFonts w:ascii="宋体"/>
              </w:rPr>
            </w:pPr>
          </w:p>
        </w:tc>
      </w:tr>
      <w:tr w:rsidR="001B77DD" w14:paraId="67536B88" w14:textId="77777777">
        <w:trPr>
          <w:hidden/>
        </w:trPr>
        <w:tc>
          <w:tcPr>
            <w:tcW w:w="0" w:type="auto"/>
            <w:gridSpan w:val="3"/>
            <w:shd w:val="clear" w:color="auto" w:fill="auto"/>
            <w:vAlign w:val="bottom"/>
          </w:tcPr>
          <w:p w14:paraId="67536B81" w14:textId="77777777" w:rsidR="001B77DD" w:rsidRDefault="001B77DD">
            <w:pPr>
              <w:rPr>
                <w:rFonts w:ascii="宋体"/>
                <w:vanish/>
              </w:rPr>
            </w:pPr>
          </w:p>
        </w:tc>
        <w:tc>
          <w:tcPr>
            <w:tcW w:w="0" w:type="auto"/>
            <w:gridSpan w:val="3"/>
            <w:shd w:val="clear" w:color="auto" w:fill="auto"/>
            <w:vAlign w:val="bottom"/>
          </w:tcPr>
          <w:p w14:paraId="67536B82" w14:textId="77777777" w:rsidR="001B77DD" w:rsidRDefault="001B77DD">
            <w:pPr>
              <w:rPr>
                <w:rFonts w:ascii="宋体"/>
                <w:vanish/>
              </w:rPr>
            </w:pPr>
          </w:p>
        </w:tc>
        <w:tc>
          <w:tcPr>
            <w:tcW w:w="0" w:type="auto"/>
            <w:gridSpan w:val="3"/>
            <w:shd w:val="clear" w:color="auto" w:fill="auto"/>
            <w:vAlign w:val="bottom"/>
          </w:tcPr>
          <w:p w14:paraId="67536B83" w14:textId="77777777" w:rsidR="001B77DD" w:rsidRDefault="001B77DD">
            <w:pPr>
              <w:rPr>
                <w:rFonts w:ascii="宋体"/>
                <w:vanish/>
              </w:rPr>
            </w:pPr>
          </w:p>
        </w:tc>
        <w:tc>
          <w:tcPr>
            <w:tcW w:w="0" w:type="auto"/>
            <w:gridSpan w:val="3"/>
            <w:shd w:val="clear" w:color="auto" w:fill="auto"/>
            <w:vAlign w:val="bottom"/>
          </w:tcPr>
          <w:p w14:paraId="67536B84" w14:textId="77777777" w:rsidR="001B77DD" w:rsidRDefault="001B77DD">
            <w:pPr>
              <w:rPr>
                <w:rFonts w:ascii="宋体"/>
                <w:vanish/>
              </w:rPr>
            </w:pPr>
          </w:p>
        </w:tc>
        <w:tc>
          <w:tcPr>
            <w:tcW w:w="0" w:type="auto"/>
            <w:gridSpan w:val="3"/>
            <w:shd w:val="clear" w:color="auto" w:fill="auto"/>
            <w:vAlign w:val="bottom"/>
          </w:tcPr>
          <w:p w14:paraId="67536B85" w14:textId="77777777" w:rsidR="001B77DD" w:rsidRDefault="001B77DD">
            <w:pPr>
              <w:rPr>
                <w:rFonts w:ascii="宋体"/>
                <w:vanish/>
              </w:rPr>
            </w:pPr>
          </w:p>
        </w:tc>
        <w:tc>
          <w:tcPr>
            <w:tcW w:w="0" w:type="auto"/>
            <w:gridSpan w:val="3"/>
            <w:shd w:val="clear" w:color="auto" w:fill="auto"/>
            <w:vAlign w:val="bottom"/>
          </w:tcPr>
          <w:p w14:paraId="67536B86" w14:textId="77777777" w:rsidR="001B77DD" w:rsidRDefault="001B77DD">
            <w:pPr>
              <w:rPr>
                <w:rFonts w:ascii="宋体"/>
                <w:vanish/>
              </w:rPr>
            </w:pPr>
          </w:p>
        </w:tc>
        <w:tc>
          <w:tcPr>
            <w:tcW w:w="0" w:type="auto"/>
            <w:gridSpan w:val="3"/>
            <w:shd w:val="clear" w:color="auto" w:fill="auto"/>
            <w:vAlign w:val="bottom"/>
          </w:tcPr>
          <w:p w14:paraId="67536B87" w14:textId="77777777" w:rsidR="001B77DD" w:rsidRDefault="001B77DD">
            <w:pPr>
              <w:rPr>
                <w:rFonts w:ascii="宋体"/>
                <w:vanish/>
              </w:rPr>
            </w:pPr>
          </w:p>
        </w:tc>
      </w:tr>
      <w:tr w:rsidR="001B77DD" w14:paraId="67536B90" w14:textId="77777777">
        <w:tc>
          <w:tcPr>
            <w:tcW w:w="0" w:type="auto"/>
            <w:gridSpan w:val="3"/>
            <w:shd w:val="clear" w:color="auto" w:fill="auto"/>
            <w:tcMar>
              <w:top w:w="40" w:type="dxa"/>
              <w:left w:w="20" w:type="dxa"/>
              <w:bottom w:w="40" w:type="dxa"/>
              <w:right w:w="20" w:type="dxa"/>
            </w:tcMar>
            <w:vAlign w:val="bottom"/>
          </w:tcPr>
          <w:p w14:paraId="67536B89" w14:textId="77777777" w:rsidR="001B77DD" w:rsidRDefault="00BF0A28">
            <w:pPr>
              <w:textAlignment w:val="bottom"/>
            </w:pPr>
            <w:r>
              <w:rPr>
                <w:rFonts w:ascii="Arial" w:eastAsia="宋体" w:hAnsi="Arial" w:cs="Arial"/>
                <w:color w:val="262626"/>
                <w:sz w:val="18"/>
                <w:szCs w:val="18"/>
              </w:rPr>
              <w:t>Changes in balances related to tax position taken during current period</w:t>
            </w:r>
          </w:p>
        </w:tc>
        <w:tc>
          <w:tcPr>
            <w:tcW w:w="0" w:type="auto"/>
            <w:gridSpan w:val="3"/>
            <w:shd w:val="clear" w:color="auto" w:fill="auto"/>
            <w:tcMar>
              <w:top w:w="0" w:type="dxa"/>
              <w:left w:w="20" w:type="dxa"/>
              <w:bottom w:w="0" w:type="dxa"/>
              <w:right w:w="20" w:type="dxa"/>
            </w:tcMar>
            <w:vAlign w:val="bottom"/>
          </w:tcPr>
          <w:p w14:paraId="67536B8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B8B" w14:textId="77777777" w:rsidR="001B77DD" w:rsidRDefault="00BF0A28">
            <w:pPr>
              <w:jc w:val="right"/>
              <w:textAlignment w:val="bottom"/>
            </w:pPr>
            <w:r>
              <w:rPr>
                <w:rFonts w:ascii="Arial" w:eastAsia="宋体" w:hAnsi="Arial" w:cs="Arial"/>
                <w:color w:val="0068B5"/>
                <w:sz w:val="18"/>
                <w:szCs w:val="18"/>
              </w:rPr>
              <w:t>243</w:t>
            </w:r>
          </w:p>
        </w:tc>
        <w:tc>
          <w:tcPr>
            <w:tcW w:w="0" w:type="auto"/>
            <w:gridSpan w:val="3"/>
            <w:shd w:val="clear" w:color="auto" w:fill="auto"/>
            <w:tcMar>
              <w:top w:w="0" w:type="dxa"/>
              <w:left w:w="20" w:type="dxa"/>
              <w:bottom w:w="0" w:type="dxa"/>
              <w:right w:w="20" w:type="dxa"/>
            </w:tcMar>
            <w:vAlign w:val="bottom"/>
          </w:tcPr>
          <w:p w14:paraId="67536B8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B8D" w14:textId="77777777" w:rsidR="001B77DD" w:rsidRDefault="00BF0A28">
            <w:pPr>
              <w:jc w:val="right"/>
              <w:textAlignment w:val="bottom"/>
            </w:pPr>
            <w:r>
              <w:rPr>
                <w:rFonts w:ascii="Arial" w:eastAsia="宋体" w:hAnsi="Arial" w:cs="Arial"/>
                <w:color w:val="262626"/>
                <w:sz w:val="18"/>
                <w:szCs w:val="18"/>
              </w:rPr>
              <w:t>257</w:t>
            </w:r>
          </w:p>
        </w:tc>
        <w:tc>
          <w:tcPr>
            <w:tcW w:w="0" w:type="auto"/>
            <w:gridSpan w:val="3"/>
            <w:shd w:val="clear" w:color="auto" w:fill="auto"/>
            <w:tcMar>
              <w:top w:w="0" w:type="dxa"/>
              <w:left w:w="20" w:type="dxa"/>
              <w:bottom w:w="0" w:type="dxa"/>
              <w:right w:w="20" w:type="dxa"/>
            </w:tcMar>
            <w:vAlign w:val="bottom"/>
          </w:tcPr>
          <w:p w14:paraId="67536B8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B8F" w14:textId="77777777" w:rsidR="001B77DD" w:rsidRDefault="00BF0A28">
            <w:pPr>
              <w:jc w:val="right"/>
              <w:textAlignment w:val="bottom"/>
            </w:pPr>
            <w:r>
              <w:rPr>
                <w:rFonts w:ascii="Arial" w:eastAsia="宋体" w:hAnsi="Arial" w:cs="Arial"/>
                <w:color w:val="262626"/>
                <w:sz w:val="18"/>
                <w:szCs w:val="18"/>
              </w:rPr>
              <w:t>147</w:t>
            </w:r>
          </w:p>
        </w:tc>
      </w:tr>
      <w:tr w:rsidR="001B77DD" w14:paraId="67536B9E" w14:textId="77777777">
        <w:tc>
          <w:tcPr>
            <w:tcW w:w="0" w:type="auto"/>
            <w:gridSpan w:val="3"/>
            <w:shd w:val="clear" w:color="auto" w:fill="auto"/>
            <w:tcMar>
              <w:top w:w="40" w:type="dxa"/>
              <w:left w:w="20" w:type="dxa"/>
              <w:bottom w:w="40" w:type="dxa"/>
              <w:right w:w="20" w:type="dxa"/>
            </w:tcMar>
            <w:vAlign w:val="bottom"/>
          </w:tcPr>
          <w:p w14:paraId="67536B91" w14:textId="77777777" w:rsidR="001B77DD" w:rsidRDefault="00BF0A28">
            <w:pPr>
              <w:textAlignment w:val="bottom"/>
            </w:pPr>
            <w:r>
              <w:rPr>
                <w:rFonts w:ascii="Arial" w:eastAsia="宋体" w:hAnsi="Arial" w:cs="Arial"/>
                <w:b/>
                <w:bCs/>
                <w:color w:val="262626"/>
                <w:sz w:val="18"/>
                <w:szCs w:val="18"/>
              </w:rPr>
              <w:t>Ending gross unrecognized tax benefits</w:t>
            </w:r>
          </w:p>
        </w:tc>
        <w:tc>
          <w:tcPr>
            <w:tcW w:w="0" w:type="auto"/>
            <w:gridSpan w:val="3"/>
            <w:shd w:val="clear" w:color="auto" w:fill="auto"/>
            <w:tcMar>
              <w:top w:w="0" w:type="dxa"/>
              <w:left w:w="20" w:type="dxa"/>
              <w:bottom w:w="0" w:type="dxa"/>
              <w:right w:w="20" w:type="dxa"/>
            </w:tcMar>
            <w:vAlign w:val="bottom"/>
          </w:tcPr>
          <w:p w14:paraId="67536B92"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B93"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B94" w14:textId="77777777" w:rsidR="001B77DD" w:rsidRDefault="00BF0A28">
            <w:pPr>
              <w:jc w:val="right"/>
              <w:textAlignment w:val="bottom"/>
            </w:pPr>
            <w:r>
              <w:rPr>
                <w:rFonts w:ascii="Arial" w:eastAsia="宋体" w:hAnsi="Arial" w:cs="Arial"/>
                <w:b/>
                <w:bCs/>
                <w:color w:val="0068B5"/>
                <w:sz w:val="18"/>
                <w:szCs w:val="18"/>
              </w:rPr>
              <w:t>1,020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B9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96"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B9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B98" w14:textId="77777777" w:rsidR="001B77DD" w:rsidRDefault="00BF0A28">
            <w:pPr>
              <w:jc w:val="right"/>
              <w:textAlignment w:val="bottom"/>
            </w:pPr>
            <w:r>
              <w:rPr>
                <w:rFonts w:ascii="Arial" w:eastAsia="宋体" w:hAnsi="Arial" w:cs="Arial"/>
                <w:b/>
                <w:bCs/>
                <w:color w:val="262626"/>
                <w:sz w:val="18"/>
                <w:szCs w:val="18"/>
              </w:rPr>
              <w:t>828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B9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B9A"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B9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B9C" w14:textId="77777777" w:rsidR="001B77DD" w:rsidRDefault="00BF0A28">
            <w:pPr>
              <w:jc w:val="right"/>
              <w:textAlignment w:val="bottom"/>
            </w:pPr>
            <w:r>
              <w:rPr>
                <w:rFonts w:ascii="Arial" w:eastAsia="宋体" w:hAnsi="Arial" w:cs="Arial"/>
                <w:b/>
                <w:bCs/>
                <w:color w:val="262626"/>
                <w:sz w:val="18"/>
                <w:szCs w:val="18"/>
              </w:rPr>
              <w:t>548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B9D" w14:textId="77777777" w:rsidR="001B77DD" w:rsidRDefault="001B77DD">
            <w:pPr>
              <w:jc w:val="right"/>
              <w:rPr>
                <w:rFonts w:ascii="宋体"/>
              </w:rPr>
            </w:pPr>
          </w:p>
        </w:tc>
      </w:tr>
    </w:tbl>
    <w:p w14:paraId="67536B9F" w14:textId="77777777" w:rsidR="001B77DD" w:rsidRDefault="00BF0A28">
      <w:pPr>
        <w:spacing w:after="180"/>
      </w:pPr>
      <w:r>
        <w:rPr>
          <w:rFonts w:ascii="Arial" w:eastAsia="宋体" w:hAnsi="Arial" w:cs="Arial"/>
          <w:color w:val="262626"/>
          <w:sz w:val="18"/>
          <w:szCs w:val="18"/>
        </w:rPr>
        <w:t>If the remaining balance of unrecognized tax benefits were recognized in a future period, it would result in a tax benefit of $721 million as of December 25, 2021 ($550 million as of De</w:t>
      </w:r>
      <w:r>
        <w:rPr>
          <w:rFonts w:ascii="Arial" w:eastAsia="宋体" w:hAnsi="Arial" w:cs="Arial"/>
          <w:color w:val="262626"/>
          <w:sz w:val="18"/>
          <w:szCs w:val="18"/>
        </w:rPr>
        <w:t>cember 26, 2020) and a reduction in the effective tax rate. Interest, penalties, and accrued interest related to unrecognized tax benefits were insignificant in the periods presented.</w:t>
      </w:r>
    </w:p>
    <w:p w14:paraId="67536BA0" w14:textId="77777777" w:rsidR="001B77DD" w:rsidRDefault="00BF0A28">
      <w:pPr>
        <w:spacing w:after="180"/>
      </w:pPr>
      <w:r>
        <w:rPr>
          <w:rFonts w:ascii="Arial" w:eastAsia="宋体" w:hAnsi="Arial" w:cs="Arial"/>
          <w:color w:val="262626"/>
          <w:sz w:val="18"/>
          <w:szCs w:val="18"/>
        </w:rPr>
        <w:t>We regularly engage in discussions and negotiations with tax authorities</w:t>
      </w:r>
      <w:r>
        <w:rPr>
          <w:rFonts w:ascii="Arial" w:eastAsia="宋体" w:hAnsi="Arial" w:cs="Arial"/>
          <w:color w:val="262626"/>
          <w:sz w:val="18"/>
          <w:szCs w:val="18"/>
        </w:rPr>
        <w:t xml:space="preserve"> regarding tax matters in the various jurisdictions in which we conduct business. Although the timing of the resolutions and/or closures of audits is highly uncertain, it is reasonably possible that certain US federal and non-US tax audits may be concluded</w:t>
      </w:r>
      <w:r>
        <w:rPr>
          <w:rFonts w:ascii="Arial" w:eastAsia="宋体" w:hAnsi="Arial" w:cs="Arial"/>
          <w:color w:val="262626"/>
          <w:sz w:val="18"/>
          <w:szCs w:val="18"/>
        </w:rPr>
        <w:t xml:space="preserve"> within the next 12 months, which could increase or decrease the balance of our gross unrecognized tax benefits. We estimate that the unrecognized tax benefits as of December 25, 2021 could decrease by as much as $327 million in the next 12 months. </w:t>
      </w:r>
    </w:p>
    <w:p w14:paraId="67536BA1" w14:textId="77777777" w:rsidR="001B77DD" w:rsidRDefault="00BF0A28">
      <w:pPr>
        <w:spacing w:after="180"/>
      </w:pPr>
      <w:r>
        <w:rPr>
          <w:rFonts w:ascii="Arial" w:eastAsia="宋体" w:hAnsi="Arial" w:cs="Arial"/>
          <w:color w:val="262626"/>
          <w:sz w:val="18"/>
          <w:szCs w:val="18"/>
        </w:rPr>
        <w:t>We fil</w:t>
      </w:r>
      <w:r>
        <w:rPr>
          <w:rFonts w:ascii="Arial" w:eastAsia="宋体" w:hAnsi="Arial" w:cs="Arial"/>
          <w:color w:val="262626"/>
          <w:sz w:val="18"/>
          <w:szCs w:val="18"/>
        </w:rPr>
        <w:t>e federal, state, and non-US tax returns. Excluding pre-acquisition Altera tax years, we are no longer subject to US federal and non-US tax examinations for years prior to 2013. For US state tax returns, we are no longer subject to tax examination for year</w:t>
      </w:r>
      <w:r>
        <w:rPr>
          <w:rFonts w:ascii="Arial" w:eastAsia="宋体" w:hAnsi="Arial" w:cs="Arial"/>
          <w:color w:val="262626"/>
          <w:sz w:val="18"/>
          <w:szCs w:val="18"/>
        </w:rPr>
        <w:t>s prior to 2014.</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6BA8" w14:textId="77777777">
        <w:tc>
          <w:tcPr>
            <w:tcW w:w="50" w:type="pct"/>
            <w:shd w:val="clear" w:color="auto" w:fill="auto"/>
            <w:vAlign w:val="bottom"/>
          </w:tcPr>
          <w:p w14:paraId="67536BA2" w14:textId="77777777" w:rsidR="001B77DD" w:rsidRDefault="001B77DD">
            <w:pPr>
              <w:rPr>
                <w:rFonts w:ascii="宋体"/>
              </w:rPr>
            </w:pPr>
          </w:p>
        </w:tc>
        <w:tc>
          <w:tcPr>
            <w:tcW w:w="539" w:type="pct"/>
            <w:shd w:val="clear" w:color="auto" w:fill="auto"/>
            <w:vAlign w:val="bottom"/>
          </w:tcPr>
          <w:p w14:paraId="67536BA3" w14:textId="77777777" w:rsidR="001B77DD" w:rsidRDefault="001B77DD">
            <w:pPr>
              <w:rPr>
                <w:rFonts w:ascii="宋体"/>
              </w:rPr>
            </w:pPr>
          </w:p>
        </w:tc>
        <w:tc>
          <w:tcPr>
            <w:tcW w:w="5" w:type="pct"/>
            <w:shd w:val="clear" w:color="auto" w:fill="auto"/>
            <w:vAlign w:val="bottom"/>
          </w:tcPr>
          <w:p w14:paraId="67536BA4" w14:textId="77777777" w:rsidR="001B77DD" w:rsidRDefault="001B77DD">
            <w:pPr>
              <w:rPr>
                <w:rFonts w:ascii="宋体"/>
              </w:rPr>
            </w:pPr>
          </w:p>
        </w:tc>
        <w:tc>
          <w:tcPr>
            <w:tcW w:w="50" w:type="pct"/>
            <w:shd w:val="clear" w:color="auto" w:fill="auto"/>
            <w:vAlign w:val="bottom"/>
          </w:tcPr>
          <w:p w14:paraId="67536BA5" w14:textId="77777777" w:rsidR="001B77DD" w:rsidRDefault="001B77DD">
            <w:pPr>
              <w:rPr>
                <w:rFonts w:ascii="宋体"/>
              </w:rPr>
            </w:pPr>
          </w:p>
        </w:tc>
        <w:tc>
          <w:tcPr>
            <w:tcW w:w="4350" w:type="pct"/>
            <w:shd w:val="clear" w:color="auto" w:fill="auto"/>
            <w:vAlign w:val="bottom"/>
          </w:tcPr>
          <w:p w14:paraId="67536BA6" w14:textId="77777777" w:rsidR="001B77DD" w:rsidRDefault="001B77DD">
            <w:pPr>
              <w:rPr>
                <w:rFonts w:ascii="宋体"/>
              </w:rPr>
            </w:pPr>
          </w:p>
        </w:tc>
        <w:tc>
          <w:tcPr>
            <w:tcW w:w="5" w:type="pct"/>
            <w:shd w:val="clear" w:color="auto" w:fill="auto"/>
            <w:vAlign w:val="bottom"/>
          </w:tcPr>
          <w:p w14:paraId="67536BA7" w14:textId="77777777" w:rsidR="001B77DD" w:rsidRDefault="001B77DD">
            <w:pPr>
              <w:rPr>
                <w:rFonts w:ascii="宋体"/>
              </w:rPr>
            </w:pPr>
          </w:p>
        </w:tc>
      </w:tr>
      <w:tr w:rsidR="001B77DD" w14:paraId="67536BA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BA9" w14:textId="77777777" w:rsidR="001B77DD" w:rsidRDefault="00BF0A28">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BAA" w14:textId="77777777" w:rsidR="001B77DD" w:rsidRDefault="00BF0A28">
            <w:pPr>
              <w:textAlignment w:val="bottom"/>
            </w:pPr>
            <w:r>
              <w:rPr>
                <w:rFonts w:ascii="Arial" w:eastAsia="宋体" w:hAnsi="Arial" w:cs="Arial"/>
                <w:color w:val="0068B5"/>
                <w:sz w:val="28"/>
                <w:szCs w:val="28"/>
              </w:rPr>
              <w:t>Investments</w:t>
            </w:r>
          </w:p>
        </w:tc>
      </w:tr>
    </w:tbl>
    <w:p w14:paraId="67536BAC" w14:textId="77777777" w:rsidR="001B77DD" w:rsidRDefault="00BF0A28">
      <w:pPr>
        <w:spacing w:after="180"/>
      </w:pPr>
      <w:r>
        <w:rPr>
          <w:rFonts w:ascii="Arial" w:eastAsia="宋体" w:hAnsi="Arial" w:cs="Arial"/>
          <w:color w:val="0068B5"/>
        </w:rPr>
        <w:t>Debt Investments</w:t>
      </w:r>
    </w:p>
    <w:p w14:paraId="67536BAD" w14:textId="77777777" w:rsidR="001B77DD" w:rsidRDefault="00BF0A28">
      <w:pPr>
        <w:spacing w:after="120"/>
      </w:pPr>
      <w:r>
        <w:rPr>
          <w:rFonts w:ascii="Arial" w:eastAsia="宋体" w:hAnsi="Arial" w:cs="Arial"/>
          <w:color w:val="0068B5"/>
          <w:sz w:val="20"/>
          <w:szCs w:val="20"/>
        </w:rPr>
        <w:t>Trading Assets</w:t>
      </w:r>
    </w:p>
    <w:p w14:paraId="67536BAE" w14:textId="77777777" w:rsidR="001B77DD" w:rsidRDefault="00BF0A28">
      <w:pPr>
        <w:spacing w:after="180"/>
      </w:pPr>
      <w:r>
        <w:rPr>
          <w:rFonts w:ascii="Arial" w:eastAsia="宋体" w:hAnsi="Arial" w:cs="Arial"/>
          <w:color w:val="262626"/>
          <w:sz w:val="18"/>
          <w:szCs w:val="18"/>
        </w:rPr>
        <w:t xml:space="preserve">For trading assets still held at the reporting date, we recorded net losses of $606 million in 2021 (net gains of $694 million in 2020 and net </w:t>
      </w:r>
      <w:r>
        <w:rPr>
          <w:rFonts w:ascii="Arial" w:eastAsia="宋体" w:hAnsi="Arial" w:cs="Arial"/>
          <w:color w:val="000000"/>
          <w:sz w:val="18"/>
          <w:szCs w:val="18"/>
        </w:rPr>
        <w:t>gains</w:t>
      </w:r>
      <w:r>
        <w:rPr>
          <w:rFonts w:ascii="Arial" w:eastAsia="宋体" w:hAnsi="Arial" w:cs="Arial"/>
          <w:color w:val="262626"/>
          <w:sz w:val="18"/>
          <w:szCs w:val="18"/>
        </w:rPr>
        <w:t xml:space="preserve"> of $26 million in 2019). Net gains on the related derivatives were $609 million in 2021 (net losses of $667</w:t>
      </w:r>
      <w:r>
        <w:rPr>
          <w:rFonts w:ascii="Arial" w:eastAsia="宋体" w:hAnsi="Arial" w:cs="Arial"/>
          <w:color w:val="262626"/>
          <w:sz w:val="18"/>
          <w:szCs w:val="18"/>
        </w:rPr>
        <w:t xml:space="preserve"> million in 2020 and net </w:t>
      </w:r>
      <w:r>
        <w:rPr>
          <w:rFonts w:ascii="Arial" w:eastAsia="宋体" w:hAnsi="Arial" w:cs="Arial"/>
          <w:color w:val="000000"/>
          <w:sz w:val="18"/>
          <w:szCs w:val="18"/>
        </w:rPr>
        <w:t>gains</w:t>
      </w:r>
      <w:r>
        <w:rPr>
          <w:rFonts w:ascii="Arial" w:eastAsia="宋体" w:hAnsi="Arial" w:cs="Arial"/>
          <w:color w:val="262626"/>
          <w:sz w:val="18"/>
          <w:szCs w:val="18"/>
        </w:rPr>
        <w:t xml:space="preserve"> of $22 million in 2019).</w:t>
      </w:r>
    </w:p>
    <w:p w14:paraId="67536BAF" w14:textId="77777777" w:rsidR="001B77DD" w:rsidRDefault="00BF0A28">
      <w:pPr>
        <w:spacing w:after="120"/>
      </w:pPr>
      <w:r>
        <w:rPr>
          <w:rFonts w:ascii="Arial" w:eastAsia="宋体" w:hAnsi="Arial" w:cs="Arial"/>
          <w:color w:val="0068B5"/>
          <w:sz w:val="20"/>
          <w:szCs w:val="20"/>
        </w:rPr>
        <w:t>Available-for-Sale Debt Investments</w:t>
      </w:r>
    </w:p>
    <w:p w14:paraId="67536BB0" w14:textId="77777777" w:rsidR="001B77DD" w:rsidRDefault="00BF0A28">
      <w:pPr>
        <w:spacing w:after="180"/>
      </w:pPr>
      <w:r>
        <w:rPr>
          <w:rFonts w:ascii="Arial" w:eastAsia="宋体" w:hAnsi="Arial" w:cs="Arial"/>
          <w:color w:val="262626"/>
          <w:sz w:val="18"/>
          <w:szCs w:val="18"/>
        </w:rPr>
        <w:t>Available-for-sale investments include corporate debt, government debt, and financial institution instruments. Government debt includes instruments such as non-US g</w:t>
      </w:r>
      <w:r>
        <w:rPr>
          <w:rFonts w:ascii="Arial" w:eastAsia="宋体" w:hAnsi="Arial" w:cs="Arial"/>
          <w:color w:val="262626"/>
          <w:sz w:val="18"/>
          <w:szCs w:val="18"/>
        </w:rPr>
        <w:t>overnment bonds and US agency securities. Financial institution instruments include instruments issued or managed by financial institutions in various forms, such as commercial paper, fixed- and floating-rate bonds, money market fund deposits, and time dep</w:t>
      </w:r>
      <w:r>
        <w:rPr>
          <w:rFonts w:ascii="Arial" w:eastAsia="宋体" w:hAnsi="Arial" w:cs="Arial"/>
          <w:color w:val="262626"/>
          <w:sz w:val="18"/>
          <w:szCs w:val="18"/>
        </w:rPr>
        <w:t xml:space="preserve">osits. As of December 25, 2021 and December 26, 2020, </w:t>
      </w:r>
      <w:r>
        <w:rPr>
          <w:rFonts w:ascii="Arial" w:eastAsia="宋体" w:hAnsi="Arial" w:cs="Arial"/>
          <w:color w:val="000000"/>
          <w:sz w:val="18"/>
          <w:szCs w:val="18"/>
        </w:rPr>
        <w:t>substantially all</w:t>
      </w:r>
      <w:r>
        <w:rPr>
          <w:rFonts w:ascii="Arial" w:eastAsia="宋体" w:hAnsi="Arial" w:cs="Arial"/>
          <w:color w:val="262626"/>
          <w:sz w:val="18"/>
          <w:szCs w:val="18"/>
        </w:rPr>
        <w:t xml:space="preserve"> time deposits were issued by institutions outside the US. The adjusted cost of our available-for-sale investments was $5.0 billion as of December 25, 2021 ($7.8 billion as of December </w:t>
      </w:r>
      <w:r>
        <w:rPr>
          <w:rFonts w:ascii="Arial" w:eastAsia="宋体" w:hAnsi="Arial" w:cs="Arial"/>
          <w:color w:val="262626"/>
          <w:sz w:val="18"/>
          <w:szCs w:val="18"/>
        </w:rPr>
        <w:t>26, 2020). The adjusted cost of our available-for-sale investments approximated the fair value for these periods.</w:t>
      </w:r>
    </w:p>
    <w:p w14:paraId="67536BB1" w14:textId="77777777" w:rsidR="001B77DD" w:rsidRDefault="00BF0A28">
      <w:pPr>
        <w:spacing w:after="120"/>
      </w:pPr>
      <w:r>
        <w:rPr>
          <w:rFonts w:ascii="Arial" w:eastAsia="宋体" w:hAnsi="Arial" w:cs="Arial"/>
          <w:color w:val="262626"/>
          <w:sz w:val="18"/>
          <w:szCs w:val="18"/>
        </w:rPr>
        <w:t>The fair values of available-for-sale debt investments by contractual maturity as of December 25,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59"/>
        <w:gridCol w:w="37"/>
        <w:gridCol w:w="36"/>
        <w:gridCol w:w="36"/>
        <w:gridCol w:w="36"/>
        <w:gridCol w:w="122"/>
        <w:gridCol w:w="829"/>
        <w:gridCol w:w="36"/>
      </w:tblGrid>
      <w:tr w:rsidR="001B77DD" w14:paraId="67536BBB" w14:textId="77777777">
        <w:tc>
          <w:tcPr>
            <w:tcW w:w="50" w:type="pct"/>
            <w:shd w:val="clear" w:color="auto" w:fill="auto"/>
            <w:vAlign w:val="bottom"/>
          </w:tcPr>
          <w:p w14:paraId="67536BB2" w14:textId="77777777" w:rsidR="001B77DD" w:rsidRDefault="001B77DD">
            <w:pPr>
              <w:rPr>
                <w:rFonts w:ascii="宋体"/>
              </w:rPr>
            </w:pPr>
          </w:p>
        </w:tc>
        <w:tc>
          <w:tcPr>
            <w:tcW w:w="4316" w:type="pct"/>
            <w:shd w:val="clear" w:color="auto" w:fill="auto"/>
            <w:vAlign w:val="bottom"/>
          </w:tcPr>
          <w:p w14:paraId="67536BB3" w14:textId="77777777" w:rsidR="001B77DD" w:rsidRDefault="001B77DD">
            <w:pPr>
              <w:rPr>
                <w:rFonts w:ascii="宋体"/>
              </w:rPr>
            </w:pPr>
          </w:p>
        </w:tc>
        <w:tc>
          <w:tcPr>
            <w:tcW w:w="5" w:type="pct"/>
            <w:shd w:val="clear" w:color="auto" w:fill="auto"/>
            <w:vAlign w:val="bottom"/>
          </w:tcPr>
          <w:p w14:paraId="67536BB4" w14:textId="77777777" w:rsidR="001B77DD" w:rsidRDefault="001B77DD">
            <w:pPr>
              <w:rPr>
                <w:rFonts w:ascii="宋体"/>
              </w:rPr>
            </w:pPr>
          </w:p>
        </w:tc>
        <w:tc>
          <w:tcPr>
            <w:tcW w:w="5" w:type="pct"/>
            <w:shd w:val="clear" w:color="auto" w:fill="auto"/>
            <w:vAlign w:val="bottom"/>
          </w:tcPr>
          <w:p w14:paraId="67536BB5" w14:textId="77777777" w:rsidR="001B77DD" w:rsidRDefault="001B77DD">
            <w:pPr>
              <w:rPr>
                <w:rFonts w:ascii="宋体"/>
              </w:rPr>
            </w:pPr>
          </w:p>
        </w:tc>
        <w:tc>
          <w:tcPr>
            <w:tcW w:w="24" w:type="pct"/>
            <w:shd w:val="clear" w:color="auto" w:fill="auto"/>
            <w:vAlign w:val="bottom"/>
          </w:tcPr>
          <w:p w14:paraId="67536BB6" w14:textId="77777777" w:rsidR="001B77DD" w:rsidRDefault="001B77DD">
            <w:pPr>
              <w:rPr>
                <w:rFonts w:ascii="宋体"/>
              </w:rPr>
            </w:pPr>
          </w:p>
        </w:tc>
        <w:tc>
          <w:tcPr>
            <w:tcW w:w="5" w:type="pct"/>
            <w:shd w:val="clear" w:color="auto" w:fill="auto"/>
            <w:vAlign w:val="bottom"/>
          </w:tcPr>
          <w:p w14:paraId="67536BB7" w14:textId="77777777" w:rsidR="001B77DD" w:rsidRDefault="001B77DD">
            <w:pPr>
              <w:rPr>
                <w:rFonts w:ascii="宋体"/>
              </w:rPr>
            </w:pPr>
          </w:p>
        </w:tc>
        <w:tc>
          <w:tcPr>
            <w:tcW w:w="50" w:type="pct"/>
            <w:shd w:val="clear" w:color="auto" w:fill="auto"/>
            <w:vAlign w:val="bottom"/>
          </w:tcPr>
          <w:p w14:paraId="67536BB8" w14:textId="77777777" w:rsidR="001B77DD" w:rsidRDefault="001B77DD">
            <w:pPr>
              <w:rPr>
                <w:rFonts w:ascii="宋体"/>
              </w:rPr>
            </w:pPr>
          </w:p>
        </w:tc>
        <w:tc>
          <w:tcPr>
            <w:tcW w:w="539" w:type="pct"/>
            <w:shd w:val="clear" w:color="auto" w:fill="auto"/>
            <w:vAlign w:val="bottom"/>
          </w:tcPr>
          <w:p w14:paraId="67536BB9" w14:textId="77777777" w:rsidR="001B77DD" w:rsidRDefault="001B77DD">
            <w:pPr>
              <w:rPr>
                <w:rFonts w:ascii="宋体"/>
              </w:rPr>
            </w:pPr>
          </w:p>
        </w:tc>
        <w:tc>
          <w:tcPr>
            <w:tcW w:w="5" w:type="pct"/>
            <w:shd w:val="clear" w:color="auto" w:fill="auto"/>
            <w:vAlign w:val="bottom"/>
          </w:tcPr>
          <w:p w14:paraId="67536BBA" w14:textId="77777777" w:rsidR="001B77DD" w:rsidRDefault="001B77DD">
            <w:pPr>
              <w:rPr>
                <w:rFonts w:ascii="宋体"/>
              </w:rPr>
            </w:pPr>
          </w:p>
        </w:tc>
      </w:tr>
      <w:tr w:rsidR="001B77DD" w14:paraId="67536BBF" w14:textId="77777777">
        <w:tc>
          <w:tcPr>
            <w:tcW w:w="0" w:type="auto"/>
            <w:gridSpan w:val="3"/>
            <w:shd w:val="clear" w:color="auto" w:fill="auto"/>
            <w:tcMar>
              <w:top w:w="40" w:type="dxa"/>
              <w:left w:w="20" w:type="dxa"/>
              <w:bottom w:w="40" w:type="dxa"/>
              <w:right w:w="20" w:type="dxa"/>
            </w:tcMar>
            <w:vAlign w:val="bottom"/>
          </w:tcPr>
          <w:p w14:paraId="67536BBC" w14:textId="77777777" w:rsidR="001B77DD" w:rsidRDefault="00BF0A28">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7536BB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BBE" w14:textId="77777777" w:rsidR="001B77DD" w:rsidRDefault="00BF0A28">
            <w:pPr>
              <w:jc w:val="center"/>
              <w:textAlignment w:val="bottom"/>
            </w:pPr>
            <w:r>
              <w:rPr>
                <w:rFonts w:ascii="Arial" w:eastAsia="宋体" w:hAnsi="Arial" w:cs="Arial"/>
                <w:b/>
                <w:bCs/>
                <w:color w:val="262626"/>
                <w:sz w:val="18"/>
                <w:szCs w:val="18"/>
              </w:rPr>
              <w:t>Fair Value</w:t>
            </w:r>
          </w:p>
        </w:tc>
      </w:tr>
      <w:tr w:rsidR="001B77DD" w14:paraId="67536BC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BC0" w14:textId="77777777" w:rsidR="001B77DD" w:rsidRDefault="00BF0A28">
            <w:pPr>
              <w:textAlignment w:val="bottom"/>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vAlign w:val="bottom"/>
          </w:tcPr>
          <w:p w14:paraId="67536BC1"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BC2"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BC3" w14:textId="77777777" w:rsidR="001B77DD" w:rsidRDefault="00BF0A28">
            <w:pPr>
              <w:jc w:val="right"/>
              <w:textAlignment w:val="bottom"/>
            </w:pPr>
            <w:r>
              <w:rPr>
                <w:rFonts w:ascii="Arial" w:eastAsia="宋体" w:hAnsi="Arial" w:cs="Arial"/>
                <w:color w:val="0068B5"/>
                <w:sz w:val="18"/>
                <w:szCs w:val="18"/>
              </w:rPr>
              <w:t>2,931 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BC4" w14:textId="77777777" w:rsidR="001B77DD" w:rsidRDefault="001B77DD">
            <w:pPr>
              <w:jc w:val="right"/>
              <w:rPr>
                <w:rFonts w:ascii="宋体"/>
              </w:rPr>
            </w:pPr>
          </w:p>
        </w:tc>
      </w:tr>
      <w:tr w:rsidR="001B77DD" w14:paraId="67536BCA" w14:textId="77777777">
        <w:tc>
          <w:tcPr>
            <w:tcW w:w="0" w:type="auto"/>
            <w:gridSpan w:val="3"/>
            <w:shd w:val="clear" w:color="auto" w:fill="auto"/>
            <w:tcMar>
              <w:top w:w="40" w:type="dxa"/>
              <w:left w:w="20" w:type="dxa"/>
              <w:bottom w:w="40" w:type="dxa"/>
              <w:right w:w="20" w:type="dxa"/>
            </w:tcMar>
            <w:vAlign w:val="bottom"/>
          </w:tcPr>
          <w:p w14:paraId="67536BC6" w14:textId="77777777" w:rsidR="001B77DD" w:rsidRDefault="00BF0A28">
            <w:pPr>
              <w:textAlignment w:val="bottom"/>
            </w:pPr>
            <w:r>
              <w:rPr>
                <w:rFonts w:ascii="Arial" w:eastAsia="宋体" w:hAnsi="Arial" w:cs="Arial"/>
                <w:color w:val="262626"/>
                <w:sz w:val="18"/>
                <w:szCs w:val="18"/>
              </w:rPr>
              <w:t>Due in 1–2 years</w:t>
            </w:r>
          </w:p>
        </w:tc>
        <w:tc>
          <w:tcPr>
            <w:tcW w:w="0" w:type="auto"/>
            <w:gridSpan w:val="3"/>
            <w:shd w:val="clear" w:color="auto" w:fill="auto"/>
            <w:tcMar>
              <w:top w:w="0" w:type="dxa"/>
              <w:left w:w="20" w:type="dxa"/>
              <w:bottom w:w="0" w:type="dxa"/>
              <w:right w:w="20" w:type="dxa"/>
            </w:tcMar>
            <w:vAlign w:val="bottom"/>
          </w:tcPr>
          <w:p w14:paraId="67536BC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C8" w14:textId="77777777" w:rsidR="001B77DD" w:rsidRDefault="00BF0A28">
            <w:pPr>
              <w:jc w:val="right"/>
              <w:textAlignment w:val="bottom"/>
            </w:pPr>
            <w:r>
              <w:rPr>
                <w:rFonts w:ascii="Arial" w:eastAsia="宋体" w:hAnsi="Arial" w:cs="Arial"/>
                <w:color w:val="0068B5"/>
                <w:sz w:val="18"/>
                <w:szCs w:val="18"/>
              </w:rPr>
              <w:t>559 </w:t>
            </w:r>
          </w:p>
        </w:tc>
        <w:tc>
          <w:tcPr>
            <w:tcW w:w="0" w:type="auto"/>
            <w:shd w:val="clear" w:color="auto" w:fill="auto"/>
            <w:tcMar>
              <w:top w:w="40" w:type="dxa"/>
              <w:left w:w="0" w:type="dxa"/>
              <w:bottom w:w="40" w:type="dxa"/>
              <w:right w:w="20" w:type="dxa"/>
            </w:tcMar>
            <w:vAlign w:val="bottom"/>
          </w:tcPr>
          <w:p w14:paraId="67536BC9" w14:textId="77777777" w:rsidR="001B77DD" w:rsidRDefault="001B77DD">
            <w:pPr>
              <w:jc w:val="right"/>
              <w:rPr>
                <w:rFonts w:ascii="宋体"/>
              </w:rPr>
            </w:pPr>
          </w:p>
        </w:tc>
      </w:tr>
      <w:tr w:rsidR="001B77DD" w14:paraId="67536BCF" w14:textId="77777777">
        <w:tc>
          <w:tcPr>
            <w:tcW w:w="0" w:type="auto"/>
            <w:gridSpan w:val="3"/>
            <w:shd w:val="clear" w:color="auto" w:fill="auto"/>
            <w:tcMar>
              <w:top w:w="40" w:type="dxa"/>
              <w:left w:w="20" w:type="dxa"/>
              <w:bottom w:w="40" w:type="dxa"/>
              <w:right w:w="20" w:type="dxa"/>
            </w:tcMar>
            <w:vAlign w:val="bottom"/>
          </w:tcPr>
          <w:p w14:paraId="67536BCB" w14:textId="77777777" w:rsidR="001B77DD" w:rsidRDefault="00BF0A28">
            <w:pPr>
              <w:textAlignment w:val="bottom"/>
            </w:pPr>
            <w:r>
              <w:rPr>
                <w:rFonts w:ascii="Arial" w:eastAsia="宋体" w:hAnsi="Arial" w:cs="Arial"/>
                <w:color w:val="262626"/>
                <w:sz w:val="18"/>
                <w:szCs w:val="18"/>
              </w:rPr>
              <w:t>Due in 2–5 years</w:t>
            </w:r>
          </w:p>
        </w:tc>
        <w:tc>
          <w:tcPr>
            <w:tcW w:w="0" w:type="auto"/>
            <w:gridSpan w:val="3"/>
            <w:shd w:val="clear" w:color="auto" w:fill="auto"/>
            <w:tcMar>
              <w:top w:w="0" w:type="dxa"/>
              <w:left w:w="20" w:type="dxa"/>
              <w:bottom w:w="0" w:type="dxa"/>
              <w:right w:w="20" w:type="dxa"/>
            </w:tcMar>
            <w:vAlign w:val="bottom"/>
          </w:tcPr>
          <w:p w14:paraId="67536BC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CD" w14:textId="77777777" w:rsidR="001B77DD" w:rsidRDefault="00BF0A28">
            <w:pPr>
              <w:jc w:val="right"/>
              <w:textAlignment w:val="bottom"/>
            </w:pPr>
            <w:r>
              <w:rPr>
                <w:rFonts w:ascii="Arial" w:eastAsia="宋体" w:hAnsi="Arial" w:cs="Arial"/>
                <w:color w:val="0068B5"/>
                <w:sz w:val="18"/>
                <w:szCs w:val="18"/>
              </w:rPr>
              <w:t>281 </w:t>
            </w:r>
          </w:p>
        </w:tc>
        <w:tc>
          <w:tcPr>
            <w:tcW w:w="0" w:type="auto"/>
            <w:shd w:val="clear" w:color="auto" w:fill="auto"/>
            <w:tcMar>
              <w:top w:w="40" w:type="dxa"/>
              <w:left w:w="0" w:type="dxa"/>
              <w:bottom w:w="40" w:type="dxa"/>
              <w:right w:w="20" w:type="dxa"/>
            </w:tcMar>
            <w:vAlign w:val="bottom"/>
          </w:tcPr>
          <w:p w14:paraId="67536BCE" w14:textId="77777777" w:rsidR="001B77DD" w:rsidRDefault="001B77DD">
            <w:pPr>
              <w:jc w:val="right"/>
              <w:rPr>
                <w:rFonts w:ascii="宋体"/>
              </w:rPr>
            </w:pPr>
          </w:p>
        </w:tc>
      </w:tr>
      <w:tr w:rsidR="001B77DD" w14:paraId="67536BD4" w14:textId="77777777">
        <w:tc>
          <w:tcPr>
            <w:tcW w:w="0" w:type="auto"/>
            <w:gridSpan w:val="3"/>
            <w:shd w:val="clear" w:color="auto" w:fill="auto"/>
            <w:tcMar>
              <w:top w:w="40" w:type="dxa"/>
              <w:left w:w="20" w:type="dxa"/>
              <w:bottom w:w="40" w:type="dxa"/>
              <w:right w:w="20" w:type="dxa"/>
            </w:tcMar>
            <w:vAlign w:val="bottom"/>
          </w:tcPr>
          <w:p w14:paraId="67536BD0" w14:textId="77777777" w:rsidR="001B77DD" w:rsidRDefault="00BF0A28">
            <w:pPr>
              <w:textAlignment w:val="bottom"/>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vAlign w:val="bottom"/>
          </w:tcPr>
          <w:p w14:paraId="67536BD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D2"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BD3" w14:textId="77777777" w:rsidR="001B77DD" w:rsidRDefault="001B77DD">
            <w:pPr>
              <w:jc w:val="right"/>
              <w:rPr>
                <w:rFonts w:ascii="宋体"/>
              </w:rPr>
            </w:pPr>
          </w:p>
        </w:tc>
      </w:tr>
      <w:tr w:rsidR="001B77DD" w14:paraId="67536BD9" w14:textId="77777777">
        <w:tc>
          <w:tcPr>
            <w:tcW w:w="0" w:type="auto"/>
            <w:gridSpan w:val="3"/>
            <w:shd w:val="clear" w:color="auto" w:fill="auto"/>
            <w:tcMar>
              <w:top w:w="40" w:type="dxa"/>
              <w:left w:w="20" w:type="dxa"/>
              <w:bottom w:w="40" w:type="dxa"/>
              <w:right w:w="20" w:type="dxa"/>
            </w:tcMar>
            <w:vAlign w:val="bottom"/>
          </w:tcPr>
          <w:p w14:paraId="67536BD5" w14:textId="77777777" w:rsidR="001B77DD" w:rsidRDefault="00BF0A28">
            <w:pPr>
              <w:textAlignment w:val="bottom"/>
            </w:pPr>
            <w:r>
              <w:rPr>
                <w:rFonts w:ascii="Arial" w:eastAsia="宋体" w:hAnsi="Arial" w:cs="Arial"/>
                <w:color w:val="262626"/>
                <w:sz w:val="18"/>
                <w:szCs w:val="18"/>
              </w:rPr>
              <w:t>Instruments not due at a single maturity date</w:t>
            </w:r>
          </w:p>
        </w:tc>
        <w:tc>
          <w:tcPr>
            <w:tcW w:w="0" w:type="auto"/>
            <w:gridSpan w:val="3"/>
            <w:shd w:val="clear" w:color="auto" w:fill="auto"/>
            <w:tcMar>
              <w:top w:w="0" w:type="dxa"/>
              <w:left w:w="20" w:type="dxa"/>
              <w:bottom w:w="0" w:type="dxa"/>
              <w:right w:w="20" w:type="dxa"/>
            </w:tcMar>
            <w:vAlign w:val="bottom"/>
          </w:tcPr>
          <w:p w14:paraId="67536BD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BD7" w14:textId="77777777" w:rsidR="001B77DD" w:rsidRDefault="00BF0A28">
            <w:pPr>
              <w:jc w:val="right"/>
              <w:textAlignment w:val="bottom"/>
            </w:pPr>
            <w:r>
              <w:rPr>
                <w:rFonts w:ascii="Arial" w:eastAsia="宋体" w:hAnsi="Arial" w:cs="Arial"/>
                <w:color w:val="0068B5"/>
                <w:sz w:val="18"/>
                <w:szCs w:val="18"/>
              </w:rPr>
              <w:t>1,216 </w:t>
            </w:r>
          </w:p>
        </w:tc>
        <w:tc>
          <w:tcPr>
            <w:tcW w:w="0" w:type="auto"/>
            <w:shd w:val="clear" w:color="auto" w:fill="auto"/>
            <w:tcMar>
              <w:top w:w="40" w:type="dxa"/>
              <w:left w:w="0" w:type="dxa"/>
              <w:bottom w:w="40" w:type="dxa"/>
              <w:right w:w="20" w:type="dxa"/>
            </w:tcMar>
            <w:vAlign w:val="bottom"/>
          </w:tcPr>
          <w:p w14:paraId="67536BD8" w14:textId="77777777" w:rsidR="001B77DD" w:rsidRDefault="001B77DD">
            <w:pPr>
              <w:jc w:val="right"/>
              <w:rPr>
                <w:rFonts w:ascii="宋体"/>
              </w:rPr>
            </w:pPr>
          </w:p>
        </w:tc>
      </w:tr>
      <w:tr w:rsidR="001B77DD" w14:paraId="67536BDF" w14:textId="77777777">
        <w:tc>
          <w:tcPr>
            <w:tcW w:w="0" w:type="auto"/>
            <w:gridSpan w:val="3"/>
            <w:shd w:val="clear" w:color="auto" w:fill="auto"/>
            <w:tcMar>
              <w:top w:w="40" w:type="dxa"/>
              <w:left w:w="20" w:type="dxa"/>
              <w:bottom w:w="40" w:type="dxa"/>
              <w:right w:w="20" w:type="dxa"/>
            </w:tcMar>
            <w:vAlign w:val="bottom"/>
          </w:tcPr>
          <w:p w14:paraId="67536BDA" w14:textId="77777777" w:rsidR="001B77DD" w:rsidRDefault="00BF0A28">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6BDB"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BDC"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BDD" w14:textId="77777777" w:rsidR="001B77DD" w:rsidRDefault="00BF0A28">
            <w:pPr>
              <w:jc w:val="right"/>
              <w:textAlignment w:val="bottom"/>
            </w:pPr>
            <w:r>
              <w:rPr>
                <w:rFonts w:ascii="Arial" w:eastAsia="宋体" w:hAnsi="Arial" w:cs="Arial"/>
                <w:b/>
                <w:bCs/>
                <w:color w:val="0068B5"/>
                <w:sz w:val="18"/>
                <w:szCs w:val="18"/>
              </w:rPr>
              <w:t>4,987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BDE" w14:textId="77777777" w:rsidR="001B77DD" w:rsidRDefault="001B77DD">
            <w:pPr>
              <w:jc w:val="right"/>
              <w:rPr>
                <w:rFonts w:ascii="宋体"/>
              </w:rPr>
            </w:pPr>
          </w:p>
        </w:tc>
      </w:tr>
    </w:tbl>
    <w:p w14:paraId="67536BE0" w14:textId="77777777" w:rsidR="001B77DD" w:rsidRDefault="001B77DD">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BED" w14:textId="77777777">
        <w:tc>
          <w:tcPr>
            <w:tcW w:w="50" w:type="pct"/>
            <w:shd w:val="clear" w:color="auto" w:fill="auto"/>
            <w:vAlign w:val="bottom"/>
          </w:tcPr>
          <w:p w14:paraId="67536BE1" w14:textId="77777777" w:rsidR="001B77DD" w:rsidRDefault="001B77DD">
            <w:pPr>
              <w:rPr>
                <w:rFonts w:ascii="宋体"/>
              </w:rPr>
            </w:pPr>
          </w:p>
        </w:tc>
        <w:tc>
          <w:tcPr>
            <w:tcW w:w="276" w:type="pct"/>
            <w:shd w:val="clear" w:color="auto" w:fill="auto"/>
            <w:vAlign w:val="bottom"/>
          </w:tcPr>
          <w:p w14:paraId="67536BE2" w14:textId="77777777" w:rsidR="001B77DD" w:rsidRDefault="001B77DD">
            <w:pPr>
              <w:rPr>
                <w:rFonts w:ascii="宋体"/>
              </w:rPr>
            </w:pPr>
          </w:p>
        </w:tc>
        <w:tc>
          <w:tcPr>
            <w:tcW w:w="5" w:type="pct"/>
            <w:shd w:val="clear" w:color="auto" w:fill="auto"/>
            <w:vAlign w:val="bottom"/>
          </w:tcPr>
          <w:p w14:paraId="67536BE3" w14:textId="77777777" w:rsidR="001B77DD" w:rsidRDefault="001B77DD">
            <w:pPr>
              <w:rPr>
                <w:rFonts w:ascii="宋体"/>
              </w:rPr>
            </w:pPr>
          </w:p>
        </w:tc>
        <w:tc>
          <w:tcPr>
            <w:tcW w:w="50" w:type="pct"/>
            <w:shd w:val="clear" w:color="auto" w:fill="auto"/>
            <w:vAlign w:val="bottom"/>
          </w:tcPr>
          <w:p w14:paraId="67536BE4" w14:textId="77777777" w:rsidR="001B77DD" w:rsidRDefault="001B77DD">
            <w:pPr>
              <w:rPr>
                <w:rFonts w:ascii="宋体"/>
              </w:rPr>
            </w:pPr>
          </w:p>
        </w:tc>
        <w:tc>
          <w:tcPr>
            <w:tcW w:w="940" w:type="pct"/>
            <w:shd w:val="clear" w:color="auto" w:fill="auto"/>
            <w:vAlign w:val="bottom"/>
          </w:tcPr>
          <w:p w14:paraId="67536BE5" w14:textId="77777777" w:rsidR="001B77DD" w:rsidRDefault="001B77DD">
            <w:pPr>
              <w:rPr>
                <w:rFonts w:ascii="宋体"/>
              </w:rPr>
            </w:pPr>
          </w:p>
        </w:tc>
        <w:tc>
          <w:tcPr>
            <w:tcW w:w="5" w:type="pct"/>
            <w:shd w:val="clear" w:color="auto" w:fill="auto"/>
            <w:vAlign w:val="bottom"/>
          </w:tcPr>
          <w:p w14:paraId="67536BE6" w14:textId="77777777" w:rsidR="001B77DD" w:rsidRDefault="001B77DD">
            <w:pPr>
              <w:rPr>
                <w:rFonts w:ascii="宋体"/>
              </w:rPr>
            </w:pPr>
          </w:p>
        </w:tc>
        <w:tc>
          <w:tcPr>
            <w:tcW w:w="50" w:type="pct"/>
            <w:shd w:val="clear" w:color="auto" w:fill="auto"/>
            <w:vAlign w:val="bottom"/>
          </w:tcPr>
          <w:p w14:paraId="67536BE7" w14:textId="77777777" w:rsidR="001B77DD" w:rsidRDefault="001B77DD">
            <w:pPr>
              <w:rPr>
                <w:rFonts w:ascii="宋体"/>
              </w:rPr>
            </w:pPr>
          </w:p>
        </w:tc>
        <w:tc>
          <w:tcPr>
            <w:tcW w:w="1837" w:type="pct"/>
            <w:shd w:val="clear" w:color="auto" w:fill="auto"/>
            <w:vAlign w:val="bottom"/>
          </w:tcPr>
          <w:p w14:paraId="67536BE8" w14:textId="77777777" w:rsidR="001B77DD" w:rsidRDefault="001B77DD">
            <w:pPr>
              <w:rPr>
                <w:rFonts w:ascii="宋体"/>
              </w:rPr>
            </w:pPr>
          </w:p>
        </w:tc>
        <w:tc>
          <w:tcPr>
            <w:tcW w:w="5" w:type="pct"/>
            <w:shd w:val="clear" w:color="auto" w:fill="auto"/>
            <w:vAlign w:val="bottom"/>
          </w:tcPr>
          <w:p w14:paraId="67536BE9" w14:textId="77777777" w:rsidR="001B77DD" w:rsidRDefault="001B77DD">
            <w:pPr>
              <w:rPr>
                <w:rFonts w:ascii="宋体"/>
              </w:rPr>
            </w:pPr>
          </w:p>
        </w:tc>
        <w:tc>
          <w:tcPr>
            <w:tcW w:w="50" w:type="pct"/>
            <w:shd w:val="clear" w:color="auto" w:fill="auto"/>
            <w:vAlign w:val="bottom"/>
          </w:tcPr>
          <w:p w14:paraId="67536BEA" w14:textId="77777777" w:rsidR="001B77DD" w:rsidRDefault="001B77DD">
            <w:pPr>
              <w:rPr>
                <w:rFonts w:ascii="宋体"/>
              </w:rPr>
            </w:pPr>
          </w:p>
        </w:tc>
        <w:tc>
          <w:tcPr>
            <w:tcW w:w="1724" w:type="pct"/>
            <w:shd w:val="clear" w:color="auto" w:fill="auto"/>
            <w:vAlign w:val="bottom"/>
          </w:tcPr>
          <w:p w14:paraId="67536BEB" w14:textId="77777777" w:rsidR="001B77DD" w:rsidRDefault="001B77DD">
            <w:pPr>
              <w:rPr>
                <w:rFonts w:ascii="宋体"/>
              </w:rPr>
            </w:pPr>
          </w:p>
        </w:tc>
        <w:tc>
          <w:tcPr>
            <w:tcW w:w="5" w:type="pct"/>
            <w:shd w:val="clear" w:color="auto" w:fill="auto"/>
            <w:vAlign w:val="bottom"/>
          </w:tcPr>
          <w:p w14:paraId="67536BEC" w14:textId="77777777" w:rsidR="001B77DD" w:rsidRDefault="001B77DD">
            <w:pPr>
              <w:rPr>
                <w:rFonts w:ascii="宋体"/>
              </w:rPr>
            </w:pPr>
          </w:p>
        </w:tc>
      </w:tr>
      <w:tr w:rsidR="001B77DD" w14:paraId="67536BF2"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BEE"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4E" wp14:editId="67538F4F">
                  <wp:extent cx="304800" cy="304800"/>
                  <wp:effectExtent l="0" t="0" r="0" b="0"/>
                  <wp:docPr id="217" name="图片 30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30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BEF"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BF0"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BF1" w14:textId="77777777" w:rsidR="001B77DD" w:rsidRDefault="00BF0A28">
            <w:pPr>
              <w:jc w:val="right"/>
              <w:textAlignment w:val="center"/>
            </w:pPr>
            <w:r>
              <w:rPr>
                <w:rFonts w:ascii="Arial" w:eastAsia="宋体" w:hAnsi="Arial" w:cs="Arial"/>
                <w:color w:val="262626"/>
                <w:sz w:val="16"/>
                <w:szCs w:val="16"/>
              </w:rPr>
              <w:t>90</w:t>
            </w:r>
          </w:p>
        </w:tc>
      </w:tr>
    </w:tbl>
    <w:p w14:paraId="67536BF3" w14:textId="77777777" w:rsidR="001B77DD" w:rsidRDefault="00BF0A28">
      <w:r>
        <w:pict w14:anchorId="67538F50">
          <v:rect id="_x0000_i1116" style="width:415.3pt;height:1.5pt" o:hralign="center" o:hrstd="t" o:hr="t" fillcolor="#a0a0a0" stroked="f"/>
        </w:pict>
      </w:r>
    </w:p>
    <w:p w14:paraId="67536BF4" w14:textId="77777777" w:rsidR="001B77DD" w:rsidRDefault="00BF0A28">
      <w:pPr>
        <w:jc w:val="right"/>
      </w:pPr>
      <w:hyperlink r:id="rId178" w:anchor="i6c9ced68f6b24d58a3dcf326e8c3c699_16" w:history="1">
        <w:r>
          <w:rPr>
            <w:rStyle w:val="a5"/>
            <w:rFonts w:ascii="Arial" w:eastAsia="宋体" w:hAnsi="Arial" w:cs="Arial"/>
            <w:b/>
            <w:bCs/>
            <w:sz w:val="16"/>
            <w:szCs w:val="16"/>
          </w:rPr>
          <w:t>Table of Contents</w:t>
        </w:r>
      </w:hyperlink>
    </w:p>
    <w:p w14:paraId="67536BF5" w14:textId="77777777" w:rsidR="001B77DD" w:rsidRDefault="001B77DD">
      <w:pPr>
        <w:jc w:val="right"/>
      </w:pPr>
    </w:p>
    <w:p w14:paraId="67536BF6" w14:textId="77777777" w:rsidR="001B77DD" w:rsidRDefault="00BF0A28">
      <w:pPr>
        <w:spacing w:before="80" w:after="120"/>
      </w:pPr>
      <w:r>
        <w:rPr>
          <w:rFonts w:ascii="Arial" w:eastAsia="宋体" w:hAnsi="Arial" w:cs="Arial"/>
          <w:color w:val="0068B5"/>
        </w:rPr>
        <w:t>Equity Investments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241"/>
        <w:gridCol w:w="38"/>
        <w:gridCol w:w="36"/>
        <w:gridCol w:w="36"/>
        <w:gridCol w:w="36"/>
        <w:gridCol w:w="121"/>
        <w:gridCol w:w="744"/>
        <w:gridCol w:w="36"/>
        <w:gridCol w:w="36"/>
        <w:gridCol w:w="36"/>
        <w:gridCol w:w="36"/>
        <w:gridCol w:w="121"/>
        <w:gridCol w:w="744"/>
        <w:gridCol w:w="36"/>
      </w:tblGrid>
      <w:tr w:rsidR="001B77DD" w14:paraId="67536C06" w14:textId="77777777">
        <w:trPr>
          <w:jc w:val="center"/>
        </w:trPr>
        <w:tc>
          <w:tcPr>
            <w:tcW w:w="50" w:type="pct"/>
            <w:shd w:val="clear" w:color="auto" w:fill="auto"/>
            <w:vAlign w:val="bottom"/>
          </w:tcPr>
          <w:p w14:paraId="67536BF7" w14:textId="77777777" w:rsidR="001B77DD" w:rsidRDefault="001B77DD">
            <w:pPr>
              <w:rPr>
                <w:rFonts w:ascii="宋体"/>
              </w:rPr>
            </w:pPr>
          </w:p>
        </w:tc>
        <w:tc>
          <w:tcPr>
            <w:tcW w:w="3770" w:type="pct"/>
            <w:shd w:val="clear" w:color="auto" w:fill="auto"/>
            <w:vAlign w:val="bottom"/>
          </w:tcPr>
          <w:p w14:paraId="67536BF8" w14:textId="77777777" w:rsidR="001B77DD" w:rsidRDefault="001B77DD">
            <w:pPr>
              <w:rPr>
                <w:rFonts w:ascii="宋体"/>
              </w:rPr>
            </w:pPr>
          </w:p>
        </w:tc>
        <w:tc>
          <w:tcPr>
            <w:tcW w:w="5" w:type="pct"/>
            <w:shd w:val="clear" w:color="auto" w:fill="auto"/>
            <w:vAlign w:val="bottom"/>
          </w:tcPr>
          <w:p w14:paraId="67536BF9" w14:textId="77777777" w:rsidR="001B77DD" w:rsidRDefault="001B77DD">
            <w:pPr>
              <w:rPr>
                <w:rFonts w:ascii="宋体"/>
              </w:rPr>
            </w:pPr>
          </w:p>
        </w:tc>
        <w:tc>
          <w:tcPr>
            <w:tcW w:w="5" w:type="pct"/>
            <w:shd w:val="clear" w:color="auto" w:fill="auto"/>
            <w:vAlign w:val="bottom"/>
          </w:tcPr>
          <w:p w14:paraId="67536BFA" w14:textId="77777777" w:rsidR="001B77DD" w:rsidRDefault="001B77DD">
            <w:pPr>
              <w:rPr>
                <w:rFonts w:ascii="宋体"/>
              </w:rPr>
            </w:pPr>
          </w:p>
        </w:tc>
        <w:tc>
          <w:tcPr>
            <w:tcW w:w="24" w:type="pct"/>
            <w:shd w:val="clear" w:color="auto" w:fill="auto"/>
            <w:vAlign w:val="bottom"/>
          </w:tcPr>
          <w:p w14:paraId="67536BFB" w14:textId="77777777" w:rsidR="001B77DD" w:rsidRDefault="001B77DD">
            <w:pPr>
              <w:rPr>
                <w:rFonts w:ascii="宋体"/>
              </w:rPr>
            </w:pPr>
          </w:p>
        </w:tc>
        <w:tc>
          <w:tcPr>
            <w:tcW w:w="5" w:type="pct"/>
            <w:shd w:val="clear" w:color="auto" w:fill="auto"/>
            <w:vAlign w:val="bottom"/>
          </w:tcPr>
          <w:p w14:paraId="67536BFC" w14:textId="77777777" w:rsidR="001B77DD" w:rsidRDefault="001B77DD">
            <w:pPr>
              <w:rPr>
                <w:rFonts w:ascii="宋体"/>
              </w:rPr>
            </w:pPr>
          </w:p>
        </w:tc>
        <w:tc>
          <w:tcPr>
            <w:tcW w:w="50" w:type="pct"/>
            <w:shd w:val="clear" w:color="auto" w:fill="auto"/>
            <w:vAlign w:val="bottom"/>
          </w:tcPr>
          <w:p w14:paraId="67536BFD" w14:textId="77777777" w:rsidR="001B77DD" w:rsidRDefault="001B77DD">
            <w:pPr>
              <w:rPr>
                <w:rFonts w:ascii="宋体"/>
              </w:rPr>
            </w:pPr>
          </w:p>
        </w:tc>
        <w:tc>
          <w:tcPr>
            <w:tcW w:w="498" w:type="pct"/>
            <w:shd w:val="clear" w:color="auto" w:fill="auto"/>
            <w:vAlign w:val="bottom"/>
          </w:tcPr>
          <w:p w14:paraId="67536BFE" w14:textId="77777777" w:rsidR="001B77DD" w:rsidRDefault="001B77DD">
            <w:pPr>
              <w:rPr>
                <w:rFonts w:ascii="宋体"/>
              </w:rPr>
            </w:pPr>
          </w:p>
        </w:tc>
        <w:tc>
          <w:tcPr>
            <w:tcW w:w="5" w:type="pct"/>
            <w:shd w:val="clear" w:color="auto" w:fill="auto"/>
            <w:vAlign w:val="bottom"/>
          </w:tcPr>
          <w:p w14:paraId="67536BFF" w14:textId="77777777" w:rsidR="001B77DD" w:rsidRDefault="001B77DD">
            <w:pPr>
              <w:rPr>
                <w:rFonts w:ascii="宋体"/>
              </w:rPr>
            </w:pPr>
          </w:p>
        </w:tc>
        <w:tc>
          <w:tcPr>
            <w:tcW w:w="5" w:type="pct"/>
            <w:shd w:val="clear" w:color="auto" w:fill="auto"/>
            <w:vAlign w:val="bottom"/>
          </w:tcPr>
          <w:p w14:paraId="67536C00" w14:textId="77777777" w:rsidR="001B77DD" w:rsidRDefault="001B77DD">
            <w:pPr>
              <w:rPr>
                <w:rFonts w:ascii="宋体"/>
              </w:rPr>
            </w:pPr>
          </w:p>
        </w:tc>
        <w:tc>
          <w:tcPr>
            <w:tcW w:w="24" w:type="pct"/>
            <w:shd w:val="clear" w:color="auto" w:fill="auto"/>
            <w:vAlign w:val="bottom"/>
          </w:tcPr>
          <w:p w14:paraId="67536C01" w14:textId="77777777" w:rsidR="001B77DD" w:rsidRDefault="001B77DD">
            <w:pPr>
              <w:rPr>
                <w:rFonts w:ascii="宋体"/>
              </w:rPr>
            </w:pPr>
          </w:p>
        </w:tc>
        <w:tc>
          <w:tcPr>
            <w:tcW w:w="5" w:type="pct"/>
            <w:shd w:val="clear" w:color="auto" w:fill="auto"/>
            <w:vAlign w:val="bottom"/>
          </w:tcPr>
          <w:p w14:paraId="67536C02" w14:textId="77777777" w:rsidR="001B77DD" w:rsidRDefault="001B77DD">
            <w:pPr>
              <w:rPr>
                <w:rFonts w:ascii="宋体"/>
              </w:rPr>
            </w:pPr>
          </w:p>
        </w:tc>
        <w:tc>
          <w:tcPr>
            <w:tcW w:w="50" w:type="pct"/>
            <w:shd w:val="clear" w:color="auto" w:fill="auto"/>
            <w:vAlign w:val="bottom"/>
          </w:tcPr>
          <w:p w14:paraId="67536C03" w14:textId="77777777" w:rsidR="001B77DD" w:rsidRDefault="001B77DD">
            <w:pPr>
              <w:rPr>
                <w:rFonts w:ascii="宋体"/>
              </w:rPr>
            </w:pPr>
          </w:p>
        </w:tc>
        <w:tc>
          <w:tcPr>
            <w:tcW w:w="498" w:type="pct"/>
            <w:shd w:val="clear" w:color="auto" w:fill="auto"/>
            <w:vAlign w:val="bottom"/>
          </w:tcPr>
          <w:p w14:paraId="67536C04" w14:textId="77777777" w:rsidR="001B77DD" w:rsidRDefault="001B77DD">
            <w:pPr>
              <w:rPr>
                <w:rFonts w:ascii="宋体"/>
              </w:rPr>
            </w:pPr>
          </w:p>
        </w:tc>
        <w:tc>
          <w:tcPr>
            <w:tcW w:w="5" w:type="pct"/>
            <w:shd w:val="clear" w:color="auto" w:fill="auto"/>
            <w:vAlign w:val="bottom"/>
          </w:tcPr>
          <w:p w14:paraId="67536C05" w14:textId="77777777" w:rsidR="001B77DD" w:rsidRDefault="001B77DD">
            <w:pPr>
              <w:rPr>
                <w:rFonts w:ascii="宋体"/>
              </w:rPr>
            </w:pPr>
          </w:p>
        </w:tc>
      </w:tr>
      <w:tr w:rsidR="001B77DD" w14:paraId="67536C0C" w14:textId="77777777">
        <w:trPr>
          <w:jc w:val="center"/>
        </w:trPr>
        <w:tc>
          <w:tcPr>
            <w:tcW w:w="0" w:type="auto"/>
            <w:gridSpan w:val="3"/>
            <w:shd w:val="clear" w:color="auto" w:fill="auto"/>
            <w:tcMar>
              <w:top w:w="40" w:type="dxa"/>
              <w:left w:w="20" w:type="dxa"/>
              <w:bottom w:w="40" w:type="dxa"/>
              <w:right w:w="20" w:type="dxa"/>
            </w:tcMar>
            <w:vAlign w:val="bottom"/>
          </w:tcPr>
          <w:p w14:paraId="67536C07"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C0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C09"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C0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C0B"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6C16"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C0D" w14:textId="77777777" w:rsidR="001B77DD" w:rsidRDefault="00BF0A28">
            <w:pPr>
              <w:textAlignment w:val="bottom"/>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67536C0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C0F"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C10" w14:textId="77777777" w:rsidR="001B77DD" w:rsidRDefault="00BF0A28">
            <w:pPr>
              <w:jc w:val="right"/>
              <w:textAlignment w:val="bottom"/>
            </w:pPr>
            <w:r>
              <w:rPr>
                <w:rFonts w:ascii="Arial" w:eastAsia="宋体" w:hAnsi="Arial" w:cs="Arial"/>
                <w:color w:val="0068B5"/>
                <w:sz w:val="18"/>
                <w:szCs w:val="18"/>
              </w:rPr>
              <w:t>2,171 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C1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1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C13"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C14" w14:textId="77777777" w:rsidR="001B77DD" w:rsidRDefault="00BF0A28">
            <w:pPr>
              <w:jc w:val="right"/>
              <w:textAlignment w:val="bottom"/>
            </w:pPr>
            <w:r>
              <w:rPr>
                <w:rFonts w:ascii="Arial" w:eastAsia="宋体" w:hAnsi="Arial" w:cs="Arial"/>
                <w:color w:val="262626"/>
                <w:sz w:val="18"/>
                <w:szCs w:val="18"/>
              </w:rPr>
              <w:t>1,830 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C15" w14:textId="77777777" w:rsidR="001B77DD" w:rsidRDefault="001B77DD">
            <w:pPr>
              <w:jc w:val="right"/>
              <w:rPr>
                <w:rFonts w:ascii="宋体"/>
              </w:rPr>
            </w:pPr>
          </w:p>
        </w:tc>
      </w:tr>
      <w:tr w:rsidR="001B77DD" w14:paraId="67536C1E" w14:textId="77777777">
        <w:trPr>
          <w:jc w:val="center"/>
        </w:trPr>
        <w:tc>
          <w:tcPr>
            <w:tcW w:w="0" w:type="auto"/>
            <w:gridSpan w:val="3"/>
            <w:shd w:val="clear" w:color="auto" w:fill="auto"/>
            <w:tcMar>
              <w:top w:w="40" w:type="dxa"/>
              <w:left w:w="20" w:type="dxa"/>
              <w:bottom w:w="40" w:type="dxa"/>
              <w:right w:w="20" w:type="dxa"/>
            </w:tcMar>
            <w:vAlign w:val="bottom"/>
          </w:tcPr>
          <w:p w14:paraId="67536C17" w14:textId="77777777" w:rsidR="001B77DD" w:rsidRDefault="00BF0A28">
            <w:pPr>
              <w:textAlignment w:val="bottom"/>
            </w:pPr>
            <w:r>
              <w:rPr>
                <w:rFonts w:ascii="Arial" w:eastAsia="宋体" w:hAnsi="Arial" w:cs="Arial"/>
                <w:color w:val="262626"/>
                <w:sz w:val="18"/>
                <w:szCs w:val="18"/>
              </w:rPr>
              <w:t>Non-marketable equity securities</w:t>
            </w:r>
          </w:p>
        </w:tc>
        <w:tc>
          <w:tcPr>
            <w:tcW w:w="0" w:type="auto"/>
            <w:gridSpan w:val="3"/>
            <w:shd w:val="clear" w:color="auto" w:fill="auto"/>
            <w:tcMar>
              <w:top w:w="0" w:type="dxa"/>
              <w:left w:w="20" w:type="dxa"/>
              <w:bottom w:w="0" w:type="dxa"/>
              <w:right w:w="20" w:type="dxa"/>
            </w:tcMar>
            <w:vAlign w:val="bottom"/>
          </w:tcPr>
          <w:p w14:paraId="67536C1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19" w14:textId="77777777" w:rsidR="001B77DD" w:rsidRDefault="00BF0A28">
            <w:pPr>
              <w:jc w:val="right"/>
              <w:textAlignment w:val="bottom"/>
            </w:pPr>
            <w:r>
              <w:rPr>
                <w:rFonts w:ascii="Arial" w:eastAsia="宋体" w:hAnsi="Arial" w:cs="Arial"/>
                <w:color w:val="0068B5"/>
                <w:sz w:val="18"/>
                <w:szCs w:val="18"/>
              </w:rPr>
              <w:t>4,111 </w:t>
            </w:r>
          </w:p>
        </w:tc>
        <w:tc>
          <w:tcPr>
            <w:tcW w:w="0" w:type="auto"/>
            <w:shd w:val="clear" w:color="auto" w:fill="auto"/>
            <w:tcMar>
              <w:top w:w="40" w:type="dxa"/>
              <w:left w:w="0" w:type="dxa"/>
              <w:bottom w:w="40" w:type="dxa"/>
              <w:right w:w="20" w:type="dxa"/>
            </w:tcMar>
            <w:vAlign w:val="bottom"/>
          </w:tcPr>
          <w:p w14:paraId="67536C1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1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1C" w14:textId="77777777" w:rsidR="001B77DD" w:rsidRDefault="00BF0A28">
            <w:pPr>
              <w:jc w:val="right"/>
              <w:textAlignment w:val="bottom"/>
            </w:pPr>
            <w:r>
              <w:rPr>
                <w:rFonts w:ascii="Arial" w:eastAsia="宋体" w:hAnsi="Arial" w:cs="Arial"/>
                <w:color w:val="262626"/>
                <w:sz w:val="18"/>
                <w:szCs w:val="18"/>
              </w:rPr>
              <w:t>3,304 </w:t>
            </w:r>
          </w:p>
        </w:tc>
        <w:tc>
          <w:tcPr>
            <w:tcW w:w="0" w:type="auto"/>
            <w:shd w:val="clear" w:color="auto" w:fill="auto"/>
            <w:tcMar>
              <w:top w:w="40" w:type="dxa"/>
              <w:left w:w="0" w:type="dxa"/>
              <w:bottom w:w="40" w:type="dxa"/>
              <w:right w:w="20" w:type="dxa"/>
            </w:tcMar>
            <w:vAlign w:val="bottom"/>
          </w:tcPr>
          <w:p w14:paraId="67536C1D" w14:textId="77777777" w:rsidR="001B77DD" w:rsidRDefault="001B77DD">
            <w:pPr>
              <w:jc w:val="right"/>
              <w:rPr>
                <w:rFonts w:ascii="宋体"/>
              </w:rPr>
            </w:pPr>
          </w:p>
        </w:tc>
      </w:tr>
      <w:tr w:rsidR="001B77DD" w14:paraId="67536C26" w14:textId="77777777">
        <w:trPr>
          <w:jc w:val="center"/>
        </w:trPr>
        <w:tc>
          <w:tcPr>
            <w:tcW w:w="0" w:type="auto"/>
            <w:gridSpan w:val="3"/>
            <w:shd w:val="clear" w:color="auto" w:fill="auto"/>
            <w:tcMar>
              <w:top w:w="40" w:type="dxa"/>
              <w:left w:w="20" w:type="dxa"/>
              <w:bottom w:w="40" w:type="dxa"/>
              <w:right w:w="20" w:type="dxa"/>
            </w:tcMar>
            <w:vAlign w:val="bottom"/>
          </w:tcPr>
          <w:p w14:paraId="67536C1F" w14:textId="77777777" w:rsidR="001B77DD" w:rsidRDefault="00BF0A28">
            <w:pPr>
              <w:textAlignment w:val="bottom"/>
            </w:pPr>
            <w:r>
              <w:rPr>
                <w:rFonts w:ascii="Arial" w:eastAsia="宋体" w:hAnsi="Arial" w:cs="Arial"/>
                <w:color w:val="262626"/>
                <w:sz w:val="18"/>
                <w:szCs w:val="18"/>
              </w:rPr>
              <w:t>Equity method investments</w:t>
            </w:r>
          </w:p>
        </w:tc>
        <w:tc>
          <w:tcPr>
            <w:tcW w:w="0" w:type="auto"/>
            <w:gridSpan w:val="3"/>
            <w:shd w:val="clear" w:color="auto" w:fill="auto"/>
            <w:tcMar>
              <w:top w:w="0" w:type="dxa"/>
              <w:left w:w="20" w:type="dxa"/>
              <w:bottom w:w="0" w:type="dxa"/>
              <w:right w:w="20" w:type="dxa"/>
            </w:tcMar>
            <w:vAlign w:val="bottom"/>
          </w:tcPr>
          <w:p w14:paraId="67536C2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21" w14:textId="77777777" w:rsidR="001B77DD" w:rsidRDefault="00BF0A28">
            <w:pPr>
              <w:jc w:val="right"/>
              <w:textAlignment w:val="bottom"/>
            </w:pPr>
            <w:r>
              <w:rPr>
                <w:rFonts w:ascii="Arial" w:eastAsia="宋体" w:hAnsi="Arial" w:cs="Arial"/>
                <w:color w:val="0068B5"/>
                <w:sz w:val="18"/>
                <w:szCs w:val="18"/>
              </w:rPr>
              <w:t>16 </w:t>
            </w:r>
          </w:p>
        </w:tc>
        <w:tc>
          <w:tcPr>
            <w:tcW w:w="0" w:type="auto"/>
            <w:shd w:val="clear" w:color="auto" w:fill="auto"/>
            <w:tcMar>
              <w:top w:w="40" w:type="dxa"/>
              <w:left w:w="0" w:type="dxa"/>
              <w:bottom w:w="40" w:type="dxa"/>
              <w:right w:w="20" w:type="dxa"/>
            </w:tcMar>
            <w:vAlign w:val="bottom"/>
          </w:tcPr>
          <w:p w14:paraId="67536C2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2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24" w14:textId="77777777" w:rsidR="001B77DD" w:rsidRDefault="00BF0A28">
            <w:pPr>
              <w:jc w:val="right"/>
              <w:textAlignment w:val="bottom"/>
            </w:pPr>
            <w:r>
              <w:rPr>
                <w:rFonts w:ascii="Arial" w:eastAsia="宋体" w:hAnsi="Arial" w:cs="Arial"/>
                <w:color w:val="262626"/>
                <w:sz w:val="18"/>
                <w:szCs w:val="18"/>
              </w:rPr>
              <w:t>18 </w:t>
            </w:r>
          </w:p>
        </w:tc>
        <w:tc>
          <w:tcPr>
            <w:tcW w:w="0" w:type="auto"/>
            <w:shd w:val="clear" w:color="auto" w:fill="auto"/>
            <w:tcMar>
              <w:top w:w="40" w:type="dxa"/>
              <w:left w:w="0" w:type="dxa"/>
              <w:bottom w:w="40" w:type="dxa"/>
              <w:right w:w="20" w:type="dxa"/>
            </w:tcMar>
            <w:vAlign w:val="bottom"/>
          </w:tcPr>
          <w:p w14:paraId="67536C25" w14:textId="77777777" w:rsidR="001B77DD" w:rsidRDefault="001B77DD">
            <w:pPr>
              <w:jc w:val="right"/>
              <w:rPr>
                <w:rFonts w:ascii="宋体"/>
              </w:rPr>
            </w:pPr>
          </w:p>
        </w:tc>
      </w:tr>
      <w:tr w:rsidR="001B77DD" w14:paraId="67536C30" w14:textId="77777777">
        <w:trPr>
          <w:jc w:val="center"/>
        </w:trPr>
        <w:tc>
          <w:tcPr>
            <w:tcW w:w="0" w:type="auto"/>
            <w:gridSpan w:val="3"/>
            <w:shd w:val="clear" w:color="auto" w:fill="auto"/>
            <w:tcMar>
              <w:top w:w="40" w:type="dxa"/>
              <w:left w:w="20" w:type="dxa"/>
              <w:bottom w:w="40" w:type="dxa"/>
              <w:right w:w="20" w:type="dxa"/>
            </w:tcMar>
            <w:vAlign w:val="bottom"/>
          </w:tcPr>
          <w:p w14:paraId="67536C27" w14:textId="77777777" w:rsidR="001B77DD" w:rsidRDefault="00BF0A28">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6C2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C29"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C2A" w14:textId="77777777" w:rsidR="001B77DD" w:rsidRDefault="00BF0A28">
            <w:pPr>
              <w:jc w:val="right"/>
              <w:textAlignment w:val="bottom"/>
            </w:pPr>
            <w:r>
              <w:rPr>
                <w:rFonts w:ascii="Arial" w:eastAsia="宋体" w:hAnsi="Arial" w:cs="Arial"/>
                <w:b/>
                <w:bCs/>
                <w:color w:val="0068B5"/>
                <w:sz w:val="18"/>
                <w:szCs w:val="18"/>
              </w:rPr>
              <w:t>6,298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C2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2C"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C2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C2E" w14:textId="77777777" w:rsidR="001B77DD" w:rsidRDefault="00BF0A28">
            <w:pPr>
              <w:jc w:val="right"/>
              <w:textAlignment w:val="bottom"/>
            </w:pPr>
            <w:r>
              <w:rPr>
                <w:rFonts w:ascii="Arial" w:eastAsia="宋体" w:hAnsi="Arial" w:cs="Arial"/>
                <w:b/>
                <w:bCs/>
                <w:color w:val="262626"/>
                <w:sz w:val="18"/>
                <w:szCs w:val="18"/>
              </w:rPr>
              <w:t>5,152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C2F" w14:textId="77777777" w:rsidR="001B77DD" w:rsidRDefault="001B77DD">
            <w:pPr>
              <w:jc w:val="right"/>
              <w:rPr>
                <w:rFonts w:ascii="宋体"/>
              </w:rPr>
            </w:pPr>
          </w:p>
        </w:tc>
      </w:tr>
    </w:tbl>
    <w:p w14:paraId="67536C31" w14:textId="77777777" w:rsidR="001B77DD" w:rsidRDefault="00BF0A28">
      <w:pPr>
        <w:spacing w:before="120" w:after="180"/>
      </w:pPr>
      <w:r>
        <w:rPr>
          <w:rFonts w:ascii="Arial" w:eastAsia="宋体" w:hAnsi="Arial" w:cs="Arial"/>
          <w:color w:val="262626"/>
          <w:sz w:val="18"/>
          <w:szCs w:val="18"/>
        </w:rPr>
        <w:t xml:space="preserve">The components of gains (losses) on equity investments, net for each period were </w:t>
      </w:r>
      <w:r>
        <w:rPr>
          <w:rFonts w:ascii="Arial" w:eastAsia="宋体" w:hAnsi="Arial" w:cs="Arial"/>
          <w:color w:val="262626"/>
          <w:sz w:val="18"/>
          <w:szCs w:val="18"/>
        </w:rPr>
        <w:t>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049"/>
        <w:gridCol w:w="37"/>
        <w:gridCol w:w="36"/>
        <w:gridCol w:w="36"/>
        <w:gridCol w:w="36"/>
        <w:gridCol w:w="121"/>
        <w:gridCol w:w="805"/>
        <w:gridCol w:w="36"/>
        <w:gridCol w:w="36"/>
        <w:gridCol w:w="36"/>
        <w:gridCol w:w="36"/>
        <w:gridCol w:w="121"/>
        <w:gridCol w:w="805"/>
        <w:gridCol w:w="36"/>
        <w:gridCol w:w="36"/>
        <w:gridCol w:w="36"/>
        <w:gridCol w:w="36"/>
        <w:gridCol w:w="121"/>
        <w:gridCol w:w="807"/>
        <w:gridCol w:w="36"/>
      </w:tblGrid>
      <w:tr w:rsidR="001B77DD" w14:paraId="67536C47" w14:textId="77777777">
        <w:tc>
          <w:tcPr>
            <w:tcW w:w="50" w:type="pct"/>
            <w:shd w:val="clear" w:color="auto" w:fill="auto"/>
            <w:vAlign w:val="bottom"/>
          </w:tcPr>
          <w:p w14:paraId="67536C32" w14:textId="77777777" w:rsidR="001B77DD" w:rsidRDefault="001B77DD">
            <w:pPr>
              <w:rPr>
                <w:rFonts w:ascii="宋体"/>
              </w:rPr>
            </w:pPr>
          </w:p>
        </w:tc>
        <w:tc>
          <w:tcPr>
            <w:tcW w:w="3059" w:type="pct"/>
            <w:shd w:val="clear" w:color="auto" w:fill="auto"/>
            <w:vAlign w:val="bottom"/>
          </w:tcPr>
          <w:p w14:paraId="67536C33" w14:textId="77777777" w:rsidR="001B77DD" w:rsidRDefault="001B77DD">
            <w:pPr>
              <w:rPr>
                <w:rFonts w:ascii="宋体"/>
              </w:rPr>
            </w:pPr>
          </w:p>
        </w:tc>
        <w:tc>
          <w:tcPr>
            <w:tcW w:w="5" w:type="pct"/>
            <w:shd w:val="clear" w:color="auto" w:fill="auto"/>
            <w:vAlign w:val="bottom"/>
          </w:tcPr>
          <w:p w14:paraId="67536C34" w14:textId="77777777" w:rsidR="001B77DD" w:rsidRDefault="001B77DD">
            <w:pPr>
              <w:rPr>
                <w:rFonts w:ascii="宋体"/>
              </w:rPr>
            </w:pPr>
          </w:p>
        </w:tc>
        <w:tc>
          <w:tcPr>
            <w:tcW w:w="5" w:type="pct"/>
            <w:shd w:val="clear" w:color="auto" w:fill="auto"/>
            <w:vAlign w:val="bottom"/>
          </w:tcPr>
          <w:p w14:paraId="67536C35" w14:textId="77777777" w:rsidR="001B77DD" w:rsidRDefault="001B77DD">
            <w:pPr>
              <w:rPr>
                <w:rFonts w:ascii="宋体"/>
              </w:rPr>
            </w:pPr>
          </w:p>
        </w:tc>
        <w:tc>
          <w:tcPr>
            <w:tcW w:w="24" w:type="pct"/>
            <w:shd w:val="clear" w:color="auto" w:fill="auto"/>
            <w:vAlign w:val="bottom"/>
          </w:tcPr>
          <w:p w14:paraId="67536C36" w14:textId="77777777" w:rsidR="001B77DD" w:rsidRDefault="001B77DD">
            <w:pPr>
              <w:rPr>
                <w:rFonts w:ascii="宋体"/>
              </w:rPr>
            </w:pPr>
          </w:p>
        </w:tc>
        <w:tc>
          <w:tcPr>
            <w:tcW w:w="5" w:type="pct"/>
            <w:shd w:val="clear" w:color="auto" w:fill="auto"/>
            <w:vAlign w:val="bottom"/>
          </w:tcPr>
          <w:p w14:paraId="67536C37" w14:textId="77777777" w:rsidR="001B77DD" w:rsidRDefault="001B77DD">
            <w:pPr>
              <w:rPr>
                <w:rFonts w:ascii="宋体"/>
              </w:rPr>
            </w:pPr>
          </w:p>
        </w:tc>
        <w:tc>
          <w:tcPr>
            <w:tcW w:w="50" w:type="pct"/>
            <w:shd w:val="clear" w:color="auto" w:fill="auto"/>
            <w:vAlign w:val="bottom"/>
          </w:tcPr>
          <w:p w14:paraId="67536C38" w14:textId="77777777" w:rsidR="001B77DD" w:rsidRDefault="001B77DD">
            <w:pPr>
              <w:rPr>
                <w:rFonts w:ascii="宋体"/>
              </w:rPr>
            </w:pPr>
          </w:p>
        </w:tc>
        <w:tc>
          <w:tcPr>
            <w:tcW w:w="539" w:type="pct"/>
            <w:shd w:val="clear" w:color="auto" w:fill="auto"/>
            <w:vAlign w:val="bottom"/>
          </w:tcPr>
          <w:p w14:paraId="67536C39" w14:textId="77777777" w:rsidR="001B77DD" w:rsidRDefault="001B77DD">
            <w:pPr>
              <w:rPr>
                <w:rFonts w:ascii="宋体"/>
              </w:rPr>
            </w:pPr>
          </w:p>
        </w:tc>
        <w:tc>
          <w:tcPr>
            <w:tcW w:w="5" w:type="pct"/>
            <w:shd w:val="clear" w:color="auto" w:fill="auto"/>
            <w:vAlign w:val="bottom"/>
          </w:tcPr>
          <w:p w14:paraId="67536C3A" w14:textId="77777777" w:rsidR="001B77DD" w:rsidRDefault="001B77DD">
            <w:pPr>
              <w:rPr>
                <w:rFonts w:ascii="宋体"/>
              </w:rPr>
            </w:pPr>
          </w:p>
        </w:tc>
        <w:tc>
          <w:tcPr>
            <w:tcW w:w="5" w:type="pct"/>
            <w:shd w:val="clear" w:color="auto" w:fill="auto"/>
            <w:vAlign w:val="bottom"/>
          </w:tcPr>
          <w:p w14:paraId="67536C3B" w14:textId="77777777" w:rsidR="001B77DD" w:rsidRDefault="001B77DD">
            <w:pPr>
              <w:rPr>
                <w:rFonts w:ascii="宋体"/>
              </w:rPr>
            </w:pPr>
          </w:p>
        </w:tc>
        <w:tc>
          <w:tcPr>
            <w:tcW w:w="24" w:type="pct"/>
            <w:shd w:val="clear" w:color="auto" w:fill="auto"/>
            <w:vAlign w:val="bottom"/>
          </w:tcPr>
          <w:p w14:paraId="67536C3C" w14:textId="77777777" w:rsidR="001B77DD" w:rsidRDefault="001B77DD">
            <w:pPr>
              <w:rPr>
                <w:rFonts w:ascii="宋体"/>
              </w:rPr>
            </w:pPr>
          </w:p>
        </w:tc>
        <w:tc>
          <w:tcPr>
            <w:tcW w:w="5" w:type="pct"/>
            <w:shd w:val="clear" w:color="auto" w:fill="auto"/>
            <w:vAlign w:val="bottom"/>
          </w:tcPr>
          <w:p w14:paraId="67536C3D" w14:textId="77777777" w:rsidR="001B77DD" w:rsidRDefault="001B77DD">
            <w:pPr>
              <w:rPr>
                <w:rFonts w:ascii="宋体"/>
              </w:rPr>
            </w:pPr>
          </w:p>
        </w:tc>
        <w:tc>
          <w:tcPr>
            <w:tcW w:w="50" w:type="pct"/>
            <w:shd w:val="clear" w:color="auto" w:fill="auto"/>
            <w:vAlign w:val="bottom"/>
          </w:tcPr>
          <w:p w14:paraId="67536C3E" w14:textId="77777777" w:rsidR="001B77DD" w:rsidRDefault="001B77DD">
            <w:pPr>
              <w:rPr>
                <w:rFonts w:ascii="宋体"/>
              </w:rPr>
            </w:pPr>
          </w:p>
        </w:tc>
        <w:tc>
          <w:tcPr>
            <w:tcW w:w="539" w:type="pct"/>
            <w:shd w:val="clear" w:color="auto" w:fill="auto"/>
            <w:vAlign w:val="bottom"/>
          </w:tcPr>
          <w:p w14:paraId="67536C3F" w14:textId="77777777" w:rsidR="001B77DD" w:rsidRDefault="001B77DD">
            <w:pPr>
              <w:rPr>
                <w:rFonts w:ascii="宋体"/>
              </w:rPr>
            </w:pPr>
          </w:p>
        </w:tc>
        <w:tc>
          <w:tcPr>
            <w:tcW w:w="5" w:type="pct"/>
            <w:shd w:val="clear" w:color="auto" w:fill="auto"/>
            <w:vAlign w:val="bottom"/>
          </w:tcPr>
          <w:p w14:paraId="67536C40" w14:textId="77777777" w:rsidR="001B77DD" w:rsidRDefault="001B77DD">
            <w:pPr>
              <w:rPr>
                <w:rFonts w:ascii="宋体"/>
              </w:rPr>
            </w:pPr>
          </w:p>
        </w:tc>
        <w:tc>
          <w:tcPr>
            <w:tcW w:w="5" w:type="pct"/>
            <w:shd w:val="clear" w:color="auto" w:fill="auto"/>
            <w:vAlign w:val="bottom"/>
          </w:tcPr>
          <w:p w14:paraId="67536C41" w14:textId="77777777" w:rsidR="001B77DD" w:rsidRDefault="001B77DD">
            <w:pPr>
              <w:rPr>
                <w:rFonts w:ascii="宋体"/>
              </w:rPr>
            </w:pPr>
          </w:p>
        </w:tc>
        <w:tc>
          <w:tcPr>
            <w:tcW w:w="24" w:type="pct"/>
            <w:shd w:val="clear" w:color="auto" w:fill="auto"/>
            <w:vAlign w:val="bottom"/>
          </w:tcPr>
          <w:p w14:paraId="67536C42" w14:textId="77777777" w:rsidR="001B77DD" w:rsidRDefault="001B77DD">
            <w:pPr>
              <w:rPr>
                <w:rFonts w:ascii="宋体"/>
              </w:rPr>
            </w:pPr>
          </w:p>
        </w:tc>
        <w:tc>
          <w:tcPr>
            <w:tcW w:w="5" w:type="pct"/>
            <w:shd w:val="clear" w:color="auto" w:fill="auto"/>
            <w:vAlign w:val="bottom"/>
          </w:tcPr>
          <w:p w14:paraId="67536C43" w14:textId="77777777" w:rsidR="001B77DD" w:rsidRDefault="001B77DD">
            <w:pPr>
              <w:rPr>
                <w:rFonts w:ascii="宋体"/>
              </w:rPr>
            </w:pPr>
          </w:p>
        </w:tc>
        <w:tc>
          <w:tcPr>
            <w:tcW w:w="50" w:type="pct"/>
            <w:shd w:val="clear" w:color="auto" w:fill="auto"/>
            <w:vAlign w:val="bottom"/>
          </w:tcPr>
          <w:p w14:paraId="67536C44" w14:textId="77777777" w:rsidR="001B77DD" w:rsidRDefault="001B77DD">
            <w:pPr>
              <w:rPr>
                <w:rFonts w:ascii="宋体"/>
              </w:rPr>
            </w:pPr>
          </w:p>
        </w:tc>
        <w:tc>
          <w:tcPr>
            <w:tcW w:w="539" w:type="pct"/>
            <w:shd w:val="clear" w:color="auto" w:fill="auto"/>
            <w:vAlign w:val="bottom"/>
          </w:tcPr>
          <w:p w14:paraId="67536C45" w14:textId="77777777" w:rsidR="001B77DD" w:rsidRDefault="001B77DD">
            <w:pPr>
              <w:rPr>
                <w:rFonts w:ascii="宋体"/>
              </w:rPr>
            </w:pPr>
          </w:p>
        </w:tc>
        <w:tc>
          <w:tcPr>
            <w:tcW w:w="5" w:type="pct"/>
            <w:shd w:val="clear" w:color="auto" w:fill="auto"/>
            <w:vAlign w:val="bottom"/>
          </w:tcPr>
          <w:p w14:paraId="67536C46" w14:textId="77777777" w:rsidR="001B77DD" w:rsidRDefault="001B77DD">
            <w:pPr>
              <w:rPr>
                <w:rFonts w:ascii="宋体"/>
              </w:rPr>
            </w:pPr>
          </w:p>
        </w:tc>
      </w:tr>
      <w:tr w:rsidR="001B77DD" w14:paraId="67536C4F" w14:textId="77777777">
        <w:tc>
          <w:tcPr>
            <w:tcW w:w="0" w:type="auto"/>
            <w:gridSpan w:val="3"/>
            <w:shd w:val="clear" w:color="auto" w:fill="auto"/>
            <w:tcMar>
              <w:top w:w="40" w:type="dxa"/>
              <w:left w:w="20" w:type="dxa"/>
              <w:bottom w:w="40" w:type="dxa"/>
              <w:right w:w="20" w:type="dxa"/>
            </w:tcMar>
            <w:vAlign w:val="bottom"/>
          </w:tcPr>
          <w:p w14:paraId="67536C48"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6C4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C4A"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C4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C4C"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C4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C4E"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C5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C50" w14:textId="77777777" w:rsidR="001B77DD" w:rsidRDefault="00BF0A28">
            <w:pPr>
              <w:textAlignment w:val="bottom"/>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67536C51"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C52"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C53" w14:textId="77777777" w:rsidR="001B77DD" w:rsidRDefault="00BF0A28">
            <w:pPr>
              <w:jc w:val="right"/>
              <w:textAlignment w:val="bottom"/>
            </w:pPr>
            <w:r>
              <w:rPr>
                <w:rFonts w:ascii="Arial" w:eastAsia="宋体" w:hAnsi="Arial" w:cs="Arial"/>
                <w:color w:val="0068B5"/>
                <w:sz w:val="18"/>
                <w:szCs w:val="18"/>
              </w:rPr>
              <w:t>(130)</w:t>
            </w:r>
          </w:p>
        </w:tc>
        <w:tc>
          <w:tcPr>
            <w:tcW w:w="0" w:type="auto"/>
            <w:tcBorders>
              <w:top w:val="single" w:sz="8" w:space="0" w:color="0068B5"/>
            </w:tcBorders>
            <w:shd w:val="clear" w:color="auto" w:fill="auto"/>
            <w:tcMar>
              <w:top w:w="40" w:type="dxa"/>
              <w:left w:w="0" w:type="dxa"/>
              <w:bottom w:w="40" w:type="dxa"/>
              <w:right w:w="20" w:type="dxa"/>
            </w:tcMar>
            <w:vAlign w:val="bottom"/>
          </w:tcPr>
          <w:p w14:paraId="67536C5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55"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C56"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C57" w14:textId="77777777" w:rsidR="001B77DD" w:rsidRDefault="00BF0A28">
            <w:pPr>
              <w:jc w:val="right"/>
              <w:textAlignment w:val="bottom"/>
            </w:pPr>
            <w:r>
              <w:rPr>
                <w:rFonts w:ascii="Arial" w:eastAsia="宋体" w:hAnsi="Arial" w:cs="Arial"/>
                <w:color w:val="262626"/>
                <w:sz w:val="18"/>
                <w:szCs w:val="18"/>
              </w:rPr>
              <w:t>(133)</w:t>
            </w:r>
          </w:p>
        </w:tc>
        <w:tc>
          <w:tcPr>
            <w:tcW w:w="0" w:type="auto"/>
            <w:tcBorders>
              <w:top w:val="single" w:sz="8" w:space="0" w:color="0068B5"/>
            </w:tcBorders>
            <w:shd w:val="clear" w:color="auto" w:fill="auto"/>
            <w:tcMar>
              <w:top w:w="40" w:type="dxa"/>
              <w:left w:w="0" w:type="dxa"/>
              <w:bottom w:w="40" w:type="dxa"/>
              <w:right w:w="20" w:type="dxa"/>
            </w:tcMar>
            <w:vAlign w:val="bottom"/>
          </w:tcPr>
          <w:p w14:paraId="67536C5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59"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C5A"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C5B" w14:textId="77777777" w:rsidR="001B77DD" w:rsidRDefault="00BF0A28">
            <w:pPr>
              <w:jc w:val="right"/>
              <w:textAlignment w:val="bottom"/>
            </w:pPr>
            <w:r>
              <w:rPr>
                <w:rFonts w:ascii="Arial" w:eastAsia="宋体" w:hAnsi="Arial" w:cs="Arial"/>
                <w:color w:val="262626"/>
                <w:sz w:val="18"/>
                <w:szCs w:val="18"/>
              </w:rPr>
              <w:t>277 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C5C" w14:textId="77777777" w:rsidR="001B77DD" w:rsidRDefault="001B77DD">
            <w:pPr>
              <w:jc w:val="right"/>
              <w:rPr>
                <w:rFonts w:ascii="宋体"/>
              </w:rPr>
            </w:pPr>
          </w:p>
        </w:tc>
      </w:tr>
      <w:tr w:rsidR="001B77DD" w14:paraId="67536C68" w14:textId="77777777">
        <w:tc>
          <w:tcPr>
            <w:tcW w:w="0" w:type="auto"/>
            <w:gridSpan w:val="3"/>
            <w:shd w:val="clear" w:color="auto" w:fill="auto"/>
            <w:tcMar>
              <w:top w:w="40" w:type="dxa"/>
              <w:left w:w="20" w:type="dxa"/>
              <w:bottom w:w="40" w:type="dxa"/>
              <w:right w:w="20" w:type="dxa"/>
            </w:tcMar>
            <w:vAlign w:val="bottom"/>
          </w:tcPr>
          <w:p w14:paraId="67536C5E" w14:textId="77777777" w:rsidR="001B77DD" w:rsidRDefault="00BF0A28">
            <w:pPr>
              <w:textAlignment w:val="bottom"/>
            </w:pPr>
            <w:r>
              <w:rPr>
                <w:rFonts w:ascii="Arial" w:eastAsia="宋体" w:hAnsi="Arial" w:cs="Arial"/>
                <w:color w:val="262626"/>
                <w:sz w:val="18"/>
                <w:szCs w:val="18"/>
              </w:rPr>
              <w:t>Observable price adjustments on non-marketable equity securities</w:t>
            </w:r>
          </w:p>
        </w:tc>
        <w:tc>
          <w:tcPr>
            <w:tcW w:w="0" w:type="auto"/>
            <w:gridSpan w:val="3"/>
            <w:shd w:val="clear" w:color="auto" w:fill="auto"/>
            <w:tcMar>
              <w:top w:w="0" w:type="dxa"/>
              <w:left w:w="20" w:type="dxa"/>
              <w:bottom w:w="0" w:type="dxa"/>
              <w:right w:w="20" w:type="dxa"/>
            </w:tcMar>
            <w:vAlign w:val="bottom"/>
          </w:tcPr>
          <w:p w14:paraId="67536C5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60" w14:textId="77777777" w:rsidR="001B77DD" w:rsidRDefault="00BF0A2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67536C6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6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63" w14:textId="77777777" w:rsidR="001B77DD" w:rsidRDefault="00BF0A28">
            <w:pPr>
              <w:jc w:val="right"/>
              <w:textAlignment w:val="bottom"/>
            </w:pPr>
            <w:r>
              <w:rPr>
                <w:rFonts w:ascii="Arial" w:eastAsia="宋体" w:hAnsi="Arial" w:cs="Arial"/>
                <w:color w:val="262626"/>
                <w:sz w:val="18"/>
                <w:szCs w:val="18"/>
              </w:rPr>
              <w:t>176 </w:t>
            </w:r>
          </w:p>
        </w:tc>
        <w:tc>
          <w:tcPr>
            <w:tcW w:w="0" w:type="auto"/>
            <w:shd w:val="clear" w:color="auto" w:fill="auto"/>
            <w:tcMar>
              <w:top w:w="40" w:type="dxa"/>
              <w:left w:w="0" w:type="dxa"/>
              <w:bottom w:w="40" w:type="dxa"/>
              <w:right w:w="20" w:type="dxa"/>
            </w:tcMar>
            <w:vAlign w:val="bottom"/>
          </w:tcPr>
          <w:p w14:paraId="67536C6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6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66" w14:textId="77777777" w:rsidR="001B77DD" w:rsidRDefault="00BF0A28">
            <w:pPr>
              <w:jc w:val="right"/>
              <w:textAlignment w:val="bottom"/>
            </w:pPr>
            <w:r>
              <w:rPr>
                <w:rFonts w:ascii="Arial" w:eastAsia="宋体" w:hAnsi="Arial" w:cs="Arial"/>
                <w:color w:val="262626"/>
                <w:sz w:val="18"/>
                <w:szCs w:val="18"/>
              </w:rPr>
              <w:t>293 </w:t>
            </w:r>
          </w:p>
        </w:tc>
        <w:tc>
          <w:tcPr>
            <w:tcW w:w="0" w:type="auto"/>
            <w:shd w:val="clear" w:color="auto" w:fill="auto"/>
            <w:tcMar>
              <w:top w:w="40" w:type="dxa"/>
              <w:left w:w="0" w:type="dxa"/>
              <w:bottom w:w="40" w:type="dxa"/>
              <w:right w:w="20" w:type="dxa"/>
            </w:tcMar>
            <w:vAlign w:val="bottom"/>
          </w:tcPr>
          <w:p w14:paraId="67536C67" w14:textId="77777777" w:rsidR="001B77DD" w:rsidRDefault="001B77DD">
            <w:pPr>
              <w:jc w:val="right"/>
              <w:rPr>
                <w:rFonts w:ascii="宋体"/>
              </w:rPr>
            </w:pPr>
          </w:p>
        </w:tc>
      </w:tr>
      <w:tr w:rsidR="001B77DD" w14:paraId="67536C73" w14:textId="77777777">
        <w:tc>
          <w:tcPr>
            <w:tcW w:w="0" w:type="auto"/>
            <w:gridSpan w:val="3"/>
            <w:shd w:val="clear" w:color="auto" w:fill="auto"/>
            <w:tcMar>
              <w:top w:w="40" w:type="dxa"/>
              <w:left w:w="20" w:type="dxa"/>
              <w:bottom w:w="40" w:type="dxa"/>
              <w:right w:w="20" w:type="dxa"/>
            </w:tcMar>
            <w:vAlign w:val="bottom"/>
          </w:tcPr>
          <w:p w14:paraId="67536C69" w14:textId="77777777" w:rsidR="001B77DD" w:rsidRDefault="00BF0A28">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67536C6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6B" w14:textId="77777777" w:rsidR="001B77DD" w:rsidRDefault="00BF0A28">
            <w:pPr>
              <w:jc w:val="right"/>
              <w:textAlignment w:val="bottom"/>
            </w:pPr>
            <w:r>
              <w:rPr>
                <w:rFonts w:ascii="Arial" w:eastAsia="宋体" w:hAnsi="Arial" w:cs="Arial"/>
                <w:color w:val="0068B5"/>
                <w:sz w:val="18"/>
                <w:szCs w:val="18"/>
              </w:rPr>
              <w:t>(154)</w:t>
            </w:r>
          </w:p>
        </w:tc>
        <w:tc>
          <w:tcPr>
            <w:tcW w:w="0" w:type="auto"/>
            <w:shd w:val="clear" w:color="auto" w:fill="auto"/>
            <w:tcMar>
              <w:top w:w="40" w:type="dxa"/>
              <w:left w:w="0" w:type="dxa"/>
              <w:bottom w:w="40" w:type="dxa"/>
              <w:right w:w="20" w:type="dxa"/>
            </w:tcMar>
            <w:vAlign w:val="bottom"/>
          </w:tcPr>
          <w:p w14:paraId="67536C6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6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6E" w14:textId="77777777" w:rsidR="001B77DD" w:rsidRDefault="00BF0A28">
            <w:pPr>
              <w:jc w:val="right"/>
              <w:textAlignment w:val="bottom"/>
            </w:pPr>
            <w:r>
              <w:rPr>
                <w:rFonts w:ascii="Arial" w:eastAsia="宋体" w:hAnsi="Arial" w:cs="Arial"/>
                <w:color w:val="262626"/>
                <w:sz w:val="18"/>
                <w:szCs w:val="18"/>
              </w:rPr>
              <w:t>(303)</w:t>
            </w:r>
          </w:p>
        </w:tc>
        <w:tc>
          <w:tcPr>
            <w:tcW w:w="0" w:type="auto"/>
            <w:shd w:val="clear" w:color="auto" w:fill="auto"/>
            <w:tcMar>
              <w:top w:w="40" w:type="dxa"/>
              <w:left w:w="0" w:type="dxa"/>
              <w:bottom w:w="40" w:type="dxa"/>
              <w:right w:w="20" w:type="dxa"/>
            </w:tcMar>
            <w:vAlign w:val="bottom"/>
          </w:tcPr>
          <w:p w14:paraId="67536C6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7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71" w14:textId="77777777" w:rsidR="001B77DD" w:rsidRDefault="00BF0A28">
            <w:pPr>
              <w:jc w:val="right"/>
              <w:textAlignment w:val="bottom"/>
            </w:pPr>
            <w:r>
              <w:rPr>
                <w:rFonts w:ascii="Arial" w:eastAsia="宋体" w:hAnsi="Arial" w:cs="Arial"/>
                <w:color w:val="262626"/>
                <w:sz w:val="18"/>
                <w:szCs w:val="18"/>
              </w:rPr>
              <w:t>(122)</w:t>
            </w:r>
          </w:p>
        </w:tc>
        <w:tc>
          <w:tcPr>
            <w:tcW w:w="0" w:type="auto"/>
            <w:shd w:val="clear" w:color="auto" w:fill="auto"/>
            <w:tcMar>
              <w:top w:w="40" w:type="dxa"/>
              <w:left w:w="0" w:type="dxa"/>
              <w:bottom w:w="40" w:type="dxa"/>
              <w:right w:w="20" w:type="dxa"/>
            </w:tcMar>
            <w:vAlign w:val="bottom"/>
          </w:tcPr>
          <w:p w14:paraId="67536C72" w14:textId="77777777" w:rsidR="001B77DD" w:rsidRDefault="001B77DD">
            <w:pPr>
              <w:jc w:val="right"/>
              <w:rPr>
                <w:rFonts w:ascii="宋体"/>
              </w:rPr>
            </w:pPr>
          </w:p>
        </w:tc>
      </w:tr>
      <w:tr w:rsidR="001B77DD" w14:paraId="67536C7E" w14:textId="77777777">
        <w:tc>
          <w:tcPr>
            <w:tcW w:w="0" w:type="auto"/>
            <w:gridSpan w:val="3"/>
            <w:shd w:val="clear" w:color="auto" w:fill="auto"/>
            <w:tcMar>
              <w:top w:w="40" w:type="dxa"/>
              <w:left w:w="20" w:type="dxa"/>
              <w:bottom w:w="40" w:type="dxa"/>
              <w:right w:w="20" w:type="dxa"/>
            </w:tcMar>
            <w:vAlign w:val="bottom"/>
          </w:tcPr>
          <w:p w14:paraId="67536C74" w14:textId="77777777" w:rsidR="001B77DD" w:rsidRDefault="00BF0A28">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1</w:t>
            </w:r>
          </w:p>
        </w:tc>
        <w:tc>
          <w:tcPr>
            <w:tcW w:w="0" w:type="auto"/>
            <w:gridSpan w:val="3"/>
            <w:shd w:val="clear" w:color="auto" w:fill="auto"/>
            <w:tcMar>
              <w:top w:w="0" w:type="dxa"/>
              <w:left w:w="20" w:type="dxa"/>
              <w:bottom w:w="0" w:type="dxa"/>
              <w:right w:w="20" w:type="dxa"/>
            </w:tcMar>
            <w:vAlign w:val="bottom"/>
          </w:tcPr>
          <w:p w14:paraId="67536C7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76" w14:textId="77777777" w:rsidR="001B77DD" w:rsidRDefault="00BF0A28">
            <w:pPr>
              <w:jc w:val="right"/>
              <w:textAlignment w:val="bottom"/>
            </w:pPr>
            <w:r>
              <w:rPr>
                <w:rFonts w:ascii="Arial" w:eastAsia="宋体" w:hAnsi="Arial" w:cs="Arial"/>
                <w:color w:val="0068B5"/>
                <w:sz w:val="18"/>
                <w:szCs w:val="18"/>
              </w:rPr>
              <w:t>2,263 </w:t>
            </w:r>
          </w:p>
        </w:tc>
        <w:tc>
          <w:tcPr>
            <w:tcW w:w="0" w:type="auto"/>
            <w:shd w:val="clear" w:color="auto" w:fill="auto"/>
            <w:tcMar>
              <w:top w:w="40" w:type="dxa"/>
              <w:left w:w="0" w:type="dxa"/>
              <w:bottom w:w="40" w:type="dxa"/>
              <w:right w:w="20" w:type="dxa"/>
            </w:tcMar>
            <w:vAlign w:val="bottom"/>
          </w:tcPr>
          <w:p w14:paraId="67536C7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7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79" w14:textId="77777777" w:rsidR="001B77DD" w:rsidRDefault="00BF0A28">
            <w:pPr>
              <w:jc w:val="right"/>
              <w:textAlignment w:val="bottom"/>
            </w:pPr>
            <w:r>
              <w:rPr>
                <w:rFonts w:ascii="Arial" w:eastAsia="宋体" w:hAnsi="Arial" w:cs="Arial"/>
                <w:color w:val="262626"/>
                <w:sz w:val="18"/>
                <w:szCs w:val="18"/>
              </w:rPr>
              <w:t>2,164 </w:t>
            </w:r>
          </w:p>
        </w:tc>
        <w:tc>
          <w:tcPr>
            <w:tcW w:w="0" w:type="auto"/>
            <w:shd w:val="clear" w:color="auto" w:fill="auto"/>
            <w:tcMar>
              <w:top w:w="40" w:type="dxa"/>
              <w:left w:w="0" w:type="dxa"/>
              <w:bottom w:w="40" w:type="dxa"/>
              <w:right w:w="20" w:type="dxa"/>
            </w:tcMar>
            <w:vAlign w:val="bottom"/>
          </w:tcPr>
          <w:p w14:paraId="67536C7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7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7C" w14:textId="77777777" w:rsidR="001B77DD" w:rsidRDefault="00BF0A28">
            <w:pPr>
              <w:jc w:val="right"/>
              <w:textAlignment w:val="bottom"/>
            </w:pPr>
            <w:r>
              <w:rPr>
                <w:rFonts w:ascii="Arial" w:eastAsia="宋体" w:hAnsi="Arial" w:cs="Arial"/>
                <w:color w:val="262626"/>
                <w:sz w:val="18"/>
                <w:szCs w:val="18"/>
              </w:rPr>
              <w:t>1,091 </w:t>
            </w:r>
          </w:p>
        </w:tc>
        <w:tc>
          <w:tcPr>
            <w:tcW w:w="0" w:type="auto"/>
            <w:shd w:val="clear" w:color="auto" w:fill="auto"/>
            <w:tcMar>
              <w:top w:w="40" w:type="dxa"/>
              <w:left w:w="0" w:type="dxa"/>
              <w:bottom w:w="40" w:type="dxa"/>
              <w:right w:w="20" w:type="dxa"/>
            </w:tcMar>
            <w:vAlign w:val="bottom"/>
          </w:tcPr>
          <w:p w14:paraId="67536C7D" w14:textId="77777777" w:rsidR="001B77DD" w:rsidRDefault="001B77DD">
            <w:pPr>
              <w:jc w:val="right"/>
              <w:rPr>
                <w:rFonts w:ascii="宋体"/>
              </w:rPr>
            </w:pPr>
          </w:p>
        </w:tc>
      </w:tr>
      <w:tr w:rsidR="001B77DD" w14:paraId="67536C8C" w14:textId="77777777">
        <w:tc>
          <w:tcPr>
            <w:tcW w:w="0" w:type="auto"/>
            <w:gridSpan w:val="3"/>
            <w:shd w:val="clear" w:color="auto" w:fill="auto"/>
            <w:tcMar>
              <w:top w:w="40" w:type="dxa"/>
              <w:left w:w="20" w:type="dxa"/>
              <w:bottom w:w="40" w:type="dxa"/>
              <w:right w:w="20" w:type="dxa"/>
            </w:tcMar>
            <w:vAlign w:val="bottom"/>
          </w:tcPr>
          <w:p w14:paraId="67536C7F" w14:textId="77777777" w:rsidR="001B77DD" w:rsidRDefault="00BF0A28">
            <w:pPr>
              <w:textAlignment w:val="bottom"/>
            </w:pPr>
            <w:r>
              <w:rPr>
                <w:rFonts w:ascii="Arial" w:eastAsia="宋体" w:hAnsi="Arial" w:cs="Arial"/>
                <w:b/>
                <w:bCs/>
                <w:color w:val="262626"/>
                <w:sz w:val="18"/>
                <w:szCs w:val="18"/>
              </w:rPr>
              <w:t>Total gains (losses) on equity investments, net</w:t>
            </w:r>
          </w:p>
        </w:tc>
        <w:tc>
          <w:tcPr>
            <w:tcW w:w="0" w:type="auto"/>
            <w:gridSpan w:val="3"/>
            <w:shd w:val="clear" w:color="auto" w:fill="auto"/>
            <w:tcMar>
              <w:top w:w="0" w:type="dxa"/>
              <w:left w:w="20" w:type="dxa"/>
              <w:bottom w:w="0" w:type="dxa"/>
              <w:right w:w="20" w:type="dxa"/>
            </w:tcMar>
            <w:vAlign w:val="bottom"/>
          </w:tcPr>
          <w:p w14:paraId="67536C80"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C81"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C82" w14:textId="77777777" w:rsidR="001B77DD" w:rsidRDefault="00BF0A28">
            <w:pPr>
              <w:jc w:val="right"/>
              <w:textAlignment w:val="bottom"/>
            </w:pPr>
            <w:r>
              <w:rPr>
                <w:rFonts w:ascii="Arial" w:eastAsia="宋体" w:hAnsi="Arial" w:cs="Arial"/>
                <w:b/>
                <w:bCs/>
                <w:color w:val="0068B5"/>
                <w:sz w:val="18"/>
                <w:szCs w:val="18"/>
              </w:rPr>
              <w:t>2,729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C8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8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C85"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C86" w14:textId="77777777" w:rsidR="001B77DD" w:rsidRDefault="00BF0A28">
            <w:pPr>
              <w:jc w:val="right"/>
              <w:textAlignment w:val="bottom"/>
            </w:pPr>
            <w:r>
              <w:rPr>
                <w:rFonts w:ascii="Arial" w:eastAsia="宋体" w:hAnsi="Arial" w:cs="Arial"/>
                <w:b/>
                <w:bCs/>
                <w:color w:val="262626"/>
                <w:sz w:val="18"/>
                <w:szCs w:val="18"/>
              </w:rPr>
              <w:t>1,904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C8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8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C89"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C8A" w14:textId="77777777" w:rsidR="001B77DD" w:rsidRDefault="00BF0A28">
            <w:pPr>
              <w:jc w:val="right"/>
              <w:textAlignment w:val="bottom"/>
            </w:pPr>
            <w:r>
              <w:rPr>
                <w:rFonts w:ascii="Arial" w:eastAsia="宋体" w:hAnsi="Arial" w:cs="Arial"/>
                <w:b/>
                <w:bCs/>
                <w:color w:val="262626"/>
                <w:sz w:val="18"/>
                <w:szCs w:val="18"/>
              </w:rPr>
              <w:t>1,539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C8B" w14:textId="77777777" w:rsidR="001B77DD" w:rsidRDefault="001B77DD">
            <w:pPr>
              <w:jc w:val="right"/>
              <w:rPr>
                <w:rFonts w:ascii="宋体"/>
              </w:rPr>
            </w:pPr>
          </w:p>
        </w:tc>
      </w:tr>
    </w:tbl>
    <w:p w14:paraId="67536C8D" w14:textId="77777777" w:rsidR="001B77DD" w:rsidRDefault="00BF0A28">
      <w:pPr>
        <w:spacing w:before="20" w:after="180"/>
        <w:ind w:hanging="180"/>
      </w:pPr>
      <w:r>
        <w:rPr>
          <w:rFonts w:ascii="Arial" w:eastAsia="宋体" w:hAnsi="Arial" w:cs="Arial"/>
          <w:i/>
          <w:iCs/>
          <w:color w:val="262626"/>
          <w:sz w:val="10"/>
          <w:szCs w:val="10"/>
        </w:rPr>
        <w:t>1    </w:t>
      </w:r>
      <w:r>
        <w:rPr>
          <w:rFonts w:ascii="Arial" w:eastAsia="宋体" w:hAnsi="Arial" w:cs="Arial"/>
          <w:i/>
          <w:iCs/>
          <w:color w:val="262626"/>
          <w:sz w:val="16"/>
          <w:szCs w:val="16"/>
        </w:rPr>
        <w:t>Sale of equity investments and other includes initial fair value adjustments recorded upon a security becoming marketable, realized gains (losses) on sales of non-marketable equity</w:t>
      </w:r>
      <w:r>
        <w:rPr>
          <w:rFonts w:ascii="Arial" w:eastAsia="宋体" w:hAnsi="Arial" w:cs="Arial"/>
          <w:i/>
          <w:iCs/>
          <w:color w:val="262626"/>
          <w:sz w:val="16"/>
          <w:szCs w:val="16"/>
        </w:rPr>
        <w:t xml:space="preserve"> investments, and our share of equity method investee gains (losses) and distributions.</w:t>
      </w:r>
    </w:p>
    <w:p w14:paraId="67536C8E" w14:textId="77777777" w:rsidR="001B77DD" w:rsidRDefault="00BF0A28">
      <w:pPr>
        <w:spacing w:after="180"/>
      </w:pPr>
      <w:r>
        <w:rPr>
          <w:rFonts w:ascii="Arial" w:eastAsia="宋体" w:hAnsi="Arial" w:cs="Arial"/>
          <w:color w:val="262626"/>
          <w:sz w:val="18"/>
          <w:szCs w:val="18"/>
        </w:rPr>
        <w:t xml:space="preserve">In 2021, we recognized impairments of $154 million on non-marketable equity securities ($290 million in 2020 and $122 million in 2019). </w:t>
      </w:r>
    </w:p>
    <w:p w14:paraId="67536C8F" w14:textId="77777777" w:rsidR="001B77DD" w:rsidRDefault="00BF0A28">
      <w:pPr>
        <w:spacing w:after="180"/>
      </w:pPr>
      <w:r>
        <w:rPr>
          <w:rFonts w:ascii="Arial" w:eastAsia="宋体" w:hAnsi="Arial" w:cs="Arial"/>
          <w:color w:val="262626"/>
          <w:sz w:val="18"/>
          <w:szCs w:val="18"/>
        </w:rPr>
        <w:t>As of December 25, 2021 the cum</w:t>
      </w:r>
      <w:r>
        <w:rPr>
          <w:rFonts w:ascii="Arial" w:eastAsia="宋体" w:hAnsi="Arial" w:cs="Arial"/>
          <w:color w:val="262626"/>
          <w:sz w:val="18"/>
          <w:szCs w:val="18"/>
        </w:rPr>
        <w:t>ulative amount of impairments for equity securities without readily determinable fair value is $916 million and upward observable price adjustments were $1.1 billion.</w:t>
      </w:r>
    </w:p>
    <w:p w14:paraId="67536C90" w14:textId="77777777" w:rsidR="001B77DD" w:rsidRDefault="00BF0A28">
      <w:pPr>
        <w:spacing w:after="180"/>
      </w:pPr>
      <w:r>
        <w:rPr>
          <w:rFonts w:ascii="Arial" w:eastAsia="宋体" w:hAnsi="Arial" w:cs="Arial"/>
          <w:color w:val="262626"/>
          <w:sz w:val="18"/>
          <w:szCs w:val="18"/>
        </w:rPr>
        <w:t>Net unrealized gains and losses for our marketable and non-marketable equity securities d</w:t>
      </w:r>
      <w:r>
        <w:rPr>
          <w:rFonts w:ascii="Arial" w:eastAsia="宋体" w:hAnsi="Arial" w:cs="Arial"/>
          <w:color w:val="262626"/>
          <w:sz w:val="18"/>
          <w:szCs w:val="18"/>
        </w:rPr>
        <w:t>uring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011"/>
        <w:gridCol w:w="38"/>
        <w:gridCol w:w="36"/>
        <w:gridCol w:w="36"/>
        <w:gridCol w:w="36"/>
        <w:gridCol w:w="36"/>
        <w:gridCol w:w="121"/>
        <w:gridCol w:w="827"/>
        <w:gridCol w:w="36"/>
        <w:gridCol w:w="36"/>
        <w:gridCol w:w="36"/>
        <w:gridCol w:w="36"/>
        <w:gridCol w:w="121"/>
        <w:gridCol w:w="827"/>
        <w:gridCol w:w="36"/>
        <w:gridCol w:w="36"/>
        <w:gridCol w:w="36"/>
        <w:gridCol w:w="36"/>
        <w:gridCol w:w="121"/>
        <w:gridCol w:w="763"/>
        <w:gridCol w:w="36"/>
      </w:tblGrid>
      <w:tr w:rsidR="001B77DD" w14:paraId="67536CA7" w14:textId="77777777">
        <w:tc>
          <w:tcPr>
            <w:tcW w:w="50" w:type="pct"/>
            <w:shd w:val="clear" w:color="auto" w:fill="auto"/>
            <w:vAlign w:val="bottom"/>
          </w:tcPr>
          <w:p w14:paraId="67536C91" w14:textId="77777777" w:rsidR="001B77DD" w:rsidRDefault="001B77DD">
            <w:pPr>
              <w:rPr>
                <w:rFonts w:ascii="宋体"/>
              </w:rPr>
            </w:pPr>
          </w:p>
        </w:tc>
        <w:tc>
          <w:tcPr>
            <w:tcW w:w="3073" w:type="pct"/>
            <w:shd w:val="clear" w:color="auto" w:fill="auto"/>
            <w:vAlign w:val="bottom"/>
          </w:tcPr>
          <w:p w14:paraId="67536C92" w14:textId="77777777" w:rsidR="001B77DD" w:rsidRDefault="001B77DD">
            <w:pPr>
              <w:rPr>
                <w:rFonts w:ascii="宋体"/>
              </w:rPr>
            </w:pPr>
          </w:p>
        </w:tc>
        <w:tc>
          <w:tcPr>
            <w:tcW w:w="5" w:type="pct"/>
            <w:shd w:val="clear" w:color="auto" w:fill="auto"/>
            <w:vAlign w:val="bottom"/>
          </w:tcPr>
          <w:p w14:paraId="67536C93" w14:textId="77777777" w:rsidR="001B77DD" w:rsidRDefault="001B77DD">
            <w:pPr>
              <w:rPr>
                <w:rFonts w:ascii="宋体"/>
              </w:rPr>
            </w:pPr>
          </w:p>
        </w:tc>
        <w:tc>
          <w:tcPr>
            <w:tcW w:w="0" w:type="auto"/>
            <w:shd w:val="clear" w:color="auto" w:fill="auto"/>
            <w:vAlign w:val="bottom"/>
          </w:tcPr>
          <w:p w14:paraId="67536C94" w14:textId="77777777" w:rsidR="001B77DD" w:rsidRDefault="001B77DD">
            <w:pPr>
              <w:rPr>
                <w:rFonts w:ascii="宋体"/>
                <w:vanish/>
              </w:rPr>
            </w:pPr>
          </w:p>
        </w:tc>
        <w:tc>
          <w:tcPr>
            <w:tcW w:w="5" w:type="pct"/>
            <w:shd w:val="clear" w:color="auto" w:fill="auto"/>
            <w:vAlign w:val="bottom"/>
          </w:tcPr>
          <w:p w14:paraId="67536C95" w14:textId="77777777" w:rsidR="001B77DD" w:rsidRDefault="001B77DD">
            <w:pPr>
              <w:rPr>
                <w:rFonts w:ascii="宋体"/>
              </w:rPr>
            </w:pPr>
          </w:p>
        </w:tc>
        <w:tc>
          <w:tcPr>
            <w:tcW w:w="17" w:type="pct"/>
            <w:shd w:val="clear" w:color="auto" w:fill="auto"/>
            <w:vAlign w:val="bottom"/>
          </w:tcPr>
          <w:p w14:paraId="67536C96" w14:textId="77777777" w:rsidR="001B77DD" w:rsidRDefault="001B77DD">
            <w:pPr>
              <w:rPr>
                <w:rFonts w:ascii="宋体"/>
              </w:rPr>
            </w:pPr>
          </w:p>
        </w:tc>
        <w:tc>
          <w:tcPr>
            <w:tcW w:w="5" w:type="pct"/>
            <w:shd w:val="clear" w:color="auto" w:fill="auto"/>
            <w:vAlign w:val="bottom"/>
          </w:tcPr>
          <w:p w14:paraId="67536C97" w14:textId="77777777" w:rsidR="001B77DD" w:rsidRDefault="001B77DD">
            <w:pPr>
              <w:rPr>
                <w:rFonts w:ascii="宋体"/>
              </w:rPr>
            </w:pPr>
          </w:p>
        </w:tc>
        <w:tc>
          <w:tcPr>
            <w:tcW w:w="50" w:type="pct"/>
            <w:shd w:val="clear" w:color="auto" w:fill="auto"/>
            <w:vAlign w:val="bottom"/>
          </w:tcPr>
          <w:p w14:paraId="67536C98" w14:textId="77777777" w:rsidR="001B77DD" w:rsidRDefault="001B77DD">
            <w:pPr>
              <w:rPr>
                <w:rFonts w:ascii="宋体"/>
              </w:rPr>
            </w:pPr>
          </w:p>
        </w:tc>
        <w:tc>
          <w:tcPr>
            <w:tcW w:w="539" w:type="pct"/>
            <w:shd w:val="clear" w:color="auto" w:fill="auto"/>
            <w:vAlign w:val="bottom"/>
          </w:tcPr>
          <w:p w14:paraId="67536C99" w14:textId="77777777" w:rsidR="001B77DD" w:rsidRDefault="001B77DD">
            <w:pPr>
              <w:rPr>
                <w:rFonts w:ascii="宋体"/>
              </w:rPr>
            </w:pPr>
          </w:p>
        </w:tc>
        <w:tc>
          <w:tcPr>
            <w:tcW w:w="5" w:type="pct"/>
            <w:shd w:val="clear" w:color="auto" w:fill="auto"/>
            <w:vAlign w:val="bottom"/>
          </w:tcPr>
          <w:p w14:paraId="67536C9A" w14:textId="77777777" w:rsidR="001B77DD" w:rsidRDefault="001B77DD">
            <w:pPr>
              <w:rPr>
                <w:rFonts w:ascii="宋体"/>
              </w:rPr>
            </w:pPr>
          </w:p>
        </w:tc>
        <w:tc>
          <w:tcPr>
            <w:tcW w:w="5" w:type="pct"/>
            <w:shd w:val="clear" w:color="auto" w:fill="auto"/>
            <w:vAlign w:val="bottom"/>
          </w:tcPr>
          <w:p w14:paraId="67536C9B" w14:textId="77777777" w:rsidR="001B77DD" w:rsidRDefault="001B77DD">
            <w:pPr>
              <w:rPr>
                <w:rFonts w:ascii="宋体"/>
              </w:rPr>
            </w:pPr>
          </w:p>
        </w:tc>
        <w:tc>
          <w:tcPr>
            <w:tcW w:w="17" w:type="pct"/>
            <w:shd w:val="clear" w:color="auto" w:fill="auto"/>
            <w:vAlign w:val="bottom"/>
          </w:tcPr>
          <w:p w14:paraId="67536C9C" w14:textId="77777777" w:rsidR="001B77DD" w:rsidRDefault="001B77DD">
            <w:pPr>
              <w:rPr>
                <w:rFonts w:ascii="宋体"/>
              </w:rPr>
            </w:pPr>
          </w:p>
        </w:tc>
        <w:tc>
          <w:tcPr>
            <w:tcW w:w="5" w:type="pct"/>
            <w:shd w:val="clear" w:color="auto" w:fill="auto"/>
            <w:vAlign w:val="bottom"/>
          </w:tcPr>
          <w:p w14:paraId="67536C9D" w14:textId="77777777" w:rsidR="001B77DD" w:rsidRDefault="001B77DD">
            <w:pPr>
              <w:rPr>
                <w:rFonts w:ascii="宋体"/>
              </w:rPr>
            </w:pPr>
          </w:p>
        </w:tc>
        <w:tc>
          <w:tcPr>
            <w:tcW w:w="50" w:type="pct"/>
            <w:shd w:val="clear" w:color="auto" w:fill="auto"/>
            <w:vAlign w:val="bottom"/>
          </w:tcPr>
          <w:p w14:paraId="67536C9E" w14:textId="77777777" w:rsidR="001B77DD" w:rsidRDefault="001B77DD">
            <w:pPr>
              <w:rPr>
                <w:rFonts w:ascii="宋体"/>
              </w:rPr>
            </w:pPr>
          </w:p>
        </w:tc>
        <w:tc>
          <w:tcPr>
            <w:tcW w:w="539" w:type="pct"/>
            <w:shd w:val="clear" w:color="auto" w:fill="auto"/>
            <w:vAlign w:val="bottom"/>
          </w:tcPr>
          <w:p w14:paraId="67536C9F" w14:textId="77777777" w:rsidR="001B77DD" w:rsidRDefault="001B77DD">
            <w:pPr>
              <w:rPr>
                <w:rFonts w:ascii="宋体"/>
              </w:rPr>
            </w:pPr>
          </w:p>
        </w:tc>
        <w:tc>
          <w:tcPr>
            <w:tcW w:w="5" w:type="pct"/>
            <w:shd w:val="clear" w:color="auto" w:fill="auto"/>
            <w:vAlign w:val="bottom"/>
          </w:tcPr>
          <w:p w14:paraId="67536CA0" w14:textId="77777777" w:rsidR="001B77DD" w:rsidRDefault="001B77DD">
            <w:pPr>
              <w:rPr>
                <w:rFonts w:ascii="宋体"/>
              </w:rPr>
            </w:pPr>
          </w:p>
        </w:tc>
        <w:tc>
          <w:tcPr>
            <w:tcW w:w="5" w:type="pct"/>
            <w:shd w:val="clear" w:color="auto" w:fill="auto"/>
            <w:vAlign w:val="bottom"/>
          </w:tcPr>
          <w:p w14:paraId="67536CA1" w14:textId="77777777" w:rsidR="001B77DD" w:rsidRDefault="001B77DD">
            <w:pPr>
              <w:rPr>
                <w:rFonts w:ascii="宋体"/>
              </w:rPr>
            </w:pPr>
          </w:p>
        </w:tc>
        <w:tc>
          <w:tcPr>
            <w:tcW w:w="24" w:type="pct"/>
            <w:shd w:val="clear" w:color="auto" w:fill="auto"/>
            <w:vAlign w:val="bottom"/>
          </w:tcPr>
          <w:p w14:paraId="67536CA2" w14:textId="77777777" w:rsidR="001B77DD" w:rsidRDefault="001B77DD">
            <w:pPr>
              <w:rPr>
                <w:rFonts w:ascii="宋体"/>
              </w:rPr>
            </w:pPr>
          </w:p>
        </w:tc>
        <w:tc>
          <w:tcPr>
            <w:tcW w:w="5" w:type="pct"/>
            <w:shd w:val="clear" w:color="auto" w:fill="auto"/>
            <w:vAlign w:val="bottom"/>
          </w:tcPr>
          <w:p w14:paraId="67536CA3" w14:textId="77777777" w:rsidR="001B77DD" w:rsidRDefault="001B77DD">
            <w:pPr>
              <w:rPr>
                <w:rFonts w:ascii="宋体"/>
              </w:rPr>
            </w:pPr>
          </w:p>
        </w:tc>
        <w:tc>
          <w:tcPr>
            <w:tcW w:w="50" w:type="pct"/>
            <w:shd w:val="clear" w:color="auto" w:fill="auto"/>
            <w:vAlign w:val="bottom"/>
          </w:tcPr>
          <w:p w14:paraId="67536CA4" w14:textId="77777777" w:rsidR="001B77DD" w:rsidRDefault="001B77DD">
            <w:pPr>
              <w:rPr>
                <w:rFonts w:ascii="宋体"/>
              </w:rPr>
            </w:pPr>
          </w:p>
        </w:tc>
        <w:tc>
          <w:tcPr>
            <w:tcW w:w="539" w:type="pct"/>
            <w:shd w:val="clear" w:color="auto" w:fill="auto"/>
            <w:vAlign w:val="bottom"/>
          </w:tcPr>
          <w:p w14:paraId="67536CA5" w14:textId="77777777" w:rsidR="001B77DD" w:rsidRDefault="001B77DD">
            <w:pPr>
              <w:rPr>
                <w:rFonts w:ascii="宋体"/>
              </w:rPr>
            </w:pPr>
          </w:p>
        </w:tc>
        <w:tc>
          <w:tcPr>
            <w:tcW w:w="5" w:type="pct"/>
            <w:shd w:val="clear" w:color="auto" w:fill="auto"/>
            <w:vAlign w:val="bottom"/>
          </w:tcPr>
          <w:p w14:paraId="67536CA6" w14:textId="77777777" w:rsidR="001B77DD" w:rsidRDefault="001B77DD">
            <w:pPr>
              <w:rPr>
                <w:rFonts w:ascii="宋体"/>
              </w:rPr>
            </w:pPr>
          </w:p>
        </w:tc>
      </w:tr>
      <w:tr w:rsidR="001B77DD" w14:paraId="67536CB0" w14:textId="77777777">
        <w:trPr>
          <w:hidden/>
        </w:trPr>
        <w:tc>
          <w:tcPr>
            <w:tcW w:w="0" w:type="auto"/>
            <w:gridSpan w:val="3"/>
            <w:shd w:val="clear" w:color="auto" w:fill="auto"/>
            <w:vAlign w:val="bottom"/>
          </w:tcPr>
          <w:p w14:paraId="67536CA8" w14:textId="77777777" w:rsidR="001B77DD" w:rsidRDefault="001B77DD">
            <w:pPr>
              <w:rPr>
                <w:rFonts w:ascii="宋体"/>
                <w:vanish/>
              </w:rPr>
            </w:pPr>
          </w:p>
        </w:tc>
        <w:tc>
          <w:tcPr>
            <w:tcW w:w="0" w:type="auto"/>
            <w:shd w:val="clear" w:color="auto" w:fill="auto"/>
            <w:vAlign w:val="bottom"/>
          </w:tcPr>
          <w:p w14:paraId="67536CA9" w14:textId="77777777" w:rsidR="001B77DD" w:rsidRDefault="001B77DD">
            <w:pPr>
              <w:rPr>
                <w:rFonts w:ascii="宋体"/>
                <w:vanish/>
              </w:rPr>
            </w:pPr>
          </w:p>
        </w:tc>
        <w:tc>
          <w:tcPr>
            <w:tcW w:w="0" w:type="auto"/>
            <w:gridSpan w:val="3"/>
            <w:shd w:val="clear" w:color="auto" w:fill="auto"/>
            <w:vAlign w:val="bottom"/>
          </w:tcPr>
          <w:p w14:paraId="67536CAA" w14:textId="77777777" w:rsidR="001B77DD" w:rsidRDefault="001B77DD">
            <w:pPr>
              <w:rPr>
                <w:rFonts w:ascii="宋体"/>
                <w:vanish/>
              </w:rPr>
            </w:pPr>
          </w:p>
        </w:tc>
        <w:tc>
          <w:tcPr>
            <w:tcW w:w="0" w:type="auto"/>
            <w:gridSpan w:val="3"/>
            <w:shd w:val="clear" w:color="auto" w:fill="auto"/>
            <w:vAlign w:val="bottom"/>
          </w:tcPr>
          <w:p w14:paraId="67536CAB" w14:textId="77777777" w:rsidR="001B77DD" w:rsidRDefault="001B77DD">
            <w:pPr>
              <w:rPr>
                <w:rFonts w:ascii="宋体"/>
                <w:vanish/>
              </w:rPr>
            </w:pPr>
          </w:p>
        </w:tc>
        <w:tc>
          <w:tcPr>
            <w:tcW w:w="0" w:type="auto"/>
            <w:gridSpan w:val="3"/>
            <w:shd w:val="clear" w:color="auto" w:fill="auto"/>
            <w:vAlign w:val="bottom"/>
          </w:tcPr>
          <w:p w14:paraId="67536CAC" w14:textId="77777777" w:rsidR="001B77DD" w:rsidRDefault="001B77DD">
            <w:pPr>
              <w:rPr>
                <w:rFonts w:ascii="宋体"/>
                <w:vanish/>
              </w:rPr>
            </w:pPr>
          </w:p>
        </w:tc>
        <w:tc>
          <w:tcPr>
            <w:tcW w:w="0" w:type="auto"/>
            <w:gridSpan w:val="3"/>
            <w:shd w:val="clear" w:color="auto" w:fill="auto"/>
            <w:vAlign w:val="bottom"/>
          </w:tcPr>
          <w:p w14:paraId="67536CAD" w14:textId="77777777" w:rsidR="001B77DD" w:rsidRDefault="001B77DD">
            <w:pPr>
              <w:rPr>
                <w:rFonts w:ascii="宋体"/>
                <w:vanish/>
              </w:rPr>
            </w:pPr>
          </w:p>
        </w:tc>
        <w:tc>
          <w:tcPr>
            <w:tcW w:w="0" w:type="auto"/>
            <w:gridSpan w:val="3"/>
            <w:shd w:val="clear" w:color="auto" w:fill="auto"/>
            <w:vAlign w:val="bottom"/>
          </w:tcPr>
          <w:p w14:paraId="67536CAE" w14:textId="77777777" w:rsidR="001B77DD" w:rsidRDefault="001B77DD">
            <w:pPr>
              <w:rPr>
                <w:rFonts w:ascii="宋体"/>
                <w:vanish/>
              </w:rPr>
            </w:pPr>
          </w:p>
        </w:tc>
        <w:tc>
          <w:tcPr>
            <w:tcW w:w="0" w:type="auto"/>
            <w:gridSpan w:val="3"/>
            <w:shd w:val="clear" w:color="auto" w:fill="auto"/>
            <w:vAlign w:val="bottom"/>
          </w:tcPr>
          <w:p w14:paraId="67536CAF" w14:textId="77777777" w:rsidR="001B77DD" w:rsidRDefault="001B77DD">
            <w:pPr>
              <w:rPr>
                <w:rFonts w:ascii="宋体"/>
                <w:vanish/>
              </w:rPr>
            </w:pPr>
          </w:p>
        </w:tc>
      </w:tr>
      <w:tr w:rsidR="001B77DD" w14:paraId="67536CB9" w14:textId="77777777">
        <w:tc>
          <w:tcPr>
            <w:tcW w:w="0" w:type="auto"/>
            <w:gridSpan w:val="3"/>
            <w:shd w:val="clear" w:color="auto" w:fill="auto"/>
            <w:tcMar>
              <w:top w:w="40" w:type="dxa"/>
              <w:left w:w="20" w:type="dxa"/>
              <w:bottom w:w="40" w:type="dxa"/>
              <w:right w:w="20" w:type="dxa"/>
            </w:tcMar>
            <w:vAlign w:val="bottom"/>
          </w:tcPr>
          <w:p w14:paraId="67536CB1" w14:textId="77777777" w:rsidR="001B77DD" w:rsidRDefault="00BF0A28">
            <w:pPr>
              <w:textAlignment w:val="bottom"/>
            </w:pPr>
            <w:r>
              <w:rPr>
                <w:rFonts w:ascii="Arial" w:eastAsia="宋体" w:hAnsi="Arial" w:cs="Arial"/>
                <w:b/>
                <w:bCs/>
                <w:color w:val="262626"/>
                <w:sz w:val="18"/>
                <w:szCs w:val="18"/>
              </w:rPr>
              <w:t>(In Millions)</w:t>
            </w:r>
          </w:p>
        </w:tc>
        <w:tc>
          <w:tcPr>
            <w:tcW w:w="0" w:type="auto"/>
            <w:shd w:val="clear" w:color="auto" w:fill="auto"/>
            <w:vAlign w:val="bottom"/>
          </w:tcPr>
          <w:p w14:paraId="67536CB2"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6CB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CB4"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CB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CB6"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CB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CB8"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6CC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CBA" w14:textId="77777777" w:rsidR="001B77DD" w:rsidRDefault="00BF0A28">
            <w:pPr>
              <w:textAlignment w:val="bottom"/>
            </w:pPr>
            <w:r>
              <w:rPr>
                <w:rFonts w:ascii="Arial" w:eastAsia="宋体" w:hAnsi="Arial" w:cs="Arial"/>
                <w:color w:val="262626"/>
                <w:sz w:val="18"/>
                <w:szCs w:val="18"/>
              </w:rPr>
              <w:t>Net gains (losses) recognized during the period on equity securities</w:t>
            </w:r>
          </w:p>
        </w:tc>
        <w:tc>
          <w:tcPr>
            <w:tcW w:w="0" w:type="auto"/>
            <w:shd w:val="clear" w:color="auto" w:fill="auto"/>
            <w:vAlign w:val="bottom"/>
          </w:tcPr>
          <w:p w14:paraId="67536CBB"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6CB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CBD"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CBE" w14:textId="77777777" w:rsidR="001B77DD" w:rsidRDefault="00BF0A28">
            <w:pPr>
              <w:jc w:val="right"/>
              <w:textAlignment w:val="bottom"/>
            </w:pPr>
            <w:r>
              <w:rPr>
                <w:rFonts w:ascii="Arial" w:eastAsia="宋体" w:hAnsi="Arial" w:cs="Arial"/>
                <w:color w:val="0068B5"/>
                <w:sz w:val="18"/>
                <w:szCs w:val="18"/>
              </w:rPr>
              <w:t>1,210 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CB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C0"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CC1"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CC2" w14:textId="77777777" w:rsidR="001B77DD" w:rsidRDefault="00BF0A28">
            <w:pPr>
              <w:jc w:val="right"/>
              <w:textAlignment w:val="bottom"/>
            </w:pPr>
            <w:r>
              <w:rPr>
                <w:rFonts w:ascii="Arial" w:eastAsia="宋体" w:hAnsi="Arial" w:cs="Arial"/>
                <w:color w:val="262626"/>
                <w:sz w:val="18"/>
                <w:szCs w:val="18"/>
              </w:rPr>
              <w:t>1,679 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CC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C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CC5"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CC6" w14:textId="77777777" w:rsidR="001B77DD" w:rsidRDefault="00BF0A28">
            <w:pPr>
              <w:jc w:val="right"/>
              <w:textAlignment w:val="bottom"/>
            </w:pPr>
            <w:r>
              <w:rPr>
                <w:rFonts w:ascii="Arial" w:eastAsia="宋体" w:hAnsi="Arial" w:cs="Arial"/>
                <w:color w:val="262626"/>
                <w:sz w:val="18"/>
                <w:szCs w:val="18"/>
              </w:rPr>
              <w:t>734 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CC7" w14:textId="77777777" w:rsidR="001B77DD" w:rsidRDefault="001B77DD">
            <w:pPr>
              <w:jc w:val="right"/>
              <w:rPr>
                <w:rFonts w:ascii="宋体"/>
              </w:rPr>
            </w:pPr>
          </w:p>
        </w:tc>
      </w:tr>
      <w:tr w:rsidR="001B77DD" w14:paraId="67536CD4" w14:textId="77777777">
        <w:tc>
          <w:tcPr>
            <w:tcW w:w="0" w:type="auto"/>
            <w:gridSpan w:val="3"/>
            <w:shd w:val="clear" w:color="auto" w:fill="auto"/>
            <w:tcMar>
              <w:top w:w="40" w:type="dxa"/>
              <w:left w:w="20" w:type="dxa"/>
              <w:bottom w:w="40" w:type="dxa"/>
              <w:right w:w="20" w:type="dxa"/>
            </w:tcMar>
            <w:vAlign w:val="bottom"/>
          </w:tcPr>
          <w:p w14:paraId="67536CC9" w14:textId="77777777" w:rsidR="001B77DD" w:rsidRDefault="00BF0A28">
            <w:pPr>
              <w:textAlignment w:val="bottom"/>
            </w:pPr>
            <w:r>
              <w:rPr>
                <w:rFonts w:ascii="Arial" w:eastAsia="宋体" w:hAnsi="Arial" w:cs="Arial"/>
                <w:color w:val="262626"/>
                <w:sz w:val="18"/>
                <w:szCs w:val="18"/>
              </w:rPr>
              <w:t>Less: Net (gains) losses recognized during the period on equity securities sold during the period</w:t>
            </w:r>
          </w:p>
        </w:tc>
        <w:tc>
          <w:tcPr>
            <w:tcW w:w="0" w:type="auto"/>
            <w:shd w:val="clear" w:color="auto" w:fill="auto"/>
            <w:vAlign w:val="bottom"/>
          </w:tcPr>
          <w:p w14:paraId="67536CCA"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6C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CC" w14:textId="77777777" w:rsidR="001B77DD" w:rsidRDefault="00BF0A28">
            <w:pPr>
              <w:jc w:val="right"/>
              <w:textAlignment w:val="bottom"/>
            </w:pPr>
            <w:r>
              <w:rPr>
                <w:rFonts w:ascii="Arial" w:eastAsia="宋体" w:hAnsi="Arial" w:cs="Arial"/>
                <w:color w:val="0068B5"/>
                <w:sz w:val="18"/>
                <w:szCs w:val="18"/>
              </w:rPr>
              <w:t>(259)</w:t>
            </w:r>
          </w:p>
        </w:tc>
        <w:tc>
          <w:tcPr>
            <w:tcW w:w="0" w:type="auto"/>
            <w:shd w:val="clear" w:color="auto" w:fill="auto"/>
            <w:tcMar>
              <w:top w:w="40" w:type="dxa"/>
              <w:left w:w="0" w:type="dxa"/>
              <w:bottom w:w="40" w:type="dxa"/>
              <w:right w:w="20" w:type="dxa"/>
            </w:tcMar>
            <w:vAlign w:val="bottom"/>
          </w:tcPr>
          <w:p w14:paraId="67536C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C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CF" w14:textId="77777777" w:rsidR="001B77DD" w:rsidRDefault="00BF0A28">
            <w:pPr>
              <w:jc w:val="right"/>
              <w:textAlignment w:val="bottom"/>
            </w:pPr>
            <w:r>
              <w:rPr>
                <w:rFonts w:ascii="Arial" w:eastAsia="宋体" w:hAnsi="Arial" w:cs="Arial"/>
                <w:color w:val="262626"/>
                <w:sz w:val="18"/>
                <w:szCs w:val="18"/>
              </w:rPr>
              <w:t>(254)</w:t>
            </w:r>
          </w:p>
        </w:tc>
        <w:tc>
          <w:tcPr>
            <w:tcW w:w="0" w:type="auto"/>
            <w:shd w:val="clear" w:color="auto" w:fill="auto"/>
            <w:tcMar>
              <w:top w:w="40" w:type="dxa"/>
              <w:left w:w="0" w:type="dxa"/>
              <w:bottom w:w="40" w:type="dxa"/>
              <w:right w:w="20" w:type="dxa"/>
            </w:tcMar>
            <w:vAlign w:val="bottom"/>
          </w:tcPr>
          <w:p w14:paraId="67536CD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D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CD2" w14:textId="77777777" w:rsidR="001B77DD" w:rsidRDefault="00BF0A28">
            <w:pPr>
              <w:jc w:val="right"/>
              <w:textAlignment w:val="bottom"/>
            </w:pPr>
            <w:r>
              <w:rPr>
                <w:rFonts w:ascii="Arial" w:eastAsia="宋体" w:hAnsi="Arial" w:cs="Arial"/>
                <w:color w:val="262626"/>
                <w:sz w:val="18"/>
                <w:szCs w:val="18"/>
              </w:rPr>
              <w:t>(424)</w:t>
            </w:r>
          </w:p>
        </w:tc>
        <w:tc>
          <w:tcPr>
            <w:tcW w:w="0" w:type="auto"/>
            <w:shd w:val="clear" w:color="auto" w:fill="auto"/>
            <w:tcMar>
              <w:top w:w="40" w:type="dxa"/>
              <w:left w:w="0" w:type="dxa"/>
              <w:bottom w:w="40" w:type="dxa"/>
              <w:right w:w="20" w:type="dxa"/>
            </w:tcMar>
            <w:vAlign w:val="bottom"/>
          </w:tcPr>
          <w:p w14:paraId="67536CD3" w14:textId="77777777" w:rsidR="001B77DD" w:rsidRDefault="001B77DD">
            <w:pPr>
              <w:jc w:val="right"/>
              <w:rPr>
                <w:rFonts w:ascii="宋体"/>
              </w:rPr>
            </w:pPr>
          </w:p>
        </w:tc>
      </w:tr>
      <w:tr w:rsidR="001B77DD" w14:paraId="67536CE3" w14:textId="77777777">
        <w:tc>
          <w:tcPr>
            <w:tcW w:w="0" w:type="auto"/>
            <w:gridSpan w:val="3"/>
            <w:shd w:val="clear" w:color="auto" w:fill="auto"/>
            <w:tcMar>
              <w:top w:w="40" w:type="dxa"/>
              <w:left w:w="20" w:type="dxa"/>
              <w:bottom w:w="40" w:type="dxa"/>
              <w:right w:w="20" w:type="dxa"/>
            </w:tcMar>
            <w:vAlign w:val="bottom"/>
          </w:tcPr>
          <w:p w14:paraId="67536CD5" w14:textId="77777777" w:rsidR="001B77DD" w:rsidRDefault="00BF0A28">
            <w:pPr>
              <w:textAlignment w:val="bottom"/>
            </w:pPr>
            <w:r>
              <w:rPr>
                <w:rFonts w:ascii="Arial" w:eastAsia="宋体" w:hAnsi="Arial" w:cs="Arial"/>
                <w:b/>
                <w:bCs/>
                <w:color w:val="262626"/>
                <w:sz w:val="18"/>
                <w:szCs w:val="18"/>
              </w:rPr>
              <w:t xml:space="preserve">Net unrealized gains (losses) recognized during the period on </w:t>
            </w:r>
            <w:r>
              <w:rPr>
                <w:rFonts w:ascii="Arial" w:eastAsia="宋体" w:hAnsi="Arial" w:cs="Arial"/>
                <w:b/>
                <w:bCs/>
                <w:color w:val="262626"/>
                <w:sz w:val="18"/>
                <w:szCs w:val="18"/>
              </w:rPr>
              <w:t>equity securities still held at the reporting date</w:t>
            </w:r>
          </w:p>
        </w:tc>
        <w:tc>
          <w:tcPr>
            <w:tcW w:w="0" w:type="auto"/>
            <w:shd w:val="clear" w:color="auto" w:fill="auto"/>
            <w:vAlign w:val="bottom"/>
          </w:tcPr>
          <w:p w14:paraId="67536CD6"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6CD7"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CD8"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CD9" w14:textId="77777777" w:rsidR="001B77DD" w:rsidRDefault="00BF0A28">
            <w:pPr>
              <w:jc w:val="right"/>
              <w:textAlignment w:val="bottom"/>
            </w:pPr>
            <w:r>
              <w:rPr>
                <w:rFonts w:ascii="Arial" w:eastAsia="宋体" w:hAnsi="Arial" w:cs="Arial"/>
                <w:b/>
                <w:bCs/>
                <w:color w:val="0068B5"/>
                <w:sz w:val="18"/>
                <w:szCs w:val="18"/>
              </w:rPr>
              <w:t>951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CD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DB"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CDC"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CDD" w14:textId="77777777" w:rsidR="001B77DD" w:rsidRDefault="00BF0A28">
            <w:pPr>
              <w:jc w:val="right"/>
              <w:textAlignment w:val="bottom"/>
            </w:pPr>
            <w:r>
              <w:rPr>
                <w:rFonts w:ascii="Arial" w:eastAsia="宋体" w:hAnsi="Arial" w:cs="Arial"/>
                <w:b/>
                <w:bCs/>
                <w:color w:val="262626"/>
                <w:sz w:val="18"/>
                <w:szCs w:val="18"/>
              </w:rPr>
              <w:t>1,425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CD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CDF"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CE0"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CE1" w14:textId="77777777" w:rsidR="001B77DD" w:rsidRDefault="00BF0A28">
            <w:pPr>
              <w:jc w:val="right"/>
              <w:textAlignment w:val="bottom"/>
            </w:pPr>
            <w:r>
              <w:rPr>
                <w:rFonts w:ascii="Arial" w:eastAsia="宋体" w:hAnsi="Arial" w:cs="Arial"/>
                <w:b/>
                <w:bCs/>
                <w:color w:val="262626"/>
                <w:sz w:val="18"/>
                <w:szCs w:val="18"/>
              </w:rPr>
              <w:t>310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CE2" w14:textId="77777777" w:rsidR="001B77DD" w:rsidRDefault="001B77DD">
            <w:pPr>
              <w:jc w:val="right"/>
              <w:rPr>
                <w:rFonts w:ascii="宋体"/>
              </w:rPr>
            </w:pPr>
          </w:p>
        </w:tc>
      </w:tr>
    </w:tbl>
    <w:p w14:paraId="67536CE4" w14:textId="77777777" w:rsidR="001B77DD" w:rsidRDefault="00BF0A28">
      <w:pPr>
        <w:spacing w:before="120" w:after="120"/>
      </w:pPr>
      <w:r>
        <w:rPr>
          <w:rFonts w:ascii="Arial" w:eastAsia="宋体" w:hAnsi="Arial" w:cs="Arial"/>
          <w:color w:val="0068B5"/>
          <w:sz w:val="20"/>
          <w:szCs w:val="20"/>
        </w:rPr>
        <w:t>McAfee Corp.</w:t>
      </w:r>
    </w:p>
    <w:p w14:paraId="67536CE5" w14:textId="77777777" w:rsidR="001B77DD" w:rsidRDefault="00BF0A28">
      <w:pPr>
        <w:spacing w:after="180"/>
      </w:pPr>
      <w:r>
        <w:rPr>
          <w:rFonts w:ascii="Arial" w:eastAsia="宋体" w:hAnsi="Arial" w:cs="Arial"/>
          <w:color w:val="262626"/>
          <w:sz w:val="18"/>
          <w:szCs w:val="18"/>
        </w:rPr>
        <w:t>McAfee completed its initial public offering in October 2020. Due to our 41% owners</w:t>
      </w:r>
      <w:r>
        <w:rPr>
          <w:rFonts w:ascii="Arial" w:eastAsia="宋体" w:hAnsi="Arial" w:cs="Arial"/>
          <w:color w:val="262626"/>
          <w:sz w:val="18"/>
          <w:szCs w:val="18"/>
        </w:rPr>
        <w:t>hip and significant influence as of December 25, 2021, we account for it as an equity method investment. We had no accounting carrying value as of December 25, 2021 and as of December 26, 2020. During 2021, we recognized McAfee dividends of $1.3 billion, w</w:t>
      </w:r>
      <w:r>
        <w:rPr>
          <w:rFonts w:ascii="Arial" w:eastAsia="宋体" w:hAnsi="Arial" w:cs="Arial"/>
          <w:color w:val="262626"/>
          <w:sz w:val="18"/>
          <w:szCs w:val="18"/>
        </w:rPr>
        <w:t xml:space="preserve">hich includes a special dividend of $1.1 billion paid in connection with the sale of McAfee's Enterprise Business to Symphony Technology Group and $228 million related to the partial sale of our investment in McAfee. We recognized McAfee dividends of $126 </w:t>
      </w:r>
      <w:r>
        <w:rPr>
          <w:rFonts w:ascii="Arial" w:eastAsia="宋体" w:hAnsi="Arial" w:cs="Arial"/>
          <w:color w:val="262626"/>
          <w:sz w:val="18"/>
          <w:szCs w:val="18"/>
        </w:rPr>
        <w:t>million in 2020 and $632 million in 2019.</w:t>
      </w:r>
    </w:p>
    <w:p w14:paraId="67536CE6" w14:textId="77777777" w:rsidR="001B77DD" w:rsidRDefault="00BF0A28">
      <w:pPr>
        <w:spacing w:after="180"/>
      </w:pPr>
      <w:r>
        <w:rPr>
          <w:rFonts w:ascii="Arial" w:eastAsia="宋体" w:hAnsi="Arial" w:cs="Arial"/>
          <w:color w:val="262626"/>
          <w:sz w:val="18"/>
          <w:szCs w:val="18"/>
        </w:rPr>
        <w:t>In November 2021, McAfee announced an agreement to be acquired by an investor group, which is subject to closing conditions.</w:t>
      </w:r>
    </w:p>
    <w:p w14:paraId="67536CE7" w14:textId="77777777" w:rsidR="001B77DD" w:rsidRDefault="00BF0A28">
      <w:pPr>
        <w:spacing w:after="120"/>
      </w:pPr>
      <w:r>
        <w:rPr>
          <w:rFonts w:ascii="Arial" w:eastAsia="宋体" w:hAnsi="Arial" w:cs="Arial"/>
          <w:color w:val="0068B5"/>
          <w:sz w:val="20"/>
          <w:szCs w:val="20"/>
        </w:rPr>
        <w:t>Beijing Unisoc Technology Ltd.</w:t>
      </w:r>
    </w:p>
    <w:p w14:paraId="67536CE8" w14:textId="77777777" w:rsidR="001B77DD" w:rsidRDefault="00BF0A28">
      <w:pPr>
        <w:spacing w:after="180"/>
      </w:pPr>
      <w:r>
        <w:rPr>
          <w:rFonts w:ascii="Arial" w:eastAsia="宋体" w:hAnsi="Arial" w:cs="Arial"/>
          <w:color w:val="262626"/>
          <w:sz w:val="18"/>
          <w:szCs w:val="18"/>
        </w:rPr>
        <w:t xml:space="preserve">We account for our interest in Beijing Unisoc </w:t>
      </w:r>
      <w:r>
        <w:rPr>
          <w:rFonts w:ascii="Arial" w:eastAsia="宋体" w:hAnsi="Arial" w:cs="Arial"/>
          <w:color w:val="262626"/>
          <w:sz w:val="18"/>
          <w:szCs w:val="18"/>
        </w:rPr>
        <w:t>Technology Ltd. (Unisoc) as a non-marketable equity security. In the first quarter of 2021, we recognized $471 million in observable price adjustments in our investment in Unisoc and as of December 25, 2021, the net book value of the investment was $1.1 bi</w:t>
      </w:r>
      <w:r>
        <w:rPr>
          <w:rFonts w:ascii="Arial" w:eastAsia="宋体" w:hAnsi="Arial" w:cs="Arial"/>
          <w:color w:val="262626"/>
          <w:sz w:val="18"/>
          <w:szCs w:val="18"/>
        </w:rPr>
        <w:t>llion ($658 million as of December 26,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6CEF" w14:textId="77777777">
        <w:tc>
          <w:tcPr>
            <w:tcW w:w="50" w:type="pct"/>
            <w:shd w:val="clear" w:color="auto" w:fill="auto"/>
            <w:vAlign w:val="bottom"/>
          </w:tcPr>
          <w:p w14:paraId="67536CE9" w14:textId="77777777" w:rsidR="001B77DD" w:rsidRDefault="001B77DD">
            <w:pPr>
              <w:rPr>
                <w:rFonts w:ascii="宋体"/>
              </w:rPr>
            </w:pPr>
          </w:p>
        </w:tc>
        <w:tc>
          <w:tcPr>
            <w:tcW w:w="539" w:type="pct"/>
            <w:shd w:val="clear" w:color="auto" w:fill="auto"/>
            <w:vAlign w:val="bottom"/>
          </w:tcPr>
          <w:p w14:paraId="67536CEA" w14:textId="77777777" w:rsidR="001B77DD" w:rsidRDefault="001B77DD">
            <w:pPr>
              <w:rPr>
                <w:rFonts w:ascii="宋体"/>
              </w:rPr>
            </w:pPr>
          </w:p>
        </w:tc>
        <w:tc>
          <w:tcPr>
            <w:tcW w:w="5" w:type="pct"/>
            <w:shd w:val="clear" w:color="auto" w:fill="auto"/>
            <w:vAlign w:val="bottom"/>
          </w:tcPr>
          <w:p w14:paraId="67536CEB" w14:textId="77777777" w:rsidR="001B77DD" w:rsidRDefault="001B77DD">
            <w:pPr>
              <w:rPr>
                <w:rFonts w:ascii="宋体"/>
              </w:rPr>
            </w:pPr>
          </w:p>
        </w:tc>
        <w:tc>
          <w:tcPr>
            <w:tcW w:w="50" w:type="pct"/>
            <w:shd w:val="clear" w:color="auto" w:fill="auto"/>
            <w:vAlign w:val="bottom"/>
          </w:tcPr>
          <w:p w14:paraId="67536CEC" w14:textId="77777777" w:rsidR="001B77DD" w:rsidRDefault="001B77DD">
            <w:pPr>
              <w:rPr>
                <w:rFonts w:ascii="宋体"/>
              </w:rPr>
            </w:pPr>
          </w:p>
        </w:tc>
        <w:tc>
          <w:tcPr>
            <w:tcW w:w="4350" w:type="pct"/>
            <w:shd w:val="clear" w:color="auto" w:fill="auto"/>
            <w:vAlign w:val="bottom"/>
          </w:tcPr>
          <w:p w14:paraId="67536CED" w14:textId="77777777" w:rsidR="001B77DD" w:rsidRDefault="001B77DD">
            <w:pPr>
              <w:rPr>
                <w:rFonts w:ascii="宋体"/>
              </w:rPr>
            </w:pPr>
          </w:p>
        </w:tc>
        <w:tc>
          <w:tcPr>
            <w:tcW w:w="5" w:type="pct"/>
            <w:shd w:val="clear" w:color="auto" w:fill="auto"/>
            <w:vAlign w:val="bottom"/>
          </w:tcPr>
          <w:p w14:paraId="67536CEE" w14:textId="77777777" w:rsidR="001B77DD" w:rsidRDefault="001B77DD">
            <w:pPr>
              <w:rPr>
                <w:rFonts w:ascii="宋体"/>
              </w:rPr>
            </w:pPr>
          </w:p>
        </w:tc>
      </w:tr>
      <w:tr w:rsidR="001B77DD" w14:paraId="67536CF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CF0" w14:textId="77777777" w:rsidR="001B77DD" w:rsidRDefault="00BF0A28">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CF1" w14:textId="77777777" w:rsidR="001B77DD" w:rsidRDefault="00BF0A28">
            <w:pPr>
              <w:textAlignment w:val="bottom"/>
            </w:pPr>
            <w:r>
              <w:rPr>
                <w:rFonts w:ascii="Arial" w:eastAsia="宋体" w:hAnsi="Arial" w:cs="Arial"/>
                <w:color w:val="0068B5"/>
                <w:sz w:val="28"/>
                <w:szCs w:val="28"/>
              </w:rPr>
              <w:t>Acquisitions and Divestitures</w:t>
            </w:r>
          </w:p>
        </w:tc>
      </w:tr>
    </w:tbl>
    <w:p w14:paraId="67536CF3" w14:textId="77777777" w:rsidR="001B77DD" w:rsidRDefault="00BF0A28">
      <w:pPr>
        <w:spacing w:after="180"/>
      </w:pPr>
      <w:r>
        <w:rPr>
          <w:rFonts w:ascii="Arial" w:eastAsia="宋体" w:hAnsi="Arial" w:cs="Arial"/>
          <w:color w:val="0068B5"/>
        </w:rPr>
        <w:t>Acquisitions</w:t>
      </w:r>
    </w:p>
    <w:p w14:paraId="67536CF4" w14:textId="77777777" w:rsidR="001B77DD" w:rsidRDefault="00BF0A28">
      <w:pPr>
        <w:spacing w:after="180"/>
      </w:pPr>
      <w:r>
        <w:rPr>
          <w:rFonts w:ascii="Arial" w:eastAsia="宋体" w:hAnsi="Arial" w:cs="Arial"/>
          <w:color w:val="262626"/>
          <w:sz w:val="18"/>
          <w:szCs w:val="18"/>
        </w:rPr>
        <w:t xml:space="preserve">We completed four acquisitions in 2021 and six acquisitions in 2020, all of which qualified as business combinations. The consideration for the </w:t>
      </w:r>
      <w:r>
        <w:rPr>
          <w:rFonts w:ascii="Arial" w:eastAsia="宋体" w:hAnsi="Arial" w:cs="Arial"/>
          <w:color w:val="262626"/>
          <w:sz w:val="18"/>
          <w:szCs w:val="18"/>
        </w:rPr>
        <w:t>acquisitions in 2021 and 2020 primarily consisted of cash and was allocated to goodwill and identified intangible assets. For information on the assignment of goodwill to our operating segments, see "Note 11: Goodwill," and for information on the classific</w:t>
      </w:r>
      <w:r>
        <w:rPr>
          <w:rFonts w:ascii="Arial" w:eastAsia="宋体" w:hAnsi="Arial" w:cs="Arial"/>
          <w:color w:val="262626"/>
          <w:sz w:val="18"/>
          <w:szCs w:val="18"/>
        </w:rPr>
        <w:t>ation of intangible assets, see "Note 12: Identified Intangible Assets."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D01" w14:textId="77777777">
        <w:tc>
          <w:tcPr>
            <w:tcW w:w="50" w:type="pct"/>
            <w:shd w:val="clear" w:color="auto" w:fill="auto"/>
            <w:vAlign w:val="bottom"/>
          </w:tcPr>
          <w:p w14:paraId="67536CF5" w14:textId="77777777" w:rsidR="001B77DD" w:rsidRDefault="001B77DD">
            <w:pPr>
              <w:rPr>
                <w:rFonts w:ascii="宋体"/>
              </w:rPr>
            </w:pPr>
          </w:p>
        </w:tc>
        <w:tc>
          <w:tcPr>
            <w:tcW w:w="276" w:type="pct"/>
            <w:shd w:val="clear" w:color="auto" w:fill="auto"/>
            <w:vAlign w:val="bottom"/>
          </w:tcPr>
          <w:p w14:paraId="67536CF6" w14:textId="77777777" w:rsidR="001B77DD" w:rsidRDefault="001B77DD">
            <w:pPr>
              <w:rPr>
                <w:rFonts w:ascii="宋体"/>
              </w:rPr>
            </w:pPr>
          </w:p>
        </w:tc>
        <w:tc>
          <w:tcPr>
            <w:tcW w:w="5" w:type="pct"/>
            <w:shd w:val="clear" w:color="auto" w:fill="auto"/>
            <w:vAlign w:val="bottom"/>
          </w:tcPr>
          <w:p w14:paraId="67536CF7" w14:textId="77777777" w:rsidR="001B77DD" w:rsidRDefault="001B77DD">
            <w:pPr>
              <w:rPr>
                <w:rFonts w:ascii="宋体"/>
              </w:rPr>
            </w:pPr>
          </w:p>
        </w:tc>
        <w:tc>
          <w:tcPr>
            <w:tcW w:w="50" w:type="pct"/>
            <w:shd w:val="clear" w:color="auto" w:fill="auto"/>
            <w:vAlign w:val="bottom"/>
          </w:tcPr>
          <w:p w14:paraId="67536CF8" w14:textId="77777777" w:rsidR="001B77DD" w:rsidRDefault="001B77DD">
            <w:pPr>
              <w:rPr>
                <w:rFonts w:ascii="宋体"/>
              </w:rPr>
            </w:pPr>
          </w:p>
        </w:tc>
        <w:tc>
          <w:tcPr>
            <w:tcW w:w="940" w:type="pct"/>
            <w:shd w:val="clear" w:color="auto" w:fill="auto"/>
            <w:vAlign w:val="bottom"/>
          </w:tcPr>
          <w:p w14:paraId="67536CF9" w14:textId="77777777" w:rsidR="001B77DD" w:rsidRDefault="001B77DD">
            <w:pPr>
              <w:rPr>
                <w:rFonts w:ascii="宋体"/>
              </w:rPr>
            </w:pPr>
          </w:p>
        </w:tc>
        <w:tc>
          <w:tcPr>
            <w:tcW w:w="5" w:type="pct"/>
            <w:shd w:val="clear" w:color="auto" w:fill="auto"/>
            <w:vAlign w:val="bottom"/>
          </w:tcPr>
          <w:p w14:paraId="67536CFA" w14:textId="77777777" w:rsidR="001B77DD" w:rsidRDefault="001B77DD">
            <w:pPr>
              <w:rPr>
                <w:rFonts w:ascii="宋体"/>
              </w:rPr>
            </w:pPr>
          </w:p>
        </w:tc>
        <w:tc>
          <w:tcPr>
            <w:tcW w:w="50" w:type="pct"/>
            <w:shd w:val="clear" w:color="auto" w:fill="auto"/>
            <w:vAlign w:val="bottom"/>
          </w:tcPr>
          <w:p w14:paraId="67536CFB" w14:textId="77777777" w:rsidR="001B77DD" w:rsidRDefault="001B77DD">
            <w:pPr>
              <w:rPr>
                <w:rFonts w:ascii="宋体"/>
              </w:rPr>
            </w:pPr>
          </w:p>
        </w:tc>
        <w:tc>
          <w:tcPr>
            <w:tcW w:w="1837" w:type="pct"/>
            <w:shd w:val="clear" w:color="auto" w:fill="auto"/>
            <w:vAlign w:val="bottom"/>
          </w:tcPr>
          <w:p w14:paraId="67536CFC" w14:textId="77777777" w:rsidR="001B77DD" w:rsidRDefault="001B77DD">
            <w:pPr>
              <w:rPr>
                <w:rFonts w:ascii="宋体"/>
              </w:rPr>
            </w:pPr>
          </w:p>
        </w:tc>
        <w:tc>
          <w:tcPr>
            <w:tcW w:w="5" w:type="pct"/>
            <w:shd w:val="clear" w:color="auto" w:fill="auto"/>
            <w:vAlign w:val="bottom"/>
          </w:tcPr>
          <w:p w14:paraId="67536CFD" w14:textId="77777777" w:rsidR="001B77DD" w:rsidRDefault="001B77DD">
            <w:pPr>
              <w:rPr>
                <w:rFonts w:ascii="宋体"/>
              </w:rPr>
            </w:pPr>
          </w:p>
        </w:tc>
        <w:tc>
          <w:tcPr>
            <w:tcW w:w="50" w:type="pct"/>
            <w:shd w:val="clear" w:color="auto" w:fill="auto"/>
            <w:vAlign w:val="bottom"/>
          </w:tcPr>
          <w:p w14:paraId="67536CFE" w14:textId="77777777" w:rsidR="001B77DD" w:rsidRDefault="001B77DD">
            <w:pPr>
              <w:rPr>
                <w:rFonts w:ascii="宋体"/>
              </w:rPr>
            </w:pPr>
          </w:p>
        </w:tc>
        <w:tc>
          <w:tcPr>
            <w:tcW w:w="1724" w:type="pct"/>
            <w:shd w:val="clear" w:color="auto" w:fill="auto"/>
            <w:vAlign w:val="bottom"/>
          </w:tcPr>
          <w:p w14:paraId="67536CFF" w14:textId="77777777" w:rsidR="001B77DD" w:rsidRDefault="001B77DD">
            <w:pPr>
              <w:rPr>
                <w:rFonts w:ascii="宋体"/>
              </w:rPr>
            </w:pPr>
          </w:p>
        </w:tc>
        <w:tc>
          <w:tcPr>
            <w:tcW w:w="5" w:type="pct"/>
            <w:shd w:val="clear" w:color="auto" w:fill="auto"/>
            <w:vAlign w:val="bottom"/>
          </w:tcPr>
          <w:p w14:paraId="67536D00" w14:textId="77777777" w:rsidR="001B77DD" w:rsidRDefault="001B77DD">
            <w:pPr>
              <w:rPr>
                <w:rFonts w:ascii="宋体"/>
              </w:rPr>
            </w:pPr>
          </w:p>
        </w:tc>
      </w:tr>
      <w:tr w:rsidR="001B77DD" w14:paraId="67536D06"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D02"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51" wp14:editId="67538F52">
                  <wp:extent cx="304800" cy="304800"/>
                  <wp:effectExtent l="0" t="0" r="0" b="0"/>
                  <wp:docPr id="185" name="图片 31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1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D03"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D04"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D05" w14:textId="77777777" w:rsidR="001B77DD" w:rsidRDefault="00BF0A28">
            <w:pPr>
              <w:jc w:val="right"/>
              <w:textAlignment w:val="center"/>
            </w:pPr>
            <w:r>
              <w:rPr>
                <w:rFonts w:ascii="Arial" w:eastAsia="宋体" w:hAnsi="Arial" w:cs="Arial"/>
                <w:color w:val="262626"/>
                <w:sz w:val="16"/>
                <w:szCs w:val="16"/>
              </w:rPr>
              <w:t>91</w:t>
            </w:r>
          </w:p>
        </w:tc>
      </w:tr>
    </w:tbl>
    <w:p w14:paraId="67536D07" w14:textId="77777777" w:rsidR="001B77DD" w:rsidRDefault="00BF0A28">
      <w:r>
        <w:pict w14:anchorId="67538F53">
          <v:rect id="_x0000_i1117" style="width:415.3pt;height:1.5pt" o:hralign="center" o:hrstd="t" o:hr="t" fillcolor="#a0a0a0" stroked="f"/>
        </w:pict>
      </w:r>
    </w:p>
    <w:p w14:paraId="67536D08" w14:textId="77777777" w:rsidR="001B77DD" w:rsidRDefault="00BF0A28">
      <w:pPr>
        <w:jc w:val="right"/>
      </w:pPr>
      <w:hyperlink r:id="rId179" w:anchor="i6c9ced68f6b24d58a3dcf326e8c3c699_16" w:history="1">
        <w:r>
          <w:rPr>
            <w:rStyle w:val="a5"/>
            <w:rFonts w:ascii="Arial" w:eastAsia="宋体" w:hAnsi="Arial" w:cs="Arial"/>
            <w:b/>
            <w:bCs/>
            <w:sz w:val="16"/>
            <w:szCs w:val="16"/>
          </w:rPr>
          <w:t>Table of Contents</w:t>
        </w:r>
      </w:hyperlink>
    </w:p>
    <w:p w14:paraId="67536D09" w14:textId="77777777" w:rsidR="001B77DD" w:rsidRDefault="001B77DD">
      <w:pPr>
        <w:jc w:val="right"/>
      </w:pPr>
    </w:p>
    <w:p w14:paraId="67536D0A" w14:textId="77777777" w:rsidR="001B77DD" w:rsidRDefault="00BF0A28">
      <w:pPr>
        <w:spacing w:after="120"/>
      </w:pPr>
      <w:r>
        <w:rPr>
          <w:rFonts w:ascii="Arial" w:eastAsia="宋体" w:hAnsi="Arial" w:cs="Arial"/>
          <w:color w:val="0068B5"/>
          <w:sz w:val="20"/>
          <w:szCs w:val="20"/>
        </w:rPr>
        <w:t>Moovit</w:t>
      </w:r>
    </w:p>
    <w:p w14:paraId="67536D0B" w14:textId="77777777" w:rsidR="001B77DD" w:rsidRDefault="00BF0A28">
      <w:pPr>
        <w:spacing w:after="180"/>
      </w:pPr>
      <w:r>
        <w:rPr>
          <w:rFonts w:ascii="Arial" w:eastAsia="宋体" w:hAnsi="Arial" w:cs="Arial"/>
          <w:color w:val="262626"/>
          <w:sz w:val="18"/>
          <w:szCs w:val="18"/>
        </w:rPr>
        <w:t xml:space="preserve">On May 4, 2020, we acquired Moovit, a MaaS solutions company, for total </w:t>
      </w:r>
      <w:r>
        <w:rPr>
          <w:rFonts w:ascii="Arial" w:eastAsia="宋体" w:hAnsi="Arial" w:cs="Arial"/>
          <w:color w:val="262626"/>
          <w:sz w:val="18"/>
          <w:szCs w:val="18"/>
        </w:rPr>
        <w:t>consideration of $915 million. The fair values of the assets acquired relate to goodwill of $638 million and intangible assets of $331 million. The goodwill arising from the acquisition is attributed to the expected synergies and other benefits that will b</w:t>
      </w:r>
      <w:r>
        <w:rPr>
          <w:rFonts w:ascii="Arial" w:eastAsia="宋体" w:hAnsi="Arial" w:cs="Arial"/>
          <w:color w:val="262626"/>
          <w:sz w:val="18"/>
          <w:szCs w:val="18"/>
        </w:rPr>
        <w:t>e generated from the combination of Intel and Moovit. Substantially all of the goodwill will not be deductible for local tax purposes. The acquisition-related intangible assets are primarily related to Moovit's monthly active user base and application plat</w:t>
      </w:r>
      <w:r>
        <w:rPr>
          <w:rFonts w:ascii="Arial" w:eastAsia="宋体" w:hAnsi="Arial" w:cs="Arial"/>
          <w:color w:val="262626"/>
          <w:sz w:val="18"/>
          <w:szCs w:val="18"/>
        </w:rPr>
        <w:t>form. The goodwill and operating results of Moovit are included in our Mobileye operating segment.</w:t>
      </w:r>
    </w:p>
    <w:p w14:paraId="67536D0C" w14:textId="77777777" w:rsidR="001B77DD" w:rsidRDefault="00BF0A28">
      <w:pPr>
        <w:spacing w:after="180"/>
      </w:pPr>
      <w:r>
        <w:rPr>
          <w:rFonts w:ascii="Arial" w:eastAsia="宋体" w:hAnsi="Arial" w:cs="Arial"/>
          <w:color w:val="0068B5"/>
        </w:rPr>
        <w:t>Divestitures</w:t>
      </w:r>
    </w:p>
    <w:p w14:paraId="67536D0D" w14:textId="77777777" w:rsidR="001B77DD" w:rsidRDefault="00BF0A28">
      <w:pPr>
        <w:spacing w:after="120"/>
      </w:pPr>
      <w:r>
        <w:rPr>
          <w:rFonts w:ascii="Arial" w:eastAsia="宋体" w:hAnsi="Arial" w:cs="Arial"/>
          <w:color w:val="0068B5"/>
          <w:sz w:val="20"/>
          <w:szCs w:val="20"/>
        </w:rPr>
        <w:t>NAND Memory Business</w:t>
      </w:r>
    </w:p>
    <w:p w14:paraId="67536D0E" w14:textId="77777777" w:rsidR="001B77DD" w:rsidRDefault="00BF0A28">
      <w:pPr>
        <w:spacing w:after="180"/>
      </w:pPr>
      <w:r>
        <w:rPr>
          <w:rFonts w:ascii="Arial" w:eastAsia="宋体" w:hAnsi="Arial" w:cs="Arial"/>
          <w:color w:val="262626"/>
          <w:sz w:val="18"/>
          <w:szCs w:val="18"/>
        </w:rPr>
        <w:t>In October 2020, we signed an agreement with SK hynix Inc. (SK hynix) to divest our NAND memory business for $9.0 billion i</w:t>
      </w:r>
      <w:r>
        <w:rPr>
          <w:rFonts w:ascii="Arial" w:eastAsia="宋体" w:hAnsi="Arial" w:cs="Arial"/>
          <w:color w:val="262626"/>
          <w:sz w:val="18"/>
          <w:szCs w:val="18"/>
        </w:rPr>
        <w:t>n cash. The NAND memory business includes our NAND memory fabrication facility in Dalian, China and certain related equipment and tangible assets (the Fab Assets), our NAND SSD business (the NAND SSD Business), and our NAND memory technology and manufactur</w:t>
      </w:r>
      <w:r>
        <w:rPr>
          <w:rFonts w:ascii="Arial" w:eastAsia="宋体" w:hAnsi="Arial" w:cs="Arial"/>
          <w:color w:val="262626"/>
          <w:sz w:val="18"/>
          <w:szCs w:val="18"/>
        </w:rPr>
        <w:t xml:space="preserve">ing business (the NAND OpCo Business). The transaction will be completed in two closings. </w:t>
      </w:r>
    </w:p>
    <w:p w14:paraId="67536D0F" w14:textId="77777777" w:rsidR="001B77DD" w:rsidRDefault="00BF0A28">
      <w:pPr>
        <w:spacing w:after="180"/>
      </w:pPr>
      <w:r>
        <w:rPr>
          <w:rFonts w:ascii="Arial" w:eastAsia="宋体" w:hAnsi="Arial" w:cs="Arial"/>
          <w:color w:val="262626"/>
          <w:sz w:val="18"/>
          <w:szCs w:val="18"/>
        </w:rPr>
        <w:t>The first closing was completed on December 29, 2021, subsequent to our fiscal 2021 year-end. At first closing, SK hynix paid $7.0 billion of consideration, with the</w:t>
      </w:r>
      <w:r>
        <w:rPr>
          <w:rFonts w:ascii="Arial" w:eastAsia="宋体" w:hAnsi="Arial" w:cs="Arial"/>
          <w:color w:val="262626"/>
          <w:sz w:val="18"/>
          <w:szCs w:val="18"/>
        </w:rPr>
        <w:t xml:space="preserve"> remaining $2.0 billion to be received at the second closing of the transaction, expected to be no earlier than March 2025. In connection with the first closing, we expect to recognize a pre-tax gain of approximately $1.0 billion within interest and other,</w:t>
      </w:r>
      <w:r>
        <w:rPr>
          <w:rFonts w:ascii="Arial" w:eastAsia="宋体" w:hAnsi="Arial" w:cs="Arial"/>
          <w:color w:val="262626"/>
          <w:sz w:val="18"/>
          <w:szCs w:val="18"/>
        </w:rPr>
        <w:t xml:space="preserve"> net, and tax expense of approximately $450 million. Based on our ongoing obligation under the NAND wafer manufacturing and sale agreement, approximately $600 million of the initial closing consideration will be deferred and recognized between first and se</w:t>
      </w:r>
      <w:r>
        <w:rPr>
          <w:rFonts w:ascii="Arial" w:eastAsia="宋体" w:hAnsi="Arial" w:cs="Arial"/>
          <w:color w:val="262626"/>
          <w:sz w:val="18"/>
          <w:szCs w:val="18"/>
        </w:rPr>
        <w:t>cond closing within interest and other, net.</w:t>
      </w:r>
    </w:p>
    <w:p w14:paraId="67536D10" w14:textId="77777777" w:rsidR="001B77DD" w:rsidRDefault="00BF0A28">
      <w:pPr>
        <w:spacing w:after="180"/>
      </w:pPr>
      <w:r>
        <w:rPr>
          <w:rFonts w:ascii="Arial" w:eastAsia="宋体" w:hAnsi="Arial" w:cs="Arial"/>
          <w:color w:val="262626"/>
          <w:sz w:val="18"/>
          <w:szCs w:val="18"/>
        </w:rPr>
        <w:t>At the first closing, we sold to SK hynix the Fab Assets and the NAND SSD Business and transferred certain employees, IP, and other assets related to the NAND OpCo Business to separately created wholly owned sub</w:t>
      </w:r>
      <w:r>
        <w:rPr>
          <w:rFonts w:ascii="Arial" w:eastAsia="宋体" w:hAnsi="Arial" w:cs="Arial"/>
          <w:color w:val="262626"/>
          <w:sz w:val="18"/>
          <w:szCs w:val="18"/>
        </w:rPr>
        <w:t xml:space="preserve">sidiaries of Intel. The equity interest of the NAND OpCo Business will transfer to SK hynix at the second closing. In connection with the first closing, we and certain affiliates of SK hynix also entered into a NAND wafer manufacturing and sale agreement, </w:t>
      </w:r>
      <w:r>
        <w:rPr>
          <w:rFonts w:ascii="Arial" w:eastAsia="宋体" w:hAnsi="Arial" w:cs="Arial"/>
          <w:color w:val="262626"/>
          <w:sz w:val="18"/>
          <w:szCs w:val="18"/>
        </w:rPr>
        <w:t>pursuant to which we will manufacture and sell to SK hynix NAND memory wafers to be manufactured using the Fab Assets in Dalian, China until the second closing. We have concluded based on the terms of the transaction agreements that the subsidiaries will b</w:t>
      </w:r>
      <w:r>
        <w:rPr>
          <w:rFonts w:ascii="Arial" w:eastAsia="宋体" w:hAnsi="Arial" w:cs="Arial"/>
          <w:color w:val="262626"/>
          <w:sz w:val="18"/>
          <w:szCs w:val="18"/>
        </w:rPr>
        <w:t>e variable interest entities for which we are not the primary beneficiary, because the governance structure of these entities does not allow us to direct the activities that would most significantly impact their economic performance. In line with this conc</w:t>
      </w:r>
      <w:r>
        <w:rPr>
          <w:rFonts w:ascii="Arial" w:eastAsia="宋体" w:hAnsi="Arial" w:cs="Arial"/>
          <w:color w:val="262626"/>
          <w:sz w:val="18"/>
          <w:szCs w:val="18"/>
        </w:rPr>
        <w:t xml:space="preserve">lusion, we will fully deconsolidate our ongoing interests in the NAND OpCo Business in the first quarter of 2022, and will record a receivable for the second closing proceeds of $1.9 billion. </w:t>
      </w:r>
    </w:p>
    <w:p w14:paraId="67536D11" w14:textId="77777777" w:rsidR="001B77DD" w:rsidRDefault="00BF0A28">
      <w:pPr>
        <w:spacing w:after="180"/>
      </w:pPr>
      <w:r>
        <w:rPr>
          <w:rFonts w:ascii="Arial" w:eastAsia="宋体" w:hAnsi="Arial" w:cs="Arial"/>
          <w:color w:val="262626"/>
          <w:sz w:val="18"/>
          <w:szCs w:val="18"/>
        </w:rPr>
        <w:t>The carrying amounts of the major classes of NAND assets held f</w:t>
      </w:r>
      <w:r>
        <w:rPr>
          <w:rFonts w:ascii="Arial" w:eastAsia="宋体" w:hAnsi="Arial" w:cs="Arial"/>
          <w:color w:val="262626"/>
          <w:sz w:val="18"/>
          <w:szCs w:val="18"/>
        </w:rPr>
        <w:t>or sale included the following:</w:t>
      </w:r>
    </w:p>
    <w:tbl>
      <w:tblPr>
        <w:tblW w:w="4952" w:type="pct"/>
        <w:tblCellMar>
          <w:top w:w="15" w:type="dxa"/>
          <w:left w:w="15" w:type="dxa"/>
          <w:bottom w:w="15" w:type="dxa"/>
          <w:right w:w="15" w:type="dxa"/>
        </w:tblCellMar>
        <w:tblLook w:val="04A0" w:firstRow="1" w:lastRow="0" w:firstColumn="1" w:lastColumn="0" w:noHBand="0" w:noVBand="1"/>
      </w:tblPr>
      <w:tblGrid>
        <w:gridCol w:w="38"/>
        <w:gridCol w:w="6024"/>
        <w:gridCol w:w="37"/>
        <w:gridCol w:w="36"/>
        <w:gridCol w:w="36"/>
        <w:gridCol w:w="36"/>
        <w:gridCol w:w="121"/>
        <w:gridCol w:w="813"/>
        <w:gridCol w:w="36"/>
        <w:gridCol w:w="36"/>
        <w:gridCol w:w="36"/>
        <w:gridCol w:w="36"/>
        <w:gridCol w:w="121"/>
        <w:gridCol w:w="814"/>
        <w:gridCol w:w="36"/>
      </w:tblGrid>
      <w:tr w:rsidR="001B77DD" w14:paraId="67536D21" w14:textId="77777777">
        <w:tc>
          <w:tcPr>
            <w:tcW w:w="50" w:type="pct"/>
            <w:shd w:val="clear" w:color="auto" w:fill="auto"/>
            <w:vAlign w:val="bottom"/>
          </w:tcPr>
          <w:p w14:paraId="67536D12" w14:textId="77777777" w:rsidR="001B77DD" w:rsidRDefault="001B77DD">
            <w:pPr>
              <w:rPr>
                <w:rFonts w:ascii="宋体"/>
              </w:rPr>
            </w:pPr>
          </w:p>
        </w:tc>
        <w:tc>
          <w:tcPr>
            <w:tcW w:w="3676" w:type="pct"/>
            <w:shd w:val="clear" w:color="auto" w:fill="auto"/>
            <w:vAlign w:val="bottom"/>
          </w:tcPr>
          <w:p w14:paraId="67536D13" w14:textId="77777777" w:rsidR="001B77DD" w:rsidRDefault="001B77DD">
            <w:pPr>
              <w:rPr>
                <w:rFonts w:ascii="宋体"/>
              </w:rPr>
            </w:pPr>
          </w:p>
        </w:tc>
        <w:tc>
          <w:tcPr>
            <w:tcW w:w="5" w:type="pct"/>
            <w:shd w:val="clear" w:color="auto" w:fill="auto"/>
            <w:vAlign w:val="bottom"/>
          </w:tcPr>
          <w:p w14:paraId="67536D14" w14:textId="77777777" w:rsidR="001B77DD" w:rsidRDefault="001B77DD">
            <w:pPr>
              <w:rPr>
                <w:rFonts w:ascii="宋体"/>
              </w:rPr>
            </w:pPr>
          </w:p>
        </w:tc>
        <w:tc>
          <w:tcPr>
            <w:tcW w:w="5" w:type="pct"/>
            <w:shd w:val="clear" w:color="auto" w:fill="auto"/>
            <w:vAlign w:val="bottom"/>
          </w:tcPr>
          <w:p w14:paraId="67536D15" w14:textId="77777777" w:rsidR="001B77DD" w:rsidRDefault="001B77DD">
            <w:pPr>
              <w:rPr>
                <w:rFonts w:ascii="宋体"/>
              </w:rPr>
            </w:pPr>
          </w:p>
        </w:tc>
        <w:tc>
          <w:tcPr>
            <w:tcW w:w="24" w:type="pct"/>
            <w:shd w:val="clear" w:color="auto" w:fill="auto"/>
            <w:vAlign w:val="bottom"/>
          </w:tcPr>
          <w:p w14:paraId="67536D16" w14:textId="77777777" w:rsidR="001B77DD" w:rsidRDefault="001B77DD">
            <w:pPr>
              <w:rPr>
                <w:rFonts w:ascii="宋体"/>
              </w:rPr>
            </w:pPr>
          </w:p>
        </w:tc>
        <w:tc>
          <w:tcPr>
            <w:tcW w:w="5" w:type="pct"/>
            <w:shd w:val="clear" w:color="auto" w:fill="auto"/>
            <w:vAlign w:val="bottom"/>
          </w:tcPr>
          <w:p w14:paraId="67536D17" w14:textId="77777777" w:rsidR="001B77DD" w:rsidRDefault="001B77DD">
            <w:pPr>
              <w:rPr>
                <w:rFonts w:ascii="宋体"/>
              </w:rPr>
            </w:pPr>
          </w:p>
        </w:tc>
        <w:tc>
          <w:tcPr>
            <w:tcW w:w="50" w:type="pct"/>
            <w:shd w:val="clear" w:color="auto" w:fill="auto"/>
            <w:vAlign w:val="bottom"/>
          </w:tcPr>
          <w:p w14:paraId="67536D18" w14:textId="77777777" w:rsidR="001B77DD" w:rsidRDefault="001B77DD">
            <w:pPr>
              <w:rPr>
                <w:rFonts w:ascii="宋体"/>
              </w:rPr>
            </w:pPr>
          </w:p>
        </w:tc>
        <w:tc>
          <w:tcPr>
            <w:tcW w:w="545" w:type="pct"/>
            <w:shd w:val="clear" w:color="auto" w:fill="auto"/>
            <w:vAlign w:val="bottom"/>
          </w:tcPr>
          <w:p w14:paraId="67536D19" w14:textId="77777777" w:rsidR="001B77DD" w:rsidRDefault="001B77DD">
            <w:pPr>
              <w:rPr>
                <w:rFonts w:ascii="宋体"/>
              </w:rPr>
            </w:pPr>
          </w:p>
        </w:tc>
        <w:tc>
          <w:tcPr>
            <w:tcW w:w="5" w:type="pct"/>
            <w:shd w:val="clear" w:color="auto" w:fill="auto"/>
            <w:vAlign w:val="bottom"/>
          </w:tcPr>
          <w:p w14:paraId="67536D1A" w14:textId="77777777" w:rsidR="001B77DD" w:rsidRDefault="001B77DD">
            <w:pPr>
              <w:rPr>
                <w:rFonts w:ascii="宋体"/>
              </w:rPr>
            </w:pPr>
          </w:p>
        </w:tc>
        <w:tc>
          <w:tcPr>
            <w:tcW w:w="5" w:type="pct"/>
            <w:shd w:val="clear" w:color="auto" w:fill="auto"/>
            <w:vAlign w:val="bottom"/>
          </w:tcPr>
          <w:p w14:paraId="67536D1B" w14:textId="77777777" w:rsidR="001B77DD" w:rsidRDefault="001B77DD">
            <w:pPr>
              <w:rPr>
                <w:rFonts w:ascii="宋体"/>
              </w:rPr>
            </w:pPr>
          </w:p>
        </w:tc>
        <w:tc>
          <w:tcPr>
            <w:tcW w:w="24" w:type="pct"/>
            <w:shd w:val="clear" w:color="auto" w:fill="auto"/>
            <w:vAlign w:val="bottom"/>
          </w:tcPr>
          <w:p w14:paraId="67536D1C" w14:textId="77777777" w:rsidR="001B77DD" w:rsidRDefault="001B77DD">
            <w:pPr>
              <w:rPr>
                <w:rFonts w:ascii="宋体"/>
              </w:rPr>
            </w:pPr>
          </w:p>
        </w:tc>
        <w:tc>
          <w:tcPr>
            <w:tcW w:w="5" w:type="pct"/>
            <w:shd w:val="clear" w:color="auto" w:fill="auto"/>
            <w:vAlign w:val="bottom"/>
          </w:tcPr>
          <w:p w14:paraId="67536D1D" w14:textId="77777777" w:rsidR="001B77DD" w:rsidRDefault="001B77DD">
            <w:pPr>
              <w:rPr>
                <w:rFonts w:ascii="宋体"/>
              </w:rPr>
            </w:pPr>
          </w:p>
        </w:tc>
        <w:tc>
          <w:tcPr>
            <w:tcW w:w="50" w:type="pct"/>
            <w:shd w:val="clear" w:color="auto" w:fill="auto"/>
            <w:vAlign w:val="bottom"/>
          </w:tcPr>
          <w:p w14:paraId="67536D1E" w14:textId="77777777" w:rsidR="001B77DD" w:rsidRDefault="001B77DD">
            <w:pPr>
              <w:rPr>
                <w:rFonts w:ascii="宋体"/>
              </w:rPr>
            </w:pPr>
          </w:p>
        </w:tc>
        <w:tc>
          <w:tcPr>
            <w:tcW w:w="545" w:type="pct"/>
            <w:shd w:val="clear" w:color="auto" w:fill="auto"/>
            <w:vAlign w:val="bottom"/>
          </w:tcPr>
          <w:p w14:paraId="67536D1F" w14:textId="77777777" w:rsidR="001B77DD" w:rsidRDefault="001B77DD">
            <w:pPr>
              <w:rPr>
                <w:rFonts w:ascii="宋体"/>
              </w:rPr>
            </w:pPr>
          </w:p>
        </w:tc>
        <w:tc>
          <w:tcPr>
            <w:tcW w:w="5" w:type="pct"/>
            <w:shd w:val="clear" w:color="auto" w:fill="auto"/>
            <w:vAlign w:val="bottom"/>
          </w:tcPr>
          <w:p w14:paraId="67536D20" w14:textId="77777777" w:rsidR="001B77DD" w:rsidRDefault="001B77DD">
            <w:pPr>
              <w:rPr>
                <w:rFonts w:ascii="宋体"/>
              </w:rPr>
            </w:pPr>
          </w:p>
        </w:tc>
      </w:tr>
      <w:tr w:rsidR="001B77DD" w14:paraId="67536D27" w14:textId="77777777">
        <w:tc>
          <w:tcPr>
            <w:tcW w:w="0" w:type="auto"/>
            <w:gridSpan w:val="3"/>
            <w:shd w:val="clear" w:color="auto" w:fill="auto"/>
            <w:tcMar>
              <w:top w:w="40" w:type="dxa"/>
              <w:left w:w="20" w:type="dxa"/>
              <w:bottom w:w="40" w:type="dxa"/>
              <w:right w:w="20" w:type="dxa"/>
            </w:tcMar>
            <w:vAlign w:val="bottom"/>
          </w:tcPr>
          <w:p w14:paraId="67536D22"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D2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D24"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D2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D26"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6D3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D28" w14:textId="77777777" w:rsidR="001B77DD" w:rsidRDefault="00BF0A28">
            <w:pPr>
              <w:textAlignment w:val="bottom"/>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67536D29"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D2A"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D2B" w14:textId="77777777" w:rsidR="001B77DD" w:rsidRDefault="00BF0A28">
            <w:pPr>
              <w:jc w:val="right"/>
              <w:textAlignment w:val="bottom"/>
            </w:pPr>
            <w:r>
              <w:rPr>
                <w:rFonts w:ascii="Arial" w:eastAsia="宋体" w:hAnsi="Arial" w:cs="Arial"/>
                <w:color w:val="0068B5"/>
                <w:sz w:val="18"/>
                <w:szCs w:val="18"/>
              </w:rPr>
              <w:t>953 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D2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2D"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D2E" w14:textId="77777777" w:rsidR="001B77DD" w:rsidRDefault="00BF0A28">
            <w:pPr>
              <w:textAlignment w:val="bottom"/>
            </w:pPr>
            <w:r>
              <w:rPr>
                <w:rFonts w:ascii="Arial" w:eastAsia="宋体" w:hAnsi="Arial" w:cs="Arial"/>
                <w:color w:val="000000"/>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D2F" w14:textId="77777777" w:rsidR="001B77DD" w:rsidRDefault="00BF0A28">
            <w:pPr>
              <w:jc w:val="right"/>
              <w:textAlignment w:val="bottom"/>
            </w:pPr>
            <w:r>
              <w:rPr>
                <w:rFonts w:ascii="Arial" w:eastAsia="宋体" w:hAnsi="Arial" w:cs="Arial"/>
                <w:color w:val="000000"/>
                <w:sz w:val="18"/>
                <w:szCs w:val="18"/>
              </w:rPr>
              <w:t>962 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D30" w14:textId="77777777" w:rsidR="001B77DD" w:rsidRDefault="001B77DD">
            <w:pPr>
              <w:jc w:val="right"/>
              <w:rPr>
                <w:rFonts w:ascii="宋体"/>
              </w:rPr>
            </w:pPr>
          </w:p>
        </w:tc>
      </w:tr>
      <w:tr w:rsidR="001B77DD" w14:paraId="67536D39" w14:textId="77777777">
        <w:tc>
          <w:tcPr>
            <w:tcW w:w="0" w:type="auto"/>
            <w:gridSpan w:val="3"/>
            <w:shd w:val="clear" w:color="auto" w:fill="auto"/>
            <w:tcMar>
              <w:top w:w="40" w:type="dxa"/>
              <w:left w:w="20" w:type="dxa"/>
              <w:bottom w:w="40" w:type="dxa"/>
              <w:right w:w="20" w:type="dxa"/>
            </w:tcMar>
            <w:vAlign w:val="bottom"/>
          </w:tcPr>
          <w:p w14:paraId="67536D32" w14:textId="77777777" w:rsidR="001B77DD" w:rsidRDefault="00BF0A28">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67536D3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34" w14:textId="77777777" w:rsidR="001B77DD" w:rsidRDefault="00BF0A28">
            <w:pPr>
              <w:jc w:val="right"/>
              <w:textAlignment w:val="bottom"/>
            </w:pPr>
            <w:r>
              <w:rPr>
                <w:rFonts w:ascii="Arial" w:eastAsia="宋体" w:hAnsi="Arial" w:cs="Arial"/>
                <w:color w:val="0068B5"/>
                <w:sz w:val="18"/>
                <w:szCs w:val="18"/>
              </w:rPr>
              <w:t>5,989 </w:t>
            </w:r>
          </w:p>
        </w:tc>
        <w:tc>
          <w:tcPr>
            <w:tcW w:w="0" w:type="auto"/>
            <w:shd w:val="clear" w:color="auto" w:fill="auto"/>
            <w:tcMar>
              <w:top w:w="40" w:type="dxa"/>
              <w:left w:w="0" w:type="dxa"/>
              <w:bottom w:w="40" w:type="dxa"/>
              <w:right w:w="20" w:type="dxa"/>
            </w:tcMar>
            <w:vAlign w:val="bottom"/>
          </w:tcPr>
          <w:p w14:paraId="67536D3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3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37" w14:textId="77777777" w:rsidR="001B77DD" w:rsidRDefault="00BF0A28">
            <w:pPr>
              <w:jc w:val="right"/>
              <w:textAlignment w:val="bottom"/>
            </w:pPr>
            <w:r>
              <w:rPr>
                <w:rFonts w:ascii="Arial" w:eastAsia="宋体" w:hAnsi="Arial" w:cs="Arial"/>
                <w:color w:val="000000"/>
                <w:sz w:val="18"/>
                <w:szCs w:val="18"/>
              </w:rPr>
              <w:t>4,363 </w:t>
            </w:r>
          </w:p>
        </w:tc>
        <w:tc>
          <w:tcPr>
            <w:tcW w:w="0" w:type="auto"/>
            <w:shd w:val="clear" w:color="auto" w:fill="auto"/>
            <w:tcMar>
              <w:top w:w="40" w:type="dxa"/>
              <w:left w:w="0" w:type="dxa"/>
              <w:bottom w:w="40" w:type="dxa"/>
              <w:right w:w="20" w:type="dxa"/>
            </w:tcMar>
            <w:vAlign w:val="bottom"/>
          </w:tcPr>
          <w:p w14:paraId="67536D38" w14:textId="77777777" w:rsidR="001B77DD" w:rsidRDefault="001B77DD">
            <w:pPr>
              <w:jc w:val="right"/>
              <w:rPr>
                <w:rFonts w:ascii="宋体"/>
              </w:rPr>
            </w:pPr>
          </w:p>
        </w:tc>
      </w:tr>
      <w:tr w:rsidR="001B77DD" w14:paraId="67536D43" w14:textId="77777777">
        <w:tc>
          <w:tcPr>
            <w:tcW w:w="0" w:type="auto"/>
            <w:gridSpan w:val="3"/>
            <w:shd w:val="clear" w:color="auto" w:fill="auto"/>
            <w:tcMar>
              <w:top w:w="40" w:type="dxa"/>
              <w:left w:w="20" w:type="dxa"/>
              <w:bottom w:w="40" w:type="dxa"/>
              <w:right w:w="20" w:type="dxa"/>
            </w:tcMar>
            <w:vAlign w:val="bottom"/>
          </w:tcPr>
          <w:p w14:paraId="67536D3A" w14:textId="77777777" w:rsidR="001B77DD" w:rsidRDefault="00BF0A28">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67536D3B"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D3C"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D3D" w14:textId="77777777" w:rsidR="001B77DD" w:rsidRDefault="00BF0A28">
            <w:pPr>
              <w:jc w:val="right"/>
              <w:textAlignment w:val="bottom"/>
            </w:pPr>
            <w:r>
              <w:rPr>
                <w:rFonts w:ascii="Arial" w:eastAsia="宋体" w:hAnsi="Arial" w:cs="Arial"/>
                <w:b/>
                <w:bCs/>
                <w:color w:val="0068B5"/>
                <w:sz w:val="18"/>
                <w:szCs w:val="18"/>
              </w:rPr>
              <w:t>6,942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D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3F"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D40" w14:textId="77777777" w:rsidR="001B77DD" w:rsidRDefault="00BF0A28">
            <w:pPr>
              <w:textAlignment w:val="bottom"/>
            </w:pPr>
            <w:r>
              <w:rPr>
                <w:rFonts w:ascii="Arial" w:eastAsia="宋体" w:hAnsi="Arial" w:cs="Arial"/>
                <w:b/>
                <w:bCs/>
                <w:color w:val="000000"/>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D41" w14:textId="77777777" w:rsidR="001B77DD" w:rsidRDefault="00BF0A28">
            <w:pPr>
              <w:jc w:val="right"/>
              <w:textAlignment w:val="bottom"/>
            </w:pPr>
            <w:r>
              <w:rPr>
                <w:rFonts w:ascii="Arial" w:eastAsia="宋体" w:hAnsi="Arial" w:cs="Arial"/>
                <w:b/>
                <w:bCs/>
                <w:color w:val="000000"/>
                <w:sz w:val="18"/>
                <w:szCs w:val="18"/>
              </w:rPr>
              <w:t>5,325</w:t>
            </w:r>
            <w:r>
              <w:rPr>
                <w:rFonts w:ascii="Arial" w:eastAsia="宋体" w:hAnsi="Arial" w:cs="Arial"/>
                <w:color w:val="000000"/>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D42" w14:textId="77777777" w:rsidR="001B77DD" w:rsidRDefault="001B77DD">
            <w:pPr>
              <w:jc w:val="right"/>
              <w:rPr>
                <w:rFonts w:ascii="宋体"/>
              </w:rPr>
            </w:pPr>
          </w:p>
        </w:tc>
      </w:tr>
    </w:tbl>
    <w:p w14:paraId="67536D44" w14:textId="77777777" w:rsidR="001B77DD" w:rsidRDefault="00BF0A28">
      <w:pPr>
        <w:spacing w:after="180"/>
      </w:pPr>
      <w:r>
        <w:rPr>
          <w:rFonts w:ascii="Arial" w:eastAsia="宋体" w:hAnsi="Arial" w:cs="Arial"/>
          <w:color w:val="262626"/>
          <w:sz w:val="18"/>
          <w:szCs w:val="18"/>
        </w:rPr>
        <w:t>We ceased recording depreciation on property, plant and equipment as of the date the assets triggered held for sale accounting. The agreement provided for continued capital purchases through first closing and we invested $1.6 billion in 2021, which is clas</w:t>
      </w:r>
      <w:r>
        <w:rPr>
          <w:rFonts w:ascii="Arial" w:eastAsia="宋体" w:hAnsi="Arial" w:cs="Arial"/>
          <w:color w:val="262626"/>
          <w:sz w:val="18"/>
          <w:szCs w:val="18"/>
        </w:rPr>
        <w:t xml:space="preserve">sified as assets held for sale at period end and sold at first closing. </w:t>
      </w:r>
    </w:p>
    <w:p w14:paraId="67536D45" w14:textId="77777777" w:rsidR="001B77DD" w:rsidRDefault="00BF0A28">
      <w:pPr>
        <w:spacing w:after="120"/>
      </w:pPr>
      <w:r>
        <w:rPr>
          <w:rFonts w:ascii="Arial" w:eastAsia="宋体" w:hAnsi="Arial" w:cs="Arial"/>
          <w:color w:val="0068B5"/>
          <w:sz w:val="20"/>
          <w:szCs w:val="20"/>
        </w:rPr>
        <w:t>Home Gateway Platform Division</w:t>
      </w:r>
    </w:p>
    <w:p w14:paraId="67536D46" w14:textId="77777777" w:rsidR="001B77DD" w:rsidRDefault="00BF0A28">
      <w:pPr>
        <w:spacing w:after="180"/>
      </w:pPr>
      <w:r>
        <w:rPr>
          <w:rFonts w:ascii="Arial" w:eastAsia="宋体" w:hAnsi="Arial" w:cs="Arial"/>
          <w:color w:val="262626"/>
          <w:sz w:val="18"/>
          <w:szCs w:val="18"/>
        </w:rPr>
        <w:t>On July 31, 2020, we completed the divestiture of the majority of Home Gateway Platform, a division of CCG, for proceeds of $150 million. The divestitur</w:t>
      </w:r>
      <w:r>
        <w:rPr>
          <w:rFonts w:ascii="Arial" w:eastAsia="宋体" w:hAnsi="Arial" w:cs="Arial"/>
          <w:color w:val="262626"/>
          <w:sz w:val="18"/>
          <w:szCs w:val="18"/>
        </w:rPr>
        <w:t>e included the transfer of certain employees, equipment, and an ongoing supply agreement for future units.</w:t>
      </w:r>
    </w:p>
    <w:p w14:paraId="67536D47" w14:textId="77777777" w:rsidR="001B77DD" w:rsidRDefault="00BF0A28">
      <w:pPr>
        <w:spacing w:after="120"/>
      </w:pPr>
      <w:r>
        <w:rPr>
          <w:rFonts w:ascii="Arial" w:eastAsia="宋体" w:hAnsi="Arial" w:cs="Arial"/>
          <w:color w:val="0068B5"/>
          <w:sz w:val="20"/>
          <w:szCs w:val="20"/>
        </w:rPr>
        <w:t>Smartphone Modem Business</w:t>
      </w:r>
    </w:p>
    <w:p w14:paraId="67536D48" w14:textId="77777777" w:rsidR="001B77DD" w:rsidRDefault="00BF0A28">
      <w:pPr>
        <w:spacing w:after="180"/>
      </w:pPr>
      <w:r>
        <w:rPr>
          <w:rFonts w:ascii="Arial" w:eastAsia="宋体" w:hAnsi="Arial" w:cs="Arial"/>
          <w:color w:val="262626"/>
          <w:sz w:val="18"/>
          <w:szCs w:val="18"/>
        </w:rPr>
        <w:t xml:space="preserve">On December 2, 2019, we completed the divestiture of the majority of our smartphone modem business, including certain employees, IP, equipment, and leases. Net assets sold were $267 million. We recognized a pre-tax gain of $690 million on the divestiture.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6D55" w14:textId="77777777">
        <w:tc>
          <w:tcPr>
            <w:tcW w:w="50" w:type="pct"/>
            <w:shd w:val="clear" w:color="auto" w:fill="auto"/>
            <w:vAlign w:val="bottom"/>
          </w:tcPr>
          <w:p w14:paraId="67536D49" w14:textId="77777777" w:rsidR="001B77DD" w:rsidRDefault="001B77DD">
            <w:pPr>
              <w:rPr>
                <w:rFonts w:ascii="宋体"/>
              </w:rPr>
            </w:pPr>
          </w:p>
        </w:tc>
        <w:tc>
          <w:tcPr>
            <w:tcW w:w="276" w:type="pct"/>
            <w:shd w:val="clear" w:color="auto" w:fill="auto"/>
            <w:vAlign w:val="bottom"/>
          </w:tcPr>
          <w:p w14:paraId="67536D4A" w14:textId="77777777" w:rsidR="001B77DD" w:rsidRDefault="001B77DD">
            <w:pPr>
              <w:rPr>
                <w:rFonts w:ascii="宋体"/>
              </w:rPr>
            </w:pPr>
          </w:p>
        </w:tc>
        <w:tc>
          <w:tcPr>
            <w:tcW w:w="5" w:type="pct"/>
            <w:shd w:val="clear" w:color="auto" w:fill="auto"/>
            <w:vAlign w:val="bottom"/>
          </w:tcPr>
          <w:p w14:paraId="67536D4B" w14:textId="77777777" w:rsidR="001B77DD" w:rsidRDefault="001B77DD">
            <w:pPr>
              <w:rPr>
                <w:rFonts w:ascii="宋体"/>
              </w:rPr>
            </w:pPr>
          </w:p>
        </w:tc>
        <w:tc>
          <w:tcPr>
            <w:tcW w:w="50" w:type="pct"/>
            <w:shd w:val="clear" w:color="auto" w:fill="auto"/>
            <w:vAlign w:val="bottom"/>
          </w:tcPr>
          <w:p w14:paraId="67536D4C" w14:textId="77777777" w:rsidR="001B77DD" w:rsidRDefault="001B77DD">
            <w:pPr>
              <w:rPr>
                <w:rFonts w:ascii="宋体"/>
              </w:rPr>
            </w:pPr>
          </w:p>
        </w:tc>
        <w:tc>
          <w:tcPr>
            <w:tcW w:w="940" w:type="pct"/>
            <w:shd w:val="clear" w:color="auto" w:fill="auto"/>
            <w:vAlign w:val="bottom"/>
          </w:tcPr>
          <w:p w14:paraId="67536D4D" w14:textId="77777777" w:rsidR="001B77DD" w:rsidRDefault="001B77DD">
            <w:pPr>
              <w:rPr>
                <w:rFonts w:ascii="宋体"/>
              </w:rPr>
            </w:pPr>
          </w:p>
        </w:tc>
        <w:tc>
          <w:tcPr>
            <w:tcW w:w="5" w:type="pct"/>
            <w:shd w:val="clear" w:color="auto" w:fill="auto"/>
            <w:vAlign w:val="bottom"/>
          </w:tcPr>
          <w:p w14:paraId="67536D4E" w14:textId="77777777" w:rsidR="001B77DD" w:rsidRDefault="001B77DD">
            <w:pPr>
              <w:rPr>
                <w:rFonts w:ascii="宋体"/>
              </w:rPr>
            </w:pPr>
          </w:p>
        </w:tc>
        <w:tc>
          <w:tcPr>
            <w:tcW w:w="50" w:type="pct"/>
            <w:shd w:val="clear" w:color="auto" w:fill="auto"/>
            <w:vAlign w:val="bottom"/>
          </w:tcPr>
          <w:p w14:paraId="67536D4F" w14:textId="77777777" w:rsidR="001B77DD" w:rsidRDefault="001B77DD">
            <w:pPr>
              <w:rPr>
                <w:rFonts w:ascii="宋体"/>
              </w:rPr>
            </w:pPr>
          </w:p>
        </w:tc>
        <w:tc>
          <w:tcPr>
            <w:tcW w:w="1837" w:type="pct"/>
            <w:shd w:val="clear" w:color="auto" w:fill="auto"/>
            <w:vAlign w:val="bottom"/>
          </w:tcPr>
          <w:p w14:paraId="67536D50" w14:textId="77777777" w:rsidR="001B77DD" w:rsidRDefault="001B77DD">
            <w:pPr>
              <w:rPr>
                <w:rFonts w:ascii="宋体"/>
              </w:rPr>
            </w:pPr>
          </w:p>
        </w:tc>
        <w:tc>
          <w:tcPr>
            <w:tcW w:w="5" w:type="pct"/>
            <w:shd w:val="clear" w:color="auto" w:fill="auto"/>
            <w:vAlign w:val="bottom"/>
          </w:tcPr>
          <w:p w14:paraId="67536D51" w14:textId="77777777" w:rsidR="001B77DD" w:rsidRDefault="001B77DD">
            <w:pPr>
              <w:rPr>
                <w:rFonts w:ascii="宋体"/>
              </w:rPr>
            </w:pPr>
          </w:p>
        </w:tc>
        <w:tc>
          <w:tcPr>
            <w:tcW w:w="50" w:type="pct"/>
            <w:shd w:val="clear" w:color="auto" w:fill="auto"/>
            <w:vAlign w:val="bottom"/>
          </w:tcPr>
          <w:p w14:paraId="67536D52" w14:textId="77777777" w:rsidR="001B77DD" w:rsidRDefault="001B77DD">
            <w:pPr>
              <w:rPr>
                <w:rFonts w:ascii="宋体"/>
              </w:rPr>
            </w:pPr>
          </w:p>
        </w:tc>
        <w:tc>
          <w:tcPr>
            <w:tcW w:w="1724" w:type="pct"/>
            <w:shd w:val="clear" w:color="auto" w:fill="auto"/>
            <w:vAlign w:val="bottom"/>
          </w:tcPr>
          <w:p w14:paraId="67536D53" w14:textId="77777777" w:rsidR="001B77DD" w:rsidRDefault="001B77DD">
            <w:pPr>
              <w:rPr>
                <w:rFonts w:ascii="宋体"/>
              </w:rPr>
            </w:pPr>
          </w:p>
        </w:tc>
        <w:tc>
          <w:tcPr>
            <w:tcW w:w="5" w:type="pct"/>
            <w:shd w:val="clear" w:color="auto" w:fill="auto"/>
            <w:vAlign w:val="bottom"/>
          </w:tcPr>
          <w:p w14:paraId="67536D54" w14:textId="77777777" w:rsidR="001B77DD" w:rsidRDefault="001B77DD">
            <w:pPr>
              <w:rPr>
                <w:rFonts w:ascii="宋体"/>
              </w:rPr>
            </w:pPr>
          </w:p>
        </w:tc>
      </w:tr>
      <w:tr w:rsidR="001B77DD" w14:paraId="67536D5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D56"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54" wp14:editId="67538F55">
                  <wp:extent cx="304800" cy="304800"/>
                  <wp:effectExtent l="0" t="0" r="0" b="0"/>
                  <wp:docPr id="208" name="图片 31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1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D57"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6D58"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6D59" w14:textId="77777777" w:rsidR="001B77DD" w:rsidRDefault="00BF0A28">
            <w:pPr>
              <w:jc w:val="right"/>
              <w:textAlignment w:val="center"/>
            </w:pPr>
            <w:r>
              <w:rPr>
                <w:rFonts w:ascii="Arial" w:eastAsia="宋体" w:hAnsi="Arial" w:cs="Arial"/>
                <w:color w:val="262626"/>
                <w:sz w:val="16"/>
                <w:szCs w:val="16"/>
              </w:rPr>
              <w:t>92</w:t>
            </w:r>
          </w:p>
        </w:tc>
      </w:tr>
    </w:tbl>
    <w:p w14:paraId="67536D5B" w14:textId="77777777" w:rsidR="001B77DD" w:rsidRDefault="00BF0A28">
      <w:r>
        <w:pict w14:anchorId="67538F56">
          <v:rect id="_x0000_i1118" style="width:415.3pt;height:1.5pt" o:hralign="center" o:hrstd="t" o:hr="t" fillcolor="#a0a0a0" stroked="f"/>
        </w:pict>
      </w:r>
    </w:p>
    <w:p w14:paraId="67536D5C" w14:textId="77777777" w:rsidR="001B77DD" w:rsidRDefault="00BF0A28">
      <w:pPr>
        <w:jc w:val="right"/>
      </w:pPr>
      <w:hyperlink r:id="rId180" w:anchor="i6c9ced68f6b24d58a3dcf326e8c3c699_16" w:history="1">
        <w:r>
          <w:rPr>
            <w:rStyle w:val="a5"/>
            <w:rFonts w:ascii="Arial" w:eastAsia="宋体" w:hAnsi="Arial" w:cs="Arial"/>
            <w:b/>
            <w:bCs/>
            <w:sz w:val="16"/>
            <w:szCs w:val="16"/>
          </w:rPr>
          <w:t>Table of Contents</w:t>
        </w:r>
      </w:hyperlink>
    </w:p>
    <w:p w14:paraId="67536D5D"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6D64" w14:textId="77777777">
        <w:tc>
          <w:tcPr>
            <w:tcW w:w="50" w:type="pct"/>
            <w:shd w:val="clear" w:color="auto" w:fill="auto"/>
            <w:vAlign w:val="bottom"/>
          </w:tcPr>
          <w:p w14:paraId="67536D5E" w14:textId="77777777" w:rsidR="001B77DD" w:rsidRDefault="001B77DD">
            <w:pPr>
              <w:rPr>
                <w:rFonts w:ascii="宋体"/>
              </w:rPr>
            </w:pPr>
          </w:p>
        </w:tc>
        <w:tc>
          <w:tcPr>
            <w:tcW w:w="539" w:type="pct"/>
            <w:shd w:val="clear" w:color="auto" w:fill="auto"/>
            <w:vAlign w:val="bottom"/>
          </w:tcPr>
          <w:p w14:paraId="67536D5F" w14:textId="77777777" w:rsidR="001B77DD" w:rsidRDefault="001B77DD">
            <w:pPr>
              <w:rPr>
                <w:rFonts w:ascii="宋体"/>
              </w:rPr>
            </w:pPr>
          </w:p>
        </w:tc>
        <w:tc>
          <w:tcPr>
            <w:tcW w:w="5" w:type="pct"/>
            <w:shd w:val="clear" w:color="auto" w:fill="auto"/>
            <w:vAlign w:val="bottom"/>
          </w:tcPr>
          <w:p w14:paraId="67536D60" w14:textId="77777777" w:rsidR="001B77DD" w:rsidRDefault="001B77DD">
            <w:pPr>
              <w:rPr>
                <w:rFonts w:ascii="宋体"/>
              </w:rPr>
            </w:pPr>
          </w:p>
        </w:tc>
        <w:tc>
          <w:tcPr>
            <w:tcW w:w="50" w:type="pct"/>
            <w:shd w:val="clear" w:color="auto" w:fill="auto"/>
            <w:vAlign w:val="bottom"/>
          </w:tcPr>
          <w:p w14:paraId="67536D61" w14:textId="77777777" w:rsidR="001B77DD" w:rsidRDefault="001B77DD">
            <w:pPr>
              <w:rPr>
                <w:rFonts w:ascii="宋体"/>
              </w:rPr>
            </w:pPr>
          </w:p>
        </w:tc>
        <w:tc>
          <w:tcPr>
            <w:tcW w:w="4350" w:type="pct"/>
            <w:shd w:val="clear" w:color="auto" w:fill="auto"/>
            <w:vAlign w:val="bottom"/>
          </w:tcPr>
          <w:p w14:paraId="67536D62" w14:textId="77777777" w:rsidR="001B77DD" w:rsidRDefault="001B77DD">
            <w:pPr>
              <w:rPr>
                <w:rFonts w:ascii="宋体"/>
              </w:rPr>
            </w:pPr>
          </w:p>
        </w:tc>
        <w:tc>
          <w:tcPr>
            <w:tcW w:w="5" w:type="pct"/>
            <w:shd w:val="clear" w:color="auto" w:fill="auto"/>
            <w:vAlign w:val="bottom"/>
          </w:tcPr>
          <w:p w14:paraId="67536D63" w14:textId="77777777" w:rsidR="001B77DD" w:rsidRDefault="001B77DD">
            <w:pPr>
              <w:rPr>
                <w:rFonts w:ascii="宋体"/>
              </w:rPr>
            </w:pPr>
          </w:p>
        </w:tc>
      </w:tr>
      <w:tr w:rsidR="001B77DD" w14:paraId="67536D6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D65" w14:textId="77777777" w:rsidR="001B77DD" w:rsidRDefault="00BF0A28">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D66" w14:textId="77777777" w:rsidR="001B77DD" w:rsidRDefault="00BF0A28">
            <w:pPr>
              <w:textAlignment w:val="bottom"/>
            </w:pPr>
            <w:r>
              <w:rPr>
                <w:rFonts w:ascii="Arial" w:eastAsia="宋体" w:hAnsi="Arial" w:cs="Arial"/>
                <w:color w:val="0068B5"/>
                <w:sz w:val="28"/>
                <w:szCs w:val="28"/>
              </w:rPr>
              <w:t>Goodwill</w:t>
            </w:r>
          </w:p>
        </w:tc>
      </w:tr>
    </w:tbl>
    <w:p w14:paraId="67536D68"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20"/>
        <w:gridCol w:w="38"/>
        <w:gridCol w:w="36"/>
        <w:gridCol w:w="36"/>
        <w:gridCol w:w="36"/>
        <w:gridCol w:w="121"/>
        <w:gridCol w:w="752"/>
        <w:gridCol w:w="36"/>
        <w:gridCol w:w="36"/>
        <w:gridCol w:w="36"/>
        <w:gridCol w:w="36"/>
        <w:gridCol w:w="122"/>
        <w:gridCol w:w="1017"/>
        <w:gridCol w:w="36"/>
        <w:gridCol w:w="36"/>
        <w:gridCol w:w="36"/>
        <w:gridCol w:w="36"/>
        <w:gridCol w:w="36"/>
        <w:gridCol w:w="36"/>
        <w:gridCol w:w="121"/>
        <w:gridCol w:w="684"/>
        <w:gridCol w:w="36"/>
        <w:gridCol w:w="36"/>
        <w:gridCol w:w="36"/>
        <w:gridCol w:w="36"/>
        <w:gridCol w:w="121"/>
        <w:gridCol w:w="753"/>
        <w:gridCol w:w="36"/>
      </w:tblGrid>
      <w:tr w:rsidR="001B77DD" w14:paraId="67536D86" w14:textId="77777777">
        <w:tc>
          <w:tcPr>
            <w:tcW w:w="50" w:type="pct"/>
            <w:shd w:val="clear" w:color="auto" w:fill="auto"/>
            <w:vAlign w:val="bottom"/>
          </w:tcPr>
          <w:p w14:paraId="67536D69" w14:textId="77777777" w:rsidR="001B77DD" w:rsidRDefault="001B77DD">
            <w:pPr>
              <w:rPr>
                <w:rFonts w:ascii="宋体"/>
              </w:rPr>
            </w:pPr>
          </w:p>
        </w:tc>
        <w:tc>
          <w:tcPr>
            <w:tcW w:w="2431" w:type="pct"/>
            <w:shd w:val="clear" w:color="auto" w:fill="auto"/>
            <w:vAlign w:val="bottom"/>
          </w:tcPr>
          <w:p w14:paraId="67536D6A" w14:textId="77777777" w:rsidR="001B77DD" w:rsidRDefault="001B77DD">
            <w:pPr>
              <w:rPr>
                <w:rFonts w:ascii="宋体"/>
              </w:rPr>
            </w:pPr>
          </w:p>
        </w:tc>
        <w:tc>
          <w:tcPr>
            <w:tcW w:w="5" w:type="pct"/>
            <w:shd w:val="clear" w:color="auto" w:fill="auto"/>
            <w:vAlign w:val="bottom"/>
          </w:tcPr>
          <w:p w14:paraId="67536D6B" w14:textId="77777777" w:rsidR="001B77DD" w:rsidRDefault="001B77DD">
            <w:pPr>
              <w:rPr>
                <w:rFonts w:ascii="宋体"/>
              </w:rPr>
            </w:pPr>
          </w:p>
        </w:tc>
        <w:tc>
          <w:tcPr>
            <w:tcW w:w="5" w:type="pct"/>
            <w:shd w:val="clear" w:color="auto" w:fill="auto"/>
            <w:vAlign w:val="bottom"/>
          </w:tcPr>
          <w:p w14:paraId="67536D6C" w14:textId="77777777" w:rsidR="001B77DD" w:rsidRDefault="001B77DD">
            <w:pPr>
              <w:rPr>
                <w:rFonts w:ascii="宋体"/>
              </w:rPr>
            </w:pPr>
          </w:p>
        </w:tc>
        <w:tc>
          <w:tcPr>
            <w:tcW w:w="24" w:type="pct"/>
            <w:shd w:val="clear" w:color="auto" w:fill="auto"/>
            <w:vAlign w:val="bottom"/>
          </w:tcPr>
          <w:p w14:paraId="67536D6D" w14:textId="77777777" w:rsidR="001B77DD" w:rsidRDefault="001B77DD">
            <w:pPr>
              <w:rPr>
                <w:rFonts w:ascii="宋体"/>
              </w:rPr>
            </w:pPr>
          </w:p>
        </w:tc>
        <w:tc>
          <w:tcPr>
            <w:tcW w:w="5" w:type="pct"/>
            <w:shd w:val="clear" w:color="auto" w:fill="auto"/>
            <w:vAlign w:val="bottom"/>
          </w:tcPr>
          <w:p w14:paraId="67536D6E" w14:textId="77777777" w:rsidR="001B77DD" w:rsidRDefault="001B77DD">
            <w:pPr>
              <w:rPr>
                <w:rFonts w:ascii="宋体"/>
              </w:rPr>
            </w:pPr>
          </w:p>
        </w:tc>
        <w:tc>
          <w:tcPr>
            <w:tcW w:w="50" w:type="pct"/>
            <w:shd w:val="clear" w:color="auto" w:fill="auto"/>
            <w:vAlign w:val="bottom"/>
          </w:tcPr>
          <w:p w14:paraId="67536D6F" w14:textId="77777777" w:rsidR="001B77DD" w:rsidRDefault="001B77DD">
            <w:pPr>
              <w:rPr>
                <w:rFonts w:ascii="宋体"/>
              </w:rPr>
            </w:pPr>
          </w:p>
        </w:tc>
        <w:tc>
          <w:tcPr>
            <w:tcW w:w="539" w:type="pct"/>
            <w:shd w:val="clear" w:color="auto" w:fill="auto"/>
            <w:vAlign w:val="bottom"/>
          </w:tcPr>
          <w:p w14:paraId="67536D70" w14:textId="77777777" w:rsidR="001B77DD" w:rsidRDefault="001B77DD">
            <w:pPr>
              <w:rPr>
                <w:rFonts w:ascii="宋体"/>
              </w:rPr>
            </w:pPr>
          </w:p>
        </w:tc>
        <w:tc>
          <w:tcPr>
            <w:tcW w:w="5" w:type="pct"/>
            <w:shd w:val="clear" w:color="auto" w:fill="auto"/>
            <w:vAlign w:val="bottom"/>
          </w:tcPr>
          <w:p w14:paraId="67536D71" w14:textId="77777777" w:rsidR="001B77DD" w:rsidRDefault="001B77DD">
            <w:pPr>
              <w:rPr>
                <w:rFonts w:ascii="宋体"/>
              </w:rPr>
            </w:pPr>
          </w:p>
        </w:tc>
        <w:tc>
          <w:tcPr>
            <w:tcW w:w="5" w:type="pct"/>
            <w:shd w:val="clear" w:color="auto" w:fill="auto"/>
            <w:vAlign w:val="bottom"/>
          </w:tcPr>
          <w:p w14:paraId="67536D72" w14:textId="77777777" w:rsidR="001B77DD" w:rsidRDefault="001B77DD">
            <w:pPr>
              <w:rPr>
                <w:rFonts w:ascii="宋体"/>
              </w:rPr>
            </w:pPr>
          </w:p>
        </w:tc>
        <w:tc>
          <w:tcPr>
            <w:tcW w:w="24" w:type="pct"/>
            <w:shd w:val="clear" w:color="auto" w:fill="auto"/>
            <w:vAlign w:val="bottom"/>
          </w:tcPr>
          <w:p w14:paraId="67536D73" w14:textId="77777777" w:rsidR="001B77DD" w:rsidRDefault="001B77DD">
            <w:pPr>
              <w:rPr>
                <w:rFonts w:ascii="宋体"/>
              </w:rPr>
            </w:pPr>
          </w:p>
        </w:tc>
        <w:tc>
          <w:tcPr>
            <w:tcW w:w="5" w:type="pct"/>
            <w:shd w:val="clear" w:color="auto" w:fill="auto"/>
            <w:vAlign w:val="bottom"/>
          </w:tcPr>
          <w:p w14:paraId="67536D74" w14:textId="77777777" w:rsidR="001B77DD" w:rsidRDefault="001B77DD">
            <w:pPr>
              <w:rPr>
                <w:rFonts w:ascii="宋体"/>
              </w:rPr>
            </w:pPr>
          </w:p>
        </w:tc>
        <w:tc>
          <w:tcPr>
            <w:tcW w:w="50" w:type="pct"/>
            <w:shd w:val="clear" w:color="auto" w:fill="auto"/>
            <w:vAlign w:val="bottom"/>
          </w:tcPr>
          <w:p w14:paraId="67536D75" w14:textId="77777777" w:rsidR="001B77DD" w:rsidRDefault="001B77DD">
            <w:pPr>
              <w:rPr>
                <w:rFonts w:ascii="宋体"/>
              </w:rPr>
            </w:pPr>
          </w:p>
        </w:tc>
        <w:tc>
          <w:tcPr>
            <w:tcW w:w="539" w:type="pct"/>
            <w:shd w:val="clear" w:color="auto" w:fill="auto"/>
            <w:vAlign w:val="bottom"/>
          </w:tcPr>
          <w:p w14:paraId="67536D76" w14:textId="77777777" w:rsidR="001B77DD" w:rsidRDefault="001B77DD">
            <w:pPr>
              <w:rPr>
                <w:rFonts w:ascii="宋体"/>
              </w:rPr>
            </w:pPr>
          </w:p>
        </w:tc>
        <w:tc>
          <w:tcPr>
            <w:tcW w:w="5" w:type="pct"/>
            <w:shd w:val="clear" w:color="auto" w:fill="auto"/>
            <w:vAlign w:val="bottom"/>
          </w:tcPr>
          <w:p w14:paraId="67536D77" w14:textId="77777777" w:rsidR="001B77DD" w:rsidRDefault="001B77DD">
            <w:pPr>
              <w:rPr>
                <w:rFonts w:ascii="宋体"/>
              </w:rPr>
            </w:pPr>
          </w:p>
        </w:tc>
        <w:tc>
          <w:tcPr>
            <w:tcW w:w="5" w:type="pct"/>
            <w:shd w:val="clear" w:color="auto" w:fill="auto"/>
            <w:vAlign w:val="bottom"/>
          </w:tcPr>
          <w:p w14:paraId="67536D78" w14:textId="77777777" w:rsidR="001B77DD" w:rsidRDefault="001B77DD">
            <w:pPr>
              <w:rPr>
                <w:rFonts w:ascii="宋体"/>
              </w:rPr>
            </w:pPr>
          </w:p>
        </w:tc>
        <w:tc>
          <w:tcPr>
            <w:tcW w:w="24" w:type="pct"/>
            <w:shd w:val="clear" w:color="auto" w:fill="auto"/>
            <w:vAlign w:val="bottom"/>
          </w:tcPr>
          <w:p w14:paraId="67536D79" w14:textId="77777777" w:rsidR="001B77DD" w:rsidRDefault="001B77DD">
            <w:pPr>
              <w:rPr>
                <w:rFonts w:ascii="宋体"/>
              </w:rPr>
            </w:pPr>
          </w:p>
        </w:tc>
        <w:tc>
          <w:tcPr>
            <w:tcW w:w="5" w:type="pct"/>
            <w:shd w:val="clear" w:color="auto" w:fill="auto"/>
            <w:vAlign w:val="bottom"/>
          </w:tcPr>
          <w:p w14:paraId="67536D7A" w14:textId="77777777" w:rsidR="001B77DD" w:rsidRDefault="001B77DD">
            <w:pPr>
              <w:rPr>
                <w:rFonts w:ascii="宋体"/>
              </w:rPr>
            </w:pPr>
          </w:p>
        </w:tc>
        <w:tc>
          <w:tcPr>
            <w:tcW w:w="0" w:type="auto"/>
            <w:shd w:val="clear" w:color="auto" w:fill="auto"/>
            <w:vAlign w:val="bottom"/>
          </w:tcPr>
          <w:p w14:paraId="67536D7B" w14:textId="77777777" w:rsidR="001B77DD" w:rsidRDefault="001B77DD">
            <w:pPr>
              <w:rPr>
                <w:rFonts w:ascii="宋体"/>
                <w:vanish/>
              </w:rPr>
            </w:pPr>
          </w:p>
        </w:tc>
        <w:tc>
          <w:tcPr>
            <w:tcW w:w="0" w:type="auto"/>
            <w:shd w:val="clear" w:color="auto" w:fill="auto"/>
            <w:vAlign w:val="bottom"/>
          </w:tcPr>
          <w:p w14:paraId="67536D7C" w14:textId="77777777" w:rsidR="001B77DD" w:rsidRDefault="001B77DD">
            <w:pPr>
              <w:rPr>
                <w:rFonts w:ascii="宋体"/>
                <w:vanish/>
              </w:rPr>
            </w:pPr>
          </w:p>
        </w:tc>
        <w:tc>
          <w:tcPr>
            <w:tcW w:w="50" w:type="pct"/>
            <w:shd w:val="clear" w:color="auto" w:fill="auto"/>
            <w:vAlign w:val="bottom"/>
          </w:tcPr>
          <w:p w14:paraId="67536D7D" w14:textId="77777777" w:rsidR="001B77DD" w:rsidRDefault="001B77DD">
            <w:pPr>
              <w:rPr>
                <w:rFonts w:ascii="宋体"/>
              </w:rPr>
            </w:pPr>
          </w:p>
        </w:tc>
        <w:tc>
          <w:tcPr>
            <w:tcW w:w="539" w:type="pct"/>
            <w:shd w:val="clear" w:color="auto" w:fill="auto"/>
            <w:vAlign w:val="bottom"/>
          </w:tcPr>
          <w:p w14:paraId="67536D7E" w14:textId="77777777" w:rsidR="001B77DD" w:rsidRDefault="001B77DD">
            <w:pPr>
              <w:rPr>
                <w:rFonts w:ascii="宋体"/>
              </w:rPr>
            </w:pPr>
          </w:p>
        </w:tc>
        <w:tc>
          <w:tcPr>
            <w:tcW w:w="5" w:type="pct"/>
            <w:shd w:val="clear" w:color="auto" w:fill="auto"/>
            <w:vAlign w:val="bottom"/>
          </w:tcPr>
          <w:p w14:paraId="67536D7F" w14:textId="77777777" w:rsidR="001B77DD" w:rsidRDefault="001B77DD">
            <w:pPr>
              <w:rPr>
                <w:rFonts w:ascii="宋体"/>
              </w:rPr>
            </w:pPr>
          </w:p>
        </w:tc>
        <w:tc>
          <w:tcPr>
            <w:tcW w:w="5" w:type="pct"/>
            <w:shd w:val="clear" w:color="auto" w:fill="auto"/>
            <w:vAlign w:val="bottom"/>
          </w:tcPr>
          <w:p w14:paraId="67536D80" w14:textId="77777777" w:rsidR="001B77DD" w:rsidRDefault="001B77DD">
            <w:pPr>
              <w:rPr>
                <w:rFonts w:ascii="宋体"/>
              </w:rPr>
            </w:pPr>
          </w:p>
        </w:tc>
        <w:tc>
          <w:tcPr>
            <w:tcW w:w="24" w:type="pct"/>
            <w:shd w:val="clear" w:color="auto" w:fill="auto"/>
            <w:vAlign w:val="bottom"/>
          </w:tcPr>
          <w:p w14:paraId="67536D81" w14:textId="77777777" w:rsidR="001B77DD" w:rsidRDefault="001B77DD">
            <w:pPr>
              <w:rPr>
                <w:rFonts w:ascii="宋体"/>
              </w:rPr>
            </w:pPr>
          </w:p>
        </w:tc>
        <w:tc>
          <w:tcPr>
            <w:tcW w:w="5" w:type="pct"/>
            <w:shd w:val="clear" w:color="auto" w:fill="auto"/>
            <w:vAlign w:val="bottom"/>
          </w:tcPr>
          <w:p w14:paraId="67536D82" w14:textId="77777777" w:rsidR="001B77DD" w:rsidRDefault="001B77DD">
            <w:pPr>
              <w:rPr>
                <w:rFonts w:ascii="宋体"/>
              </w:rPr>
            </w:pPr>
          </w:p>
        </w:tc>
        <w:tc>
          <w:tcPr>
            <w:tcW w:w="50" w:type="pct"/>
            <w:shd w:val="clear" w:color="auto" w:fill="auto"/>
            <w:vAlign w:val="bottom"/>
          </w:tcPr>
          <w:p w14:paraId="67536D83" w14:textId="77777777" w:rsidR="001B77DD" w:rsidRDefault="001B77DD">
            <w:pPr>
              <w:rPr>
                <w:rFonts w:ascii="宋体"/>
              </w:rPr>
            </w:pPr>
          </w:p>
        </w:tc>
        <w:tc>
          <w:tcPr>
            <w:tcW w:w="539" w:type="pct"/>
            <w:shd w:val="clear" w:color="auto" w:fill="auto"/>
            <w:vAlign w:val="bottom"/>
          </w:tcPr>
          <w:p w14:paraId="67536D84" w14:textId="77777777" w:rsidR="001B77DD" w:rsidRDefault="001B77DD">
            <w:pPr>
              <w:rPr>
                <w:rFonts w:ascii="宋体"/>
              </w:rPr>
            </w:pPr>
          </w:p>
        </w:tc>
        <w:tc>
          <w:tcPr>
            <w:tcW w:w="5" w:type="pct"/>
            <w:shd w:val="clear" w:color="auto" w:fill="auto"/>
            <w:vAlign w:val="bottom"/>
          </w:tcPr>
          <w:p w14:paraId="67536D85" w14:textId="77777777" w:rsidR="001B77DD" w:rsidRDefault="001B77DD">
            <w:pPr>
              <w:rPr>
                <w:rFonts w:ascii="宋体"/>
              </w:rPr>
            </w:pPr>
          </w:p>
        </w:tc>
      </w:tr>
      <w:tr w:rsidR="001B77DD" w14:paraId="67536D92" w14:textId="77777777">
        <w:tc>
          <w:tcPr>
            <w:tcW w:w="0" w:type="auto"/>
            <w:gridSpan w:val="3"/>
            <w:shd w:val="clear" w:color="auto" w:fill="auto"/>
            <w:tcMar>
              <w:top w:w="40" w:type="dxa"/>
              <w:left w:w="20" w:type="dxa"/>
              <w:bottom w:w="40" w:type="dxa"/>
              <w:right w:w="20" w:type="dxa"/>
            </w:tcMar>
            <w:vAlign w:val="bottom"/>
          </w:tcPr>
          <w:p w14:paraId="67536D87" w14:textId="77777777" w:rsidR="001B77DD" w:rsidRDefault="00BF0A28">
            <w:pPr>
              <w:textAlignment w:val="bottom"/>
            </w:pPr>
            <w:r>
              <w:rPr>
                <w:rFonts w:ascii="Arial" w:eastAsia="宋体" w:hAnsi="Arial" w:cs="Arial"/>
                <w:b/>
                <w:bCs/>
                <w:color w:val="262626"/>
                <w:sz w:val="18"/>
                <w:szCs w:val="18"/>
              </w:rPr>
              <w:br/>
              <w:t>(In Millions)</w:t>
            </w:r>
          </w:p>
        </w:tc>
        <w:tc>
          <w:tcPr>
            <w:tcW w:w="0" w:type="auto"/>
            <w:gridSpan w:val="3"/>
            <w:shd w:val="clear" w:color="auto" w:fill="auto"/>
            <w:tcMar>
              <w:top w:w="0" w:type="dxa"/>
              <w:left w:w="20" w:type="dxa"/>
              <w:bottom w:w="0" w:type="dxa"/>
              <w:right w:w="20" w:type="dxa"/>
            </w:tcMar>
            <w:vAlign w:val="bottom"/>
          </w:tcPr>
          <w:p w14:paraId="67536D8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D89"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D8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D8B" w14:textId="77777777" w:rsidR="001B77DD" w:rsidRDefault="00BF0A28">
            <w:pPr>
              <w:jc w:val="center"/>
              <w:textAlignment w:val="bottom"/>
            </w:pPr>
            <w:r>
              <w:rPr>
                <w:rFonts w:ascii="Arial" w:eastAsia="宋体" w:hAnsi="Arial" w:cs="Arial"/>
                <w:b/>
                <w:bCs/>
                <w:color w:val="262626"/>
                <w:sz w:val="18"/>
                <w:szCs w:val="18"/>
              </w:rPr>
              <w:t>Acquisitions</w:t>
            </w:r>
          </w:p>
        </w:tc>
        <w:tc>
          <w:tcPr>
            <w:tcW w:w="0" w:type="auto"/>
            <w:gridSpan w:val="3"/>
            <w:shd w:val="clear" w:color="auto" w:fill="auto"/>
            <w:tcMar>
              <w:top w:w="0" w:type="dxa"/>
              <w:left w:w="20" w:type="dxa"/>
              <w:bottom w:w="0" w:type="dxa"/>
              <w:right w:w="20" w:type="dxa"/>
            </w:tcMar>
            <w:vAlign w:val="bottom"/>
          </w:tcPr>
          <w:p w14:paraId="67536D8C" w14:textId="77777777" w:rsidR="001B77DD" w:rsidRDefault="001B77DD">
            <w:pPr>
              <w:rPr>
                <w:rFonts w:ascii="宋体"/>
              </w:rPr>
            </w:pPr>
          </w:p>
        </w:tc>
        <w:tc>
          <w:tcPr>
            <w:tcW w:w="0" w:type="auto"/>
            <w:shd w:val="clear" w:color="auto" w:fill="auto"/>
            <w:vAlign w:val="bottom"/>
          </w:tcPr>
          <w:p w14:paraId="67536D8D" w14:textId="77777777" w:rsidR="001B77DD" w:rsidRDefault="001B77DD">
            <w:pPr>
              <w:rPr>
                <w:rFonts w:ascii="宋体"/>
                <w:vanish/>
              </w:rPr>
            </w:pPr>
          </w:p>
        </w:tc>
        <w:tc>
          <w:tcPr>
            <w:tcW w:w="0" w:type="auto"/>
            <w:shd w:val="clear" w:color="auto" w:fill="auto"/>
            <w:vAlign w:val="bottom"/>
          </w:tcPr>
          <w:p w14:paraId="67536D8E"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6D8F" w14:textId="77777777" w:rsidR="001B77DD" w:rsidRDefault="00BF0A28">
            <w:pPr>
              <w:jc w:val="center"/>
              <w:textAlignment w:val="bottom"/>
            </w:pPr>
            <w:r>
              <w:rPr>
                <w:rFonts w:ascii="Arial" w:eastAsia="宋体" w:hAnsi="Arial" w:cs="Arial"/>
                <w:b/>
                <w:bCs/>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7536D9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D91" w14:textId="77777777" w:rsidR="001B77DD" w:rsidRDefault="00BF0A28">
            <w:pPr>
              <w:jc w:val="center"/>
              <w:textAlignment w:val="bottom"/>
            </w:pPr>
            <w:r>
              <w:rPr>
                <w:rFonts w:ascii="Arial" w:eastAsia="宋体" w:hAnsi="Arial" w:cs="Arial"/>
                <w:b/>
                <w:bCs/>
                <w:color w:val="262626"/>
                <w:sz w:val="18"/>
                <w:szCs w:val="18"/>
              </w:rPr>
              <w:t>Dec 25, 2021</w:t>
            </w:r>
          </w:p>
        </w:tc>
      </w:tr>
      <w:tr w:rsidR="001B77DD" w14:paraId="67536DA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D93" w14:textId="77777777" w:rsidR="001B77DD" w:rsidRDefault="00BF0A28">
            <w:pPr>
              <w:textAlignment w:val="bottom"/>
            </w:pPr>
            <w:r>
              <w:rPr>
                <w:rFonts w:ascii="Arial" w:eastAsia="宋体" w:hAnsi="Arial" w:cs="Arial"/>
                <w:color w:val="262626"/>
                <w:sz w:val="18"/>
                <w:szCs w:val="18"/>
              </w:rPr>
              <w:t>Client Computing Group</w:t>
            </w:r>
          </w:p>
        </w:tc>
        <w:tc>
          <w:tcPr>
            <w:tcW w:w="0" w:type="auto"/>
            <w:gridSpan w:val="3"/>
            <w:shd w:val="clear" w:color="auto" w:fill="auto"/>
            <w:tcMar>
              <w:top w:w="0" w:type="dxa"/>
              <w:left w:w="20" w:type="dxa"/>
              <w:bottom w:w="0" w:type="dxa"/>
              <w:right w:w="20" w:type="dxa"/>
            </w:tcMar>
            <w:vAlign w:val="bottom"/>
          </w:tcPr>
          <w:p w14:paraId="67536D9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D95"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D96" w14:textId="77777777" w:rsidR="001B77DD" w:rsidRDefault="00BF0A28">
            <w:pPr>
              <w:jc w:val="right"/>
              <w:textAlignment w:val="bottom"/>
            </w:pPr>
            <w:r>
              <w:rPr>
                <w:rFonts w:ascii="Arial" w:eastAsia="宋体" w:hAnsi="Arial" w:cs="Arial"/>
                <w:color w:val="262626"/>
                <w:sz w:val="18"/>
                <w:szCs w:val="18"/>
              </w:rPr>
              <w:t>4,360 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D9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98"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D99"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D9A" w14:textId="77777777" w:rsidR="001B77DD" w:rsidRDefault="00BF0A28">
            <w:pPr>
              <w:jc w:val="right"/>
              <w:textAlignment w:val="bottom"/>
            </w:pPr>
            <w:r>
              <w:rPr>
                <w:rFonts w:ascii="Arial" w:eastAsia="宋体" w:hAnsi="Arial" w:cs="Arial"/>
                <w:color w:val="0068B5"/>
                <w:sz w:val="18"/>
                <w:szCs w:val="18"/>
              </w:rPr>
              <w:t>73 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D9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9C" w14:textId="77777777" w:rsidR="001B77DD" w:rsidRDefault="001B77DD">
            <w:pPr>
              <w:rPr>
                <w:rFonts w:ascii="宋体"/>
              </w:rPr>
            </w:pPr>
          </w:p>
        </w:tc>
        <w:tc>
          <w:tcPr>
            <w:tcW w:w="0" w:type="auto"/>
            <w:shd w:val="clear" w:color="auto" w:fill="auto"/>
            <w:vAlign w:val="bottom"/>
          </w:tcPr>
          <w:p w14:paraId="67536D9D" w14:textId="77777777" w:rsidR="001B77DD" w:rsidRDefault="001B77DD">
            <w:pPr>
              <w:rPr>
                <w:rFonts w:ascii="宋体"/>
                <w:vanish/>
              </w:rPr>
            </w:pPr>
          </w:p>
        </w:tc>
        <w:tc>
          <w:tcPr>
            <w:tcW w:w="0" w:type="auto"/>
            <w:shd w:val="clear" w:color="auto" w:fill="auto"/>
            <w:vAlign w:val="bottom"/>
          </w:tcPr>
          <w:p w14:paraId="67536D9E" w14:textId="77777777" w:rsidR="001B77DD" w:rsidRDefault="001B77DD">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D9F"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DA0" w14:textId="77777777" w:rsidR="001B77DD" w:rsidRDefault="00BF0A28">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DA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A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DA3"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DA4" w14:textId="77777777" w:rsidR="001B77DD" w:rsidRDefault="00BF0A28">
            <w:pPr>
              <w:jc w:val="right"/>
              <w:textAlignment w:val="bottom"/>
            </w:pPr>
            <w:r>
              <w:rPr>
                <w:rFonts w:ascii="Arial" w:eastAsia="宋体" w:hAnsi="Arial" w:cs="Arial"/>
                <w:color w:val="0068B5"/>
                <w:sz w:val="18"/>
                <w:szCs w:val="18"/>
              </w:rPr>
              <w:t>4,433 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DA5" w14:textId="77777777" w:rsidR="001B77DD" w:rsidRDefault="001B77DD">
            <w:pPr>
              <w:jc w:val="right"/>
              <w:rPr>
                <w:rFonts w:ascii="宋体"/>
              </w:rPr>
            </w:pPr>
          </w:p>
        </w:tc>
      </w:tr>
      <w:tr w:rsidR="001B77DD" w14:paraId="67536DB6" w14:textId="77777777">
        <w:tc>
          <w:tcPr>
            <w:tcW w:w="0" w:type="auto"/>
            <w:gridSpan w:val="3"/>
            <w:shd w:val="clear" w:color="auto" w:fill="auto"/>
            <w:tcMar>
              <w:top w:w="40" w:type="dxa"/>
              <w:left w:w="20" w:type="dxa"/>
              <w:bottom w:w="40" w:type="dxa"/>
              <w:right w:w="20" w:type="dxa"/>
            </w:tcMar>
            <w:vAlign w:val="bottom"/>
          </w:tcPr>
          <w:p w14:paraId="67536DA7" w14:textId="77777777" w:rsidR="001B77DD" w:rsidRDefault="00BF0A28">
            <w:pPr>
              <w:textAlignment w:val="bottom"/>
            </w:pPr>
            <w:r>
              <w:rPr>
                <w:rFonts w:ascii="Arial" w:eastAsia="宋体" w:hAnsi="Arial" w:cs="Arial"/>
                <w:color w:val="262626"/>
                <w:sz w:val="18"/>
                <w:szCs w:val="18"/>
              </w:rPr>
              <w:t>Data Center Group</w:t>
            </w:r>
          </w:p>
        </w:tc>
        <w:tc>
          <w:tcPr>
            <w:tcW w:w="0" w:type="auto"/>
            <w:gridSpan w:val="3"/>
            <w:shd w:val="clear" w:color="auto" w:fill="auto"/>
            <w:tcMar>
              <w:top w:w="0" w:type="dxa"/>
              <w:left w:w="20" w:type="dxa"/>
              <w:bottom w:w="0" w:type="dxa"/>
              <w:right w:w="20" w:type="dxa"/>
            </w:tcMar>
            <w:vAlign w:val="bottom"/>
          </w:tcPr>
          <w:p w14:paraId="67536DA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A9" w14:textId="77777777" w:rsidR="001B77DD" w:rsidRDefault="00BF0A28">
            <w:pPr>
              <w:jc w:val="right"/>
              <w:textAlignment w:val="bottom"/>
            </w:pPr>
            <w:r>
              <w:rPr>
                <w:rFonts w:ascii="Arial" w:eastAsia="宋体" w:hAnsi="Arial" w:cs="Arial"/>
                <w:color w:val="262626"/>
                <w:sz w:val="18"/>
                <w:szCs w:val="18"/>
              </w:rPr>
              <w:t>7,232 </w:t>
            </w:r>
          </w:p>
        </w:tc>
        <w:tc>
          <w:tcPr>
            <w:tcW w:w="0" w:type="auto"/>
            <w:shd w:val="clear" w:color="auto" w:fill="auto"/>
            <w:tcMar>
              <w:top w:w="40" w:type="dxa"/>
              <w:left w:w="0" w:type="dxa"/>
              <w:bottom w:w="40" w:type="dxa"/>
              <w:right w:w="20" w:type="dxa"/>
            </w:tcMar>
            <w:vAlign w:val="bottom"/>
          </w:tcPr>
          <w:p w14:paraId="67536DA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A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AC" w14:textId="77777777" w:rsidR="001B77DD" w:rsidRDefault="00BF0A28">
            <w:pPr>
              <w:jc w:val="right"/>
              <w:textAlignment w:val="bottom"/>
            </w:pPr>
            <w:r>
              <w:rPr>
                <w:rFonts w:ascii="Arial" w:eastAsia="宋体" w:hAnsi="Arial" w:cs="Arial"/>
                <w:color w:val="0068B5"/>
                <w:sz w:val="18"/>
                <w:szCs w:val="18"/>
              </w:rPr>
              <w:t>123 </w:t>
            </w:r>
          </w:p>
        </w:tc>
        <w:tc>
          <w:tcPr>
            <w:tcW w:w="0" w:type="auto"/>
            <w:shd w:val="clear" w:color="auto" w:fill="auto"/>
            <w:tcMar>
              <w:top w:w="40" w:type="dxa"/>
              <w:left w:w="0" w:type="dxa"/>
              <w:bottom w:w="40" w:type="dxa"/>
              <w:right w:w="20" w:type="dxa"/>
            </w:tcMar>
            <w:vAlign w:val="bottom"/>
          </w:tcPr>
          <w:p w14:paraId="67536DA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AE" w14:textId="77777777" w:rsidR="001B77DD" w:rsidRDefault="001B77DD">
            <w:pPr>
              <w:rPr>
                <w:rFonts w:ascii="宋体"/>
              </w:rPr>
            </w:pPr>
          </w:p>
        </w:tc>
        <w:tc>
          <w:tcPr>
            <w:tcW w:w="0" w:type="auto"/>
            <w:shd w:val="clear" w:color="auto" w:fill="auto"/>
            <w:vAlign w:val="bottom"/>
          </w:tcPr>
          <w:p w14:paraId="67536DAF" w14:textId="77777777" w:rsidR="001B77DD" w:rsidRDefault="001B77DD">
            <w:pPr>
              <w:rPr>
                <w:rFonts w:ascii="宋体"/>
                <w:vanish/>
              </w:rPr>
            </w:pPr>
          </w:p>
        </w:tc>
        <w:tc>
          <w:tcPr>
            <w:tcW w:w="0" w:type="auto"/>
            <w:shd w:val="clear" w:color="auto" w:fill="auto"/>
            <w:vAlign w:val="bottom"/>
          </w:tcPr>
          <w:p w14:paraId="67536DB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DB1"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DB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B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B4" w14:textId="77777777" w:rsidR="001B77DD" w:rsidRDefault="00BF0A28">
            <w:pPr>
              <w:jc w:val="right"/>
              <w:textAlignment w:val="bottom"/>
            </w:pPr>
            <w:r>
              <w:rPr>
                <w:rFonts w:ascii="Arial" w:eastAsia="宋体" w:hAnsi="Arial" w:cs="Arial"/>
                <w:color w:val="0068B5"/>
                <w:sz w:val="18"/>
                <w:szCs w:val="18"/>
              </w:rPr>
              <w:t>7,355 </w:t>
            </w:r>
          </w:p>
        </w:tc>
        <w:tc>
          <w:tcPr>
            <w:tcW w:w="0" w:type="auto"/>
            <w:shd w:val="clear" w:color="auto" w:fill="auto"/>
            <w:tcMar>
              <w:top w:w="40" w:type="dxa"/>
              <w:left w:w="0" w:type="dxa"/>
              <w:bottom w:w="40" w:type="dxa"/>
              <w:right w:w="20" w:type="dxa"/>
            </w:tcMar>
            <w:vAlign w:val="bottom"/>
          </w:tcPr>
          <w:p w14:paraId="67536DB5" w14:textId="77777777" w:rsidR="001B77DD" w:rsidRDefault="001B77DD">
            <w:pPr>
              <w:jc w:val="right"/>
              <w:rPr>
                <w:rFonts w:ascii="宋体"/>
              </w:rPr>
            </w:pPr>
          </w:p>
        </w:tc>
      </w:tr>
      <w:tr w:rsidR="001B77DD" w14:paraId="67536DC6" w14:textId="77777777">
        <w:tc>
          <w:tcPr>
            <w:tcW w:w="0" w:type="auto"/>
            <w:gridSpan w:val="3"/>
            <w:shd w:val="clear" w:color="auto" w:fill="auto"/>
            <w:tcMar>
              <w:top w:w="40" w:type="dxa"/>
              <w:left w:w="20" w:type="dxa"/>
              <w:bottom w:w="40" w:type="dxa"/>
              <w:right w:w="20" w:type="dxa"/>
            </w:tcMar>
            <w:vAlign w:val="bottom"/>
          </w:tcPr>
          <w:p w14:paraId="67536DB7" w14:textId="77777777" w:rsidR="001B77DD" w:rsidRDefault="00BF0A28">
            <w:pPr>
              <w:textAlignment w:val="bottom"/>
            </w:pPr>
            <w:r>
              <w:rPr>
                <w:rFonts w:ascii="Arial" w:eastAsia="宋体" w:hAnsi="Arial" w:cs="Arial"/>
                <w:color w:val="262626"/>
                <w:sz w:val="18"/>
                <w:szCs w:val="18"/>
              </w:rPr>
              <w:t>Internet of Things Group</w:t>
            </w:r>
          </w:p>
        </w:tc>
        <w:tc>
          <w:tcPr>
            <w:tcW w:w="0" w:type="auto"/>
            <w:gridSpan w:val="3"/>
            <w:shd w:val="clear" w:color="auto" w:fill="auto"/>
            <w:tcMar>
              <w:top w:w="0" w:type="dxa"/>
              <w:left w:w="20" w:type="dxa"/>
              <w:bottom w:w="0" w:type="dxa"/>
              <w:right w:w="20" w:type="dxa"/>
            </w:tcMar>
            <w:vAlign w:val="bottom"/>
          </w:tcPr>
          <w:p w14:paraId="67536DB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B9" w14:textId="77777777" w:rsidR="001B77DD" w:rsidRDefault="00BF0A28">
            <w:pPr>
              <w:jc w:val="right"/>
              <w:textAlignment w:val="bottom"/>
            </w:pPr>
            <w:r>
              <w:rPr>
                <w:rFonts w:ascii="Arial" w:eastAsia="宋体" w:hAnsi="Arial" w:cs="Arial"/>
                <w:color w:val="262626"/>
                <w:sz w:val="18"/>
                <w:szCs w:val="18"/>
              </w:rPr>
              <w:t>1,591 </w:t>
            </w:r>
          </w:p>
        </w:tc>
        <w:tc>
          <w:tcPr>
            <w:tcW w:w="0" w:type="auto"/>
            <w:shd w:val="clear" w:color="auto" w:fill="auto"/>
            <w:tcMar>
              <w:top w:w="40" w:type="dxa"/>
              <w:left w:w="0" w:type="dxa"/>
              <w:bottom w:w="40" w:type="dxa"/>
              <w:right w:w="20" w:type="dxa"/>
            </w:tcMar>
            <w:vAlign w:val="bottom"/>
          </w:tcPr>
          <w:p w14:paraId="67536DB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B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B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D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BE" w14:textId="77777777" w:rsidR="001B77DD" w:rsidRDefault="001B77DD">
            <w:pPr>
              <w:rPr>
                <w:rFonts w:ascii="宋体"/>
              </w:rPr>
            </w:pPr>
          </w:p>
        </w:tc>
        <w:tc>
          <w:tcPr>
            <w:tcW w:w="0" w:type="auto"/>
            <w:shd w:val="clear" w:color="auto" w:fill="auto"/>
            <w:vAlign w:val="bottom"/>
          </w:tcPr>
          <w:p w14:paraId="67536DBF" w14:textId="77777777" w:rsidR="001B77DD" w:rsidRDefault="001B77DD">
            <w:pPr>
              <w:rPr>
                <w:rFonts w:ascii="宋体"/>
                <w:vanish/>
              </w:rPr>
            </w:pPr>
          </w:p>
        </w:tc>
        <w:tc>
          <w:tcPr>
            <w:tcW w:w="0" w:type="auto"/>
            <w:shd w:val="clear" w:color="auto" w:fill="auto"/>
            <w:vAlign w:val="bottom"/>
          </w:tcPr>
          <w:p w14:paraId="67536DC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DC1"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DC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C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C4" w14:textId="77777777" w:rsidR="001B77DD" w:rsidRDefault="00BF0A28">
            <w:pPr>
              <w:jc w:val="right"/>
              <w:textAlignment w:val="bottom"/>
            </w:pPr>
            <w:r>
              <w:rPr>
                <w:rFonts w:ascii="Arial" w:eastAsia="宋体" w:hAnsi="Arial" w:cs="Arial"/>
                <w:color w:val="0068B5"/>
                <w:sz w:val="18"/>
                <w:szCs w:val="18"/>
              </w:rPr>
              <w:t>1,591 </w:t>
            </w:r>
          </w:p>
        </w:tc>
        <w:tc>
          <w:tcPr>
            <w:tcW w:w="0" w:type="auto"/>
            <w:shd w:val="clear" w:color="auto" w:fill="auto"/>
            <w:tcMar>
              <w:top w:w="40" w:type="dxa"/>
              <w:left w:w="0" w:type="dxa"/>
              <w:bottom w:w="40" w:type="dxa"/>
              <w:right w:w="20" w:type="dxa"/>
            </w:tcMar>
            <w:vAlign w:val="bottom"/>
          </w:tcPr>
          <w:p w14:paraId="67536DC5" w14:textId="77777777" w:rsidR="001B77DD" w:rsidRDefault="001B77DD">
            <w:pPr>
              <w:jc w:val="right"/>
              <w:rPr>
                <w:rFonts w:ascii="宋体"/>
              </w:rPr>
            </w:pPr>
          </w:p>
        </w:tc>
      </w:tr>
      <w:tr w:rsidR="001B77DD" w14:paraId="67536DD6" w14:textId="77777777">
        <w:tc>
          <w:tcPr>
            <w:tcW w:w="0" w:type="auto"/>
            <w:gridSpan w:val="3"/>
            <w:shd w:val="clear" w:color="auto" w:fill="auto"/>
            <w:tcMar>
              <w:top w:w="40" w:type="dxa"/>
              <w:left w:w="20" w:type="dxa"/>
              <w:bottom w:w="40" w:type="dxa"/>
              <w:right w:w="20" w:type="dxa"/>
            </w:tcMar>
            <w:vAlign w:val="bottom"/>
          </w:tcPr>
          <w:p w14:paraId="67536DC7" w14:textId="77777777" w:rsidR="001B77DD" w:rsidRDefault="00BF0A28">
            <w:pPr>
              <w:textAlignment w:val="bottom"/>
            </w:pPr>
            <w:r>
              <w:rPr>
                <w:rFonts w:ascii="Arial" w:eastAsia="宋体" w:hAnsi="Arial" w:cs="Arial"/>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67536DC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C9" w14:textId="77777777" w:rsidR="001B77DD" w:rsidRDefault="00BF0A28">
            <w:pPr>
              <w:jc w:val="right"/>
              <w:textAlignment w:val="bottom"/>
            </w:pPr>
            <w:r>
              <w:rPr>
                <w:rFonts w:ascii="Arial" w:eastAsia="宋体" w:hAnsi="Arial" w:cs="Arial"/>
                <w:color w:val="262626"/>
                <w:sz w:val="18"/>
                <w:szCs w:val="18"/>
              </w:rPr>
              <w:t>10,928 </w:t>
            </w:r>
          </w:p>
        </w:tc>
        <w:tc>
          <w:tcPr>
            <w:tcW w:w="0" w:type="auto"/>
            <w:shd w:val="clear" w:color="auto" w:fill="auto"/>
            <w:tcMar>
              <w:top w:w="40" w:type="dxa"/>
              <w:left w:w="0" w:type="dxa"/>
              <w:bottom w:w="40" w:type="dxa"/>
              <w:right w:w="20" w:type="dxa"/>
            </w:tcMar>
            <w:vAlign w:val="bottom"/>
          </w:tcPr>
          <w:p w14:paraId="67536DC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C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D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CE" w14:textId="77777777" w:rsidR="001B77DD" w:rsidRDefault="001B77DD">
            <w:pPr>
              <w:rPr>
                <w:rFonts w:ascii="宋体"/>
              </w:rPr>
            </w:pPr>
          </w:p>
        </w:tc>
        <w:tc>
          <w:tcPr>
            <w:tcW w:w="0" w:type="auto"/>
            <w:shd w:val="clear" w:color="auto" w:fill="auto"/>
            <w:vAlign w:val="bottom"/>
          </w:tcPr>
          <w:p w14:paraId="67536DCF" w14:textId="77777777" w:rsidR="001B77DD" w:rsidRDefault="001B77DD">
            <w:pPr>
              <w:rPr>
                <w:rFonts w:ascii="宋体"/>
                <w:vanish/>
              </w:rPr>
            </w:pPr>
          </w:p>
        </w:tc>
        <w:tc>
          <w:tcPr>
            <w:tcW w:w="0" w:type="auto"/>
            <w:shd w:val="clear" w:color="auto" w:fill="auto"/>
            <w:vAlign w:val="bottom"/>
          </w:tcPr>
          <w:p w14:paraId="67536DD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DD1"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DD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D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D4" w14:textId="77777777" w:rsidR="001B77DD" w:rsidRDefault="00BF0A28">
            <w:pPr>
              <w:jc w:val="right"/>
              <w:textAlignment w:val="bottom"/>
            </w:pPr>
            <w:r>
              <w:rPr>
                <w:rFonts w:ascii="Arial" w:eastAsia="宋体" w:hAnsi="Arial" w:cs="Arial"/>
                <w:color w:val="0068B5"/>
                <w:sz w:val="18"/>
                <w:szCs w:val="18"/>
              </w:rPr>
              <w:t>10,928 </w:t>
            </w:r>
          </w:p>
        </w:tc>
        <w:tc>
          <w:tcPr>
            <w:tcW w:w="0" w:type="auto"/>
            <w:shd w:val="clear" w:color="auto" w:fill="auto"/>
            <w:tcMar>
              <w:top w:w="40" w:type="dxa"/>
              <w:left w:w="0" w:type="dxa"/>
              <w:bottom w:w="40" w:type="dxa"/>
              <w:right w:w="20" w:type="dxa"/>
            </w:tcMar>
            <w:vAlign w:val="bottom"/>
          </w:tcPr>
          <w:p w14:paraId="67536DD5" w14:textId="77777777" w:rsidR="001B77DD" w:rsidRDefault="001B77DD">
            <w:pPr>
              <w:jc w:val="right"/>
              <w:rPr>
                <w:rFonts w:ascii="宋体"/>
              </w:rPr>
            </w:pPr>
          </w:p>
        </w:tc>
      </w:tr>
      <w:tr w:rsidR="001B77DD" w14:paraId="67536DE6" w14:textId="77777777">
        <w:tc>
          <w:tcPr>
            <w:tcW w:w="0" w:type="auto"/>
            <w:gridSpan w:val="3"/>
            <w:shd w:val="clear" w:color="auto" w:fill="auto"/>
            <w:tcMar>
              <w:top w:w="40" w:type="dxa"/>
              <w:left w:w="20" w:type="dxa"/>
              <w:bottom w:w="40" w:type="dxa"/>
              <w:right w:w="20" w:type="dxa"/>
            </w:tcMar>
            <w:vAlign w:val="bottom"/>
          </w:tcPr>
          <w:p w14:paraId="67536DD7" w14:textId="77777777" w:rsidR="001B77DD" w:rsidRDefault="00BF0A28">
            <w:pPr>
              <w:textAlignment w:val="bottom"/>
            </w:pPr>
            <w:r>
              <w:rPr>
                <w:rFonts w:ascii="Arial" w:eastAsia="宋体" w:hAnsi="Arial" w:cs="Arial"/>
                <w:color w:val="262626"/>
                <w:sz w:val="18"/>
                <w:szCs w:val="18"/>
              </w:rPr>
              <w:t>Programmable Solutions Group</w:t>
            </w:r>
          </w:p>
        </w:tc>
        <w:tc>
          <w:tcPr>
            <w:tcW w:w="0" w:type="auto"/>
            <w:gridSpan w:val="3"/>
            <w:shd w:val="clear" w:color="auto" w:fill="auto"/>
            <w:tcMar>
              <w:top w:w="0" w:type="dxa"/>
              <w:left w:w="20" w:type="dxa"/>
              <w:bottom w:w="0" w:type="dxa"/>
              <w:right w:w="20" w:type="dxa"/>
            </w:tcMar>
            <w:vAlign w:val="bottom"/>
          </w:tcPr>
          <w:p w14:paraId="67536DD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D9" w14:textId="77777777" w:rsidR="001B77DD" w:rsidRDefault="00BF0A28">
            <w:pPr>
              <w:jc w:val="right"/>
              <w:textAlignment w:val="bottom"/>
            </w:pPr>
            <w:r>
              <w:rPr>
                <w:rFonts w:ascii="Arial" w:eastAsia="宋体" w:hAnsi="Arial" w:cs="Arial"/>
                <w:color w:val="262626"/>
                <w:sz w:val="18"/>
                <w:szCs w:val="18"/>
              </w:rPr>
              <w:t>2,622 </w:t>
            </w:r>
          </w:p>
        </w:tc>
        <w:tc>
          <w:tcPr>
            <w:tcW w:w="0" w:type="auto"/>
            <w:shd w:val="clear" w:color="auto" w:fill="auto"/>
            <w:tcMar>
              <w:top w:w="40" w:type="dxa"/>
              <w:left w:w="0" w:type="dxa"/>
              <w:bottom w:w="40" w:type="dxa"/>
              <w:right w:w="20" w:type="dxa"/>
            </w:tcMar>
            <w:vAlign w:val="bottom"/>
          </w:tcPr>
          <w:p w14:paraId="67536DD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D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D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DD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DE" w14:textId="77777777" w:rsidR="001B77DD" w:rsidRDefault="001B77DD">
            <w:pPr>
              <w:rPr>
                <w:rFonts w:ascii="宋体"/>
              </w:rPr>
            </w:pPr>
          </w:p>
        </w:tc>
        <w:tc>
          <w:tcPr>
            <w:tcW w:w="0" w:type="auto"/>
            <w:shd w:val="clear" w:color="auto" w:fill="auto"/>
            <w:vAlign w:val="bottom"/>
          </w:tcPr>
          <w:p w14:paraId="67536DDF" w14:textId="77777777" w:rsidR="001B77DD" w:rsidRDefault="001B77DD">
            <w:pPr>
              <w:rPr>
                <w:rFonts w:ascii="宋体"/>
                <w:vanish/>
              </w:rPr>
            </w:pPr>
          </w:p>
        </w:tc>
        <w:tc>
          <w:tcPr>
            <w:tcW w:w="0" w:type="auto"/>
            <w:shd w:val="clear" w:color="auto" w:fill="auto"/>
            <w:vAlign w:val="bottom"/>
          </w:tcPr>
          <w:p w14:paraId="67536DE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DE1" w14:textId="77777777" w:rsidR="001B77DD" w:rsidRDefault="00BF0A28">
            <w:pPr>
              <w:jc w:val="right"/>
              <w:textAlignment w:val="bottom"/>
            </w:pPr>
            <w:r>
              <w:rPr>
                <w:rFonts w:ascii="Arial" w:eastAsia="宋体" w:hAnsi="Arial" w:cs="Arial"/>
                <w:color w:val="0068B5"/>
                <w:sz w:val="18"/>
                <w:szCs w:val="18"/>
              </w:rPr>
              <w:t>34 </w:t>
            </w:r>
          </w:p>
        </w:tc>
        <w:tc>
          <w:tcPr>
            <w:tcW w:w="0" w:type="auto"/>
            <w:shd w:val="clear" w:color="auto" w:fill="auto"/>
            <w:tcMar>
              <w:top w:w="40" w:type="dxa"/>
              <w:left w:w="0" w:type="dxa"/>
              <w:bottom w:w="40" w:type="dxa"/>
              <w:right w:w="20" w:type="dxa"/>
            </w:tcMar>
            <w:vAlign w:val="bottom"/>
          </w:tcPr>
          <w:p w14:paraId="67536D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E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E4" w14:textId="77777777" w:rsidR="001B77DD" w:rsidRDefault="00BF0A28">
            <w:pPr>
              <w:jc w:val="right"/>
              <w:textAlignment w:val="bottom"/>
            </w:pPr>
            <w:r>
              <w:rPr>
                <w:rFonts w:ascii="Arial" w:eastAsia="宋体" w:hAnsi="Arial" w:cs="Arial"/>
                <w:color w:val="0068B5"/>
                <w:sz w:val="18"/>
                <w:szCs w:val="18"/>
              </w:rPr>
              <w:t>2,656 </w:t>
            </w:r>
          </w:p>
        </w:tc>
        <w:tc>
          <w:tcPr>
            <w:tcW w:w="0" w:type="auto"/>
            <w:shd w:val="clear" w:color="auto" w:fill="auto"/>
            <w:tcMar>
              <w:top w:w="40" w:type="dxa"/>
              <w:left w:w="0" w:type="dxa"/>
              <w:bottom w:w="40" w:type="dxa"/>
              <w:right w:w="20" w:type="dxa"/>
            </w:tcMar>
            <w:vAlign w:val="bottom"/>
          </w:tcPr>
          <w:p w14:paraId="67536DE5" w14:textId="77777777" w:rsidR="001B77DD" w:rsidRDefault="001B77DD">
            <w:pPr>
              <w:jc w:val="right"/>
              <w:rPr>
                <w:rFonts w:ascii="宋体"/>
              </w:rPr>
            </w:pPr>
          </w:p>
        </w:tc>
      </w:tr>
      <w:tr w:rsidR="001B77DD" w14:paraId="67536DF2" w14:textId="77777777">
        <w:trPr>
          <w:hidden/>
        </w:trPr>
        <w:tc>
          <w:tcPr>
            <w:tcW w:w="0" w:type="auto"/>
            <w:gridSpan w:val="3"/>
            <w:shd w:val="clear" w:color="auto" w:fill="auto"/>
            <w:vAlign w:val="bottom"/>
          </w:tcPr>
          <w:p w14:paraId="67536DE7" w14:textId="77777777" w:rsidR="001B77DD" w:rsidRDefault="001B77DD">
            <w:pPr>
              <w:rPr>
                <w:rFonts w:ascii="宋体"/>
                <w:vanish/>
              </w:rPr>
            </w:pPr>
          </w:p>
        </w:tc>
        <w:tc>
          <w:tcPr>
            <w:tcW w:w="0" w:type="auto"/>
            <w:gridSpan w:val="3"/>
            <w:shd w:val="clear" w:color="auto" w:fill="auto"/>
            <w:vAlign w:val="bottom"/>
          </w:tcPr>
          <w:p w14:paraId="67536DE8" w14:textId="77777777" w:rsidR="001B77DD" w:rsidRDefault="001B77DD">
            <w:pPr>
              <w:rPr>
                <w:rFonts w:ascii="宋体"/>
                <w:vanish/>
              </w:rPr>
            </w:pPr>
          </w:p>
        </w:tc>
        <w:tc>
          <w:tcPr>
            <w:tcW w:w="0" w:type="auto"/>
            <w:gridSpan w:val="3"/>
            <w:shd w:val="clear" w:color="auto" w:fill="auto"/>
            <w:vAlign w:val="bottom"/>
          </w:tcPr>
          <w:p w14:paraId="67536DE9" w14:textId="77777777" w:rsidR="001B77DD" w:rsidRDefault="001B77DD">
            <w:pPr>
              <w:rPr>
                <w:rFonts w:ascii="宋体"/>
                <w:vanish/>
              </w:rPr>
            </w:pPr>
          </w:p>
        </w:tc>
        <w:tc>
          <w:tcPr>
            <w:tcW w:w="0" w:type="auto"/>
            <w:gridSpan w:val="3"/>
            <w:shd w:val="clear" w:color="auto" w:fill="auto"/>
            <w:vAlign w:val="bottom"/>
          </w:tcPr>
          <w:p w14:paraId="67536DEA" w14:textId="77777777" w:rsidR="001B77DD" w:rsidRDefault="001B77DD">
            <w:pPr>
              <w:rPr>
                <w:rFonts w:ascii="宋体"/>
                <w:vanish/>
              </w:rPr>
            </w:pPr>
          </w:p>
        </w:tc>
        <w:tc>
          <w:tcPr>
            <w:tcW w:w="0" w:type="auto"/>
            <w:gridSpan w:val="3"/>
            <w:shd w:val="clear" w:color="auto" w:fill="auto"/>
            <w:vAlign w:val="bottom"/>
          </w:tcPr>
          <w:p w14:paraId="67536DEB" w14:textId="77777777" w:rsidR="001B77DD" w:rsidRDefault="001B77DD">
            <w:pPr>
              <w:rPr>
                <w:rFonts w:ascii="宋体"/>
                <w:vanish/>
              </w:rPr>
            </w:pPr>
          </w:p>
        </w:tc>
        <w:tc>
          <w:tcPr>
            <w:tcW w:w="0" w:type="auto"/>
            <w:gridSpan w:val="3"/>
            <w:shd w:val="clear" w:color="auto" w:fill="auto"/>
            <w:vAlign w:val="bottom"/>
          </w:tcPr>
          <w:p w14:paraId="67536DEC" w14:textId="77777777" w:rsidR="001B77DD" w:rsidRDefault="001B77DD">
            <w:pPr>
              <w:rPr>
                <w:rFonts w:ascii="宋体"/>
                <w:vanish/>
              </w:rPr>
            </w:pPr>
          </w:p>
        </w:tc>
        <w:tc>
          <w:tcPr>
            <w:tcW w:w="0" w:type="auto"/>
            <w:shd w:val="clear" w:color="auto" w:fill="auto"/>
            <w:vAlign w:val="bottom"/>
          </w:tcPr>
          <w:p w14:paraId="67536DED" w14:textId="77777777" w:rsidR="001B77DD" w:rsidRDefault="001B77DD">
            <w:pPr>
              <w:rPr>
                <w:rFonts w:ascii="宋体"/>
                <w:vanish/>
              </w:rPr>
            </w:pPr>
          </w:p>
        </w:tc>
        <w:tc>
          <w:tcPr>
            <w:tcW w:w="0" w:type="auto"/>
            <w:shd w:val="clear" w:color="auto" w:fill="auto"/>
            <w:vAlign w:val="bottom"/>
          </w:tcPr>
          <w:p w14:paraId="67536DEE" w14:textId="77777777" w:rsidR="001B77DD" w:rsidRDefault="001B77DD">
            <w:pPr>
              <w:rPr>
                <w:rFonts w:ascii="宋体"/>
                <w:vanish/>
              </w:rPr>
            </w:pPr>
          </w:p>
        </w:tc>
        <w:tc>
          <w:tcPr>
            <w:tcW w:w="0" w:type="auto"/>
            <w:gridSpan w:val="3"/>
            <w:shd w:val="clear" w:color="auto" w:fill="auto"/>
            <w:vAlign w:val="bottom"/>
          </w:tcPr>
          <w:p w14:paraId="67536DEF" w14:textId="77777777" w:rsidR="001B77DD" w:rsidRDefault="001B77DD">
            <w:pPr>
              <w:rPr>
                <w:rFonts w:ascii="宋体"/>
                <w:vanish/>
              </w:rPr>
            </w:pPr>
          </w:p>
        </w:tc>
        <w:tc>
          <w:tcPr>
            <w:tcW w:w="0" w:type="auto"/>
            <w:gridSpan w:val="3"/>
            <w:shd w:val="clear" w:color="auto" w:fill="auto"/>
            <w:vAlign w:val="bottom"/>
          </w:tcPr>
          <w:p w14:paraId="67536DF0" w14:textId="77777777" w:rsidR="001B77DD" w:rsidRDefault="001B77DD">
            <w:pPr>
              <w:rPr>
                <w:rFonts w:ascii="宋体"/>
                <w:vanish/>
              </w:rPr>
            </w:pPr>
          </w:p>
        </w:tc>
        <w:tc>
          <w:tcPr>
            <w:tcW w:w="0" w:type="auto"/>
            <w:gridSpan w:val="3"/>
            <w:shd w:val="clear" w:color="auto" w:fill="auto"/>
            <w:vAlign w:val="bottom"/>
          </w:tcPr>
          <w:p w14:paraId="67536DF1" w14:textId="77777777" w:rsidR="001B77DD" w:rsidRDefault="001B77DD">
            <w:pPr>
              <w:rPr>
                <w:rFonts w:ascii="宋体"/>
                <w:vanish/>
              </w:rPr>
            </w:pPr>
          </w:p>
        </w:tc>
      </w:tr>
      <w:tr w:rsidR="001B77DD" w14:paraId="67536E02" w14:textId="77777777">
        <w:tc>
          <w:tcPr>
            <w:tcW w:w="0" w:type="auto"/>
            <w:gridSpan w:val="3"/>
            <w:shd w:val="clear" w:color="auto" w:fill="auto"/>
            <w:tcMar>
              <w:top w:w="40" w:type="dxa"/>
              <w:left w:w="20" w:type="dxa"/>
              <w:bottom w:w="40" w:type="dxa"/>
              <w:right w:w="20" w:type="dxa"/>
            </w:tcMar>
            <w:vAlign w:val="bottom"/>
          </w:tcPr>
          <w:p w14:paraId="67536DF3" w14:textId="77777777" w:rsidR="001B77DD" w:rsidRDefault="00BF0A28">
            <w:pPr>
              <w:textAlignment w:val="bottom"/>
            </w:pPr>
            <w:r>
              <w:rPr>
                <w:rFonts w:ascii="Arial" w:eastAsia="宋体" w:hAnsi="Arial" w:cs="Arial"/>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67536DF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F5" w14:textId="77777777" w:rsidR="001B77DD" w:rsidRDefault="00BF0A28">
            <w:pPr>
              <w:jc w:val="right"/>
              <w:textAlignment w:val="bottom"/>
            </w:pPr>
            <w:r>
              <w:rPr>
                <w:rFonts w:ascii="Arial" w:eastAsia="宋体" w:hAnsi="Arial" w:cs="Arial"/>
                <w:color w:val="262626"/>
                <w:sz w:val="18"/>
                <w:szCs w:val="18"/>
              </w:rPr>
              <w:t>238 </w:t>
            </w:r>
          </w:p>
        </w:tc>
        <w:tc>
          <w:tcPr>
            <w:tcW w:w="0" w:type="auto"/>
            <w:shd w:val="clear" w:color="auto" w:fill="auto"/>
            <w:tcMar>
              <w:top w:w="40" w:type="dxa"/>
              <w:left w:w="0" w:type="dxa"/>
              <w:bottom w:w="40" w:type="dxa"/>
              <w:right w:w="20" w:type="dxa"/>
            </w:tcMar>
            <w:vAlign w:val="bottom"/>
          </w:tcPr>
          <w:p w14:paraId="67536DF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F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DF8"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DF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FA" w14:textId="77777777" w:rsidR="001B77DD" w:rsidRDefault="001B77DD">
            <w:pPr>
              <w:rPr>
                <w:rFonts w:ascii="宋体"/>
              </w:rPr>
            </w:pPr>
          </w:p>
        </w:tc>
        <w:tc>
          <w:tcPr>
            <w:tcW w:w="0" w:type="auto"/>
            <w:shd w:val="clear" w:color="auto" w:fill="auto"/>
            <w:vAlign w:val="bottom"/>
          </w:tcPr>
          <w:p w14:paraId="67536DFB" w14:textId="77777777" w:rsidR="001B77DD" w:rsidRDefault="001B77DD">
            <w:pPr>
              <w:rPr>
                <w:rFonts w:ascii="宋体"/>
                <w:vanish/>
              </w:rPr>
            </w:pPr>
          </w:p>
        </w:tc>
        <w:tc>
          <w:tcPr>
            <w:tcW w:w="0" w:type="auto"/>
            <w:shd w:val="clear" w:color="auto" w:fill="auto"/>
            <w:vAlign w:val="bottom"/>
          </w:tcPr>
          <w:p w14:paraId="67536DFC"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DFD" w14:textId="77777777" w:rsidR="001B77DD" w:rsidRDefault="00BF0A28">
            <w:pPr>
              <w:jc w:val="right"/>
              <w:textAlignment w:val="bottom"/>
            </w:pPr>
            <w:r>
              <w:rPr>
                <w:rFonts w:ascii="Arial" w:eastAsia="宋体" w:hAnsi="Arial" w:cs="Arial"/>
                <w:color w:val="0068B5"/>
                <w:sz w:val="18"/>
                <w:szCs w:val="18"/>
              </w:rPr>
              <w:t>(238)</w:t>
            </w:r>
          </w:p>
        </w:tc>
        <w:tc>
          <w:tcPr>
            <w:tcW w:w="0" w:type="auto"/>
            <w:shd w:val="clear" w:color="auto" w:fill="auto"/>
            <w:tcMar>
              <w:top w:w="40" w:type="dxa"/>
              <w:left w:w="0" w:type="dxa"/>
              <w:bottom w:w="40" w:type="dxa"/>
              <w:right w:w="20" w:type="dxa"/>
            </w:tcMar>
            <w:vAlign w:val="bottom"/>
          </w:tcPr>
          <w:p w14:paraId="67536DF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DF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00"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E01" w14:textId="77777777" w:rsidR="001B77DD" w:rsidRDefault="001B77DD">
            <w:pPr>
              <w:jc w:val="right"/>
              <w:rPr>
                <w:rFonts w:ascii="宋体"/>
              </w:rPr>
            </w:pPr>
          </w:p>
        </w:tc>
      </w:tr>
      <w:tr w:rsidR="001B77DD" w14:paraId="67536E16" w14:textId="77777777">
        <w:tc>
          <w:tcPr>
            <w:tcW w:w="0" w:type="auto"/>
            <w:gridSpan w:val="3"/>
            <w:shd w:val="clear" w:color="auto" w:fill="auto"/>
            <w:tcMar>
              <w:top w:w="40" w:type="dxa"/>
              <w:left w:w="20" w:type="dxa"/>
              <w:bottom w:w="40" w:type="dxa"/>
              <w:right w:w="20" w:type="dxa"/>
            </w:tcMar>
            <w:vAlign w:val="bottom"/>
          </w:tcPr>
          <w:p w14:paraId="67536E03" w14:textId="77777777" w:rsidR="001B77DD" w:rsidRDefault="00BF0A28">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6E0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E05"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E06" w14:textId="77777777" w:rsidR="001B77DD" w:rsidRDefault="00BF0A28">
            <w:pPr>
              <w:jc w:val="right"/>
              <w:textAlignment w:val="bottom"/>
            </w:pPr>
            <w:r>
              <w:rPr>
                <w:rFonts w:ascii="Arial" w:eastAsia="宋体" w:hAnsi="Arial" w:cs="Arial"/>
                <w:b/>
                <w:bCs/>
                <w:color w:val="262626"/>
                <w:sz w:val="18"/>
                <w:szCs w:val="18"/>
              </w:rPr>
              <w:t>26,971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E0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0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E09"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E0A" w14:textId="77777777" w:rsidR="001B77DD" w:rsidRDefault="00BF0A28">
            <w:pPr>
              <w:jc w:val="right"/>
              <w:textAlignment w:val="bottom"/>
            </w:pPr>
            <w:r>
              <w:rPr>
                <w:rFonts w:ascii="Arial" w:eastAsia="宋体" w:hAnsi="Arial" w:cs="Arial"/>
                <w:b/>
                <w:bCs/>
                <w:color w:val="0068B5"/>
                <w:sz w:val="18"/>
                <w:szCs w:val="18"/>
              </w:rPr>
              <w:t>196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E0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0C" w14:textId="77777777" w:rsidR="001B77DD" w:rsidRDefault="001B77DD">
            <w:pPr>
              <w:rPr>
                <w:rFonts w:ascii="宋体"/>
              </w:rPr>
            </w:pPr>
          </w:p>
        </w:tc>
        <w:tc>
          <w:tcPr>
            <w:tcW w:w="0" w:type="auto"/>
            <w:shd w:val="clear" w:color="auto" w:fill="auto"/>
            <w:vAlign w:val="bottom"/>
          </w:tcPr>
          <w:p w14:paraId="67536E0D" w14:textId="77777777" w:rsidR="001B77DD" w:rsidRDefault="001B77DD">
            <w:pPr>
              <w:rPr>
                <w:rFonts w:ascii="宋体"/>
                <w:vanish/>
              </w:rPr>
            </w:pPr>
          </w:p>
        </w:tc>
        <w:tc>
          <w:tcPr>
            <w:tcW w:w="0" w:type="auto"/>
            <w:shd w:val="clear" w:color="auto" w:fill="auto"/>
            <w:vAlign w:val="bottom"/>
          </w:tcPr>
          <w:p w14:paraId="67536E0E" w14:textId="77777777" w:rsidR="001B77DD" w:rsidRDefault="001B77DD">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E0F"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E10" w14:textId="77777777" w:rsidR="001B77DD" w:rsidRDefault="00BF0A28">
            <w:pPr>
              <w:jc w:val="right"/>
              <w:textAlignment w:val="bottom"/>
            </w:pPr>
            <w:r>
              <w:rPr>
                <w:rFonts w:ascii="Arial" w:eastAsia="宋体" w:hAnsi="Arial" w:cs="Arial"/>
                <w:b/>
                <w:bCs/>
                <w:color w:val="0068B5"/>
                <w:sz w:val="18"/>
                <w:szCs w:val="18"/>
              </w:rPr>
              <w:t>(204)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E1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12"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E13"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E14" w14:textId="77777777" w:rsidR="001B77DD" w:rsidRDefault="00BF0A28">
            <w:pPr>
              <w:jc w:val="right"/>
              <w:textAlignment w:val="bottom"/>
            </w:pPr>
            <w:r>
              <w:rPr>
                <w:rFonts w:ascii="Arial" w:eastAsia="宋体" w:hAnsi="Arial" w:cs="Arial"/>
                <w:b/>
                <w:bCs/>
                <w:color w:val="0068B5"/>
                <w:sz w:val="18"/>
                <w:szCs w:val="18"/>
              </w:rPr>
              <w:t>26,963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E15" w14:textId="77777777" w:rsidR="001B77DD" w:rsidRDefault="001B77DD">
            <w:pPr>
              <w:jc w:val="right"/>
              <w:rPr>
                <w:rFonts w:ascii="宋体"/>
              </w:rPr>
            </w:pPr>
          </w:p>
        </w:tc>
      </w:tr>
    </w:tbl>
    <w:p w14:paraId="67536E17"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20"/>
        <w:gridCol w:w="38"/>
        <w:gridCol w:w="36"/>
        <w:gridCol w:w="36"/>
        <w:gridCol w:w="36"/>
        <w:gridCol w:w="121"/>
        <w:gridCol w:w="752"/>
        <w:gridCol w:w="36"/>
        <w:gridCol w:w="36"/>
        <w:gridCol w:w="36"/>
        <w:gridCol w:w="36"/>
        <w:gridCol w:w="122"/>
        <w:gridCol w:w="1017"/>
        <w:gridCol w:w="36"/>
        <w:gridCol w:w="36"/>
        <w:gridCol w:w="36"/>
        <w:gridCol w:w="36"/>
        <w:gridCol w:w="36"/>
        <w:gridCol w:w="36"/>
        <w:gridCol w:w="122"/>
        <w:gridCol w:w="684"/>
        <w:gridCol w:w="36"/>
        <w:gridCol w:w="36"/>
        <w:gridCol w:w="36"/>
        <w:gridCol w:w="36"/>
        <w:gridCol w:w="121"/>
        <w:gridCol w:w="752"/>
        <w:gridCol w:w="36"/>
      </w:tblGrid>
      <w:tr w:rsidR="001B77DD" w14:paraId="67536E35" w14:textId="77777777">
        <w:tc>
          <w:tcPr>
            <w:tcW w:w="50" w:type="pct"/>
            <w:shd w:val="clear" w:color="auto" w:fill="auto"/>
            <w:vAlign w:val="bottom"/>
          </w:tcPr>
          <w:p w14:paraId="67536E18" w14:textId="77777777" w:rsidR="001B77DD" w:rsidRDefault="001B77DD">
            <w:pPr>
              <w:rPr>
                <w:rFonts w:ascii="宋体"/>
              </w:rPr>
            </w:pPr>
          </w:p>
        </w:tc>
        <w:tc>
          <w:tcPr>
            <w:tcW w:w="2431" w:type="pct"/>
            <w:shd w:val="clear" w:color="auto" w:fill="auto"/>
            <w:vAlign w:val="bottom"/>
          </w:tcPr>
          <w:p w14:paraId="67536E19" w14:textId="77777777" w:rsidR="001B77DD" w:rsidRDefault="001B77DD">
            <w:pPr>
              <w:rPr>
                <w:rFonts w:ascii="宋体"/>
              </w:rPr>
            </w:pPr>
          </w:p>
        </w:tc>
        <w:tc>
          <w:tcPr>
            <w:tcW w:w="5" w:type="pct"/>
            <w:shd w:val="clear" w:color="auto" w:fill="auto"/>
            <w:vAlign w:val="bottom"/>
          </w:tcPr>
          <w:p w14:paraId="67536E1A" w14:textId="77777777" w:rsidR="001B77DD" w:rsidRDefault="001B77DD">
            <w:pPr>
              <w:rPr>
                <w:rFonts w:ascii="宋体"/>
              </w:rPr>
            </w:pPr>
          </w:p>
        </w:tc>
        <w:tc>
          <w:tcPr>
            <w:tcW w:w="5" w:type="pct"/>
            <w:shd w:val="clear" w:color="auto" w:fill="auto"/>
            <w:vAlign w:val="bottom"/>
          </w:tcPr>
          <w:p w14:paraId="67536E1B" w14:textId="77777777" w:rsidR="001B77DD" w:rsidRDefault="001B77DD">
            <w:pPr>
              <w:rPr>
                <w:rFonts w:ascii="宋体"/>
              </w:rPr>
            </w:pPr>
          </w:p>
        </w:tc>
        <w:tc>
          <w:tcPr>
            <w:tcW w:w="24" w:type="pct"/>
            <w:shd w:val="clear" w:color="auto" w:fill="auto"/>
            <w:vAlign w:val="bottom"/>
          </w:tcPr>
          <w:p w14:paraId="67536E1C" w14:textId="77777777" w:rsidR="001B77DD" w:rsidRDefault="001B77DD">
            <w:pPr>
              <w:rPr>
                <w:rFonts w:ascii="宋体"/>
              </w:rPr>
            </w:pPr>
          </w:p>
        </w:tc>
        <w:tc>
          <w:tcPr>
            <w:tcW w:w="5" w:type="pct"/>
            <w:shd w:val="clear" w:color="auto" w:fill="auto"/>
            <w:vAlign w:val="bottom"/>
          </w:tcPr>
          <w:p w14:paraId="67536E1D" w14:textId="77777777" w:rsidR="001B77DD" w:rsidRDefault="001B77DD">
            <w:pPr>
              <w:rPr>
                <w:rFonts w:ascii="宋体"/>
              </w:rPr>
            </w:pPr>
          </w:p>
        </w:tc>
        <w:tc>
          <w:tcPr>
            <w:tcW w:w="50" w:type="pct"/>
            <w:shd w:val="clear" w:color="auto" w:fill="auto"/>
            <w:vAlign w:val="bottom"/>
          </w:tcPr>
          <w:p w14:paraId="67536E1E" w14:textId="77777777" w:rsidR="001B77DD" w:rsidRDefault="001B77DD">
            <w:pPr>
              <w:rPr>
                <w:rFonts w:ascii="宋体"/>
              </w:rPr>
            </w:pPr>
          </w:p>
        </w:tc>
        <w:tc>
          <w:tcPr>
            <w:tcW w:w="539" w:type="pct"/>
            <w:shd w:val="clear" w:color="auto" w:fill="auto"/>
            <w:vAlign w:val="bottom"/>
          </w:tcPr>
          <w:p w14:paraId="67536E1F" w14:textId="77777777" w:rsidR="001B77DD" w:rsidRDefault="001B77DD">
            <w:pPr>
              <w:rPr>
                <w:rFonts w:ascii="宋体"/>
              </w:rPr>
            </w:pPr>
          </w:p>
        </w:tc>
        <w:tc>
          <w:tcPr>
            <w:tcW w:w="5" w:type="pct"/>
            <w:shd w:val="clear" w:color="auto" w:fill="auto"/>
            <w:vAlign w:val="bottom"/>
          </w:tcPr>
          <w:p w14:paraId="67536E20" w14:textId="77777777" w:rsidR="001B77DD" w:rsidRDefault="001B77DD">
            <w:pPr>
              <w:rPr>
                <w:rFonts w:ascii="宋体"/>
              </w:rPr>
            </w:pPr>
          </w:p>
        </w:tc>
        <w:tc>
          <w:tcPr>
            <w:tcW w:w="5" w:type="pct"/>
            <w:shd w:val="clear" w:color="auto" w:fill="auto"/>
            <w:vAlign w:val="bottom"/>
          </w:tcPr>
          <w:p w14:paraId="67536E21" w14:textId="77777777" w:rsidR="001B77DD" w:rsidRDefault="001B77DD">
            <w:pPr>
              <w:rPr>
                <w:rFonts w:ascii="宋体"/>
              </w:rPr>
            </w:pPr>
          </w:p>
        </w:tc>
        <w:tc>
          <w:tcPr>
            <w:tcW w:w="24" w:type="pct"/>
            <w:shd w:val="clear" w:color="auto" w:fill="auto"/>
            <w:vAlign w:val="bottom"/>
          </w:tcPr>
          <w:p w14:paraId="67536E22" w14:textId="77777777" w:rsidR="001B77DD" w:rsidRDefault="001B77DD">
            <w:pPr>
              <w:rPr>
                <w:rFonts w:ascii="宋体"/>
              </w:rPr>
            </w:pPr>
          </w:p>
        </w:tc>
        <w:tc>
          <w:tcPr>
            <w:tcW w:w="5" w:type="pct"/>
            <w:shd w:val="clear" w:color="auto" w:fill="auto"/>
            <w:vAlign w:val="bottom"/>
          </w:tcPr>
          <w:p w14:paraId="67536E23" w14:textId="77777777" w:rsidR="001B77DD" w:rsidRDefault="001B77DD">
            <w:pPr>
              <w:rPr>
                <w:rFonts w:ascii="宋体"/>
              </w:rPr>
            </w:pPr>
          </w:p>
        </w:tc>
        <w:tc>
          <w:tcPr>
            <w:tcW w:w="50" w:type="pct"/>
            <w:shd w:val="clear" w:color="auto" w:fill="auto"/>
            <w:vAlign w:val="bottom"/>
          </w:tcPr>
          <w:p w14:paraId="67536E24" w14:textId="77777777" w:rsidR="001B77DD" w:rsidRDefault="001B77DD">
            <w:pPr>
              <w:rPr>
                <w:rFonts w:ascii="宋体"/>
              </w:rPr>
            </w:pPr>
          </w:p>
        </w:tc>
        <w:tc>
          <w:tcPr>
            <w:tcW w:w="539" w:type="pct"/>
            <w:shd w:val="clear" w:color="auto" w:fill="auto"/>
            <w:vAlign w:val="bottom"/>
          </w:tcPr>
          <w:p w14:paraId="67536E25" w14:textId="77777777" w:rsidR="001B77DD" w:rsidRDefault="001B77DD">
            <w:pPr>
              <w:rPr>
                <w:rFonts w:ascii="宋体"/>
              </w:rPr>
            </w:pPr>
          </w:p>
        </w:tc>
        <w:tc>
          <w:tcPr>
            <w:tcW w:w="5" w:type="pct"/>
            <w:shd w:val="clear" w:color="auto" w:fill="auto"/>
            <w:vAlign w:val="bottom"/>
          </w:tcPr>
          <w:p w14:paraId="67536E26" w14:textId="77777777" w:rsidR="001B77DD" w:rsidRDefault="001B77DD">
            <w:pPr>
              <w:rPr>
                <w:rFonts w:ascii="宋体"/>
              </w:rPr>
            </w:pPr>
          </w:p>
        </w:tc>
        <w:tc>
          <w:tcPr>
            <w:tcW w:w="5" w:type="pct"/>
            <w:shd w:val="clear" w:color="auto" w:fill="auto"/>
            <w:vAlign w:val="bottom"/>
          </w:tcPr>
          <w:p w14:paraId="67536E27" w14:textId="77777777" w:rsidR="001B77DD" w:rsidRDefault="001B77DD">
            <w:pPr>
              <w:rPr>
                <w:rFonts w:ascii="宋体"/>
              </w:rPr>
            </w:pPr>
          </w:p>
        </w:tc>
        <w:tc>
          <w:tcPr>
            <w:tcW w:w="24" w:type="pct"/>
            <w:shd w:val="clear" w:color="auto" w:fill="auto"/>
            <w:vAlign w:val="bottom"/>
          </w:tcPr>
          <w:p w14:paraId="67536E28" w14:textId="77777777" w:rsidR="001B77DD" w:rsidRDefault="001B77DD">
            <w:pPr>
              <w:rPr>
                <w:rFonts w:ascii="宋体"/>
              </w:rPr>
            </w:pPr>
          </w:p>
        </w:tc>
        <w:tc>
          <w:tcPr>
            <w:tcW w:w="5" w:type="pct"/>
            <w:shd w:val="clear" w:color="auto" w:fill="auto"/>
            <w:vAlign w:val="bottom"/>
          </w:tcPr>
          <w:p w14:paraId="67536E29" w14:textId="77777777" w:rsidR="001B77DD" w:rsidRDefault="001B77DD">
            <w:pPr>
              <w:rPr>
                <w:rFonts w:ascii="宋体"/>
              </w:rPr>
            </w:pPr>
          </w:p>
        </w:tc>
        <w:tc>
          <w:tcPr>
            <w:tcW w:w="0" w:type="auto"/>
            <w:shd w:val="clear" w:color="auto" w:fill="auto"/>
            <w:vAlign w:val="bottom"/>
          </w:tcPr>
          <w:p w14:paraId="67536E2A" w14:textId="77777777" w:rsidR="001B77DD" w:rsidRDefault="001B77DD">
            <w:pPr>
              <w:rPr>
                <w:rFonts w:ascii="宋体"/>
                <w:vanish/>
              </w:rPr>
            </w:pPr>
          </w:p>
        </w:tc>
        <w:tc>
          <w:tcPr>
            <w:tcW w:w="0" w:type="auto"/>
            <w:shd w:val="clear" w:color="auto" w:fill="auto"/>
            <w:vAlign w:val="bottom"/>
          </w:tcPr>
          <w:p w14:paraId="67536E2B" w14:textId="77777777" w:rsidR="001B77DD" w:rsidRDefault="001B77DD">
            <w:pPr>
              <w:rPr>
                <w:rFonts w:ascii="宋体"/>
                <w:vanish/>
              </w:rPr>
            </w:pPr>
          </w:p>
        </w:tc>
        <w:tc>
          <w:tcPr>
            <w:tcW w:w="50" w:type="pct"/>
            <w:shd w:val="clear" w:color="auto" w:fill="auto"/>
            <w:vAlign w:val="bottom"/>
          </w:tcPr>
          <w:p w14:paraId="67536E2C" w14:textId="77777777" w:rsidR="001B77DD" w:rsidRDefault="001B77DD">
            <w:pPr>
              <w:rPr>
                <w:rFonts w:ascii="宋体"/>
              </w:rPr>
            </w:pPr>
          </w:p>
        </w:tc>
        <w:tc>
          <w:tcPr>
            <w:tcW w:w="539" w:type="pct"/>
            <w:shd w:val="clear" w:color="auto" w:fill="auto"/>
            <w:vAlign w:val="bottom"/>
          </w:tcPr>
          <w:p w14:paraId="67536E2D" w14:textId="77777777" w:rsidR="001B77DD" w:rsidRDefault="001B77DD">
            <w:pPr>
              <w:rPr>
                <w:rFonts w:ascii="宋体"/>
              </w:rPr>
            </w:pPr>
          </w:p>
        </w:tc>
        <w:tc>
          <w:tcPr>
            <w:tcW w:w="5" w:type="pct"/>
            <w:shd w:val="clear" w:color="auto" w:fill="auto"/>
            <w:vAlign w:val="bottom"/>
          </w:tcPr>
          <w:p w14:paraId="67536E2E" w14:textId="77777777" w:rsidR="001B77DD" w:rsidRDefault="001B77DD">
            <w:pPr>
              <w:rPr>
                <w:rFonts w:ascii="宋体"/>
              </w:rPr>
            </w:pPr>
          </w:p>
        </w:tc>
        <w:tc>
          <w:tcPr>
            <w:tcW w:w="5" w:type="pct"/>
            <w:shd w:val="clear" w:color="auto" w:fill="auto"/>
            <w:vAlign w:val="bottom"/>
          </w:tcPr>
          <w:p w14:paraId="67536E2F" w14:textId="77777777" w:rsidR="001B77DD" w:rsidRDefault="001B77DD">
            <w:pPr>
              <w:rPr>
                <w:rFonts w:ascii="宋体"/>
              </w:rPr>
            </w:pPr>
          </w:p>
        </w:tc>
        <w:tc>
          <w:tcPr>
            <w:tcW w:w="24" w:type="pct"/>
            <w:shd w:val="clear" w:color="auto" w:fill="auto"/>
            <w:vAlign w:val="bottom"/>
          </w:tcPr>
          <w:p w14:paraId="67536E30" w14:textId="77777777" w:rsidR="001B77DD" w:rsidRDefault="001B77DD">
            <w:pPr>
              <w:rPr>
                <w:rFonts w:ascii="宋体"/>
              </w:rPr>
            </w:pPr>
          </w:p>
        </w:tc>
        <w:tc>
          <w:tcPr>
            <w:tcW w:w="5" w:type="pct"/>
            <w:shd w:val="clear" w:color="auto" w:fill="auto"/>
            <w:vAlign w:val="bottom"/>
          </w:tcPr>
          <w:p w14:paraId="67536E31" w14:textId="77777777" w:rsidR="001B77DD" w:rsidRDefault="001B77DD">
            <w:pPr>
              <w:rPr>
                <w:rFonts w:ascii="宋体"/>
              </w:rPr>
            </w:pPr>
          </w:p>
        </w:tc>
        <w:tc>
          <w:tcPr>
            <w:tcW w:w="50" w:type="pct"/>
            <w:shd w:val="clear" w:color="auto" w:fill="auto"/>
            <w:vAlign w:val="bottom"/>
          </w:tcPr>
          <w:p w14:paraId="67536E32" w14:textId="77777777" w:rsidR="001B77DD" w:rsidRDefault="001B77DD">
            <w:pPr>
              <w:rPr>
                <w:rFonts w:ascii="宋体"/>
              </w:rPr>
            </w:pPr>
          </w:p>
        </w:tc>
        <w:tc>
          <w:tcPr>
            <w:tcW w:w="539" w:type="pct"/>
            <w:shd w:val="clear" w:color="auto" w:fill="auto"/>
            <w:vAlign w:val="bottom"/>
          </w:tcPr>
          <w:p w14:paraId="67536E33" w14:textId="77777777" w:rsidR="001B77DD" w:rsidRDefault="001B77DD">
            <w:pPr>
              <w:rPr>
                <w:rFonts w:ascii="宋体"/>
              </w:rPr>
            </w:pPr>
          </w:p>
        </w:tc>
        <w:tc>
          <w:tcPr>
            <w:tcW w:w="5" w:type="pct"/>
            <w:shd w:val="clear" w:color="auto" w:fill="auto"/>
            <w:vAlign w:val="bottom"/>
          </w:tcPr>
          <w:p w14:paraId="67536E34" w14:textId="77777777" w:rsidR="001B77DD" w:rsidRDefault="001B77DD">
            <w:pPr>
              <w:rPr>
                <w:rFonts w:ascii="宋体"/>
              </w:rPr>
            </w:pPr>
          </w:p>
        </w:tc>
      </w:tr>
      <w:tr w:rsidR="001B77DD" w14:paraId="67536E41" w14:textId="77777777">
        <w:tc>
          <w:tcPr>
            <w:tcW w:w="0" w:type="auto"/>
            <w:gridSpan w:val="3"/>
            <w:shd w:val="clear" w:color="auto" w:fill="auto"/>
            <w:tcMar>
              <w:top w:w="40" w:type="dxa"/>
              <w:left w:w="20" w:type="dxa"/>
              <w:bottom w:w="40" w:type="dxa"/>
              <w:right w:w="20" w:type="dxa"/>
            </w:tcMar>
            <w:vAlign w:val="bottom"/>
          </w:tcPr>
          <w:p w14:paraId="67536E36"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E3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38" w14:textId="77777777" w:rsidR="001B77DD" w:rsidRDefault="00BF0A28">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vAlign w:val="bottom"/>
          </w:tcPr>
          <w:p w14:paraId="67536E3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3A" w14:textId="77777777" w:rsidR="001B77DD" w:rsidRDefault="00BF0A28">
            <w:pPr>
              <w:jc w:val="center"/>
              <w:textAlignment w:val="bottom"/>
            </w:pPr>
            <w:r>
              <w:rPr>
                <w:rFonts w:ascii="Arial" w:eastAsia="宋体" w:hAnsi="Arial" w:cs="Arial"/>
                <w:b/>
                <w:bCs/>
                <w:color w:val="262626"/>
                <w:sz w:val="18"/>
                <w:szCs w:val="18"/>
              </w:rPr>
              <w:t>Acquisitions</w:t>
            </w:r>
          </w:p>
        </w:tc>
        <w:tc>
          <w:tcPr>
            <w:tcW w:w="0" w:type="auto"/>
            <w:gridSpan w:val="3"/>
            <w:shd w:val="clear" w:color="auto" w:fill="auto"/>
            <w:tcMar>
              <w:top w:w="0" w:type="dxa"/>
              <w:left w:w="20" w:type="dxa"/>
              <w:bottom w:w="0" w:type="dxa"/>
              <w:right w:w="20" w:type="dxa"/>
            </w:tcMar>
            <w:vAlign w:val="bottom"/>
          </w:tcPr>
          <w:p w14:paraId="67536E3B" w14:textId="77777777" w:rsidR="001B77DD" w:rsidRDefault="001B77DD">
            <w:pPr>
              <w:rPr>
                <w:rFonts w:ascii="宋体"/>
              </w:rPr>
            </w:pPr>
          </w:p>
        </w:tc>
        <w:tc>
          <w:tcPr>
            <w:tcW w:w="0" w:type="auto"/>
            <w:shd w:val="clear" w:color="auto" w:fill="auto"/>
            <w:vAlign w:val="bottom"/>
          </w:tcPr>
          <w:p w14:paraId="67536E3C" w14:textId="77777777" w:rsidR="001B77DD" w:rsidRDefault="001B77DD">
            <w:pPr>
              <w:rPr>
                <w:rFonts w:ascii="宋体"/>
                <w:vanish/>
              </w:rPr>
            </w:pPr>
          </w:p>
        </w:tc>
        <w:tc>
          <w:tcPr>
            <w:tcW w:w="0" w:type="auto"/>
            <w:shd w:val="clear" w:color="auto" w:fill="auto"/>
            <w:vAlign w:val="bottom"/>
          </w:tcPr>
          <w:p w14:paraId="67536E3D"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6E3E" w14:textId="77777777" w:rsidR="001B77DD" w:rsidRDefault="00BF0A28">
            <w:pPr>
              <w:jc w:val="center"/>
              <w:textAlignment w:val="bottom"/>
            </w:pPr>
            <w:r>
              <w:rPr>
                <w:rFonts w:ascii="Arial" w:eastAsia="宋体" w:hAnsi="Arial" w:cs="Arial"/>
                <w:b/>
                <w:bCs/>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7536E3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40"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6E5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E42" w14:textId="77777777" w:rsidR="001B77DD" w:rsidRDefault="00BF0A28">
            <w:pPr>
              <w:textAlignment w:val="bottom"/>
            </w:pPr>
            <w:r>
              <w:rPr>
                <w:rFonts w:ascii="Arial" w:eastAsia="宋体" w:hAnsi="Arial" w:cs="Arial"/>
                <w:color w:val="262626"/>
                <w:sz w:val="18"/>
                <w:szCs w:val="18"/>
              </w:rPr>
              <w:t>Client Computing Group</w:t>
            </w:r>
          </w:p>
        </w:tc>
        <w:tc>
          <w:tcPr>
            <w:tcW w:w="0" w:type="auto"/>
            <w:gridSpan w:val="3"/>
            <w:shd w:val="clear" w:color="auto" w:fill="auto"/>
            <w:tcMar>
              <w:top w:w="0" w:type="dxa"/>
              <w:left w:w="20" w:type="dxa"/>
              <w:bottom w:w="0" w:type="dxa"/>
              <w:right w:w="20" w:type="dxa"/>
            </w:tcMar>
            <w:vAlign w:val="bottom"/>
          </w:tcPr>
          <w:p w14:paraId="67536E43"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E44"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E45" w14:textId="77777777" w:rsidR="001B77DD" w:rsidRDefault="00BF0A28">
            <w:pPr>
              <w:jc w:val="right"/>
              <w:textAlignment w:val="bottom"/>
            </w:pPr>
            <w:r>
              <w:rPr>
                <w:rFonts w:ascii="Arial" w:eastAsia="宋体" w:hAnsi="Arial" w:cs="Arial"/>
                <w:color w:val="262626"/>
                <w:sz w:val="18"/>
                <w:szCs w:val="18"/>
              </w:rPr>
              <w:t>4,333 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E4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4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E48"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E49" w14:textId="77777777" w:rsidR="001B77DD" w:rsidRDefault="00BF0A28">
            <w:pPr>
              <w:jc w:val="right"/>
              <w:textAlignment w:val="bottom"/>
            </w:pPr>
            <w:r>
              <w:rPr>
                <w:rFonts w:ascii="Arial" w:eastAsia="宋体" w:hAnsi="Arial" w:cs="Arial"/>
                <w:color w:val="262626"/>
                <w:sz w:val="18"/>
                <w:szCs w:val="18"/>
              </w:rPr>
              <w:t>27 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E4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4B" w14:textId="77777777" w:rsidR="001B77DD" w:rsidRDefault="001B77DD">
            <w:pPr>
              <w:rPr>
                <w:rFonts w:ascii="宋体"/>
              </w:rPr>
            </w:pPr>
          </w:p>
        </w:tc>
        <w:tc>
          <w:tcPr>
            <w:tcW w:w="0" w:type="auto"/>
            <w:shd w:val="clear" w:color="auto" w:fill="auto"/>
            <w:vAlign w:val="bottom"/>
          </w:tcPr>
          <w:p w14:paraId="67536E4C" w14:textId="77777777" w:rsidR="001B77DD" w:rsidRDefault="001B77DD">
            <w:pPr>
              <w:rPr>
                <w:rFonts w:ascii="宋体"/>
                <w:vanish/>
              </w:rPr>
            </w:pPr>
          </w:p>
        </w:tc>
        <w:tc>
          <w:tcPr>
            <w:tcW w:w="0" w:type="auto"/>
            <w:shd w:val="clear" w:color="auto" w:fill="auto"/>
            <w:vAlign w:val="bottom"/>
          </w:tcPr>
          <w:p w14:paraId="67536E4D" w14:textId="77777777" w:rsidR="001B77DD" w:rsidRDefault="001B77DD">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E4E"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E4F" w14:textId="77777777" w:rsidR="001B77DD" w:rsidRDefault="00BF0A28">
            <w:pPr>
              <w:jc w:val="right"/>
              <w:textAlignment w:val="bottom"/>
            </w:pP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E5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51"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E52"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E53" w14:textId="77777777" w:rsidR="001B77DD" w:rsidRDefault="00BF0A28">
            <w:pPr>
              <w:jc w:val="right"/>
              <w:textAlignment w:val="bottom"/>
            </w:pPr>
            <w:r>
              <w:rPr>
                <w:rFonts w:ascii="Arial" w:eastAsia="宋体" w:hAnsi="Arial" w:cs="Arial"/>
                <w:color w:val="262626"/>
                <w:sz w:val="18"/>
                <w:szCs w:val="18"/>
              </w:rPr>
              <w:t>4,360 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E54" w14:textId="77777777" w:rsidR="001B77DD" w:rsidRDefault="001B77DD">
            <w:pPr>
              <w:jc w:val="right"/>
              <w:rPr>
                <w:rFonts w:ascii="宋体"/>
              </w:rPr>
            </w:pPr>
          </w:p>
        </w:tc>
      </w:tr>
      <w:tr w:rsidR="001B77DD" w14:paraId="67536E65" w14:textId="77777777">
        <w:tc>
          <w:tcPr>
            <w:tcW w:w="0" w:type="auto"/>
            <w:gridSpan w:val="3"/>
            <w:shd w:val="clear" w:color="auto" w:fill="auto"/>
            <w:tcMar>
              <w:top w:w="40" w:type="dxa"/>
              <w:left w:w="20" w:type="dxa"/>
              <w:bottom w:w="40" w:type="dxa"/>
              <w:right w:w="20" w:type="dxa"/>
            </w:tcMar>
            <w:vAlign w:val="bottom"/>
          </w:tcPr>
          <w:p w14:paraId="67536E56" w14:textId="77777777" w:rsidR="001B77DD" w:rsidRDefault="00BF0A28">
            <w:pPr>
              <w:textAlignment w:val="bottom"/>
            </w:pPr>
            <w:r>
              <w:rPr>
                <w:rFonts w:ascii="Arial" w:eastAsia="宋体" w:hAnsi="Arial" w:cs="Arial"/>
                <w:color w:val="262626"/>
                <w:sz w:val="18"/>
                <w:szCs w:val="18"/>
              </w:rPr>
              <w:t>Data Center Group</w:t>
            </w:r>
          </w:p>
        </w:tc>
        <w:tc>
          <w:tcPr>
            <w:tcW w:w="0" w:type="auto"/>
            <w:gridSpan w:val="3"/>
            <w:shd w:val="clear" w:color="auto" w:fill="auto"/>
            <w:tcMar>
              <w:top w:w="0" w:type="dxa"/>
              <w:left w:w="20" w:type="dxa"/>
              <w:bottom w:w="0" w:type="dxa"/>
              <w:right w:w="20" w:type="dxa"/>
            </w:tcMar>
            <w:vAlign w:val="bottom"/>
          </w:tcPr>
          <w:p w14:paraId="67536E5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58" w14:textId="77777777" w:rsidR="001B77DD" w:rsidRDefault="00BF0A28">
            <w:pPr>
              <w:jc w:val="right"/>
              <w:textAlignment w:val="bottom"/>
            </w:pPr>
            <w:r>
              <w:rPr>
                <w:rFonts w:ascii="Arial" w:eastAsia="宋体" w:hAnsi="Arial" w:cs="Arial"/>
                <w:color w:val="262626"/>
                <w:sz w:val="18"/>
                <w:szCs w:val="18"/>
              </w:rPr>
              <w:t>7,182 </w:t>
            </w:r>
          </w:p>
        </w:tc>
        <w:tc>
          <w:tcPr>
            <w:tcW w:w="0" w:type="auto"/>
            <w:shd w:val="clear" w:color="auto" w:fill="auto"/>
            <w:tcMar>
              <w:top w:w="40" w:type="dxa"/>
              <w:left w:w="0" w:type="dxa"/>
              <w:bottom w:w="40" w:type="dxa"/>
              <w:right w:w="20" w:type="dxa"/>
            </w:tcMar>
            <w:vAlign w:val="bottom"/>
          </w:tcPr>
          <w:p w14:paraId="67536E5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5B" w14:textId="77777777" w:rsidR="001B77DD" w:rsidRDefault="00BF0A28">
            <w:pPr>
              <w:jc w:val="right"/>
              <w:textAlignment w:val="bottom"/>
            </w:pPr>
            <w:r>
              <w:rPr>
                <w:rFonts w:ascii="Arial" w:eastAsia="宋体" w:hAnsi="Arial" w:cs="Arial"/>
                <w:color w:val="000000"/>
                <w:sz w:val="18"/>
                <w:szCs w:val="18"/>
              </w:rPr>
              <w:t>50 </w:t>
            </w:r>
          </w:p>
        </w:tc>
        <w:tc>
          <w:tcPr>
            <w:tcW w:w="0" w:type="auto"/>
            <w:shd w:val="clear" w:color="auto" w:fill="auto"/>
            <w:tcMar>
              <w:top w:w="40" w:type="dxa"/>
              <w:left w:w="0" w:type="dxa"/>
              <w:bottom w:w="40" w:type="dxa"/>
              <w:right w:w="20" w:type="dxa"/>
            </w:tcMar>
            <w:vAlign w:val="bottom"/>
          </w:tcPr>
          <w:p w14:paraId="67536E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5D" w14:textId="77777777" w:rsidR="001B77DD" w:rsidRDefault="001B77DD">
            <w:pPr>
              <w:rPr>
                <w:rFonts w:ascii="宋体"/>
              </w:rPr>
            </w:pPr>
          </w:p>
        </w:tc>
        <w:tc>
          <w:tcPr>
            <w:tcW w:w="0" w:type="auto"/>
            <w:shd w:val="clear" w:color="auto" w:fill="auto"/>
            <w:vAlign w:val="bottom"/>
          </w:tcPr>
          <w:p w14:paraId="67536E5E" w14:textId="77777777" w:rsidR="001B77DD" w:rsidRDefault="001B77DD">
            <w:pPr>
              <w:rPr>
                <w:rFonts w:ascii="宋体"/>
                <w:vanish/>
              </w:rPr>
            </w:pPr>
          </w:p>
        </w:tc>
        <w:tc>
          <w:tcPr>
            <w:tcW w:w="0" w:type="auto"/>
            <w:shd w:val="clear" w:color="auto" w:fill="auto"/>
            <w:vAlign w:val="bottom"/>
          </w:tcPr>
          <w:p w14:paraId="67536E5F"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E60" w14:textId="77777777" w:rsidR="001B77DD" w:rsidRDefault="00BF0A28">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67536E6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6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63" w14:textId="77777777" w:rsidR="001B77DD" w:rsidRDefault="00BF0A28">
            <w:pPr>
              <w:jc w:val="right"/>
              <w:textAlignment w:val="bottom"/>
            </w:pPr>
            <w:r>
              <w:rPr>
                <w:rFonts w:ascii="Arial" w:eastAsia="宋体" w:hAnsi="Arial" w:cs="Arial"/>
                <w:color w:val="000000"/>
                <w:sz w:val="18"/>
                <w:szCs w:val="18"/>
              </w:rPr>
              <w:t>7,232 </w:t>
            </w:r>
          </w:p>
        </w:tc>
        <w:tc>
          <w:tcPr>
            <w:tcW w:w="0" w:type="auto"/>
            <w:shd w:val="clear" w:color="auto" w:fill="auto"/>
            <w:tcMar>
              <w:top w:w="40" w:type="dxa"/>
              <w:left w:w="0" w:type="dxa"/>
              <w:bottom w:w="40" w:type="dxa"/>
              <w:right w:w="20" w:type="dxa"/>
            </w:tcMar>
            <w:vAlign w:val="bottom"/>
          </w:tcPr>
          <w:p w14:paraId="67536E64" w14:textId="77777777" w:rsidR="001B77DD" w:rsidRDefault="001B77DD">
            <w:pPr>
              <w:jc w:val="right"/>
              <w:rPr>
                <w:rFonts w:ascii="宋体"/>
              </w:rPr>
            </w:pPr>
          </w:p>
        </w:tc>
      </w:tr>
      <w:tr w:rsidR="001B77DD" w14:paraId="67536E73" w14:textId="77777777">
        <w:tc>
          <w:tcPr>
            <w:tcW w:w="0" w:type="auto"/>
            <w:gridSpan w:val="3"/>
            <w:shd w:val="clear" w:color="auto" w:fill="auto"/>
            <w:tcMar>
              <w:top w:w="40" w:type="dxa"/>
              <w:left w:w="20" w:type="dxa"/>
              <w:bottom w:w="40" w:type="dxa"/>
              <w:right w:w="20" w:type="dxa"/>
            </w:tcMar>
            <w:vAlign w:val="bottom"/>
          </w:tcPr>
          <w:p w14:paraId="67536E66" w14:textId="77777777" w:rsidR="001B77DD" w:rsidRDefault="00BF0A28">
            <w:pPr>
              <w:textAlignment w:val="bottom"/>
            </w:pPr>
            <w:r>
              <w:rPr>
                <w:rFonts w:ascii="Arial" w:eastAsia="宋体" w:hAnsi="Arial" w:cs="Arial"/>
                <w:color w:val="262626"/>
                <w:sz w:val="18"/>
                <w:szCs w:val="18"/>
              </w:rPr>
              <w:t xml:space="preserve">Internet of Things Group </w:t>
            </w:r>
          </w:p>
        </w:tc>
        <w:tc>
          <w:tcPr>
            <w:tcW w:w="0" w:type="auto"/>
            <w:gridSpan w:val="3"/>
            <w:shd w:val="clear" w:color="auto" w:fill="auto"/>
            <w:tcMar>
              <w:top w:w="0" w:type="dxa"/>
              <w:left w:w="20" w:type="dxa"/>
              <w:bottom w:w="0" w:type="dxa"/>
              <w:right w:w="20" w:type="dxa"/>
            </w:tcMar>
            <w:vAlign w:val="bottom"/>
          </w:tcPr>
          <w:p w14:paraId="67536E6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68" w14:textId="77777777" w:rsidR="001B77DD" w:rsidRDefault="00BF0A28">
            <w:pPr>
              <w:jc w:val="right"/>
              <w:textAlignment w:val="bottom"/>
            </w:pPr>
            <w:r>
              <w:rPr>
                <w:rFonts w:ascii="Arial" w:eastAsia="宋体" w:hAnsi="Arial" w:cs="Arial"/>
                <w:color w:val="262626"/>
                <w:sz w:val="18"/>
                <w:szCs w:val="18"/>
              </w:rPr>
              <w:t>1,579 </w:t>
            </w:r>
          </w:p>
        </w:tc>
        <w:tc>
          <w:tcPr>
            <w:tcW w:w="0" w:type="auto"/>
            <w:shd w:val="clear" w:color="auto" w:fill="auto"/>
            <w:tcMar>
              <w:top w:w="40" w:type="dxa"/>
              <w:left w:w="0" w:type="dxa"/>
              <w:bottom w:w="40" w:type="dxa"/>
              <w:right w:w="20" w:type="dxa"/>
            </w:tcMar>
            <w:vAlign w:val="bottom"/>
          </w:tcPr>
          <w:p w14:paraId="67536E6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6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6B" w14:textId="77777777" w:rsidR="001B77DD" w:rsidRDefault="00BF0A28">
            <w:pPr>
              <w:jc w:val="right"/>
              <w:textAlignment w:val="bottom"/>
            </w:pPr>
            <w:r>
              <w:rPr>
                <w:rFonts w:ascii="Arial" w:eastAsia="宋体" w:hAnsi="Arial" w:cs="Arial"/>
                <w:color w:val="262626"/>
                <w:sz w:val="18"/>
                <w:szCs w:val="18"/>
              </w:rPr>
              <w:t>12</w:t>
            </w:r>
          </w:p>
        </w:tc>
        <w:tc>
          <w:tcPr>
            <w:tcW w:w="0" w:type="auto"/>
            <w:gridSpan w:val="3"/>
            <w:shd w:val="clear" w:color="auto" w:fill="auto"/>
            <w:tcMar>
              <w:top w:w="0" w:type="dxa"/>
              <w:left w:w="20" w:type="dxa"/>
              <w:bottom w:w="0" w:type="dxa"/>
              <w:right w:w="20" w:type="dxa"/>
            </w:tcMar>
            <w:vAlign w:val="bottom"/>
          </w:tcPr>
          <w:p w14:paraId="67536E6C" w14:textId="77777777" w:rsidR="001B77DD" w:rsidRDefault="001B77DD">
            <w:pPr>
              <w:rPr>
                <w:rFonts w:ascii="宋体"/>
              </w:rPr>
            </w:pPr>
          </w:p>
        </w:tc>
        <w:tc>
          <w:tcPr>
            <w:tcW w:w="0" w:type="auto"/>
            <w:shd w:val="clear" w:color="auto" w:fill="auto"/>
            <w:vAlign w:val="bottom"/>
          </w:tcPr>
          <w:p w14:paraId="67536E6D" w14:textId="77777777" w:rsidR="001B77DD" w:rsidRDefault="001B77DD">
            <w:pPr>
              <w:rPr>
                <w:rFonts w:ascii="宋体"/>
                <w:vanish/>
              </w:rPr>
            </w:pPr>
          </w:p>
        </w:tc>
        <w:tc>
          <w:tcPr>
            <w:tcW w:w="0" w:type="auto"/>
            <w:shd w:val="clear" w:color="auto" w:fill="auto"/>
            <w:vAlign w:val="bottom"/>
          </w:tcPr>
          <w:p w14:paraId="67536E6E"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E6F"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E7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7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72" w14:textId="77777777" w:rsidR="001B77DD" w:rsidRDefault="00BF0A28">
            <w:pPr>
              <w:jc w:val="right"/>
              <w:textAlignment w:val="bottom"/>
            </w:pPr>
            <w:r>
              <w:rPr>
                <w:rFonts w:ascii="Arial" w:eastAsia="宋体" w:hAnsi="Arial" w:cs="Arial"/>
                <w:color w:val="262626"/>
                <w:sz w:val="18"/>
                <w:szCs w:val="18"/>
              </w:rPr>
              <w:t>1,591</w:t>
            </w:r>
          </w:p>
        </w:tc>
      </w:tr>
      <w:tr w:rsidR="001B77DD" w14:paraId="67536E81" w14:textId="77777777">
        <w:tc>
          <w:tcPr>
            <w:tcW w:w="0" w:type="auto"/>
            <w:gridSpan w:val="3"/>
            <w:shd w:val="clear" w:color="auto" w:fill="auto"/>
            <w:tcMar>
              <w:top w:w="40" w:type="dxa"/>
              <w:left w:w="20" w:type="dxa"/>
              <w:bottom w:w="40" w:type="dxa"/>
              <w:right w:w="20" w:type="dxa"/>
            </w:tcMar>
            <w:vAlign w:val="bottom"/>
          </w:tcPr>
          <w:p w14:paraId="67536E74" w14:textId="77777777" w:rsidR="001B77DD" w:rsidRDefault="00BF0A28">
            <w:pPr>
              <w:textAlignment w:val="bottom"/>
            </w:pPr>
            <w:r>
              <w:rPr>
                <w:rFonts w:ascii="Arial" w:eastAsia="宋体" w:hAnsi="Arial" w:cs="Arial"/>
                <w:color w:val="262626"/>
                <w:sz w:val="18"/>
                <w:szCs w:val="18"/>
              </w:rPr>
              <w:t>M</w:t>
            </w:r>
            <w:r>
              <w:rPr>
                <w:rFonts w:ascii="Arial" w:eastAsia="宋体" w:hAnsi="Arial" w:cs="Arial"/>
                <w:color w:val="262626"/>
                <w:sz w:val="18"/>
                <w:szCs w:val="18"/>
              </w:rPr>
              <w:t>obileye</w:t>
            </w:r>
          </w:p>
        </w:tc>
        <w:tc>
          <w:tcPr>
            <w:tcW w:w="0" w:type="auto"/>
            <w:gridSpan w:val="3"/>
            <w:shd w:val="clear" w:color="auto" w:fill="auto"/>
            <w:tcMar>
              <w:top w:w="0" w:type="dxa"/>
              <w:left w:w="20" w:type="dxa"/>
              <w:bottom w:w="0" w:type="dxa"/>
              <w:right w:w="20" w:type="dxa"/>
            </w:tcMar>
            <w:vAlign w:val="bottom"/>
          </w:tcPr>
          <w:p w14:paraId="67536E7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76" w14:textId="77777777" w:rsidR="001B77DD" w:rsidRDefault="00BF0A28">
            <w:pPr>
              <w:jc w:val="right"/>
              <w:textAlignment w:val="bottom"/>
            </w:pPr>
            <w:r>
              <w:rPr>
                <w:rFonts w:ascii="Arial" w:eastAsia="宋体" w:hAnsi="Arial" w:cs="Arial"/>
                <w:color w:val="262626"/>
                <w:sz w:val="18"/>
                <w:szCs w:val="18"/>
              </w:rPr>
              <w:t>10,290 </w:t>
            </w:r>
          </w:p>
        </w:tc>
        <w:tc>
          <w:tcPr>
            <w:tcW w:w="0" w:type="auto"/>
            <w:shd w:val="clear" w:color="auto" w:fill="auto"/>
            <w:tcMar>
              <w:top w:w="40" w:type="dxa"/>
              <w:left w:w="0" w:type="dxa"/>
              <w:bottom w:w="40" w:type="dxa"/>
              <w:right w:w="20" w:type="dxa"/>
            </w:tcMar>
            <w:vAlign w:val="bottom"/>
          </w:tcPr>
          <w:p w14:paraId="67536E7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7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79" w14:textId="77777777" w:rsidR="001B77DD" w:rsidRDefault="00BF0A28">
            <w:pPr>
              <w:jc w:val="right"/>
              <w:textAlignment w:val="bottom"/>
            </w:pPr>
            <w:r>
              <w:rPr>
                <w:rFonts w:ascii="Arial" w:eastAsia="宋体" w:hAnsi="Arial" w:cs="Arial"/>
                <w:color w:val="262626"/>
                <w:sz w:val="18"/>
                <w:szCs w:val="18"/>
              </w:rPr>
              <w:t>638</w:t>
            </w:r>
          </w:p>
        </w:tc>
        <w:tc>
          <w:tcPr>
            <w:tcW w:w="0" w:type="auto"/>
            <w:gridSpan w:val="3"/>
            <w:shd w:val="clear" w:color="auto" w:fill="auto"/>
            <w:tcMar>
              <w:top w:w="0" w:type="dxa"/>
              <w:left w:w="20" w:type="dxa"/>
              <w:bottom w:w="0" w:type="dxa"/>
              <w:right w:w="20" w:type="dxa"/>
            </w:tcMar>
            <w:vAlign w:val="bottom"/>
          </w:tcPr>
          <w:p w14:paraId="67536E7A" w14:textId="77777777" w:rsidR="001B77DD" w:rsidRDefault="001B77DD">
            <w:pPr>
              <w:rPr>
                <w:rFonts w:ascii="宋体"/>
              </w:rPr>
            </w:pPr>
          </w:p>
        </w:tc>
        <w:tc>
          <w:tcPr>
            <w:tcW w:w="0" w:type="auto"/>
            <w:shd w:val="clear" w:color="auto" w:fill="auto"/>
            <w:vAlign w:val="bottom"/>
          </w:tcPr>
          <w:p w14:paraId="67536E7B" w14:textId="77777777" w:rsidR="001B77DD" w:rsidRDefault="001B77DD">
            <w:pPr>
              <w:rPr>
                <w:rFonts w:ascii="宋体"/>
                <w:vanish/>
              </w:rPr>
            </w:pPr>
          </w:p>
        </w:tc>
        <w:tc>
          <w:tcPr>
            <w:tcW w:w="0" w:type="auto"/>
            <w:shd w:val="clear" w:color="auto" w:fill="auto"/>
            <w:vAlign w:val="bottom"/>
          </w:tcPr>
          <w:p w14:paraId="67536E7C"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E7D"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E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7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80" w14:textId="77777777" w:rsidR="001B77DD" w:rsidRDefault="00BF0A28">
            <w:pPr>
              <w:jc w:val="right"/>
              <w:textAlignment w:val="bottom"/>
            </w:pPr>
            <w:r>
              <w:rPr>
                <w:rFonts w:ascii="Arial" w:eastAsia="宋体" w:hAnsi="Arial" w:cs="Arial"/>
                <w:color w:val="262626"/>
                <w:sz w:val="18"/>
                <w:szCs w:val="18"/>
              </w:rPr>
              <w:t>10,928</w:t>
            </w:r>
          </w:p>
        </w:tc>
      </w:tr>
      <w:tr w:rsidR="001B77DD" w14:paraId="67536E8F" w14:textId="77777777">
        <w:tc>
          <w:tcPr>
            <w:tcW w:w="0" w:type="auto"/>
            <w:gridSpan w:val="3"/>
            <w:shd w:val="clear" w:color="auto" w:fill="auto"/>
            <w:tcMar>
              <w:top w:w="40" w:type="dxa"/>
              <w:left w:w="20" w:type="dxa"/>
              <w:bottom w:w="40" w:type="dxa"/>
              <w:right w:w="20" w:type="dxa"/>
            </w:tcMar>
            <w:vAlign w:val="bottom"/>
          </w:tcPr>
          <w:p w14:paraId="67536E82" w14:textId="77777777" w:rsidR="001B77DD" w:rsidRDefault="00BF0A28">
            <w:pPr>
              <w:textAlignment w:val="bottom"/>
            </w:pPr>
            <w:r>
              <w:rPr>
                <w:rFonts w:ascii="Arial" w:eastAsia="宋体" w:hAnsi="Arial" w:cs="Arial"/>
                <w:color w:val="262626"/>
                <w:sz w:val="18"/>
                <w:szCs w:val="18"/>
              </w:rPr>
              <w:t xml:space="preserve">Programmable Solutions Group </w:t>
            </w:r>
          </w:p>
        </w:tc>
        <w:tc>
          <w:tcPr>
            <w:tcW w:w="0" w:type="auto"/>
            <w:gridSpan w:val="3"/>
            <w:shd w:val="clear" w:color="auto" w:fill="auto"/>
            <w:tcMar>
              <w:top w:w="0" w:type="dxa"/>
              <w:left w:w="20" w:type="dxa"/>
              <w:bottom w:w="0" w:type="dxa"/>
              <w:right w:w="20" w:type="dxa"/>
            </w:tcMar>
            <w:vAlign w:val="bottom"/>
          </w:tcPr>
          <w:p w14:paraId="67536E8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84" w14:textId="77777777" w:rsidR="001B77DD" w:rsidRDefault="00BF0A28">
            <w:pPr>
              <w:jc w:val="right"/>
              <w:textAlignment w:val="bottom"/>
            </w:pPr>
            <w:r>
              <w:rPr>
                <w:rFonts w:ascii="Arial" w:eastAsia="宋体" w:hAnsi="Arial" w:cs="Arial"/>
                <w:color w:val="262626"/>
                <w:sz w:val="18"/>
                <w:szCs w:val="18"/>
              </w:rPr>
              <w:t>2,654 </w:t>
            </w:r>
          </w:p>
        </w:tc>
        <w:tc>
          <w:tcPr>
            <w:tcW w:w="0" w:type="auto"/>
            <w:shd w:val="clear" w:color="auto" w:fill="auto"/>
            <w:tcMar>
              <w:top w:w="40" w:type="dxa"/>
              <w:left w:w="0" w:type="dxa"/>
              <w:bottom w:w="40" w:type="dxa"/>
              <w:right w:w="20" w:type="dxa"/>
            </w:tcMar>
            <w:vAlign w:val="bottom"/>
          </w:tcPr>
          <w:p w14:paraId="67536E8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8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87" w14:textId="77777777" w:rsidR="001B77DD" w:rsidRDefault="00BF0A28">
            <w:pPr>
              <w:jc w:val="right"/>
              <w:textAlignment w:val="bottom"/>
            </w:pPr>
            <w:r>
              <w:rPr>
                <w:rFonts w:ascii="Arial" w:eastAsia="宋体" w:hAnsi="Arial" w:cs="Arial"/>
                <w:color w:val="262626"/>
                <w:sz w:val="18"/>
                <w:szCs w:val="18"/>
              </w:rPr>
              <w:t>2</w:t>
            </w:r>
          </w:p>
        </w:tc>
        <w:tc>
          <w:tcPr>
            <w:tcW w:w="0" w:type="auto"/>
            <w:gridSpan w:val="3"/>
            <w:shd w:val="clear" w:color="auto" w:fill="auto"/>
            <w:tcMar>
              <w:top w:w="0" w:type="dxa"/>
              <w:left w:w="20" w:type="dxa"/>
              <w:bottom w:w="0" w:type="dxa"/>
              <w:right w:w="20" w:type="dxa"/>
            </w:tcMar>
            <w:vAlign w:val="bottom"/>
          </w:tcPr>
          <w:p w14:paraId="67536E88" w14:textId="77777777" w:rsidR="001B77DD" w:rsidRDefault="001B77DD">
            <w:pPr>
              <w:rPr>
                <w:rFonts w:ascii="宋体"/>
              </w:rPr>
            </w:pPr>
          </w:p>
        </w:tc>
        <w:tc>
          <w:tcPr>
            <w:tcW w:w="0" w:type="auto"/>
            <w:shd w:val="clear" w:color="auto" w:fill="auto"/>
            <w:vAlign w:val="bottom"/>
          </w:tcPr>
          <w:p w14:paraId="67536E89" w14:textId="77777777" w:rsidR="001B77DD" w:rsidRDefault="001B77DD">
            <w:pPr>
              <w:rPr>
                <w:rFonts w:ascii="宋体"/>
                <w:vanish/>
              </w:rPr>
            </w:pPr>
          </w:p>
        </w:tc>
        <w:tc>
          <w:tcPr>
            <w:tcW w:w="0" w:type="auto"/>
            <w:shd w:val="clear" w:color="auto" w:fill="auto"/>
            <w:vAlign w:val="bottom"/>
          </w:tcPr>
          <w:p w14:paraId="67536E8A"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E8B" w14:textId="77777777" w:rsidR="001B77DD" w:rsidRDefault="00BF0A28">
            <w:pPr>
              <w:jc w:val="right"/>
              <w:textAlignment w:val="bottom"/>
            </w:pPr>
            <w:r>
              <w:rPr>
                <w:rFonts w:ascii="Arial" w:eastAsia="宋体" w:hAnsi="Arial" w:cs="Arial"/>
                <w:color w:val="262626"/>
                <w:sz w:val="18"/>
                <w:szCs w:val="18"/>
              </w:rPr>
              <w:t>(34)</w:t>
            </w:r>
          </w:p>
        </w:tc>
        <w:tc>
          <w:tcPr>
            <w:tcW w:w="0" w:type="auto"/>
            <w:shd w:val="clear" w:color="auto" w:fill="auto"/>
            <w:tcMar>
              <w:top w:w="40" w:type="dxa"/>
              <w:left w:w="0" w:type="dxa"/>
              <w:bottom w:w="40" w:type="dxa"/>
              <w:right w:w="20" w:type="dxa"/>
            </w:tcMar>
            <w:vAlign w:val="bottom"/>
          </w:tcPr>
          <w:p w14:paraId="67536E8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8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8E" w14:textId="77777777" w:rsidR="001B77DD" w:rsidRDefault="00BF0A28">
            <w:pPr>
              <w:jc w:val="right"/>
              <w:textAlignment w:val="bottom"/>
            </w:pPr>
            <w:r>
              <w:rPr>
                <w:rFonts w:ascii="Arial" w:eastAsia="宋体" w:hAnsi="Arial" w:cs="Arial"/>
                <w:color w:val="262626"/>
                <w:sz w:val="18"/>
                <w:szCs w:val="18"/>
              </w:rPr>
              <w:t>2,622</w:t>
            </w:r>
          </w:p>
        </w:tc>
      </w:tr>
      <w:tr w:rsidR="001B77DD" w14:paraId="67536E9B" w14:textId="77777777">
        <w:trPr>
          <w:hidden/>
        </w:trPr>
        <w:tc>
          <w:tcPr>
            <w:tcW w:w="0" w:type="auto"/>
            <w:gridSpan w:val="3"/>
            <w:shd w:val="clear" w:color="auto" w:fill="auto"/>
            <w:vAlign w:val="bottom"/>
          </w:tcPr>
          <w:p w14:paraId="67536E90" w14:textId="77777777" w:rsidR="001B77DD" w:rsidRDefault="001B77DD">
            <w:pPr>
              <w:rPr>
                <w:rFonts w:ascii="宋体"/>
                <w:vanish/>
              </w:rPr>
            </w:pPr>
          </w:p>
        </w:tc>
        <w:tc>
          <w:tcPr>
            <w:tcW w:w="0" w:type="auto"/>
            <w:gridSpan w:val="3"/>
            <w:shd w:val="clear" w:color="auto" w:fill="auto"/>
            <w:vAlign w:val="bottom"/>
          </w:tcPr>
          <w:p w14:paraId="67536E91" w14:textId="77777777" w:rsidR="001B77DD" w:rsidRDefault="001B77DD">
            <w:pPr>
              <w:rPr>
                <w:rFonts w:ascii="宋体"/>
                <w:vanish/>
              </w:rPr>
            </w:pPr>
          </w:p>
        </w:tc>
        <w:tc>
          <w:tcPr>
            <w:tcW w:w="0" w:type="auto"/>
            <w:gridSpan w:val="3"/>
            <w:shd w:val="clear" w:color="auto" w:fill="auto"/>
            <w:vAlign w:val="bottom"/>
          </w:tcPr>
          <w:p w14:paraId="67536E92" w14:textId="77777777" w:rsidR="001B77DD" w:rsidRDefault="001B77DD">
            <w:pPr>
              <w:rPr>
                <w:rFonts w:ascii="宋体"/>
                <w:vanish/>
              </w:rPr>
            </w:pPr>
          </w:p>
        </w:tc>
        <w:tc>
          <w:tcPr>
            <w:tcW w:w="0" w:type="auto"/>
            <w:gridSpan w:val="3"/>
            <w:shd w:val="clear" w:color="auto" w:fill="auto"/>
            <w:vAlign w:val="bottom"/>
          </w:tcPr>
          <w:p w14:paraId="67536E93" w14:textId="77777777" w:rsidR="001B77DD" w:rsidRDefault="001B77DD">
            <w:pPr>
              <w:rPr>
                <w:rFonts w:ascii="宋体"/>
                <w:vanish/>
              </w:rPr>
            </w:pPr>
          </w:p>
        </w:tc>
        <w:tc>
          <w:tcPr>
            <w:tcW w:w="0" w:type="auto"/>
            <w:gridSpan w:val="3"/>
            <w:shd w:val="clear" w:color="auto" w:fill="auto"/>
            <w:vAlign w:val="bottom"/>
          </w:tcPr>
          <w:p w14:paraId="67536E94" w14:textId="77777777" w:rsidR="001B77DD" w:rsidRDefault="001B77DD">
            <w:pPr>
              <w:rPr>
                <w:rFonts w:ascii="宋体"/>
                <w:vanish/>
              </w:rPr>
            </w:pPr>
          </w:p>
        </w:tc>
        <w:tc>
          <w:tcPr>
            <w:tcW w:w="0" w:type="auto"/>
            <w:gridSpan w:val="3"/>
            <w:shd w:val="clear" w:color="auto" w:fill="auto"/>
            <w:vAlign w:val="bottom"/>
          </w:tcPr>
          <w:p w14:paraId="67536E95" w14:textId="77777777" w:rsidR="001B77DD" w:rsidRDefault="001B77DD">
            <w:pPr>
              <w:rPr>
                <w:rFonts w:ascii="宋体"/>
                <w:vanish/>
              </w:rPr>
            </w:pPr>
          </w:p>
        </w:tc>
        <w:tc>
          <w:tcPr>
            <w:tcW w:w="0" w:type="auto"/>
            <w:shd w:val="clear" w:color="auto" w:fill="auto"/>
            <w:vAlign w:val="bottom"/>
          </w:tcPr>
          <w:p w14:paraId="67536E96" w14:textId="77777777" w:rsidR="001B77DD" w:rsidRDefault="001B77DD">
            <w:pPr>
              <w:rPr>
                <w:rFonts w:ascii="宋体"/>
                <w:vanish/>
              </w:rPr>
            </w:pPr>
          </w:p>
        </w:tc>
        <w:tc>
          <w:tcPr>
            <w:tcW w:w="0" w:type="auto"/>
            <w:shd w:val="clear" w:color="auto" w:fill="auto"/>
            <w:vAlign w:val="bottom"/>
          </w:tcPr>
          <w:p w14:paraId="67536E97" w14:textId="77777777" w:rsidR="001B77DD" w:rsidRDefault="001B77DD">
            <w:pPr>
              <w:rPr>
                <w:rFonts w:ascii="宋体"/>
                <w:vanish/>
              </w:rPr>
            </w:pPr>
          </w:p>
        </w:tc>
        <w:tc>
          <w:tcPr>
            <w:tcW w:w="0" w:type="auto"/>
            <w:gridSpan w:val="3"/>
            <w:shd w:val="clear" w:color="auto" w:fill="auto"/>
            <w:vAlign w:val="bottom"/>
          </w:tcPr>
          <w:p w14:paraId="67536E98" w14:textId="77777777" w:rsidR="001B77DD" w:rsidRDefault="001B77DD">
            <w:pPr>
              <w:rPr>
                <w:rFonts w:ascii="宋体"/>
                <w:vanish/>
              </w:rPr>
            </w:pPr>
          </w:p>
        </w:tc>
        <w:tc>
          <w:tcPr>
            <w:tcW w:w="0" w:type="auto"/>
            <w:gridSpan w:val="3"/>
            <w:shd w:val="clear" w:color="auto" w:fill="auto"/>
            <w:vAlign w:val="bottom"/>
          </w:tcPr>
          <w:p w14:paraId="67536E99" w14:textId="77777777" w:rsidR="001B77DD" w:rsidRDefault="001B77DD">
            <w:pPr>
              <w:rPr>
                <w:rFonts w:ascii="宋体"/>
                <w:vanish/>
              </w:rPr>
            </w:pPr>
          </w:p>
        </w:tc>
        <w:tc>
          <w:tcPr>
            <w:tcW w:w="0" w:type="auto"/>
            <w:gridSpan w:val="3"/>
            <w:shd w:val="clear" w:color="auto" w:fill="auto"/>
            <w:vAlign w:val="bottom"/>
          </w:tcPr>
          <w:p w14:paraId="67536E9A" w14:textId="77777777" w:rsidR="001B77DD" w:rsidRDefault="001B77DD">
            <w:pPr>
              <w:rPr>
                <w:rFonts w:ascii="宋体"/>
                <w:vanish/>
              </w:rPr>
            </w:pPr>
          </w:p>
        </w:tc>
      </w:tr>
      <w:tr w:rsidR="001B77DD" w14:paraId="67536EAA" w14:textId="77777777">
        <w:tc>
          <w:tcPr>
            <w:tcW w:w="0" w:type="auto"/>
            <w:gridSpan w:val="3"/>
            <w:shd w:val="clear" w:color="auto" w:fill="auto"/>
            <w:tcMar>
              <w:top w:w="40" w:type="dxa"/>
              <w:left w:w="20" w:type="dxa"/>
              <w:bottom w:w="40" w:type="dxa"/>
              <w:right w:w="20" w:type="dxa"/>
            </w:tcMar>
            <w:vAlign w:val="bottom"/>
          </w:tcPr>
          <w:p w14:paraId="67536E9C" w14:textId="77777777" w:rsidR="001B77DD" w:rsidRDefault="00BF0A28">
            <w:pPr>
              <w:textAlignment w:val="bottom"/>
            </w:pPr>
            <w:r>
              <w:rPr>
                <w:rFonts w:ascii="Arial" w:eastAsia="宋体" w:hAnsi="Arial" w:cs="Arial"/>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67536E9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9E" w14:textId="77777777" w:rsidR="001B77DD" w:rsidRDefault="00BF0A28">
            <w:pPr>
              <w:jc w:val="right"/>
              <w:textAlignment w:val="bottom"/>
            </w:pPr>
            <w:r>
              <w:rPr>
                <w:rFonts w:ascii="Arial" w:eastAsia="宋体" w:hAnsi="Arial" w:cs="Arial"/>
                <w:color w:val="262626"/>
                <w:sz w:val="18"/>
                <w:szCs w:val="18"/>
              </w:rPr>
              <w:t>238 </w:t>
            </w:r>
          </w:p>
        </w:tc>
        <w:tc>
          <w:tcPr>
            <w:tcW w:w="0" w:type="auto"/>
            <w:shd w:val="clear" w:color="auto" w:fill="auto"/>
            <w:tcMar>
              <w:top w:w="40" w:type="dxa"/>
              <w:left w:w="0" w:type="dxa"/>
              <w:bottom w:w="40" w:type="dxa"/>
              <w:right w:w="20" w:type="dxa"/>
            </w:tcMar>
            <w:vAlign w:val="bottom"/>
          </w:tcPr>
          <w:p w14:paraId="67536E9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A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EA1"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EA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A3" w14:textId="77777777" w:rsidR="001B77DD" w:rsidRDefault="001B77DD">
            <w:pPr>
              <w:rPr>
                <w:rFonts w:ascii="宋体"/>
              </w:rPr>
            </w:pPr>
          </w:p>
        </w:tc>
        <w:tc>
          <w:tcPr>
            <w:tcW w:w="0" w:type="auto"/>
            <w:shd w:val="clear" w:color="auto" w:fill="auto"/>
            <w:vAlign w:val="bottom"/>
          </w:tcPr>
          <w:p w14:paraId="67536EA4" w14:textId="77777777" w:rsidR="001B77DD" w:rsidRDefault="001B77DD">
            <w:pPr>
              <w:rPr>
                <w:rFonts w:ascii="宋体"/>
                <w:vanish/>
              </w:rPr>
            </w:pPr>
          </w:p>
        </w:tc>
        <w:tc>
          <w:tcPr>
            <w:tcW w:w="0" w:type="auto"/>
            <w:shd w:val="clear" w:color="auto" w:fill="auto"/>
            <w:vAlign w:val="bottom"/>
          </w:tcPr>
          <w:p w14:paraId="67536EA5"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6EA6"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EA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A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EA9" w14:textId="77777777" w:rsidR="001B77DD" w:rsidRDefault="00BF0A28">
            <w:pPr>
              <w:jc w:val="right"/>
              <w:textAlignment w:val="bottom"/>
            </w:pPr>
            <w:r>
              <w:rPr>
                <w:rFonts w:ascii="Arial" w:eastAsia="宋体" w:hAnsi="Arial" w:cs="Arial"/>
                <w:color w:val="262626"/>
                <w:sz w:val="18"/>
                <w:szCs w:val="18"/>
              </w:rPr>
              <w:t>238</w:t>
            </w:r>
          </w:p>
        </w:tc>
      </w:tr>
      <w:tr w:rsidR="001B77DD" w14:paraId="67536EBE" w14:textId="77777777">
        <w:tc>
          <w:tcPr>
            <w:tcW w:w="0" w:type="auto"/>
            <w:gridSpan w:val="3"/>
            <w:shd w:val="clear" w:color="auto" w:fill="auto"/>
            <w:tcMar>
              <w:top w:w="40" w:type="dxa"/>
              <w:left w:w="20" w:type="dxa"/>
              <w:bottom w:w="40" w:type="dxa"/>
              <w:right w:w="20" w:type="dxa"/>
            </w:tcMar>
            <w:vAlign w:val="bottom"/>
          </w:tcPr>
          <w:p w14:paraId="67536EAB" w14:textId="77777777" w:rsidR="001B77DD" w:rsidRDefault="00BF0A28">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6EAC"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EA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EAE" w14:textId="77777777" w:rsidR="001B77DD" w:rsidRDefault="00BF0A28">
            <w:pPr>
              <w:jc w:val="right"/>
              <w:textAlignment w:val="bottom"/>
            </w:pPr>
            <w:r>
              <w:rPr>
                <w:rFonts w:ascii="Arial" w:eastAsia="宋体" w:hAnsi="Arial" w:cs="Arial"/>
                <w:b/>
                <w:bCs/>
                <w:color w:val="262626"/>
                <w:sz w:val="18"/>
                <w:szCs w:val="18"/>
              </w:rPr>
              <w:t>26,276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EA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B0"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EB1"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EB2" w14:textId="77777777" w:rsidR="001B77DD" w:rsidRDefault="00BF0A28">
            <w:pPr>
              <w:jc w:val="right"/>
              <w:textAlignment w:val="bottom"/>
            </w:pPr>
            <w:r>
              <w:rPr>
                <w:rFonts w:ascii="Arial" w:eastAsia="宋体" w:hAnsi="Arial" w:cs="Arial"/>
                <w:b/>
                <w:bCs/>
                <w:color w:val="262626"/>
                <w:sz w:val="18"/>
                <w:szCs w:val="18"/>
              </w:rPr>
              <w:t>729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EB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B4" w14:textId="77777777" w:rsidR="001B77DD" w:rsidRDefault="001B77DD">
            <w:pPr>
              <w:rPr>
                <w:rFonts w:ascii="宋体"/>
              </w:rPr>
            </w:pPr>
          </w:p>
        </w:tc>
        <w:tc>
          <w:tcPr>
            <w:tcW w:w="0" w:type="auto"/>
            <w:shd w:val="clear" w:color="auto" w:fill="auto"/>
            <w:vAlign w:val="bottom"/>
          </w:tcPr>
          <w:p w14:paraId="67536EB5" w14:textId="77777777" w:rsidR="001B77DD" w:rsidRDefault="001B77DD">
            <w:pPr>
              <w:rPr>
                <w:rFonts w:ascii="宋体"/>
                <w:vanish/>
              </w:rPr>
            </w:pPr>
          </w:p>
        </w:tc>
        <w:tc>
          <w:tcPr>
            <w:tcW w:w="0" w:type="auto"/>
            <w:shd w:val="clear" w:color="auto" w:fill="auto"/>
            <w:vAlign w:val="bottom"/>
          </w:tcPr>
          <w:p w14:paraId="67536EB6" w14:textId="77777777" w:rsidR="001B77DD" w:rsidRDefault="001B77DD">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EB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EB8" w14:textId="77777777" w:rsidR="001B77DD" w:rsidRDefault="00BF0A28">
            <w:pPr>
              <w:jc w:val="right"/>
              <w:textAlignment w:val="bottom"/>
            </w:pPr>
            <w:r>
              <w:rPr>
                <w:rFonts w:ascii="Arial" w:eastAsia="宋体" w:hAnsi="Arial" w:cs="Arial"/>
                <w:b/>
                <w:bCs/>
                <w:color w:val="262626"/>
                <w:sz w:val="18"/>
                <w:szCs w:val="18"/>
              </w:rPr>
              <w:t>(34)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EB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EBA"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EB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EBC" w14:textId="77777777" w:rsidR="001B77DD" w:rsidRDefault="00BF0A28">
            <w:pPr>
              <w:jc w:val="right"/>
              <w:textAlignment w:val="bottom"/>
            </w:pPr>
            <w:r>
              <w:rPr>
                <w:rFonts w:ascii="Arial" w:eastAsia="宋体" w:hAnsi="Arial" w:cs="Arial"/>
                <w:b/>
                <w:bCs/>
                <w:color w:val="262626"/>
                <w:sz w:val="18"/>
                <w:szCs w:val="18"/>
              </w:rPr>
              <w:t>26,971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EBD" w14:textId="77777777" w:rsidR="001B77DD" w:rsidRDefault="001B77DD">
            <w:pPr>
              <w:jc w:val="right"/>
              <w:rPr>
                <w:rFonts w:ascii="宋体"/>
              </w:rPr>
            </w:pPr>
          </w:p>
        </w:tc>
      </w:tr>
    </w:tbl>
    <w:p w14:paraId="67536EBF" w14:textId="77777777" w:rsidR="001B77DD" w:rsidRDefault="00BF0A28">
      <w:pPr>
        <w:spacing w:after="180"/>
      </w:pPr>
      <w:r>
        <w:rPr>
          <w:rFonts w:ascii="Arial" w:eastAsia="宋体" w:hAnsi="Arial" w:cs="Arial"/>
          <w:color w:val="333333"/>
          <w:sz w:val="18"/>
          <w:szCs w:val="18"/>
        </w:rPr>
        <w:t>During the second quarter of 2021, we recognized a goodwill impairment loss of $2</w:t>
      </w:r>
      <w:r>
        <w:rPr>
          <w:rFonts w:ascii="Arial" w:eastAsia="宋体" w:hAnsi="Arial" w:cs="Arial"/>
          <w:color w:val="333333"/>
          <w:sz w:val="18"/>
          <w:szCs w:val="18"/>
        </w:rPr>
        <w:t>38 million related to two non-strategic businesses that we exited, recorded within our "all other" category. During the fourth quarters of 2021 and 2020, we completed our annual impairment assessments and concluded that goodwill was not impaired. The accum</w:t>
      </w:r>
      <w:r>
        <w:rPr>
          <w:rFonts w:ascii="Arial" w:eastAsia="宋体" w:hAnsi="Arial" w:cs="Arial"/>
          <w:color w:val="333333"/>
          <w:sz w:val="18"/>
          <w:szCs w:val="18"/>
        </w:rPr>
        <w:t xml:space="preserve">ulated impairment loss as of December 25, 2021 was $957 million: $365 million associated with CCG, $275 million associated with DCG, $79 million associated with IOTG, and the remainder associated with non-reportable segments. </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6EC6" w14:textId="77777777">
        <w:tc>
          <w:tcPr>
            <w:tcW w:w="50" w:type="pct"/>
            <w:shd w:val="clear" w:color="auto" w:fill="auto"/>
            <w:vAlign w:val="bottom"/>
          </w:tcPr>
          <w:p w14:paraId="67536EC0" w14:textId="77777777" w:rsidR="001B77DD" w:rsidRDefault="001B77DD">
            <w:pPr>
              <w:rPr>
                <w:rFonts w:ascii="宋体"/>
              </w:rPr>
            </w:pPr>
          </w:p>
        </w:tc>
        <w:tc>
          <w:tcPr>
            <w:tcW w:w="539" w:type="pct"/>
            <w:shd w:val="clear" w:color="auto" w:fill="auto"/>
            <w:vAlign w:val="bottom"/>
          </w:tcPr>
          <w:p w14:paraId="67536EC1" w14:textId="77777777" w:rsidR="001B77DD" w:rsidRDefault="001B77DD">
            <w:pPr>
              <w:rPr>
                <w:rFonts w:ascii="宋体"/>
              </w:rPr>
            </w:pPr>
          </w:p>
        </w:tc>
        <w:tc>
          <w:tcPr>
            <w:tcW w:w="5" w:type="pct"/>
            <w:shd w:val="clear" w:color="auto" w:fill="auto"/>
            <w:vAlign w:val="bottom"/>
          </w:tcPr>
          <w:p w14:paraId="67536EC2" w14:textId="77777777" w:rsidR="001B77DD" w:rsidRDefault="001B77DD">
            <w:pPr>
              <w:rPr>
                <w:rFonts w:ascii="宋体"/>
              </w:rPr>
            </w:pPr>
          </w:p>
        </w:tc>
        <w:tc>
          <w:tcPr>
            <w:tcW w:w="50" w:type="pct"/>
            <w:shd w:val="clear" w:color="auto" w:fill="auto"/>
            <w:vAlign w:val="bottom"/>
          </w:tcPr>
          <w:p w14:paraId="67536EC3" w14:textId="77777777" w:rsidR="001B77DD" w:rsidRDefault="001B77DD">
            <w:pPr>
              <w:rPr>
                <w:rFonts w:ascii="宋体"/>
              </w:rPr>
            </w:pPr>
          </w:p>
        </w:tc>
        <w:tc>
          <w:tcPr>
            <w:tcW w:w="4350" w:type="pct"/>
            <w:shd w:val="clear" w:color="auto" w:fill="auto"/>
            <w:vAlign w:val="bottom"/>
          </w:tcPr>
          <w:p w14:paraId="67536EC4" w14:textId="77777777" w:rsidR="001B77DD" w:rsidRDefault="001B77DD">
            <w:pPr>
              <w:rPr>
                <w:rFonts w:ascii="宋体"/>
              </w:rPr>
            </w:pPr>
          </w:p>
        </w:tc>
        <w:tc>
          <w:tcPr>
            <w:tcW w:w="5" w:type="pct"/>
            <w:shd w:val="clear" w:color="auto" w:fill="auto"/>
            <w:vAlign w:val="bottom"/>
          </w:tcPr>
          <w:p w14:paraId="67536EC5" w14:textId="77777777" w:rsidR="001B77DD" w:rsidRDefault="001B77DD">
            <w:pPr>
              <w:rPr>
                <w:rFonts w:ascii="宋体"/>
              </w:rPr>
            </w:pPr>
          </w:p>
        </w:tc>
      </w:tr>
      <w:tr w:rsidR="001B77DD" w14:paraId="67536EC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6EC7" w14:textId="77777777" w:rsidR="001B77DD" w:rsidRDefault="00BF0A28">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6EC8" w14:textId="77777777" w:rsidR="001B77DD" w:rsidRDefault="00BF0A28">
            <w:pPr>
              <w:textAlignment w:val="bottom"/>
            </w:pPr>
            <w:r>
              <w:rPr>
                <w:rFonts w:ascii="Arial" w:eastAsia="宋体" w:hAnsi="Arial" w:cs="Arial"/>
                <w:color w:val="0068B5"/>
                <w:sz w:val="28"/>
                <w:szCs w:val="28"/>
              </w:rPr>
              <w:t>Identified Intangible Assets</w:t>
            </w:r>
          </w:p>
        </w:tc>
      </w:tr>
    </w:tbl>
    <w:p w14:paraId="67536ECA" w14:textId="77777777" w:rsidR="001B77DD" w:rsidRDefault="001B77DD">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43"/>
        <w:gridCol w:w="1343"/>
        <w:gridCol w:w="39"/>
        <w:gridCol w:w="36"/>
        <w:gridCol w:w="36"/>
        <w:gridCol w:w="36"/>
        <w:gridCol w:w="122"/>
        <w:gridCol w:w="1087"/>
        <w:gridCol w:w="36"/>
        <w:gridCol w:w="36"/>
        <w:gridCol w:w="36"/>
        <w:gridCol w:w="36"/>
        <w:gridCol w:w="122"/>
        <w:gridCol w:w="1059"/>
        <w:gridCol w:w="36"/>
        <w:gridCol w:w="36"/>
        <w:gridCol w:w="36"/>
        <w:gridCol w:w="36"/>
        <w:gridCol w:w="121"/>
        <w:gridCol w:w="501"/>
        <w:gridCol w:w="36"/>
        <w:gridCol w:w="36"/>
        <w:gridCol w:w="36"/>
        <w:gridCol w:w="36"/>
        <w:gridCol w:w="122"/>
        <w:gridCol w:w="1087"/>
        <w:gridCol w:w="36"/>
        <w:gridCol w:w="36"/>
        <w:gridCol w:w="36"/>
        <w:gridCol w:w="36"/>
        <w:gridCol w:w="122"/>
        <w:gridCol w:w="1059"/>
        <w:gridCol w:w="36"/>
        <w:gridCol w:w="36"/>
        <w:gridCol w:w="36"/>
        <w:gridCol w:w="36"/>
        <w:gridCol w:w="121"/>
        <w:gridCol w:w="501"/>
        <w:gridCol w:w="36"/>
      </w:tblGrid>
      <w:tr w:rsidR="001B77DD" w14:paraId="67536EF2" w14:textId="77777777">
        <w:tc>
          <w:tcPr>
            <w:tcW w:w="50" w:type="pct"/>
            <w:shd w:val="clear" w:color="auto" w:fill="auto"/>
            <w:vAlign w:val="bottom"/>
          </w:tcPr>
          <w:p w14:paraId="67536ECB" w14:textId="77777777" w:rsidR="001B77DD" w:rsidRDefault="001B77DD">
            <w:pPr>
              <w:rPr>
                <w:rFonts w:ascii="宋体"/>
              </w:rPr>
            </w:pPr>
          </w:p>
        </w:tc>
        <w:tc>
          <w:tcPr>
            <w:tcW w:w="1390" w:type="pct"/>
            <w:shd w:val="clear" w:color="auto" w:fill="auto"/>
            <w:vAlign w:val="bottom"/>
          </w:tcPr>
          <w:p w14:paraId="67536ECC" w14:textId="77777777" w:rsidR="001B77DD" w:rsidRDefault="001B77DD">
            <w:pPr>
              <w:rPr>
                <w:rFonts w:ascii="宋体"/>
              </w:rPr>
            </w:pPr>
          </w:p>
        </w:tc>
        <w:tc>
          <w:tcPr>
            <w:tcW w:w="5" w:type="pct"/>
            <w:shd w:val="clear" w:color="auto" w:fill="auto"/>
            <w:vAlign w:val="bottom"/>
          </w:tcPr>
          <w:p w14:paraId="67536ECD" w14:textId="77777777" w:rsidR="001B77DD" w:rsidRDefault="001B77DD">
            <w:pPr>
              <w:rPr>
                <w:rFonts w:ascii="宋体"/>
              </w:rPr>
            </w:pPr>
          </w:p>
        </w:tc>
        <w:tc>
          <w:tcPr>
            <w:tcW w:w="5" w:type="pct"/>
            <w:shd w:val="clear" w:color="auto" w:fill="auto"/>
            <w:vAlign w:val="bottom"/>
          </w:tcPr>
          <w:p w14:paraId="67536ECE" w14:textId="77777777" w:rsidR="001B77DD" w:rsidRDefault="001B77DD">
            <w:pPr>
              <w:rPr>
                <w:rFonts w:ascii="宋体"/>
              </w:rPr>
            </w:pPr>
          </w:p>
        </w:tc>
        <w:tc>
          <w:tcPr>
            <w:tcW w:w="24" w:type="pct"/>
            <w:shd w:val="clear" w:color="auto" w:fill="auto"/>
            <w:vAlign w:val="bottom"/>
          </w:tcPr>
          <w:p w14:paraId="67536ECF" w14:textId="77777777" w:rsidR="001B77DD" w:rsidRDefault="001B77DD">
            <w:pPr>
              <w:rPr>
                <w:rFonts w:ascii="宋体"/>
              </w:rPr>
            </w:pPr>
          </w:p>
        </w:tc>
        <w:tc>
          <w:tcPr>
            <w:tcW w:w="5" w:type="pct"/>
            <w:shd w:val="clear" w:color="auto" w:fill="auto"/>
            <w:vAlign w:val="bottom"/>
          </w:tcPr>
          <w:p w14:paraId="67536ED0" w14:textId="77777777" w:rsidR="001B77DD" w:rsidRDefault="001B77DD">
            <w:pPr>
              <w:rPr>
                <w:rFonts w:ascii="宋体"/>
              </w:rPr>
            </w:pPr>
          </w:p>
        </w:tc>
        <w:tc>
          <w:tcPr>
            <w:tcW w:w="50" w:type="pct"/>
            <w:shd w:val="clear" w:color="auto" w:fill="auto"/>
            <w:vAlign w:val="bottom"/>
          </w:tcPr>
          <w:p w14:paraId="67536ED1" w14:textId="77777777" w:rsidR="001B77DD" w:rsidRDefault="001B77DD">
            <w:pPr>
              <w:rPr>
                <w:rFonts w:ascii="宋体"/>
              </w:rPr>
            </w:pPr>
          </w:p>
        </w:tc>
        <w:tc>
          <w:tcPr>
            <w:tcW w:w="527" w:type="pct"/>
            <w:shd w:val="clear" w:color="auto" w:fill="auto"/>
            <w:vAlign w:val="bottom"/>
          </w:tcPr>
          <w:p w14:paraId="67536ED2" w14:textId="77777777" w:rsidR="001B77DD" w:rsidRDefault="001B77DD">
            <w:pPr>
              <w:rPr>
                <w:rFonts w:ascii="宋体"/>
              </w:rPr>
            </w:pPr>
          </w:p>
        </w:tc>
        <w:tc>
          <w:tcPr>
            <w:tcW w:w="5" w:type="pct"/>
            <w:shd w:val="clear" w:color="auto" w:fill="auto"/>
            <w:vAlign w:val="bottom"/>
          </w:tcPr>
          <w:p w14:paraId="67536ED3" w14:textId="77777777" w:rsidR="001B77DD" w:rsidRDefault="001B77DD">
            <w:pPr>
              <w:rPr>
                <w:rFonts w:ascii="宋体"/>
              </w:rPr>
            </w:pPr>
          </w:p>
        </w:tc>
        <w:tc>
          <w:tcPr>
            <w:tcW w:w="5" w:type="pct"/>
            <w:shd w:val="clear" w:color="auto" w:fill="auto"/>
            <w:vAlign w:val="bottom"/>
          </w:tcPr>
          <w:p w14:paraId="67536ED4" w14:textId="77777777" w:rsidR="001B77DD" w:rsidRDefault="001B77DD">
            <w:pPr>
              <w:rPr>
                <w:rFonts w:ascii="宋体"/>
              </w:rPr>
            </w:pPr>
          </w:p>
        </w:tc>
        <w:tc>
          <w:tcPr>
            <w:tcW w:w="24" w:type="pct"/>
            <w:shd w:val="clear" w:color="auto" w:fill="auto"/>
            <w:vAlign w:val="bottom"/>
          </w:tcPr>
          <w:p w14:paraId="67536ED5" w14:textId="77777777" w:rsidR="001B77DD" w:rsidRDefault="001B77DD">
            <w:pPr>
              <w:rPr>
                <w:rFonts w:ascii="宋体"/>
              </w:rPr>
            </w:pPr>
          </w:p>
        </w:tc>
        <w:tc>
          <w:tcPr>
            <w:tcW w:w="5" w:type="pct"/>
            <w:shd w:val="clear" w:color="auto" w:fill="auto"/>
            <w:vAlign w:val="bottom"/>
          </w:tcPr>
          <w:p w14:paraId="67536ED6" w14:textId="77777777" w:rsidR="001B77DD" w:rsidRDefault="001B77DD">
            <w:pPr>
              <w:rPr>
                <w:rFonts w:ascii="宋体"/>
              </w:rPr>
            </w:pPr>
          </w:p>
        </w:tc>
        <w:tc>
          <w:tcPr>
            <w:tcW w:w="50" w:type="pct"/>
            <w:shd w:val="clear" w:color="auto" w:fill="auto"/>
            <w:vAlign w:val="bottom"/>
          </w:tcPr>
          <w:p w14:paraId="67536ED7" w14:textId="77777777" w:rsidR="001B77DD" w:rsidRDefault="001B77DD">
            <w:pPr>
              <w:rPr>
                <w:rFonts w:ascii="宋体"/>
              </w:rPr>
            </w:pPr>
          </w:p>
        </w:tc>
        <w:tc>
          <w:tcPr>
            <w:tcW w:w="520" w:type="pct"/>
            <w:shd w:val="clear" w:color="auto" w:fill="auto"/>
            <w:vAlign w:val="bottom"/>
          </w:tcPr>
          <w:p w14:paraId="67536ED8" w14:textId="77777777" w:rsidR="001B77DD" w:rsidRDefault="001B77DD">
            <w:pPr>
              <w:rPr>
                <w:rFonts w:ascii="宋体"/>
              </w:rPr>
            </w:pPr>
          </w:p>
        </w:tc>
        <w:tc>
          <w:tcPr>
            <w:tcW w:w="5" w:type="pct"/>
            <w:shd w:val="clear" w:color="auto" w:fill="auto"/>
            <w:vAlign w:val="bottom"/>
          </w:tcPr>
          <w:p w14:paraId="67536ED9" w14:textId="77777777" w:rsidR="001B77DD" w:rsidRDefault="001B77DD">
            <w:pPr>
              <w:rPr>
                <w:rFonts w:ascii="宋体"/>
              </w:rPr>
            </w:pPr>
          </w:p>
        </w:tc>
        <w:tc>
          <w:tcPr>
            <w:tcW w:w="5" w:type="pct"/>
            <w:shd w:val="clear" w:color="auto" w:fill="auto"/>
            <w:vAlign w:val="bottom"/>
          </w:tcPr>
          <w:p w14:paraId="67536EDA" w14:textId="77777777" w:rsidR="001B77DD" w:rsidRDefault="001B77DD">
            <w:pPr>
              <w:rPr>
                <w:rFonts w:ascii="宋体"/>
              </w:rPr>
            </w:pPr>
          </w:p>
        </w:tc>
        <w:tc>
          <w:tcPr>
            <w:tcW w:w="24" w:type="pct"/>
            <w:shd w:val="clear" w:color="auto" w:fill="auto"/>
            <w:vAlign w:val="bottom"/>
          </w:tcPr>
          <w:p w14:paraId="67536EDB" w14:textId="77777777" w:rsidR="001B77DD" w:rsidRDefault="001B77DD">
            <w:pPr>
              <w:rPr>
                <w:rFonts w:ascii="宋体"/>
              </w:rPr>
            </w:pPr>
          </w:p>
        </w:tc>
        <w:tc>
          <w:tcPr>
            <w:tcW w:w="5" w:type="pct"/>
            <w:shd w:val="clear" w:color="auto" w:fill="auto"/>
            <w:vAlign w:val="bottom"/>
          </w:tcPr>
          <w:p w14:paraId="67536EDC" w14:textId="77777777" w:rsidR="001B77DD" w:rsidRDefault="001B77DD">
            <w:pPr>
              <w:rPr>
                <w:rFonts w:ascii="宋体"/>
              </w:rPr>
            </w:pPr>
          </w:p>
        </w:tc>
        <w:tc>
          <w:tcPr>
            <w:tcW w:w="50" w:type="pct"/>
            <w:shd w:val="clear" w:color="auto" w:fill="auto"/>
            <w:vAlign w:val="bottom"/>
          </w:tcPr>
          <w:p w14:paraId="67536EDD" w14:textId="77777777" w:rsidR="001B77DD" w:rsidRDefault="001B77DD">
            <w:pPr>
              <w:rPr>
                <w:rFonts w:ascii="宋体"/>
              </w:rPr>
            </w:pPr>
          </w:p>
        </w:tc>
        <w:tc>
          <w:tcPr>
            <w:tcW w:w="458" w:type="pct"/>
            <w:shd w:val="clear" w:color="auto" w:fill="auto"/>
            <w:vAlign w:val="bottom"/>
          </w:tcPr>
          <w:p w14:paraId="67536EDE" w14:textId="77777777" w:rsidR="001B77DD" w:rsidRDefault="001B77DD">
            <w:pPr>
              <w:rPr>
                <w:rFonts w:ascii="宋体"/>
              </w:rPr>
            </w:pPr>
          </w:p>
        </w:tc>
        <w:tc>
          <w:tcPr>
            <w:tcW w:w="5" w:type="pct"/>
            <w:shd w:val="clear" w:color="auto" w:fill="auto"/>
            <w:vAlign w:val="bottom"/>
          </w:tcPr>
          <w:p w14:paraId="67536EDF" w14:textId="77777777" w:rsidR="001B77DD" w:rsidRDefault="001B77DD">
            <w:pPr>
              <w:rPr>
                <w:rFonts w:ascii="宋体"/>
              </w:rPr>
            </w:pPr>
          </w:p>
        </w:tc>
        <w:tc>
          <w:tcPr>
            <w:tcW w:w="5" w:type="pct"/>
            <w:shd w:val="clear" w:color="auto" w:fill="auto"/>
            <w:vAlign w:val="bottom"/>
          </w:tcPr>
          <w:p w14:paraId="67536EE0" w14:textId="77777777" w:rsidR="001B77DD" w:rsidRDefault="001B77DD">
            <w:pPr>
              <w:rPr>
                <w:rFonts w:ascii="宋体"/>
              </w:rPr>
            </w:pPr>
          </w:p>
        </w:tc>
        <w:tc>
          <w:tcPr>
            <w:tcW w:w="24" w:type="pct"/>
            <w:shd w:val="clear" w:color="auto" w:fill="auto"/>
            <w:vAlign w:val="bottom"/>
          </w:tcPr>
          <w:p w14:paraId="67536EE1" w14:textId="77777777" w:rsidR="001B77DD" w:rsidRDefault="001B77DD">
            <w:pPr>
              <w:rPr>
                <w:rFonts w:ascii="宋体"/>
              </w:rPr>
            </w:pPr>
          </w:p>
        </w:tc>
        <w:tc>
          <w:tcPr>
            <w:tcW w:w="5" w:type="pct"/>
            <w:shd w:val="clear" w:color="auto" w:fill="auto"/>
            <w:vAlign w:val="bottom"/>
          </w:tcPr>
          <w:p w14:paraId="67536EE2" w14:textId="77777777" w:rsidR="001B77DD" w:rsidRDefault="001B77DD">
            <w:pPr>
              <w:rPr>
                <w:rFonts w:ascii="宋体"/>
              </w:rPr>
            </w:pPr>
          </w:p>
        </w:tc>
        <w:tc>
          <w:tcPr>
            <w:tcW w:w="50" w:type="pct"/>
            <w:shd w:val="clear" w:color="auto" w:fill="auto"/>
            <w:vAlign w:val="bottom"/>
          </w:tcPr>
          <w:p w14:paraId="67536EE3" w14:textId="77777777" w:rsidR="001B77DD" w:rsidRDefault="001B77DD">
            <w:pPr>
              <w:rPr>
                <w:rFonts w:ascii="宋体"/>
              </w:rPr>
            </w:pPr>
          </w:p>
        </w:tc>
        <w:tc>
          <w:tcPr>
            <w:tcW w:w="527" w:type="pct"/>
            <w:shd w:val="clear" w:color="auto" w:fill="auto"/>
            <w:vAlign w:val="bottom"/>
          </w:tcPr>
          <w:p w14:paraId="67536EE4" w14:textId="77777777" w:rsidR="001B77DD" w:rsidRDefault="001B77DD">
            <w:pPr>
              <w:rPr>
                <w:rFonts w:ascii="宋体"/>
              </w:rPr>
            </w:pPr>
          </w:p>
        </w:tc>
        <w:tc>
          <w:tcPr>
            <w:tcW w:w="5" w:type="pct"/>
            <w:shd w:val="clear" w:color="auto" w:fill="auto"/>
            <w:vAlign w:val="bottom"/>
          </w:tcPr>
          <w:p w14:paraId="67536EE5" w14:textId="77777777" w:rsidR="001B77DD" w:rsidRDefault="001B77DD">
            <w:pPr>
              <w:rPr>
                <w:rFonts w:ascii="宋体"/>
              </w:rPr>
            </w:pPr>
          </w:p>
        </w:tc>
        <w:tc>
          <w:tcPr>
            <w:tcW w:w="5" w:type="pct"/>
            <w:shd w:val="clear" w:color="auto" w:fill="auto"/>
            <w:vAlign w:val="bottom"/>
          </w:tcPr>
          <w:p w14:paraId="67536EE6" w14:textId="77777777" w:rsidR="001B77DD" w:rsidRDefault="001B77DD">
            <w:pPr>
              <w:rPr>
                <w:rFonts w:ascii="宋体"/>
              </w:rPr>
            </w:pPr>
          </w:p>
        </w:tc>
        <w:tc>
          <w:tcPr>
            <w:tcW w:w="24" w:type="pct"/>
            <w:shd w:val="clear" w:color="auto" w:fill="auto"/>
            <w:vAlign w:val="bottom"/>
          </w:tcPr>
          <w:p w14:paraId="67536EE7" w14:textId="77777777" w:rsidR="001B77DD" w:rsidRDefault="001B77DD">
            <w:pPr>
              <w:rPr>
                <w:rFonts w:ascii="宋体"/>
              </w:rPr>
            </w:pPr>
          </w:p>
        </w:tc>
        <w:tc>
          <w:tcPr>
            <w:tcW w:w="5" w:type="pct"/>
            <w:shd w:val="clear" w:color="auto" w:fill="auto"/>
            <w:vAlign w:val="bottom"/>
          </w:tcPr>
          <w:p w14:paraId="67536EE8" w14:textId="77777777" w:rsidR="001B77DD" w:rsidRDefault="001B77DD">
            <w:pPr>
              <w:rPr>
                <w:rFonts w:ascii="宋体"/>
              </w:rPr>
            </w:pPr>
          </w:p>
        </w:tc>
        <w:tc>
          <w:tcPr>
            <w:tcW w:w="50" w:type="pct"/>
            <w:shd w:val="clear" w:color="auto" w:fill="auto"/>
            <w:vAlign w:val="bottom"/>
          </w:tcPr>
          <w:p w14:paraId="67536EE9" w14:textId="77777777" w:rsidR="001B77DD" w:rsidRDefault="001B77DD">
            <w:pPr>
              <w:rPr>
                <w:rFonts w:ascii="宋体"/>
              </w:rPr>
            </w:pPr>
          </w:p>
        </w:tc>
        <w:tc>
          <w:tcPr>
            <w:tcW w:w="520" w:type="pct"/>
            <w:shd w:val="clear" w:color="auto" w:fill="auto"/>
            <w:vAlign w:val="bottom"/>
          </w:tcPr>
          <w:p w14:paraId="67536EEA" w14:textId="77777777" w:rsidR="001B77DD" w:rsidRDefault="001B77DD">
            <w:pPr>
              <w:rPr>
                <w:rFonts w:ascii="宋体"/>
              </w:rPr>
            </w:pPr>
          </w:p>
        </w:tc>
        <w:tc>
          <w:tcPr>
            <w:tcW w:w="5" w:type="pct"/>
            <w:shd w:val="clear" w:color="auto" w:fill="auto"/>
            <w:vAlign w:val="bottom"/>
          </w:tcPr>
          <w:p w14:paraId="67536EEB" w14:textId="77777777" w:rsidR="001B77DD" w:rsidRDefault="001B77DD">
            <w:pPr>
              <w:rPr>
                <w:rFonts w:ascii="宋体"/>
              </w:rPr>
            </w:pPr>
          </w:p>
        </w:tc>
        <w:tc>
          <w:tcPr>
            <w:tcW w:w="5" w:type="pct"/>
            <w:shd w:val="clear" w:color="auto" w:fill="auto"/>
            <w:vAlign w:val="bottom"/>
          </w:tcPr>
          <w:p w14:paraId="67536EEC" w14:textId="77777777" w:rsidR="001B77DD" w:rsidRDefault="001B77DD">
            <w:pPr>
              <w:rPr>
                <w:rFonts w:ascii="宋体"/>
              </w:rPr>
            </w:pPr>
          </w:p>
        </w:tc>
        <w:tc>
          <w:tcPr>
            <w:tcW w:w="24" w:type="pct"/>
            <w:shd w:val="clear" w:color="auto" w:fill="auto"/>
            <w:vAlign w:val="bottom"/>
          </w:tcPr>
          <w:p w14:paraId="67536EED" w14:textId="77777777" w:rsidR="001B77DD" w:rsidRDefault="001B77DD">
            <w:pPr>
              <w:rPr>
                <w:rFonts w:ascii="宋体"/>
              </w:rPr>
            </w:pPr>
          </w:p>
        </w:tc>
        <w:tc>
          <w:tcPr>
            <w:tcW w:w="5" w:type="pct"/>
            <w:shd w:val="clear" w:color="auto" w:fill="auto"/>
            <w:vAlign w:val="bottom"/>
          </w:tcPr>
          <w:p w14:paraId="67536EEE" w14:textId="77777777" w:rsidR="001B77DD" w:rsidRDefault="001B77DD">
            <w:pPr>
              <w:rPr>
                <w:rFonts w:ascii="宋体"/>
              </w:rPr>
            </w:pPr>
          </w:p>
        </w:tc>
        <w:tc>
          <w:tcPr>
            <w:tcW w:w="50" w:type="pct"/>
            <w:shd w:val="clear" w:color="auto" w:fill="auto"/>
            <w:vAlign w:val="bottom"/>
          </w:tcPr>
          <w:p w14:paraId="67536EEF" w14:textId="77777777" w:rsidR="001B77DD" w:rsidRDefault="001B77DD">
            <w:pPr>
              <w:rPr>
                <w:rFonts w:ascii="宋体"/>
              </w:rPr>
            </w:pPr>
          </w:p>
        </w:tc>
        <w:tc>
          <w:tcPr>
            <w:tcW w:w="466" w:type="pct"/>
            <w:shd w:val="clear" w:color="auto" w:fill="auto"/>
            <w:vAlign w:val="bottom"/>
          </w:tcPr>
          <w:p w14:paraId="67536EF0" w14:textId="77777777" w:rsidR="001B77DD" w:rsidRDefault="001B77DD">
            <w:pPr>
              <w:rPr>
                <w:rFonts w:ascii="宋体"/>
              </w:rPr>
            </w:pPr>
          </w:p>
        </w:tc>
        <w:tc>
          <w:tcPr>
            <w:tcW w:w="5" w:type="pct"/>
            <w:shd w:val="clear" w:color="auto" w:fill="auto"/>
            <w:vAlign w:val="bottom"/>
          </w:tcPr>
          <w:p w14:paraId="67536EF1" w14:textId="77777777" w:rsidR="001B77DD" w:rsidRDefault="001B77DD">
            <w:pPr>
              <w:rPr>
                <w:rFonts w:ascii="宋体"/>
              </w:rPr>
            </w:pPr>
          </w:p>
        </w:tc>
      </w:tr>
      <w:tr w:rsidR="001B77DD" w14:paraId="67536EF8" w14:textId="77777777">
        <w:tc>
          <w:tcPr>
            <w:tcW w:w="0" w:type="auto"/>
            <w:gridSpan w:val="3"/>
            <w:shd w:val="clear" w:color="auto" w:fill="auto"/>
            <w:tcMar>
              <w:top w:w="0" w:type="dxa"/>
              <w:left w:w="20" w:type="dxa"/>
              <w:bottom w:w="0" w:type="dxa"/>
              <w:right w:w="20" w:type="dxa"/>
            </w:tcMar>
            <w:vAlign w:val="bottom"/>
          </w:tcPr>
          <w:p w14:paraId="67536EF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EF4" w14:textId="77777777" w:rsidR="001B77DD" w:rsidRDefault="001B77DD">
            <w:pPr>
              <w:rPr>
                <w:rFonts w:ascii="宋体"/>
              </w:rPr>
            </w:pPr>
          </w:p>
        </w:tc>
        <w:tc>
          <w:tcPr>
            <w:tcW w:w="0" w:type="auto"/>
            <w:gridSpan w:val="15"/>
            <w:shd w:val="clear" w:color="auto" w:fill="auto"/>
            <w:tcMar>
              <w:top w:w="40" w:type="dxa"/>
              <w:left w:w="20" w:type="dxa"/>
              <w:bottom w:w="40" w:type="dxa"/>
              <w:right w:w="20" w:type="dxa"/>
            </w:tcMar>
            <w:vAlign w:val="bottom"/>
          </w:tcPr>
          <w:p w14:paraId="67536EF5" w14:textId="77777777" w:rsidR="001B77DD" w:rsidRDefault="00BF0A28">
            <w:pPr>
              <w:jc w:val="cente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67536EF6" w14:textId="77777777" w:rsidR="001B77DD" w:rsidRDefault="001B77DD">
            <w:pPr>
              <w:rPr>
                <w:rFonts w:ascii="宋体"/>
              </w:rPr>
            </w:pPr>
          </w:p>
        </w:tc>
        <w:tc>
          <w:tcPr>
            <w:tcW w:w="0" w:type="auto"/>
            <w:gridSpan w:val="15"/>
            <w:shd w:val="clear" w:color="auto" w:fill="auto"/>
            <w:tcMar>
              <w:top w:w="40" w:type="dxa"/>
              <w:left w:w="20" w:type="dxa"/>
              <w:bottom w:w="40" w:type="dxa"/>
              <w:right w:w="20" w:type="dxa"/>
            </w:tcMar>
            <w:vAlign w:val="bottom"/>
          </w:tcPr>
          <w:p w14:paraId="67536EF7" w14:textId="77777777" w:rsidR="001B77DD" w:rsidRDefault="00BF0A28">
            <w:pPr>
              <w:jc w:val="center"/>
              <w:textAlignment w:val="bottom"/>
            </w:pPr>
            <w:r>
              <w:rPr>
                <w:rFonts w:ascii="Arial" w:eastAsia="宋体" w:hAnsi="Arial" w:cs="Arial"/>
                <w:b/>
                <w:bCs/>
                <w:color w:val="262626"/>
                <w:sz w:val="18"/>
                <w:szCs w:val="18"/>
              </w:rPr>
              <w:t>December 26, 2020</w:t>
            </w:r>
          </w:p>
        </w:tc>
      </w:tr>
      <w:tr w:rsidR="001B77DD" w14:paraId="67536F06" w14:textId="77777777">
        <w:tc>
          <w:tcPr>
            <w:tcW w:w="0" w:type="auto"/>
            <w:gridSpan w:val="3"/>
            <w:shd w:val="clear" w:color="auto" w:fill="auto"/>
            <w:tcMar>
              <w:top w:w="40" w:type="dxa"/>
              <w:left w:w="20" w:type="dxa"/>
              <w:bottom w:w="40" w:type="dxa"/>
              <w:right w:w="20" w:type="dxa"/>
            </w:tcMar>
            <w:vAlign w:val="bottom"/>
          </w:tcPr>
          <w:p w14:paraId="67536EF9"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6EFA"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6EFB" w14:textId="77777777" w:rsidR="001B77DD" w:rsidRDefault="00BF0A28">
            <w:pPr>
              <w:jc w:val="center"/>
              <w:textAlignment w:val="bottom"/>
            </w:pPr>
            <w:r>
              <w:rPr>
                <w:rFonts w:ascii="Arial" w:eastAsia="宋体" w:hAnsi="Arial" w:cs="Arial"/>
                <w:b/>
                <w:bCs/>
                <w:color w:val="262626"/>
                <w:sz w:val="18"/>
                <w:szCs w:val="18"/>
              </w:rPr>
              <w:t>Gross Assets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6EFC"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6EFD" w14:textId="77777777" w:rsidR="001B77DD" w:rsidRDefault="00BF0A28">
            <w:pPr>
              <w:jc w:val="center"/>
              <w:textAlignment w:val="bottom"/>
            </w:pPr>
            <w:r>
              <w:rPr>
                <w:rFonts w:ascii="Arial" w:eastAsia="宋体" w:hAnsi="Arial" w:cs="Arial"/>
                <w:b/>
                <w:bCs/>
                <w:color w:val="262626"/>
                <w:sz w:val="18"/>
                <w:szCs w:val="18"/>
              </w:rPr>
              <w:t>Accumulated Amortization</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6EFE"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6EFF" w14:textId="77777777" w:rsidR="001B77DD" w:rsidRDefault="00BF0A28">
            <w:pPr>
              <w:jc w:val="center"/>
              <w:textAlignment w:val="bottom"/>
            </w:pPr>
            <w:r>
              <w:rPr>
                <w:rFonts w:ascii="Arial" w:eastAsia="宋体" w:hAnsi="Arial" w:cs="Arial"/>
                <w:b/>
                <w:bCs/>
                <w:color w:val="262626"/>
                <w:sz w:val="18"/>
                <w:szCs w:val="18"/>
              </w:rPr>
              <w:t>Net</w:t>
            </w:r>
          </w:p>
        </w:tc>
        <w:tc>
          <w:tcPr>
            <w:tcW w:w="0" w:type="auto"/>
            <w:gridSpan w:val="3"/>
            <w:shd w:val="clear" w:color="auto" w:fill="auto"/>
            <w:tcMar>
              <w:top w:w="0" w:type="dxa"/>
              <w:left w:w="20" w:type="dxa"/>
              <w:bottom w:w="0" w:type="dxa"/>
              <w:right w:w="20" w:type="dxa"/>
            </w:tcMar>
            <w:vAlign w:val="bottom"/>
          </w:tcPr>
          <w:p w14:paraId="67536F00"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6F01" w14:textId="77777777" w:rsidR="001B77DD" w:rsidRDefault="00BF0A28">
            <w:pPr>
              <w:jc w:val="center"/>
              <w:textAlignment w:val="bottom"/>
            </w:pPr>
            <w:r>
              <w:rPr>
                <w:rFonts w:ascii="Arial" w:eastAsia="宋体" w:hAnsi="Arial" w:cs="Arial"/>
                <w:b/>
                <w:bCs/>
                <w:color w:val="262626"/>
                <w:sz w:val="18"/>
                <w:szCs w:val="18"/>
              </w:rPr>
              <w:t>Gross Assets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6F02"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6F03" w14:textId="77777777" w:rsidR="001B77DD" w:rsidRDefault="00BF0A28">
            <w:pPr>
              <w:jc w:val="center"/>
              <w:textAlignment w:val="bottom"/>
            </w:pPr>
            <w:r>
              <w:rPr>
                <w:rFonts w:ascii="Arial" w:eastAsia="宋体" w:hAnsi="Arial" w:cs="Arial"/>
                <w:b/>
                <w:bCs/>
                <w:color w:val="262626"/>
                <w:sz w:val="18"/>
                <w:szCs w:val="18"/>
              </w:rPr>
              <w:t>Accumulated Amortization</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6F04"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6F05" w14:textId="77777777" w:rsidR="001B77DD" w:rsidRDefault="00BF0A28">
            <w:pPr>
              <w:jc w:val="center"/>
              <w:textAlignment w:val="bottom"/>
            </w:pPr>
            <w:r>
              <w:rPr>
                <w:rFonts w:ascii="Arial" w:eastAsia="宋体" w:hAnsi="Arial" w:cs="Arial"/>
                <w:b/>
                <w:bCs/>
                <w:color w:val="262626"/>
                <w:sz w:val="18"/>
                <w:szCs w:val="18"/>
              </w:rPr>
              <w:t>Net</w:t>
            </w:r>
          </w:p>
        </w:tc>
      </w:tr>
      <w:tr w:rsidR="001B77DD" w14:paraId="67536F2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F07" w14:textId="77777777" w:rsidR="001B77DD" w:rsidRDefault="00BF0A28">
            <w:pPr>
              <w:textAlignment w:val="bottom"/>
            </w:pPr>
            <w:r>
              <w:rPr>
                <w:rFonts w:ascii="Arial" w:eastAsia="宋体" w:hAnsi="Arial" w:cs="Arial"/>
                <w:color w:val="262626"/>
                <w:sz w:val="18"/>
                <w:szCs w:val="18"/>
              </w:rPr>
              <w:t>Developed technology</w:t>
            </w:r>
          </w:p>
        </w:tc>
        <w:tc>
          <w:tcPr>
            <w:tcW w:w="0" w:type="auto"/>
            <w:gridSpan w:val="3"/>
            <w:shd w:val="clear" w:color="auto" w:fill="auto"/>
            <w:tcMar>
              <w:top w:w="0" w:type="dxa"/>
              <w:left w:w="20" w:type="dxa"/>
              <w:bottom w:w="0" w:type="dxa"/>
              <w:right w:w="20" w:type="dxa"/>
            </w:tcMar>
            <w:vAlign w:val="bottom"/>
          </w:tcPr>
          <w:p w14:paraId="67536F08"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09"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0A" w14:textId="77777777" w:rsidR="001B77DD" w:rsidRDefault="00BF0A28">
            <w:pPr>
              <w:jc w:val="right"/>
              <w:textAlignment w:val="bottom"/>
            </w:pPr>
            <w:r>
              <w:rPr>
                <w:rFonts w:ascii="Arial" w:eastAsia="宋体" w:hAnsi="Arial" w:cs="Arial"/>
                <w:color w:val="0068B5"/>
                <w:sz w:val="18"/>
                <w:szCs w:val="18"/>
              </w:rPr>
              <w:t>11,102 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0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0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0D"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0E" w14:textId="77777777" w:rsidR="001B77DD" w:rsidRDefault="00BF0A28">
            <w:pPr>
              <w:jc w:val="right"/>
              <w:textAlignment w:val="bottom"/>
            </w:pPr>
            <w:r>
              <w:rPr>
                <w:rFonts w:ascii="Arial" w:eastAsia="宋体" w:hAnsi="Arial" w:cs="Arial"/>
                <w:color w:val="0068B5"/>
                <w:sz w:val="18"/>
                <w:szCs w:val="18"/>
              </w:rPr>
              <w:t>(6,026)</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0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10"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11"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12" w14:textId="77777777" w:rsidR="001B77DD" w:rsidRDefault="00BF0A28">
            <w:pPr>
              <w:jc w:val="right"/>
              <w:textAlignment w:val="bottom"/>
            </w:pPr>
            <w:r>
              <w:rPr>
                <w:rFonts w:ascii="Arial" w:eastAsia="宋体" w:hAnsi="Arial" w:cs="Arial"/>
                <w:color w:val="0068B5"/>
                <w:sz w:val="18"/>
                <w:szCs w:val="18"/>
              </w:rPr>
              <w:t>5,076 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1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1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15"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16" w14:textId="77777777" w:rsidR="001B77DD" w:rsidRDefault="00BF0A28">
            <w:pPr>
              <w:jc w:val="right"/>
              <w:textAlignment w:val="bottom"/>
            </w:pPr>
            <w:r>
              <w:rPr>
                <w:rFonts w:ascii="Arial" w:eastAsia="宋体" w:hAnsi="Arial" w:cs="Arial"/>
                <w:color w:val="262626"/>
                <w:sz w:val="18"/>
                <w:szCs w:val="18"/>
              </w:rPr>
              <w:t>10,188 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1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18"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19"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1A" w14:textId="77777777" w:rsidR="001B77DD" w:rsidRDefault="00BF0A28">
            <w:pPr>
              <w:jc w:val="right"/>
              <w:textAlignment w:val="bottom"/>
            </w:pPr>
            <w:r>
              <w:rPr>
                <w:rFonts w:ascii="Arial" w:eastAsia="宋体" w:hAnsi="Arial" w:cs="Arial"/>
                <w:color w:val="262626"/>
                <w:sz w:val="18"/>
                <w:szCs w:val="18"/>
              </w:rPr>
              <w:t>(4,880)</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1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1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1D"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1E" w14:textId="77777777" w:rsidR="001B77DD" w:rsidRDefault="00BF0A28">
            <w:pPr>
              <w:jc w:val="right"/>
              <w:textAlignment w:val="bottom"/>
            </w:pPr>
            <w:r>
              <w:rPr>
                <w:rFonts w:ascii="Arial" w:eastAsia="宋体" w:hAnsi="Arial" w:cs="Arial"/>
                <w:color w:val="262626"/>
                <w:sz w:val="18"/>
                <w:szCs w:val="18"/>
              </w:rPr>
              <w:t>5,308 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1F" w14:textId="77777777" w:rsidR="001B77DD" w:rsidRDefault="001B77DD">
            <w:pPr>
              <w:jc w:val="right"/>
              <w:rPr>
                <w:rFonts w:ascii="宋体"/>
              </w:rPr>
            </w:pPr>
          </w:p>
        </w:tc>
      </w:tr>
      <w:tr w:rsidR="001B77DD" w14:paraId="67536F34" w14:textId="77777777">
        <w:tc>
          <w:tcPr>
            <w:tcW w:w="0" w:type="auto"/>
            <w:gridSpan w:val="3"/>
            <w:shd w:val="clear" w:color="auto" w:fill="auto"/>
            <w:tcMar>
              <w:top w:w="40" w:type="dxa"/>
              <w:left w:w="20" w:type="dxa"/>
              <w:bottom w:w="40" w:type="dxa"/>
              <w:right w:w="20" w:type="dxa"/>
            </w:tcMar>
            <w:vAlign w:val="bottom"/>
          </w:tcPr>
          <w:p w14:paraId="67536F21" w14:textId="77777777" w:rsidR="001B77DD" w:rsidRDefault="00BF0A28">
            <w:pPr>
              <w:textAlignment w:val="bottom"/>
            </w:pPr>
            <w:r>
              <w:rPr>
                <w:rFonts w:ascii="Arial" w:eastAsia="宋体" w:hAnsi="Arial" w:cs="Arial"/>
                <w:color w:val="262626"/>
                <w:sz w:val="18"/>
                <w:szCs w:val="18"/>
              </w:rPr>
              <w:t>Customer relationships and brands</w:t>
            </w:r>
          </w:p>
        </w:tc>
        <w:tc>
          <w:tcPr>
            <w:tcW w:w="0" w:type="auto"/>
            <w:gridSpan w:val="3"/>
            <w:shd w:val="clear" w:color="auto" w:fill="auto"/>
            <w:tcMar>
              <w:top w:w="0" w:type="dxa"/>
              <w:left w:w="20" w:type="dxa"/>
              <w:bottom w:w="0" w:type="dxa"/>
              <w:right w:w="20" w:type="dxa"/>
            </w:tcMar>
            <w:vAlign w:val="bottom"/>
          </w:tcPr>
          <w:p w14:paraId="67536F2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23" w14:textId="77777777" w:rsidR="001B77DD" w:rsidRDefault="00BF0A28">
            <w:pPr>
              <w:jc w:val="right"/>
              <w:textAlignment w:val="bottom"/>
            </w:pPr>
            <w:r>
              <w:rPr>
                <w:rFonts w:ascii="Arial" w:eastAsia="宋体" w:hAnsi="Arial" w:cs="Arial"/>
                <w:color w:val="0068B5"/>
                <w:sz w:val="18"/>
                <w:szCs w:val="18"/>
              </w:rPr>
              <w:t>2,110 </w:t>
            </w:r>
          </w:p>
        </w:tc>
        <w:tc>
          <w:tcPr>
            <w:tcW w:w="0" w:type="auto"/>
            <w:shd w:val="clear" w:color="auto" w:fill="auto"/>
            <w:tcMar>
              <w:top w:w="40" w:type="dxa"/>
              <w:left w:w="0" w:type="dxa"/>
              <w:bottom w:w="40" w:type="dxa"/>
              <w:right w:w="20" w:type="dxa"/>
            </w:tcMar>
            <w:vAlign w:val="bottom"/>
          </w:tcPr>
          <w:p w14:paraId="67536F2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2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26" w14:textId="77777777" w:rsidR="001B77DD" w:rsidRDefault="00BF0A28">
            <w:pPr>
              <w:jc w:val="right"/>
              <w:textAlignment w:val="bottom"/>
            </w:pPr>
            <w:r>
              <w:rPr>
                <w:rFonts w:ascii="Arial" w:eastAsia="宋体" w:hAnsi="Arial" w:cs="Arial"/>
                <w:color w:val="0068B5"/>
                <w:sz w:val="18"/>
                <w:szCs w:val="18"/>
              </w:rPr>
              <w:t>(1,063)</w:t>
            </w:r>
          </w:p>
        </w:tc>
        <w:tc>
          <w:tcPr>
            <w:tcW w:w="0" w:type="auto"/>
            <w:shd w:val="clear" w:color="auto" w:fill="auto"/>
            <w:tcMar>
              <w:top w:w="40" w:type="dxa"/>
              <w:left w:w="0" w:type="dxa"/>
              <w:bottom w:w="40" w:type="dxa"/>
              <w:right w:w="20" w:type="dxa"/>
            </w:tcMar>
            <w:vAlign w:val="bottom"/>
          </w:tcPr>
          <w:p w14:paraId="67536F2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2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29" w14:textId="77777777" w:rsidR="001B77DD" w:rsidRDefault="00BF0A28">
            <w:pPr>
              <w:jc w:val="right"/>
              <w:textAlignment w:val="bottom"/>
            </w:pPr>
            <w:r>
              <w:rPr>
                <w:rFonts w:ascii="Arial" w:eastAsia="宋体" w:hAnsi="Arial" w:cs="Arial"/>
                <w:color w:val="0068B5"/>
                <w:sz w:val="18"/>
                <w:szCs w:val="18"/>
              </w:rPr>
              <w:t>1,047 </w:t>
            </w:r>
          </w:p>
        </w:tc>
        <w:tc>
          <w:tcPr>
            <w:tcW w:w="0" w:type="auto"/>
            <w:shd w:val="clear" w:color="auto" w:fill="auto"/>
            <w:tcMar>
              <w:top w:w="40" w:type="dxa"/>
              <w:left w:w="0" w:type="dxa"/>
              <w:bottom w:w="40" w:type="dxa"/>
              <w:right w:w="20" w:type="dxa"/>
            </w:tcMar>
            <w:vAlign w:val="bottom"/>
          </w:tcPr>
          <w:p w14:paraId="67536F2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2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2C" w14:textId="77777777" w:rsidR="001B77DD" w:rsidRDefault="00BF0A28">
            <w:pPr>
              <w:jc w:val="right"/>
              <w:textAlignment w:val="bottom"/>
            </w:pPr>
            <w:r>
              <w:rPr>
                <w:rFonts w:ascii="Arial" w:eastAsia="宋体" w:hAnsi="Arial" w:cs="Arial"/>
                <w:color w:val="262626"/>
                <w:sz w:val="18"/>
                <w:szCs w:val="18"/>
              </w:rPr>
              <w:t>2,110 </w:t>
            </w:r>
          </w:p>
        </w:tc>
        <w:tc>
          <w:tcPr>
            <w:tcW w:w="0" w:type="auto"/>
            <w:shd w:val="clear" w:color="auto" w:fill="auto"/>
            <w:tcMar>
              <w:top w:w="40" w:type="dxa"/>
              <w:left w:w="0" w:type="dxa"/>
              <w:bottom w:w="40" w:type="dxa"/>
              <w:right w:w="20" w:type="dxa"/>
            </w:tcMar>
            <w:vAlign w:val="bottom"/>
          </w:tcPr>
          <w:p w14:paraId="67536F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2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2F" w14:textId="77777777" w:rsidR="001B77DD" w:rsidRDefault="00BF0A28">
            <w:pPr>
              <w:jc w:val="right"/>
              <w:textAlignment w:val="bottom"/>
            </w:pPr>
            <w:r>
              <w:rPr>
                <w:rFonts w:ascii="Arial" w:eastAsia="宋体" w:hAnsi="Arial" w:cs="Arial"/>
                <w:color w:val="262626"/>
                <w:sz w:val="18"/>
                <w:szCs w:val="18"/>
              </w:rPr>
              <w:t>(854)</w:t>
            </w:r>
          </w:p>
        </w:tc>
        <w:tc>
          <w:tcPr>
            <w:tcW w:w="0" w:type="auto"/>
            <w:shd w:val="clear" w:color="auto" w:fill="auto"/>
            <w:tcMar>
              <w:top w:w="40" w:type="dxa"/>
              <w:left w:w="0" w:type="dxa"/>
              <w:bottom w:w="40" w:type="dxa"/>
              <w:right w:w="20" w:type="dxa"/>
            </w:tcMar>
            <w:vAlign w:val="bottom"/>
          </w:tcPr>
          <w:p w14:paraId="67536F3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3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32" w14:textId="77777777" w:rsidR="001B77DD" w:rsidRDefault="00BF0A28">
            <w:pPr>
              <w:jc w:val="right"/>
              <w:textAlignment w:val="bottom"/>
            </w:pPr>
            <w:r>
              <w:rPr>
                <w:rFonts w:ascii="Arial" w:eastAsia="宋体" w:hAnsi="Arial" w:cs="Arial"/>
                <w:color w:val="262626"/>
                <w:sz w:val="18"/>
                <w:szCs w:val="18"/>
              </w:rPr>
              <w:t>1,256 </w:t>
            </w:r>
          </w:p>
        </w:tc>
        <w:tc>
          <w:tcPr>
            <w:tcW w:w="0" w:type="auto"/>
            <w:shd w:val="clear" w:color="auto" w:fill="auto"/>
            <w:tcMar>
              <w:top w:w="40" w:type="dxa"/>
              <w:left w:w="0" w:type="dxa"/>
              <w:bottom w:w="40" w:type="dxa"/>
              <w:right w:w="20" w:type="dxa"/>
            </w:tcMar>
            <w:vAlign w:val="bottom"/>
          </w:tcPr>
          <w:p w14:paraId="67536F33" w14:textId="77777777" w:rsidR="001B77DD" w:rsidRDefault="001B77DD">
            <w:pPr>
              <w:jc w:val="right"/>
              <w:rPr>
                <w:rFonts w:ascii="宋体"/>
              </w:rPr>
            </w:pPr>
          </w:p>
        </w:tc>
      </w:tr>
      <w:tr w:rsidR="001B77DD" w14:paraId="67536F48" w14:textId="77777777">
        <w:tc>
          <w:tcPr>
            <w:tcW w:w="0" w:type="auto"/>
            <w:gridSpan w:val="3"/>
            <w:shd w:val="clear" w:color="auto" w:fill="auto"/>
            <w:tcMar>
              <w:top w:w="40" w:type="dxa"/>
              <w:left w:w="20" w:type="dxa"/>
              <w:bottom w:w="40" w:type="dxa"/>
              <w:right w:w="20" w:type="dxa"/>
            </w:tcMar>
            <w:vAlign w:val="bottom"/>
          </w:tcPr>
          <w:p w14:paraId="67536F35" w14:textId="77777777" w:rsidR="001B77DD" w:rsidRDefault="00BF0A28">
            <w:pPr>
              <w:textAlignment w:val="bottom"/>
            </w:pPr>
            <w:r>
              <w:rPr>
                <w:rFonts w:ascii="Arial" w:eastAsia="宋体" w:hAnsi="Arial" w:cs="Arial"/>
                <w:color w:val="262626"/>
                <w:sz w:val="18"/>
                <w:szCs w:val="18"/>
              </w:rPr>
              <w:t>Licensed technology and patents</w:t>
            </w:r>
          </w:p>
        </w:tc>
        <w:tc>
          <w:tcPr>
            <w:tcW w:w="0" w:type="auto"/>
            <w:gridSpan w:val="3"/>
            <w:shd w:val="clear" w:color="auto" w:fill="auto"/>
            <w:tcMar>
              <w:top w:w="0" w:type="dxa"/>
              <w:left w:w="20" w:type="dxa"/>
              <w:bottom w:w="0" w:type="dxa"/>
              <w:right w:w="20" w:type="dxa"/>
            </w:tcMar>
            <w:vAlign w:val="bottom"/>
          </w:tcPr>
          <w:p w14:paraId="67536F3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37" w14:textId="77777777" w:rsidR="001B77DD" w:rsidRDefault="00BF0A28">
            <w:pPr>
              <w:jc w:val="right"/>
              <w:textAlignment w:val="bottom"/>
            </w:pPr>
            <w:r>
              <w:rPr>
                <w:rFonts w:ascii="Arial" w:eastAsia="宋体" w:hAnsi="Arial" w:cs="Arial"/>
                <w:color w:val="0068B5"/>
                <w:sz w:val="18"/>
                <w:szCs w:val="18"/>
              </w:rPr>
              <w:t>2,893 </w:t>
            </w:r>
          </w:p>
        </w:tc>
        <w:tc>
          <w:tcPr>
            <w:tcW w:w="0" w:type="auto"/>
            <w:shd w:val="clear" w:color="auto" w:fill="auto"/>
            <w:tcMar>
              <w:top w:w="40" w:type="dxa"/>
              <w:left w:w="0" w:type="dxa"/>
              <w:bottom w:w="40" w:type="dxa"/>
              <w:right w:w="20" w:type="dxa"/>
            </w:tcMar>
            <w:vAlign w:val="bottom"/>
          </w:tcPr>
          <w:p w14:paraId="67536F3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3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3A" w14:textId="77777777" w:rsidR="001B77DD" w:rsidRDefault="00BF0A28">
            <w:pPr>
              <w:jc w:val="right"/>
              <w:textAlignment w:val="bottom"/>
            </w:pPr>
            <w:r>
              <w:rPr>
                <w:rFonts w:ascii="Arial" w:eastAsia="宋体" w:hAnsi="Arial" w:cs="Arial"/>
                <w:color w:val="0068B5"/>
                <w:sz w:val="18"/>
                <w:szCs w:val="18"/>
              </w:rPr>
              <w:t>(1,746)</w:t>
            </w:r>
          </w:p>
        </w:tc>
        <w:tc>
          <w:tcPr>
            <w:tcW w:w="0" w:type="auto"/>
            <w:shd w:val="clear" w:color="auto" w:fill="auto"/>
            <w:tcMar>
              <w:top w:w="40" w:type="dxa"/>
              <w:left w:w="0" w:type="dxa"/>
              <w:bottom w:w="40" w:type="dxa"/>
              <w:right w:w="20" w:type="dxa"/>
            </w:tcMar>
            <w:vAlign w:val="bottom"/>
          </w:tcPr>
          <w:p w14:paraId="67536F3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3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3D" w14:textId="77777777" w:rsidR="001B77DD" w:rsidRDefault="00BF0A28">
            <w:pPr>
              <w:jc w:val="right"/>
              <w:textAlignment w:val="bottom"/>
            </w:pPr>
            <w:r>
              <w:rPr>
                <w:rFonts w:ascii="Arial" w:eastAsia="宋体" w:hAnsi="Arial" w:cs="Arial"/>
                <w:color w:val="0068B5"/>
                <w:sz w:val="18"/>
                <w:szCs w:val="18"/>
              </w:rPr>
              <w:t>1,147 </w:t>
            </w:r>
          </w:p>
        </w:tc>
        <w:tc>
          <w:tcPr>
            <w:tcW w:w="0" w:type="auto"/>
            <w:shd w:val="clear" w:color="auto" w:fill="auto"/>
            <w:tcMar>
              <w:top w:w="40" w:type="dxa"/>
              <w:left w:w="0" w:type="dxa"/>
              <w:bottom w:w="40" w:type="dxa"/>
              <w:right w:w="20" w:type="dxa"/>
            </w:tcMar>
            <w:vAlign w:val="bottom"/>
          </w:tcPr>
          <w:p w14:paraId="67536F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3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40" w14:textId="77777777" w:rsidR="001B77DD" w:rsidRDefault="00BF0A28">
            <w:pPr>
              <w:jc w:val="right"/>
              <w:textAlignment w:val="bottom"/>
            </w:pPr>
            <w:r>
              <w:rPr>
                <w:rFonts w:ascii="Arial" w:eastAsia="宋体" w:hAnsi="Arial" w:cs="Arial"/>
                <w:color w:val="262626"/>
                <w:sz w:val="18"/>
                <w:szCs w:val="18"/>
              </w:rPr>
              <w:t>2,836 </w:t>
            </w:r>
          </w:p>
        </w:tc>
        <w:tc>
          <w:tcPr>
            <w:tcW w:w="0" w:type="auto"/>
            <w:shd w:val="clear" w:color="auto" w:fill="auto"/>
            <w:tcMar>
              <w:top w:w="40" w:type="dxa"/>
              <w:left w:w="0" w:type="dxa"/>
              <w:bottom w:w="40" w:type="dxa"/>
              <w:right w:w="20" w:type="dxa"/>
            </w:tcMar>
            <w:vAlign w:val="bottom"/>
          </w:tcPr>
          <w:p w14:paraId="67536F4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4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43" w14:textId="77777777" w:rsidR="001B77DD" w:rsidRDefault="00BF0A28">
            <w:pPr>
              <w:jc w:val="right"/>
              <w:textAlignment w:val="bottom"/>
            </w:pPr>
            <w:r>
              <w:rPr>
                <w:rFonts w:ascii="Arial" w:eastAsia="宋体" w:hAnsi="Arial" w:cs="Arial"/>
                <w:color w:val="262626"/>
                <w:sz w:val="18"/>
                <w:szCs w:val="18"/>
              </w:rPr>
              <w:t>(1,629)</w:t>
            </w:r>
          </w:p>
        </w:tc>
        <w:tc>
          <w:tcPr>
            <w:tcW w:w="0" w:type="auto"/>
            <w:shd w:val="clear" w:color="auto" w:fill="auto"/>
            <w:tcMar>
              <w:top w:w="40" w:type="dxa"/>
              <w:left w:w="0" w:type="dxa"/>
              <w:bottom w:w="40" w:type="dxa"/>
              <w:right w:w="20" w:type="dxa"/>
            </w:tcMar>
            <w:vAlign w:val="bottom"/>
          </w:tcPr>
          <w:p w14:paraId="67536F4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4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46" w14:textId="77777777" w:rsidR="001B77DD" w:rsidRDefault="00BF0A28">
            <w:pPr>
              <w:jc w:val="right"/>
              <w:textAlignment w:val="bottom"/>
            </w:pPr>
            <w:r>
              <w:rPr>
                <w:rFonts w:ascii="Arial" w:eastAsia="宋体" w:hAnsi="Arial" w:cs="Arial"/>
                <w:color w:val="262626"/>
                <w:sz w:val="18"/>
                <w:szCs w:val="18"/>
              </w:rPr>
              <w:t>1,207 </w:t>
            </w:r>
          </w:p>
        </w:tc>
        <w:tc>
          <w:tcPr>
            <w:tcW w:w="0" w:type="auto"/>
            <w:shd w:val="clear" w:color="auto" w:fill="auto"/>
            <w:tcMar>
              <w:top w:w="40" w:type="dxa"/>
              <w:left w:w="0" w:type="dxa"/>
              <w:bottom w:w="40" w:type="dxa"/>
              <w:right w:w="20" w:type="dxa"/>
            </w:tcMar>
            <w:vAlign w:val="bottom"/>
          </w:tcPr>
          <w:p w14:paraId="67536F47" w14:textId="77777777" w:rsidR="001B77DD" w:rsidRDefault="001B77DD">
            <w:pPr>
              <w:jc w:val="right"/>
              <w:rPr>
                <w:rFonts w:ascii="宋体"/>
              </w:rPr>
            </w:pPr>
          </w:p>
        </w:tc>
      </w:tr>
      <w:tr w:rsidR="001B77DD" w14:paraId="67536F5C" w14:textId="77777777">
        <w:tc>
          <w:tcPr>
            <w:tcW w:w="0" w:type="auto"/>
            <w:gridSpan w:val="3"/>
            <w:shd w:val="clear" w:color="auto" w:fill="auto"/>
            <w:tcMar>
              <w:top w:w="40" w:type="dxa"/>
              <w:left w:w="20" w:type="dxa"/>
              <w:bottom w:w="40" w:type="dxa"/>
              <w:right w:w="20" w:type="dxa"/>
            </w:tcMar>
            <w:vAlign w:val="bottom"/>
          </w:tcPr>
          <w:p w14:paraId="67536F49" w14:textId="77777777" w:rsidR="001B77DD" w:rsidRDefault="00BF0A28">
            <w:pPr>
              <w:textAlignment w:val="bottom"/>
            </w:pPr>
            <w:r>
              <w:rPr>
                <w:rFonts w:ascii="Arial" w:eastAsia="宋体" w:hAnsi="Arial" w:cs="Arial"/>
                <w:color w:val="262626"/>
                <w:sz w:val="18"/>
                <w:szCs w:val="18"/>
              </w:rPr>
              <w:t>In-process R&amp;D</w:t>
            </w:r>
          </w:p>
        </w:tc>
        <w:tc>
          <w:tcPr>
            <w:tcW w:w="0" w:type="auto"/>
            <w:gridSpan w:val="3"/>
            <w:shd w:val="clear" w:color="auto" w:fill="auto"/>
            <w:tcMar>
              <w:top w:w="0" w:type="dxa"/>
              <w:left w:w="20" w:type="dxa"/>
              <w:bottom w:w="0" w:type="dxa"/>
              <w:right w:w="20" w:type="dxa"/>
            </w:tcMar>
            <w:vAlign w:val="bottom"/>
          </w:tcPr>
          <w:p w14:paraId="67536F4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4B"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F4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4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4E"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F4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5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51"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F5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5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54" w14:textId="77777777" w:rsidR="001B77DD" w:rsidRDefault="00BF0A28">
            <w:pPr>
              <w:jc w:val="right"/>
              <w:textAlignment w:val="bottom"/>
            </w:pPr>
            <w:r>
              <w:rPr>
                <w:rFonts w:ascii="Arial" w:eastAsia="宋体" w:hAnsi="Arial" w:cs="Arial"/>
                <w:color w:val="262626"/>
                <w:sz w:val="18"/>
                <w:szCs w:val="18"/>
              </w:rPr>
              <w:t>954 </w:t>
            </w:r>
          </w:p>
        </w:tc>
        <w:tc>
          <w:tcPr>
            <w:tcW w:w="0" w:type="auto"/>
            <w:shd w:val="clear" w:color="auto" w:fill="auto"/>
            <w:tcMar>
              <w:top w:w="40" w:type="dxa"/>
              <w:left w:w="0" w:type="dxa"/>
              <w:bottom w:w="40" w:type="dxa"/>
              <w:right w:w="20" w:type="dxa"/>
            </w:tcMar>
            <w:vAlign w:val="bottom"/>
          </w:tcPr>
          <w:p w14:paraId="67536F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5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57"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F5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5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5A" w14:textId="77777777" w:rsidR="001B77DD" w:rsidRDefault="00BF0A28">
            <w:pPr>
              <w:jc w:val="right"/>
              <w:textAlignment w:val="bottom"/>
            </w:pPr>
            <w:r>
              <w:rPr>
                <w:rFonts w:ascii="Arial" w:eastAsia="宋体" w:hAnsi="Arial" w:cs="Arial"/>
                <w:color w:val="262626"/>
                <w:sz w:val="18"/>
                <w:szCs w:val="18"/>
              </w:rPr>
              <w:t>954 </w:t>
            </w:r>
          </w:p>
        </w:tc>
        <w:tc>
          <w:tcPr>
            <w:tcW w:w="0" w:type="auto"/>
            <w:shd w:val="clear" w:color="auto" w:fill="auto"/>
            <w:tcMar>
              <w:top w:w="40" w:type="dxa"/>
              <w:left w:w="0" w:type="dxa"/>
              <w:bottom w:w="40" w:type="dxa"/>
              <w:right w:w="20" w:type="dxa"/>
            </w:tcMar>
            <w:vAlign w:val="bottom"/>
          </w:tcPr>
          <w:p w14:paraId="67536F5B" w14:textId="77777777" w:rsidR="001B77DD" w:rsidRDefault="001B77DD">
            <w:pPr>
              <w:jc w:val="right"/>
              <w:rPr>
                <w:rFonts w:ascii="宋体"/>
              </w:rPr>
            </w:pPr>
          </w:p>
        </w:tc>
      </w:tr>
      <w:tr w:rsidR="001B77DD" w14:paraId="67536F70" w14:textId="77777777">
        <w:tc>
          <w:tcPr>
            <w:tcW w:w="0" w:type="auto"/>
            <w:gridSpan w:val="3"/>
            <w:shd w:val="clear" w:color="auto" w:fill="auto"/>
            <w:tcMar>
              <w:top w:w="40" w:type="dxa"/>
              <w:left w:w="20" w:type="dxa"/>
              <w:bottom w:w="40" w:type="dxa"/>
              <w:right w:w="20" w:type="dxa"/>
            </w:tcMar>
            <w:vAlign w:val="bottom"/>
          </w:tcPr>
          <w:p w14:paraId="67536F5D" w14:textId="77777777" w:rsidR="001B77DD" w:rsidRDefault="00BF0A28">
            <w:pPr>
              <w:textAlignment w:val="bottom"/>
            </w:pPr>
            <w:r>
              <w:rPr>
                <w:rFonts w:ascii="Arial" w:eastAsia="宋体" w:hAnsi="Arial" w:cs="Arial"/>
                <w:color w:val="262626"/>
                <w:sz w:val="18"/>
                <w:szCs w:val="18"/>
              </w:rPr>
              <w:t>Other non-amortizing intangibles</w:t>
            </w:r>
          </w:p>
        </w:tc>
        <w:tc>
          <w:tcPr>
            <w:tcW w:w="0" w:type="auto"/>
            <w:gridSpan w:val="3"/>
            <w:shd w:val="clear" w:color="auto" w:fill="auto"/>
            <w:tcMar>
              <w:top w:w="0" w:type="dxa"/>
              <w:left w:w="20" w:type="dxa"/>
              <w:bottom w:w="0" w:type="dxa"/>
              <w:right w:w="20" w:type="dxa"/>
            </w:tcMar>
            <w:vAlign w:val="bottom"/>
          </w:tcPr>
          <w:p w14:paraId="67536F5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5F"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F6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6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62"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F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6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65"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6F6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6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68" w14:textId="77777777" w:rsidR="001B77DD" w:rsidRDefault="00BF0A28">
            <w:pPr>
              <w:jc w:val="right"/>
              <w:textAlignment w:val="bottom"/>
            </w:pPr>
            <w:r>
              <w:rPr>
                <w:rFonts w:ascii="Arial" w:eastAsia="宋体" w:hAnsi="Arial" w:cs="Arial"/>
                <w:color w:val="262626"/>
                <w:sz w:val="18"/>
                <w:szCs w:val="18"/>
              </w:rPr>
              <w:t>301 </w:t>
            </w:r>
          </w:p>
        </w:tc>
        <w:tc>
          <w:tcPr>
            <w:tcW w:w="0" w:type="auto"/>
            <w:shd w:val="clear" w:color="auto" w:fill="auto"/>
            <w:tcMar>
              <w:top w:w="40" w:type="dxa"/>
              <w:left w:w="0" w:type="dxa"/>
              <w:bottom w:w="40" w:type="dxa"/>
              <w:right w:w="20" w:type="dxa"/>
            </w:tcMar>
            <w:vAlign w:val="bottom"/>
          </w:tcPr>
          <w:p w14:paraId="67536F6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6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6B"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6F6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6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6E" w14:textId="77777777" w:rsidR="001B77DD" w:rsidRDefault="00BF0A28">
            <w:pPr>
              <w:jc w:val="right"/>
              <w:textAlignment w:val="bottom"/>
            </w:pPr>
            <w:r>
              <w:rPr>
                <w:rFonts w:ascii="Arial" w:eastAsia="宋体" w:hAnsi="Arial" w:cs="Arial"/>
                <w:color w:val="262626"/>
                <w:sz w:val="18"/>
                <w:szCs w:val="18"/>
              </w:rPr>
              <w:t>301 </w:t>
            </w:r>
          </w:p>
        </w:tc>
        <w:tc>
          <w:tcPr>
            <w:tcW w:w="0" w:type="auto"/>
            <w:shd w:val="clear" w:color="auto" w:fill="auto"/>
            <w:tcMar>
              <w:top w:w="40" w:type="dxa"/>
              <w:left w:w="0" w:type="dxa"/>
              <w:bottom w:w="40" w:type="dxa"/>
              <w:right w:w="20" w:type="dxa"/>
            </w:tcMar>
            <w:vAlign w:val="bottom"/>
          </w:tcPr>
          <w:p w14:paraId="67536F6F" w14:textId="77777777" w:rsidR="001B77DD" w:rsidRDefault="001B77DD">
            <w:pPr>
              <w:jc w:val="right"/>
              <w:rPr>
                <w:rFonts w:ascii="宋体"/>
              </w:rPr>
            </w:pPr>
          </w:p>
        </w:tc>
      </w:tr>
      <w:tr w:rsidR="001B77DD" w14:paraId="67536F8A" w14:textId="77777777">
        <w:tc>
          <w:tcPr>
            <w:tcW w:w="0" w:type="auto"/>
            <w:gridSpan w:val="3"/>
            <w:shd w:val="clear" w:color="auto" w:fill="auto"/>
            <w:tcMar>
              <w:top w:w="40" w:type="dxa"/>
              <w:left w:w="20" w:type="dxa"/>
              <w:bottom w:w="40" w:type="dxa"/>
              <w:right w:w="20" w:type="dxa"/>
            </w:tcMar>
            <w:vAlign w:val="bottom"/>
          </w:tcPr>
          <w:p w14:paraId="67536F71" w14:textId="77777777" w:rsidR="001B77DD" w:rsidRDefault="00BF0A28">
            <w:pPr>
              <w:textAlignment w:val="bottom"/>
            </w:pPr>
            <w:r>
              <w:rPr>
                <w:rFonts w:ascii="Arial" w:eastAsia="宋体" w:hAnsi="Arial" w:cs="Arial"/>
                <w:b/>
                <w:bCs/>
                <w:color w:val="262626"/>
                <w:sz w:val="18"/>
                <w:szCs w:val="18"/>
              </w:rPr>
              <w:t>Total identified intangible assets</w:t>
            </w:r>
          </w:p>
        </w:tc>
        <w:tc>
          <w:tcPr>
            <w:tcW w:w="0" w:type="auto"/>
            <w:gridSpan w:val="3"/>
            <w:shd w:val="clear" w:color="auto" w:fill="auto"/>
            <w:tcMar>
              <w:top w:w="0" w:type="dxa"/>
              <w:left w:w="20" w:type="dxa"/>
              <w:bottom w:w="0" w:type="dxa"/>
              <w:right w:w="20" w:type="dxa"/>
            </w:tcMar>
            <w:vAlign w:val="bottom"/>
          </w:tcPr>
          <w:p w14:paraId="67536F72"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73"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74" w14:textId="77777777" w:rsidR="001B77DD" w:rsidRDefault="00BF0A28">
            <w:pPr>
              <w:jc w:val="right"/>
              <w:textAlignment w:val="bottom"/>
            </w:pPr>
            <w:r>
              <w:rPr>
                <w:rFonts w:ascii="Arial" w:eastAsia="宋体" w:hAnsi="Arial" w:cs="Arial"/>
                <w:b/>
                <w:bCs/>
                <w:color w:val="0068B5"/>
                <w:sz w:val="18"/>
                <w:szCs w:val="18"/>
              </w:rPr>
              <w:t>16,105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7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76"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77"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78" w14:textId="77777777" w:rsidR="001B77DD" w:rsidRDefault="00BF0A28">
            <w:pPr>
              <w:jc w:val="right"/>
              <w:textAlignment w:val="bottom"/>
            </w:pPr>
            <w:r>
              <w:rPr>
                <w:rFonts w:ascii="Arial" w:eastAsia="宋体" w:hAnsi="Arial" w:cs="Arial"/>
                <w:b/>
                <w:bCs/>
                <w:color w:val="0068B5"/>
                <w:sz w:val="18"/>
                <w:szCs w:val="18"/>
              </w:rPr>
              <w:t>(8,835)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7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7A"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7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7C" w14:textId="77777777" w:rsidR="001B77DD" w:rsidRDefault="00BF0A28">
            <w:pPr>
              <w:jc w:val="right"/>
              <w:textAlignment w:val="bottom"/>
            </w:pPr>
            <w:r>
              <w:rPr>
                <w:rFonts w:ascii="Arial" w:eastAsia="宋体" w:hAnsi="Arial" w:cs="Arial"/>
                <w:b/>
                <w:bCs/>
                <w:color w:val="0068B5"/>
                <w:sz w:val="18"/>
                <w:szCs w:val="18"/>
              </w:rPr>
              <w:t>7,270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7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7E"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7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80" w14:textId="77777777" w:rsidR="001B77DD" w:rsidRDefault="00BF0A28">
            <w:pPr>
              <w:jc w:val="right"/>
              <w:textAlignment w:val="bottom"/>
            </w:pPr>
            <w:r>
              <w:rPr>
                <w:rFonts w:ascii="Arial" w:eastAsia="宋体" w:hAnsi="Arial" w:cs="Arial"/>
                <w:b/>
                <w:bCs/>
                <w:color w:val="262626"/>
                <w:sz w:val="18"/>
                <w:szCs w:val="18"/>
              </w:rPr>
              <w:t>16,389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8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82"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8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84" w14:textId="77777777" w:rsidR="001B77DD" w:rsidRDefault="00BF0A28">
            <w:pPr>
              <w:jc w:val="right"/>
              <w:textAlignment w:val="bottom"/>
            </w:pPr>
            <w:r>
              <w:rPr>
                <w:rFonts w:ascii="Arial" w:eastAsia="宋体" w:hAnsi="Arial" w:cs="Arial"/>
                <w:b/>
                <w:bCs/>
                <w:color w:val="262626"/>
                <w:sz w:val="18"/>
                <w:szCs w:val="18"/>
              </w:rPr>
              <w:t>(7,363)</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8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86"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8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88" w14:textId="77777777" w:rsidR="001B77DD" w:rsidRDefault="00BF0A28">
            <w:pPr>
              <w:jc w:val="right"/>
              <w:textAlignment w:val="bottom"/>
            </w:pPr>
            <w:r>
              <w:rPr>
                <w:rFonts w:ascii="Arial" w:eastAsia="宋体" w:hAnsi="Arial" w:cs="Arial"/>
                <w:b/>
                <w:bCs/>
                <w:color w:val="262626"/>
                <w:sz w:val="18"/>
                <w:szCs w:val="18"/>
              </w:rPr>
              <w:t>9,026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89" w14:textId="77777777" w:rsidR="001B77DD" w:rsidRDefault="001B77DD">
            <w:pPr>
              <w:jc w:val="right"/>
              <w:rPr>
                <w:rFonts w:ascii="宋体"/>
              </w:rPr>
            </w:pPr>
          </w:p>
        </w:tc>
      </w:tr>
    </w:tbl>
    <w:p w14:paraId="67536F8B" w14:textId="77777777" w:rsidR="001B77DD" w:rsidRDefault="00BF0A28">
      <w:pPr>
        <w:spacing w:after="120"/>
      </w:pPr>
      <w:r>
        <w:rPr>
          <w:rFonts w:ascii="Arial" w:eastAsia="宋体" w:hAnsi="Arial" w:cs="Arial"/>
          <w:color w:val="262626"/>
          <w:sz w:val="18"/>
          <w:szCs w:val="18"/>
        </w:rPr>
        <w:t xml:space="preserve">Amortization expenses recorded for identified intangible assets in the Consolidated Statements of Income for each period and the weighted average useful life were as </w:t>
      </w:r>
      <w:r>
        <w:rPr>
          <w:rFonts w:ascii="Arial" w:eastAsia="宋体" w:hAnsi="Arial" w:cs="Arial"/>
          <w:color w:val="262626"/>
          <w:sz w:val="18"/>
          <w:szCs w:val="18"/>
        </w:rPr>
        <w:t>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43"/>
        <w:gridCol w:w="2193"/>
        <w:gridCol w:w="39"/>
        <w:gridCol w:w="36"/>
        <w:gridCol w:w="36"/>
        <w:gridCol w:w="36"/>
        <w:gridCol w:w="52"/>
        <w:gridCol w:w="1692"/>
        <w:gridCol w:w="36"/>
        <w:gridCol w:w="36"/>
        <w:gridCol w:w="36"/>
        <w:gridCol w:w="36"/>
        <w:gridCol w:w="121"/>
        <w:gridCol w:w="789"/>
        <w:gridCol w:w="36"/>
        <w:gridCol w:w="36"/>
        <w:gridCol w:w="36"/>
        <w:gridCol w:w="36"/>
        <w:gridCol w:w="121"/>
        <w:gridCol w:w="789"/>
        <w:gridCol w:w="36"/>
        <w:gridCol w:w="36"/>
        <w:gridCol w:w="36"/>
        <w:gridCol w:w="36"/>
        <w:gridCol w:w="121"/>
        <w:gridCol w:w="789"/>
        <w:gridCol w:w="36"/>
        <w:gridCol w:w="36"/>
        <w:gridCol w:w="36"/>
        <w:gridCol w:w="36"/>
        <w:gridCol w:w="74"/>
        <w:gridCol w:w="770"/>
        <w:gridCol w:w="36"/>
      </w:tblGrid>
      <w:tr w:rsidR="001B77DD" w14:paraId="67536FAD" w14:textId="77777777">
        <w:trPr>
          <w:jc w:val="center"/>
        </w:trPr>
        <w:tc>
          <w:tcPr>
            <w:tcW w:w="50" w:type="pct"/>
            <w:shd w:val="clear" w:color="auto" w:fill="auto"/>
            <w:vAlign w:val="bottom"/>
          </w:tcPr>
          <w:p w14:paraId="67536F8C" w14:textId="77777777" w:rsidR="001B77DD" w:rsidRDefault="001B77DD">
            <w:pPr>
              <w:rPr>
                <w:rFonts w:ascii="宋体"/>
              </w:rPr>
            </w:pPr>
          </w:p>
        </w:tc>
        <w:tc>
          <w:tcPr>
            <w:tcW w:w="1342" w:type="pct"/>
            <w:shd w:val="clear" w:color="auto" w:fill="auto"/>
            <w:vAlign w:val="bottom"/>
          </w:tcPr>
          <w:p w14:paraId="67536F8D" w14:textId="77777777" w:rsidR="001B77DD" w:rsidRDefault="001B77DD">
            <w:pPr>
              <w:rPr>
                <w:rFonts w:ascii="宋体"/>
              </w:rPr>
            </w:pPr>
          </w:p>
        </w:tc>
        <w:tc>
          <w:tcPr>
            <w:tcW w:w="5" w:type="pct"/>
            <w:shd w:val="clear" w:color="auto" w:fill="auto"/>
            <w:vAlign w:val="bottom"/>
          </w:tcPr>
          <w:p w14:paraId="67536F8E" w14:textId="77777777" w:rsidR="001B77DD" w:rsidRDefault="001B77DD">
            <w:pPr>
              <w:rPr>
                <w:rFonts w:ascii="宋体"/>
              </w:rPr>
            </w:pPr>
          </w:p>
        </w:tc>
        <w:tc>
          <w:tcPr>
            <w:tcW w:w="5" w:type="pct"/>
            <w:shd w:val="clear" w:color="auto" w:fill="auto"/>
            <w:vAlign w:val="bottom"/>
          </w:tcPr>
          <w:p w14:paraId="67536F8F" w14:textId="77777777" w:rsidR="001B77DD" w:rsidRDefault="001B77DD">
            <w:pPr>
              <w:rPr>
                <w:rFonts w:ascii="宋体"/>
              </w:rPr>
            </w:pPr>
          </w:p>
        </w:tc>
        <w:tc>
          <w:tcPr>
            <w:tcW w:w="24" w:type="pct"/>
            <w:shd w:val="clear" w:color="auto" w:fill="auto"/>
            <w:vAlign w:val="bottom"/>
          </w:tcPr>
          <w:p w14:paraId="67536F90" w14:textId="77777777" w:rsidR="001B77DD" w:rsidRDefault="001B77DD">
            <w:pPr>
              <w:rPr>
                <w:rFonts w:ascii="宋体"/>
              </w:rPr>
            </w:pPr>
          </w:p>
        </w:tc>
        <w:tc>
          <w:tcPr>
            <w:tcW w:w="5" w:type="pct"/>
            <w:shd w:val="clear" w:color="auto" w:fill="auto"/>
            <w:vAlign w:val="bottom"/>
          </w:tcPr>
          <w:p w14:paraId="67536F91" w14:textId="77777777" w:rsidR="001B77DD" w:rsidRDefault="001B77DD">
            <w:pPr>
              <w:rPr>
                <w:rFonts w:ascii="宋体"/>
              </w:rPr>
            </w:pPr>
          </w:p>
        </w:tc>
        <w:tc>
          <w:tcPr>
            <w:tcW w:w="50" w:type="pct"/>
            <w:shd w:val="clear" w:color="auto" w:fill="auto"/>
            <w:vAlign w:val="bottom"/>
          </w:tcPr>
          <w:p w14:paraId="67536F92" w14:textId="77777777" w:rsidR="001B77DD" w:rsidRDefault="001B77DD">
            <w:pPr>
              <w:rPr>
                <w:rFonts w:ascii="宋体"/>
              </w:rPr>
            </w:pPr>
          </w:p>
        </w:tc>
        <w:tc>
          <w:tcPr>
            <w:tcW w:w="1068" w:type="pct"/>
            <w:shd w:val="clear" w:color="auto" w:fill="auto"/>
            <w:vAlign w:val="bottom"/>
          </w:tcPr>
          <w:p w14:paraId="67536F93" w14:textId="77777777" w:rsidR="001B77DD" w:rsidRDefault="001B77DD">
            <w:pPr>
              <w:rPr>
                <w:rFonts w:ascii="宋体"/>
              </w:rPr>
            </w:pPr>
          </w:p>
        </w:tc>
        <w:tc>
          <w:tcPr>
            <w:tcW w:w="5" w:type="pct"/>
            <w:shd w:val="clear" w:color="auto" w:fill="auto"/>
            <w:vAlign w:val="bottom"/>
          </w:tcPr>
          <w:p w14:paraId="67536F94" w14:textId="77777777" w:rsidR="001B77DD" w:rsidRDefault="001B77DD">
            <w:pPr>
              <w:rPr>
                <w:rFonts w:ascii="宋体"/>
              </w:rPr>
            </w:pPr>
          </w:p>
        </w:tc>
        <w:tc>
          <w:tcPr>
            <w:tcW w:w="5" w:type="pct"/>
            <w:shd w:val="clear" w:color="auto" w:fill="auto"/>
            <w:vAlign w:val="bottom"/>
          </w:tcPr>
          <w:p w14:paraId="67536F95" w14:textId="77777777" w:rsidR="001B77DD" w:rsidRDefault="001B77DD">
            <w:pPr>
              <w:rPr>
                <w:rFonts w:ascii="宋体"/>
              </w:rPr>
            </w:pPr>
          </w:p>
        </w:tc>
        <w:tc>
          <w:tcPr>
            <w:tcW w:w="24" w:type="pct"/>
            <w:shd w:val="clear" w:color="auto" w:fill="auto"/>
            <w:vAlign w:val="bottom"/>
          </w:tcPr>
          <w:p w14:paraId="67536F96" w14:textId="77777777" w:rsidR="001B77DD" w:rsidRDefault="001B77DD">
            <w:pPr>
              <w:rPr>
                <w:rFonts w:ascii="宋体"/>
              </w:rPr>
            </w:pPr>
          </w:p>
        </w:tc>
        <w:tc>
          <w:tcPr>
            <w:tcW w:w="5" w:type="pct"/>
            <w:shd w:val="clear" w:color="auto" w:fill="auto"/>
            <w:vAlign w:val="bottom"/>
          </w:tcPr>
          <w:p w14:paraId="67536F97" w14:textId="77777777" w:rsidR="001B77DD" w:rsidRDefault="001B77DD">
            <w:pPr>
              <w:rPr>
                <w:rFonts w:ascii="宋体"/>
              </w:rPr>
            </w:pPr>
          </w:p>
        </w:tc>
        <w:tc>
          <w:tcPr>
            <w:tcW w:w="50" w:type="pct"/>
            <w:shd w:val="clear" w:color="auto" w:fill="auto"/>
            <w:vAlign w:val="bottom"/>
          </w:tcPr>
          <w:p w14:paraId="67536F98" w14:textId="77777777" w:rsidR="001B77DD" w:rsidRDefault="001B77DD">
            <w:pPr>
              <w:rPr>
                <w:rFonts w:ascii="宋体"/>
              </w:rPr>
            </w:pPr>
          </w:p>
        </w:tc>
        <w:tc>
          <w:tcPr>
            <w:tcW w:w="520" w:type="pct"/>
            <w:shd w:val="clear" w:color="auto" w:fill="auto"/>
            <w:vAlign w:val="bottom"/>
          </w:tcPr>
          <w:p w14:paraId="67536F99" w14:textId="77777777" w:rsidR="001B77DD" w:rsidRDefault="001B77DD">
            <w:pPr>
              <w:rPr>
                <w:rFonts w:ascii="宋体"/>
              </w:rPr>
            </w:pPr>
          </w:p>
        </w:tc>
        <w:tc>
          <w:tcPr>
            <w:tcW w:w="5" w:type="pct"/>
            <w:shd w:val="clear" w:color="auto" w:fill="auto"/>
            <w:vAlign w:val="bottom"/>
          </w:tcPr>
          <w:p w14:paraId="67536F9A" w14:textId="77777777" w:rsidR="001B77DD" w:rsidRDefault="001B77DD">
            <w:pPr>
              <w:rPr>
                <w:rFonts w:ascii="宋体"/>
              </w:rPr>
            </w:pPr>
          </w:p>
        </w:tc>
        <w:tc>
          <w:tcPr>
            <w:tcW w:w="5" w:type="pct"/>
            <w:shd w:val="clear" w:color="auto" w:fill="auto"/>
            <w:vAlign w:val="bottom"/>
          </w:tcPr>
          <w:p w14:paraId="67536F9B" w14:textId="77777777" w:rsidR="001B77DD" w:rsidRDefault="001B77DD">
            <w:pPr>
              <w:rPr>
                <w:rFonts w:ascii="宋体"/>
              </w:rPr>
            </w:pPr>
          </w:p>
        </w:tc>
        <w:tc>
          <w:tcPr>
            <w:tcW w:w="24" w:type="pct"/>
            <w:shd w:val="clear" w:color="auto" w:fill="auto"/>
            <w:vAlign w:val="bottom"/>
          </w:tcPr>
          <w:p w14:paraId="67536F9C" w14:textId="77777777" w:rsidR="001B77DD" w:rsidRDefault="001B77DD">
            <w:pPr>
              <w:rPr>
                <w:rFonts w:ascii="宋体"/>
              </w:rPr>
            </w:pPr>
          </w:p>
        </w:tc>
        <w:tc>
          <w:tcPr>
            <w:tcW w:w="5" w:type="pct"/>
            <w:shd w:val="clear" w:color="auto" w:fill="auto"/>
            <w:vAlign w:val="bottom"/>
          </w:tcPr>
          <w:p w14:paraId="67536F9D" w14:textId="77777777" w:rsidR="001B77DD" w:rsidRDefault="001B77DD">
            <w:pPr>
              <w:rPr>
                <w:rFonts w:ascii="宋体"/>
              </w:rPr>
            </w:pPr>
          </w:p>
        </w:tc>
        <w:tc>
          <w:tcPr>
            <w:tcW w:w="50" w:type="pct"/>
            <w:shd w:val="clear" w:color="auto" w:fill="auto"/>
            <w:vAlign w:val="bottom"/>
          </w:tcPr>
          <w:p w14:paraId="67536F9E" w14:textId="77777777" w:rsidR="001B77DD" w:rsidRDefault="001B77DD">
            <w:pPr>
              <w:rPr>
                <w:rFonts w:ascii="宋体"/>
              </w:rPr>
            </w:pPr>
          </w:p>
        </w:tc>
        <w:tc>
          <w:tcPr>
            <w:tcW w:w="520" w:type="pct"/>
            <w:shd w:val="clear" w:color="auto" w:fill="auto"/>
            <w:vAlign w:val="bottom"/>
          </w:tcPr>
          <w:p w14:paraId="67536F9F" w14:textId="77777777" w:rsidR="001B77DD" w:rsidRDefault="001B77DD">
            <w:pPr>
              <w:rPr>
                <w:rFonts w:ascii="宋体"/>
              </w:rPr>
            </w:pPr>
          </w:p>
        </w:tc>
        <w:tc>
          <w:tcPr>
            <w:tcW w:w="5" w:type="pct"/>
            <w:shd w:val="clear" w:color="auto" w:fill="auto"/>
            <w:vAlign w:val="bottom"/>
          </w:tcPr>
          <w:p w14:paraId="67536FA0" w14:textId="77777777" w:rsidR="001B77DD" w:rsidRDefault="001B77DD">
            <w:pPr>
              <w:rPr>
                <w:rFonts w:ascii="宋体"/>
              </w:rPr>
            </w:pPr>
          </w:p>
        </w:tc>
        <w:tc>
          <w:tcPr>
            <w:tcW w:w="5" w:type="pct"/>
            <w:shd w:val="clear" w:color="auto" w:fill="auto"/>
            <w:vAlign w:val="bottom"/>
          </w:tcPr>
          <w:p w14:paraId="67536FA1" w14:textId="77777777" w:rsidR="001B77DD" w:rsidRDefault="001B77DD">
            <w:pPr>
              <w:rPr>
                <w:rFonts w:ascii="宋体"/>
              </w:rPr>
            </w:pPr>
          </w:p>
        </w:tc>
        <w:tc>
          <w:tcPr>
            <w:tcW w:w="24" w:type="pct"/>
            <w:shd w:val="clear" w:color="auto" w:fill="auto"/>
            <w:vAlign w:val="bottom"/>
          </w:tcPr>
          <w:p w14:paraId="67536FA2" w14:textId="77777777" w:rsidR="001B77DD" w:rsidRDefault="001B77DD">
            <w:pPr>
              <w:rPr>
                <w:rFonts w:ascii="宋体"/>
              </w:rPr>
            </w:pPr>
          </w:p>
        </w:tc>
        <w:tc>
          <w:tcPr>
            <w:tcW w:w="5" w:type="pct"/>
            <w:shd w:val="clear" w:color="auto" w:fill="auto"/>
            <w:vAlign w:val="bottom"/>
          </w:tcPr>
          <w:p w14:paraId="67536FA3" w14:textId="77777777" w:rsidR="001B77DD" w:rsidRDefault="001B77DD">
            <w:pPr>
              <w:rPr>
                <w:rFonts w:ascii="宋体"/>
              </w:rPr>
            </w:pPr>
          </w:p>
        </w:tc>
        <w:tc>
          <w:tcPr>
            <w:tcW w:w="50" w:type="pct"/>
            <w:shd w:val="clear" w:color="auto" w:fill="auto"/>
            <w:vAlign w:val="bottom"/>
          </w:tcPr>
          <w:p w14:paraId="67536FA4" w14:textId="77777777" w:rsidR="001B77DD" w:rsidRDefault="001B77DD">
            <w:pPr>
              <w:rPr>
                <w:rFonts w:ascii="宋体"/>
              </w:rPr>
            </w:pPr>
          </w:p>
        </w:tc>
        <w:tc>
          <w:tcPr>
            <w:tcW w:w="520" w:type="pct"/>
            <w:shd w:val="clear" w:color="auto" w:fill="auto"/>
            <w:vAlign w:val="bottom"/>
          </w:tcPr>
          <w:p w14:paraId="67536FA5" w14:textId="77777777" w:rsidR="001B77DD" w:rsidRDefault="001B77DD">
            <w:pPr>
              <w:rPr>
                <w:rFonts w:ascii="宋体"/>
              </w:rPr>
            </w:pPr>
          </w:p>
        </w:tc>
        <w:tc>
          <w:tcPr>
            <w:tcW w:w="5" w:type="pct"/>
            <w:shd w:val="clear" w:color="auto" w:fill="auto"/>
            <w:vAlign w:val="bottom"/>
          </w:tcPr>
          <w:p w14:paraId="67536FA6" w14:textId="77777777" w:rsidR="001B77DD" w:rsidRDefault="001B77DD">
            <w:pPr>
              <w:rPr>
                <w:rFonts w:ascii="宋体"/>
              </w:rPr>
            </w:pPr>
          </w:p>
        </w:tc>
        <w:tc>
          <w:tcPr>
            <w:tcW w:w="5" w:type="pct"/>
            <w:shd w:val="clear" w:color="auto" w:fill="auto"/>
            <w:vAlign w:val="bottom"/>
          </w:tcPr>
          <w:p w14:paraId="67536FA7" w14:textId="77777777" w:rsidR="001B77DD" w:rsidRDefault="001B77DD">
            <w:pPr>
              <w:rPr>
                <w:rFonts w:ascii="宋体"/>
              </w:rPr>
            </w:pPr>
          </w:p>
        </w:tc>
        <w:tc>
          <w:tcPr>
            <w:tcW w:w="24" w:type="pct"/>
            <w:shd w:val="clear" w:color="auto" w:fill="auto"/>
            <w:vAlign w:val="bottom"/>
          </w:tcPr>
          <w:p w14:paraId="67536FA8" w14:textId="77777777" w:rsidR="001B77DD" w:rsidRDefault="001B77DD">
            <w:pPr>
              <w:rPr>
                <w:rFonts w:ascii="宋体"/>
              </w:rPr>
            </w:pPr>
          </w:p>
        </w:tc>
        <w:tc>
          <w:tcPr>
            <w:tcW w:w="5" w:type="pct"/>
            <w:shd w:val="clear" w:color="auto" w:fill="auto"/>
            <w:vAlign w:val="bottom"/>
          </w:tcPr>
          <w:p w14:paraId="67536FA9" w14:textId="77777777" w:rsidR="001B77DD" w:rsidRDefault="001B77DD">
            <w:pPr>
              <w:rPr>
                <w:rFonts w:ascii="宋体"/>
              </w:rPr>
            </w:pPr>
          </w:p>
        </w:tc>
        <w:tc>
          <w:tcPr>
            <w:tcW w:w="50" w:type="pct"/>
            <w:shd w:val="clear" w:color="auto" w:fill="auto"/>
            <w:vAlign w:val="bottom"/>
          </w:tcPr>
          <w:p w14:paraId="67536FAA" w14:textId="77777777" w:rsidR="001B77DD" w:rsidRDefault="001B77DD">
            <w:pPr>
              <w:rPr>
                <w:rFonts w:ascii="宋体"/>
              </w:rPr>
            </w:pPr>
          </w:p>
        </w:tc>
        <w:tc>
          <w:tcPr>
            <w:tcW w:w="527" w:type="pct"/>
            <w:shd w:val="clear" w:color="auto" w:fill="auto"/>
            <w:vAlign w:val="bottom"/>
          </w:tcPr>
          <w:p w14:paraId="67536FAB" w14:textId="77777777" w:rsidR="001B77DD" w:rsidRDefault="001B77DD">
            <w:pPr>
              <w:rPr>
                <w:rFonts w:ascii="宋体"/>
              </w:rPr>
            </w:pPr>
          </w:p>
        </w:tc>
        <w:tc>
          <w:tcPr>
            <w:tcW w:w="5" w:type="pct"/>
            <w:shd w:val="clear" w:color="auto" w:fill="auto"/>
            <w:vAlign w:val="bottom"/>
          </w:tcPr>
          <w:p w14:paraId="67536FAC" w14:textId="77777777" w:rsidR="001B77DD" w:rsidRDefault="001B77DD">
            <w:pPr>
              <w:rPr>
                <w:rFonts w:ascii="宋体"/>
              </w:rPr>
            </w:pPr>
          </w:p>
        </w:tc>
      </w:tr>
      <w:tr w:rsidR="001B77DD" w14:paraId="67536FB9" w14:textId="77777777">
        <w:trPr>
          <w:jc w:val="center"/>
        </w:trPr>
        <w:tc>
          <w:tcPr>
            <w:tcW w:w="0" w:type="auto"/>
            <w:gridSpan w:val="3"/>
            <w:shd w:val="clear" w:color="auto" w:fill="auto"/>
            <w:tcMar>
              <w:top w:w="40" w:type="dxa"/>
              <w:left w:w="20" w:type="dxa"/>
              <w:bottom w:w="40" w:type="dxa"/>
              <w:right w:w="20" w:type="dxa"/>
            </w:tcMar>
            <w:vAlign w:val="bottom"/>
          </w:tcPr>
          <w:p w14:paraId="67536FAE"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6FA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B0" w14:textId="77777777" w:rsidR="001B77DD" w:rsidRDefault="00BF0A28">
            <w:pPr>
              <w:jc w:val="center"/>
              <w:textAlignment w:val="bottom"/>
            </w:pPr>
            <w:r>
              <w:rPr>
                <w:rFonts w:ascii="Arial" w:eastAsia="宋体" w:hAnsi="Arial" w:cs="Arial"/>
                <w:b/>
                <w:bCs/>
                <w:color w:val="262626"/>
                <w:sz w:val="18"/>
                <w:szCs w:val="18"/>
              </w:rPr>
              <w:t>Location</w:t>
            </w:r>
          </w:p>
        </w:tc>
        <w:tc>
          <w:tcPr>
            <w:tcW w:w="0" w:type="auto"/>
            <w:gridSpan w:val="3"/>
            <w:shd w:val="clear" w:color="auto" w:fill="auto"/>
            <w:tcMar>
              <w:top w:w="0" w:type="dxa"/>
              <w:left w:w="20" w:type="dxa"/>
              <w:bottom w:w="0" w:type="dxa"/>
              <w:right w:w="20" w:type="dxa"/>
            </w:tcMar>
            <w:vAlign w:val="bottom"/>
          </w:tcPr>
          <w:p w14:paraId="67536FB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B2"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6FB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B4"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6FB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B6" w14:textId="77777777" w:rsidR="001B77DD" w:rsidRDefault="00BF0A28">
            <w:pPr>
              <w:jc w:val="center"/>
              <w:textAlignment w:val="bottom"/>
            </w:pPr>
            <w:r>
              <w:rPr>
                <w:rFonts w:ascii="Arial" w:eastAsia="宋体" w:hAnsi="Arial" w:cs="Arial"/>
                <w:b/>
                <w:bCs/>
                <w:color w:val="262626"/>
                <w:sz w:val="18"/>
                <w:szCs w:val="18"/>
              </w:rPr>
              <w:t>Dec 28, 2019</w:t>
            </w:r>
          </w:p>
        </w:tc>
        <w:tc>
          <w:tcPr>
            <w:tcW w:w="0" w:type="auto"/>
            <w:gridSpan w:val="3"/>
            <w:shd w:val="clear" w:color="auto" w:fill="auto"/>
            <w:tcMar>
              <w:top w:w="0" w:type="dxa"/>
              <w:left w:w="20" w:type="dxa"/>
              <w:bottom w:w="0" w:type="dxa"/>
              <w:right w:w="20" w:type="dxa"/>
            </w:tcMar>
            <w:vAlign w:val="bottom"/>
          </w:tcPr>
          <w:p w14:paraId="67536FB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B8" w14:textId="77777777" w:rsidR="001B77DD" w:rsidRDefault="00BF0A28">
            <w:pPr>
              <w:jc w:val="center"/>
              <w:textAlignment w:val="bottom"/>
            </w:pPr>
            <w:r>
              <w:rPr>
                <w:rFonts w:ascii="Arial" w:eastAsia="宋体" w:hAnsi="Arial" w:cs="Arial"/>
                <w:b/>
                <w:bCs/>
                <w:color w:val="262626"/>
                <w:sz w:val="18"/>
                <w:szCs w:val="18"/>
              </w:rPr>
              <w:t>Weighted Average Useful Life</w:t>
            </w:r>
            <w:r>
              <w:rPr>
                <w:rFonts w:ascii="Arial" w:eastAsia="宋体" w:hAnsi="Arial" w:cs="Arial"/>
                <w:b/>
                <w:bCs/>
                <w:color w:val="262626"/>
                <w:sz w:val="11"/>
                <w:szCs w:val="11"/>
              </w:rPr>
              <w:t>1</w:t>
            </w:r>
          </w:p>
        </w:tc>
      </w:tr>
      <w:tr w:rsidR="001B77DD" w14:paraId="67536FCB"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FBA" w14:textId="77777777" w:rsidR="001B77DD" w:rsidRDefault="00BF0A28">
            <w:pPr>
              <w:textAlignment w:val="bottom"/>
            </w:pPr>
            <w:r>
              <w:rPr>
                <w:rFonts w:ascii="Arial" w:eastAsia="宋体" w:hAnsi="Arial" w:cs="Arial"/>
                <w:color w:val="262626"/>
                <w:sz w:val="18"/>
                <w:szCs w:val="18"/>
              </w:rPr>
              <w:t>Developed technology</w:t>
            </w:r>
          </w:p>
        </w:tc>
        <w:tc>
          <w:tcPr>
            <w:tcW w:w="0" w:type="auto"/>
            <w:gridSpan w:val="3"/>
            <w:shd w:val="clear" w:color="auto" w:fill="auto"/>
            <w:tcMar>
              <w:top w:w="0" w:type="dxa"/>
              <w:left w:w="20" w:type="dxa"/>
              <w:bottom w:w="0" w:type="dxa"/>
              <w:right w:w="20" w:type="dxa"/>
            </w:tcMar>
            <w:vAlign w:val="bottom"/>
          </w:tcPr>
          <w:p w14:paraId="67536FBB"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FBC" w14:textId="77777777" w:rsidR="001B77DD" w:rsidRDefault="00BF0A28">
            <w:pPr>
              <w:textAlignment w:val="bottom"/>
            </w:pPr>
            <w:r>
              <w:rPr>
                <w:rFonts w:ascii="Arial" w:eastAsia="宋体" w:hAnsi="Arial" w:cs="Arial"/>
                <w:color w:val="262626"/>
                <w:sz w:val="18"/>
                <w:szCs w:val="18"/>
              </w:rPr>
              <w:t xml:space="preserve">Cost of </w:t>
            </w:r>
            <w:r>
              <w:rPr>
                <w:rFonts w:ascii="Arial" w:eastAsia="宋体" w:hAnsi="Arial" w:cs="Arial"/>
                <w:color w:val="262626"/>
                <w:sz w:val="18"/>
                <w:szCs w:val="18"/>
              </w:rPr>
              <w:t>sales</w:t>
            </w:r>
          </w:p>
        </w:tc>
        <w:tc>
          <w:tcPr>
            <w:tcW w:w="0" w:type="auto"/>
            <w:gridSpan w:val="3"/>
            <w:shd w:val="clear" w:color="auto" w:fill="auto"/>
            <w:tcMar>
              <w:top w:w="0" w:type="dxa"/>
              <w:left w:w="20" w:type="dxa"/>
              <w:bottom w:w="0" w:type="dxa"/>
              <w:right w:w="20" w:type="dxa"/>
            </w:tcMar>
            <w:vAlign w:val="bottom"/>
          </w:tcPr>
          <w:p w14:paraId="67536FBD"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BE"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BF" w14:textId="77777777" w:rsidR="001B77DD" w:rsidRDefault="00BF0A28">
            <w:pPr>
              <w:jc w:val="right"/>
              <w:textAlignment w:val="bottom"/>
            </w:pPr>
            <w:r>
              <w:rPr>
                <w:rFonts w:ascii="Arial" w:eastAsia="宋体" w:hAnsi="Arial" w:cs="Arial"/>
                <w:color w:val="0068B5"/>
                <w:sz w:val="18"/>
                <w:szCs w:val="18"/>
              </w:rPr>
              <w:t>1,283 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C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C1"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C2"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C3" w14:textId="77777777" w:rsidR="001B77DD" w:rsidRDefault="00BF0A28">
            <w:pPr>
              <w:jc w:val="right"/>
              <w:textAlignment w:val="bottom"/>
            </w:pPr>
            <w:r>
              <w:rPr>
                <w:rFonts w:ascii="Arial" w:eastAsia="宋体" w:hAnsi="Arial" w:cs="Arial"/>
                <w:color w:val="262626"/>
                <w:sz w:val="18"/>
                <w:szCs w:val="18"/>
              </w:rPr>
              <w:t>1,211 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C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C5"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6FC6"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6FC7" w14:textId="77777777" w:rsidR="001B77DD" w:rsidRDefault="00BF0A28">
            <w:pPr>
              <w:jc w:val="right"/>
              <w:textAlignment w:val="bottom"/>
            </w:pPr>
            <w:r>
              <w:rPr>
                <w:rFonts w:ascii="Arial" w:eastAsia="宋体" w:hAnsi="Arial" w:cs="Arial"/>
                <w:color w:val="262626"/>
                <w:sz w:val="18"/>
                <w:szCs w:val="18"/>
              </w:rPr>
              <w:t>1,124 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6FC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C9"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6FCA" w14:textId="77777777" w:rsidR="001B77DD" w:rsidRDefault="00BF0A28">
            <w:pPr>
              <w:jc w:val="center"/>
              <w:textAlignment w:val="bottom"/>
            </w:pPr>
            <w:r>
              <w:rPr>
                <w:rFonts w:ascii="Arial" w:eastAsia="宋体" w:hAnsi="Arial" w:cs="Arial"/>
                <w:color w:val="0068B5"/>
                <w:sz w:val="18"/>
                <w:szCs w:val="18"/>
              </w:rPr>
              <w:t>9 years</w:t>
            </w:r>
          </w:p>
        </w:tc>
      </w:tr>
      <w:tr w:rsidR="001B77DD" w14:paraId="67536FDA" w14:textId="77777777">
        <w:trPr>
          <w:jc w:val="center"/>
        </w:trPr>
        <w:tc>
          <w:tcPr>
            <w:tcW w:w="0" w:type="auto"/>
            <w:gridSpan w:val="3"/>
            <w:shd w:val="clear" w:color="auto" w:fill="auto"/>
            <w:tcMar>
              <w:top w:w="40" w:type="dxa"/>
              <w:left w:w="20" w:type="dxa"/>
              <w:bottom w:w="40" w:type="dxa"/>
              <w:right w:w="20" w:type="dxa"/>
            </w:tcMar>
          </w:tcPr>
          <w:p w14:paraId="67536FCC" w14:textId="77777777" w:rsidR="001B77DD" w:rsidRDefault="00BF0A28">
            <w:pPr>
              <w:textAlignment w:val="top"/>
            </w:pPr>
            <w:r>
              <w:rPr>
                <w:rFonts w:ascii="Arial" w:eastAsia="宋体" w:hAnsi="Arial" w:cs="Arial"/>
                <w:color w:val="262626"/>
                <w:sz w:val="18"/>
                <w:szCs w:val="18"/>
              </w:rPr>
              <w:t>Customer relationships and brands</w:t>
            </w:r>
          </w:p>
        </w:tc>
        <w:tc>
          <w:tcPr>
            <w:tcW w:w="0" w:type="auto"/>
            <w:gridSpan w:val="3"/>
            <w:shd w:val="clear" w:color="auto" w:fill="auto"/>
            <w:tcMar>
              <w:top w:w="0" w:type="dxa"/>
              <w:left w:w="20" w:type="dxa"/>
              <w:bottom w:w="0" w:type="dxa"/>
              <w:right w:w="20" w:type="dxa"/>
            </w:tcMar>
            <w:vAlign w:val="bottom"/>
          </w:tcPr>
          <w:p w14:paraId="67536FC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CE" w14:textId="77777777" w:rsidR="001B77DD" w:rsidRDefault="00BF0A28">
            <w:pPr>
              <w:textAlignment w:val="bottom"/>
            </w:pPr>
            <w:r>
              <w:rPr>
                <w:rFonts w:ascii="Arial" w:eastAsia="宋体" w:hAnsi="Arial" w:cs="Arial"/>
                <w:color w:val="262626"/>
                <w:sz w:val="18"/>
                <w:szCs w:val="18"/>
              </w:rPr>
              <w:t xml:space="preserve">Marketing, general and </w:t>
            </w:r>
            <w:r>
              <w:rPr>
                <w:rFonts w:ascii="Arial" w:eastAsia="宋体" w:hAnsi="Arial" w:cs="Arial"/>
                <w:color w:val="262626"/>
                <w:sz w:val="18"/>
                <w:szCs w:val="18"/>
              </w:rPr>
              <w:t>administrative</w:t>
            </w:r>
          </w:p>
        </w:tc>
        <w:tc>
          <w:tcPr>
            <w:tcW w:w="0" w:type="auto"/>
            <w:gridSpan w:val="3"/>
            <w:shd w:val="clear" w:color="auto" w:fill="auto"/>
            <w:tcMar>
              <w:top w:w="0" w:type="dxa"/>
              <w:left w:w="20" w:type="dxa"/>
              <w:bottom w:w="0" w:type="dxa"/>
              <w:right w:w="20" w:type="dxa"/>
            </w:tcMar>
            <w:vAlign w:val="bottom"/>
          </w:tcPr>
          <w:p w14:paraId="67536FC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D0" w14:textId="77777777" w:rsidR="001B77DD" w:rsidRDefault="00BF0A28">
            <w:pPr>
              <w:jc w:val="right"/>
              <w:textAlignment w:val="bottom"/>
            </w:pPr>
            <w:r>
              <w:rPr>
                <w:rFonts w:ascii="Arial" w:eastAsia="宋体" w:hAnsi="Arial" w:cs="Arial"/>
                <w:color w:val="0068B5"/>
                <w:sz w:val="18"/>
                <w:szCs w:val="18"/>
              </w:rPr>
              <w:t>209 </w:t>
            </w:r>
          </w:p>
        </w:tc>
        <w:tc>
          <w:tcPr>
            <w:tcW w:w="0" w:type="auto"/>
            <w:shd w:val="clear" w:color="auto" w:fill="auto"/>
            <w:tcMar>
              <w:top w:w="40" w:type="dxa"/>
              <w:left w:w="0" w:type="dxa"/>
              <w:bottom w:w="40" w:type="dxa"/>
              <w:right w:w="20" w:type="dxa"/>
            </w:tcMar>
            <w:vAlign w:val="bottom"/>
          </w:tcPr>
          <w:p w14:paraId="67536FD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D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D3" w14:textId="77777777" w:rsidR="001B77DD" w:rsidRDefault="00BF0A28">
            <w:pPr>
              <w:jc w:val="right"/>
              <w:textAlignment w:val="bottom"/>
            </w:pPr>
            <w:r>
              <w:rPr>
                <w:rFonts w:ascii="Arial" w:eastAsia="宋体" w:hAnsi="Arial" w:cs="Arial"/>
                <w:color w:val="262626"/>
                <w:sz w:val="18"/>
                <w:szCs w:val="18"/>
              </w:rPr>
              <w:t>205 </w:t>
            </w:r>
          </w:p>
        </w:tc>
        <w:tc>
          <w:tcPr>
            <w:tcW w:w="0" w:type="auto"/>
            <w:shd w:val="clear" w:color="auto" w:fill="auto"/>
            <w:tcMar>
              <w:top w:w="40" w:type="dxa"/>
              <w:left w:w="0" w:type="dxa"/>
              <w:bottom w:w="40" w:type="dxa"/>
              <w:right w:w="20" w:type="dxa"/>
            </w:tcMar>
            <w:vAlign w:val="bottom"/>
          </w:tcPr>
          <w:p w14:paraId="67536FD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D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D6" w14:textId="77777777" w:rsidR="001B77DD" w:rsidRDefault="00BF0A28">
            <w:pPr>
              <w:jc w:val="right"/>
              <w:textAlignment w:val="bottom"/>
            </w:pPr>
            <w:r>
              <w:rPr>
                <w:rFonts w:ascii="Arial" w:eastAsia="宋体" w:hAnsi="Arial" w:cs="Arial"/>
                <w:color w:val="262626"/>
                <w:sz w:val="18"/>
                <w:szCs w:val="18"/>
              </w:rPr>
              <w:t>200 </w:t>
            </w:r>
          </w:p>
        </w:tc>
        <w:tc>
          <w:tcPr>
            <w:tcW w:w="0" w:type="auto"/>
            <w:shd w:val="clear" w:color="auto" w:fill="auto"/>
            <w:tcMar>
              <w:top w:w="40" w:type="dxa"/>
              <w:left w:w="0" w:type="dxa"/>
              <w:bottom w:w="40" w:type="dxa"/>
              <w:right w:w="20" w:type="dxa"/>
            </w:tcMar>
            <w:vAlign w:val="bottom"/>
          </w:tcPr>
          <w:p w14:paraId="67536FD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D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D9" w14:textId="77777777" w:rsidR="001B77DD" w:rsidRDefault="00BF0A28">
            <w:pPr>
              <w:jc w:val="center"/>
              <w:textAlignment w:val="bottom"/>
            </w:pPr>
            <w:r>
              <w:rPr>
                <w:rFonts w:ascii="Arial" w:eastAsia="宋体" w:hAnsi="Arial" w:cs="Arial"/>
                <w:color w:val="0068B5"/>
                <w:sz w:val="18"/>
                <w:szCs w:val="18"/>
              </w:rPr>
              <w:t>11 years</w:t>
            </w:r>
          </w:p>
        </w:tc>
      </w:tr>
      <w:tr w:rsidR="001B77DD" w14:paraId="67536FE9" w14:textId="77777777">
        <w:trPr>
          <w:jc w:val="center"/>
        </w:trPr>
        <w:tc>
          <w:tcPr>
            <w:tcW w:w="0" w:type="auto"/>
            <w:gridSpan w:val="3"/>
            <w:shd w:val="clear" w:color="auto" w:fill="auto"/>
            <w:tcMar>
              <w:top w:w="40" w:type="dxa"/>
              <w:left w:w="20" w:type="dxa"/>
              <w:bottom w:w="40" w:type="dxa"/>
              <w:right w:w="20" w:type="dxa"/>
            </w:tcMar>
            <w:vAlign w:val="bottom"/>
          </w:tcPr>
          <w:p w14:paraId="67536FDB" w14:textId="77777777" w:rsidR="001B77DD" w:rsidRDefault="00BF0A28">
            <w:pPr>
              <w:textAlignment w:val="bottom"/>
            </w:pPr>
            <w:r>
              <w:rPr>
                <w:rFonts w:ascii="Arial" w:eastAsia="宋体" w:hAnsi="Arial" w:cs="Arial"/>
                <w:color w:val="262626"/>
                <w:sz w:val="18"/>
                <w:szCs w:val="18"/>
              </w:rPr>
              <w:t>Licensed technology and patents</w:t>
            </w:r>
          </w:p>
        </w:tc>
        <w:tc>
          <w:tcPr>
            <w:tcW w:w="0" w:type="auto"/>
            <w:gridSpan w:val="3"/>
            <w:shd w:val="clear" w:color="auto" w:fill="auto"/>
            <w:tcMar>
              <w:top w:w="0" w:type="dxa"/>
              <w:left w:w="20" w:type="dxa"/>
              <w:bottom w:w="0" w:type="dxa"/>
              <w:right w:w="20" w:type="dxa"/>
            </w:tcMar>
            <w:vAlign w:val="bottom"/>
          </w:tcPr>
          <w:p w14:paraId="67536FD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DD" w14:textId="77777777" w:rsidR="001B77DD" w:rsidRDefault="00BF0A28">
            <w:pPr>
              <w:textAlignment w:val="bottom"/>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67536FD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DF" w14:textId="77777777" w:rsidR="001B77DD" w:rsidRDefault="00BF0A28">
            <w:pPr>
              <w:jc w:val="right"/>
              <w:textAlignment w:val="bottom"/>
            </w:pPr>
            <w:r>
              <w:rPr>
                <w:rFonts w:ascii="Arial" w:eastAsia="宋体" w:hAnsi="Arial" w:cs="Arial"/>
                <w:color w:val="0068B5"/>
                <w:sz w:val="18"/>
                <w:szCs w:val="18"/>
              </w:rPr>
              <w:t>347 </w:t>
            </w:r>
          </w:p>
        </w:tc>
        <w:tc>
          <w:tcPr>
            <w:tcW w:w="0" w:type="auto"/>
            <w:shd w:val="clear" w:color="auto" w:fill="auto"/>
            <w:tcMar>
              <w:top w:w="40" w:type="dxa"/>
              <w:left w:w="0" w:type="dxa"/>
              <w:bottom w:w="40" w:type="dxa"/>
              <w:right w:w="20" w:type="dxa"/>
            </w:tcMar>
            <w:vAlign w:val="bottom"/>
          </w:tcPr>
          <w:p w14:paraId="67536FE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E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E2" w14:textId="77777777" w:rsidR="001B77DD" w:rsidRDefault="00BF0A28">
            <w:pPr>
              <w:jc w:val="right"/>
              <w:textAlignment w:val="bottom"/>
            </w:pPr>
            <w:r>
              <w:rPr>
                <w:rFonts w:ascii="Arial" w:eastAsia="宋体" w:hAnsi="Arial" w:cs="Arial"/>
                <w:color w:val="262626"/>
                <w:sz w:val="18"/>
                <w:szCs w:val="18"/>
              </w:rPr>
              <w:t>341 </w:t>
            </w:r>
          </w:p>
        </w:tc>
        <w:tc>
          <w:tcPr>
            <w:tcW w:w="0" w:type="auto"/>
            <w:shd w:val="clear" w:color="auto" w:fill="auto"/>
            <w:tcMar>
              <w:top w:w="40" w:type="dxa"/>
              <w:left w:w="0" w:type="dxa"/>
              <w:bottom w:w="40" w:type="dxa"/>
              <w:right w:w="20" w:type="dxa"/>
            </w:tcMar>
            <w:vAlign w:val="bottom"/>
          </w:tcPr>
          <w:p w14:paraId="67536FE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E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6FE5" w14:textId="77777777" w:rsidR="001B77DD" w:rsidRDefault="00BF0A28">
            <w:pPr>
              <w:jc w:val="right"/>
              <w:textAlignment w:val="bottom"/>
            </w:pPr>
            <w:r>
              <w:rPr>
                <w:rFonts w:ascii="Arial" w:eastAsia="宋体" w:hAnsi="Arial" w:cs="Arial"/>
                <w:color w:val="262626"/>
                <w:sz w:val="18"/>
                <w:szCs w:val="18"/>
              </w:rPr>
              <w:t>298 </w:t>
            </w:r>
          </w:p>
        </w:tc>
        <w:tc>
          <w:tcPr>
            <w:tcW w:w="0" w:type="auto"/>
            <w:shd w:val="clear" w:color="auto" w:fill="auto"/>
            <w:tcMar>
              <w:top w:w="40" w:type="dxa"/>
              <w:left w:w="0" w:type="dxa"/>
              <w:bottom w:w="40" w:type="dxa"/>
              <w:right w:w="20" w:type="dxa"/>
            </w:tcMar>
            <w:vAlign w:val="bottom"/>
          </w:tcPr>
          <w:p w14:paraId="67536FE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E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6FE8" w14:textId="77777777" w:rsidR="001B77DD" w:rsidRDefault="00BF0A28">
            <w:pPr>
              <w:jc w:val="center"/>
              <w:textAlignment w:val="bottom"/>
            </w:pPr>
            <w:r>
              <w:rPr>
                <w:rFonts w:ascii="Arial" w:eastAsia="宋体" w:hAnsi="Arial" w:cs="Arial"/>
                <w:color w:val="0068B5"/>
                <w:sz w:val="18"/>
                <w:szCs w:val="18"/>
              </w:rPr>
              <w:t>13 years</w:t>
            </w:r>
          </w:p>
        </w:tc>
      </w:tr>
      <w:tr w:rsidR="001B77DD" w14:paraId="67536FFB" w14:textId="77777777">
        <w:trPr>
          <w:jc w:val="center"/>
        </w:trPr>
        <w:tc>
          <w:tcPr>
            <w:tcW w:w="0" w:type="auto"/>
            <w:gridSpan w:val="3"/>
            <w:shd w:val="clear" w:color="auto" w:fill="auto"/>
            <w:tcMar>
              <w:top w:w="40" w:type="dxa"/>
              <w:left w:w="20" w:type="dxa"/>
              <w:bottom w:w="40" w:type="dxa"/>
              <w:right w:w="20" w:type="dxa"/>
            </w:tcMar>
            <w:vAlign w:val="bottom"/>
          </w:tcPr>
          <w:p w14:paraId="67536FEA" w14:textId="77777777" w:rsidR="001B77DD" w:rsidRDefault="00BF0A28">
            <w:pPr>
              <w:textAlignment w:val="bottom"/>
            </w:pPr>
            <w:r>
              <w:rPr>
                <w:rFonts w:ascii="Arial" w:eastAsia="宋体" w:hAnsi="Arial" w:cs="Arial"/>
                <w:b/>
                <w:bCs/>
                <w:color w:val="262626"/>
                <w:sz w:val="18"/>
                <w:szCs w:val="18"/>
              </w:rPr>
              <w:t>Total amortization expenses</w:t>
            </w:r>
          </w:p>
        </w:tc>
        <w:tc>
          <w:tcPr>
            <w:tcW w:w="0" w:type="auto"/>
            <w:gridSpan w:val="3"/>
            <w:shd w:val="clear" w:color="auto" w:fill="auto"/>
            <w:tcMar>
              <w:top w:w="0" w:type="dxa"/>
              <w:left w:w="20" w:type="dxa"/>
              <w:bottom w:w="0" w:type="dxa"/>
              <w:right w:w="20" w:type="dxa"/>
            </w:tcMar>
            <w:vAlign w:val="bottom"/>
          </w:tcPr>
          <w:p w14:paraId="67536FE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FE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FED"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EE"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EF" w14:textId="77777777" w:rsidR="001B77DD" w:rsidRDefault="00BF0A28">
            <w:pPr>
              <w:jc w:val="right"/>
              <w:textAlignment w:val="bottom"/>
            </w:pPr>
            <w:r>
              <w:rPr>
                <w:rFonts w:ascii="Arial" w:eastAsia="宋体" w:hAnsi="Arial" w:cs="Arial"/>
                <w:b/>
                <w:bCs/>
                <w:color w:val="0068B5"/>
                <w:sz w:val="18"/>
                <w:szCs w:val="18"/>
              </w:rPr>
              <w:t>1,839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F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F1"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F2"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F3" w14:textId="77777777" w:rsidR="001B77DD" w:rsidRDefault="00BF0A28">
            <w:pPr>
              <w:jc w:val="right"/>
              <w:textAlignment w:val="bottom"/>
            </w:pPr>
            <w:r>
              <w:rPr>
                <w:rFonts w:ascii="Arial" w:eastAsia="宋体" w:hAnsi="Arial" w:cs="Arial"/>
                <w:b/>
                <w:bCs/>
                <w:color w:val="262626"/>
                <w:sz w:val="18"/>
                <w:szCs w:val="18"/>
              </w:rPr>
              <w:t>1,757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F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F5"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6FF6"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6FF7" w14:textId="77777777" w:rsidR="001B77DD" w:rsidRDefault="00BF0A28">
            <w:pPr>
              <w:jc w:val="right"/>
              <w:textAlignment w:val="bottom"/>
            </w:pPr>
            <w:r>
              <w:rPr>
                <w:rFonts w:ascii="Arial" w:eastAsia="宋体" w:hAnsi="Arial" w:cs="Arial"/>
                <w:b/>
                <w:bCs/>
                <w:color w:val="262626"/>
                <w:sz w:val="18"/>
                <w:szCs w:val="18"/>
              </w:rPr>
              <w:t>1,622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6FF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6FF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6FFA" w14:textId="77777777" w:rsidR="001B77DD" w:rsidRDefault="001B77DD">
            <w:pPr>
              <w:rPr>
                <w:rFonts w:ascii="宋体"/>
              </w:rPr>
            </w:pPr>
          </w:p>
        </w:tc>
      </w:tr>
    </w:tbl>
    <w:p w14:paraId="67536FFC" w14:textId="77777777" w:rsidR="001B77DD" w:rsidRDefault="00BF0A28">
      <w:pPr>
        <w:spacing w:after="120"/>
        <w:ind w:hanging="180"/>
      </w:pP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Represents weighted average useful life in years of intangible assets during 2021. </w:t>
      </w:r>
    </w:p>
    <w:p w14:paraId="67536FFD" w14:textId="77777777" w:rsidR="001B77DD" w:rsidRDefault="00BF0A28">
      <w:pPr>
        <w:spacing w:before="180" w:after="120"/>
      </w:pPr>
      <w:r>
        <w:rPr>
          <w:rFonts w:ascii="Arial" w:eastAsia="宋体" w:hAnsi="Arial" w:cs="Arial"/>
          <w:color w:val="262626"/>
          <w:sz w:val="18"/>
          <w:szCs w:val="18"/>
        </w:rPr>
        <w:t xml:space="preserve">We expect future amortization expense for the next five </w:t>
      </w:r>
      <w:r>
        <w:rPr>
          <w:rFonts w:ascii="Arial" w:eastAsia="宋体" w:hAnsi="Arial" w:cs="Arial"/>
          <w:color w:val="262626"/>
          <w:sz w:val="18"/>
          <w:szCs w:val="18"/>
        </w:rPr>
        <w:t>years and thereafter to be as follows:</w:t>
      </w:r>
    </w:p>
    <w:tbl>
      <w:tblPr>
        <w:tblW w:w="4986" w:type="pct"/>
        <w:jc w:val="center"/>
        <w:tblCellMar>
          <w:top w:w="15" w:type="dxa"/>
          <w:left w:w="15" w:type="dxa"/>
          <w:bottom w:w="15" w:type="dxa"/>
          <w:right w:w="15" w:type="dxa"/>
        </w:tblCellMar>
        <w:tblLook w:val="04A0" w:firstRow="1" w:lastRow="0" w:firstColumn="1" w:lastColumn="0" w:noHBand="0" w:noVBand="1"/>
      </w:tblPr>
      <w:tblGrid>
        <w:gridCol w:w="38"/>
        <w:gridCol w:w="2315"/>
        <w:gridCol w:w="36"/>
        <w:gridCol w:w="36"/>
        <w:gridCol w:w="36"/>
        <w:gridCol w:w="36"/>
        <w:gridCol w:w="121"/>
        <w:gridCol w:w="550"/>
        <w:gridCol w:w="36"/>
        <w:gridCol w:w="36"/>
        <w:gridCol w:w="36"/>
        <w:gridCol w:w="36"/>
        <w:gridCol w:w="121"/>
        <w:gridCol w:w="551"/>
        <w:gridCol w:w="36"/>
        <w:gridCol w:w="36"/>
        <w:gridCol w:w="36"/>
        <w:gridCol w:w="36"/>
        <w:gridCol w:w="121"/>
        <w:gridCol w:w="551"/>
        <w:gridCol w:w="36"/>
        <w:gridCol w:w="36"/>
        <w:gridCol w:w="36"/>
        <w:gridCol w:w="36"/>
        <w:gridCol w:w="121"/>
        <w:gridCol w:w="551"/>
        <w:gridCol w:w="36"/>
        <w:gridCol w:w="36"/>
        <w:gridCol w:w="36"/>
        <w:gridCol w:w="36"/>
        <w:gridCol w:w="121"/>
        <w:gridCol w:w="552"/>
        <w:gridCol w:w="36"/>
        <w:gridCol w:w="36"/>
        <w:gridCol w:w="36"/>
        <w:gridCol w:w="36"/>
        <w:gridCol w:w="122"/>
        <w:gridCol w:w="812"/>
        <w:gridCol w:w="36"/>
        <w:gridCol w:w="36"/>
        <w:gridCol w:w="36"/>
        <w:gridCol w:w="36"/>
        <w:gridCol w:w="121"/>
        <w:gridCol w:w="501"/>
        <w:gridCol w:w="36"/>
      </w:tblGrid>
      <w:tr w:rsidR="001B77DD" w14:paraId="6753702B" w14:textId="77777777">
        <w:trPr>
          <w:jc w:val="center"/>
        </w:trPr>
        <w:tc>
          <w:tcPr>
            <w:tcW w:w="50" w:type="pct"/>
            <w:shd w:val="clear" w:color="auto" w:fill="auto"/>
            <w:vAlign w:val="bottom"/>
          </w:tcPr>
          <w:p w14:paraId="67536FFE" w14:textId="77777777" w:rsidR="001B77DD" w:rsidRDefault="001B77DD">
            <w:pPr>
              <w:rPr>
                <w:rFonts w:ascii="宋体"/>
              </w:rPr>
            </w:pPr>
          </w:p>
        </w:tc>
        <w:tc>
          <w:tcPr>
            <w:tcW w:w="1445" w:type="pct"/>
            <w:shd w:val="clear" w:color="auto" w:fill="auto"/>
            <w:vAlign w:val="bottom"/>
          </w:tcPr>
          <w:p w14:paraId="67536FFF" w14:textId="77777777" w:rsidR="001B77DD" w:rsidRDefault="001B77DD">
            <w:pPr>
              <w:rPr>
                <w:rFonts w:ascii="宋体"/>
              </w:rPr>
            </w:pPr>
          </w:p>
        </w:tc>
        <w:tc>
          <w:tcPr>
            <w:tcW w:w="5" w:type="pct"/>
            <w:shd w:val="clear" w:color="auto" w:fill="auto"/>
            <w:vAlign w:val="bottom"/>
          </w:tcPr>
          <w:p w14:paraId="67537000" w14:textId="77777777" w:rsidR="001B77DD" w:rsidRDefault="001B77DD">
            <w:pPr>
              <w:rPr>
                <w:rFonts w:ascii="宋体"/>
              </w:rPr>
            </w:pPr>
          </w:p>
        </w:tc>
        <w:tc>
          <w:tcPr>
            <w:tcW w:w="5" w:type="pct"/>
            <w:shd w:val="clear" w:color="auto" w:fill="auto"/>
            <w:vAlign w:val="bottom"/>
          </w:tcPr>
          <w:p w14:paraId="67537001" w14:textId="77777777" w:rsidR="001B77DD" w:rsidRDefault="001B77DD">
            <w:pPr>
              <w:rPr>
                <w:rFonts w:ascii="宋体"/>
              </w:rPr>
            </w:pPr>
          </w:p>
        </w:tc>
        <w:tc>
          <w:tcPr>
            <w:tcW w:w="24" w:type="pct"/>
            <w:shd w:val="clear" w:color="auto" w:fill="auto"/>
            <w:vAlign w:val="bottom"/>
          </w:tcPr>
          <w:p w14:paraId="67537002" w14:textId="77777777" w:rsidR="001B77DD" w:rsidRDefault="001B77DD">
            <w:pPr>
              <w:rPr>
                <w:rFonts w:ascii="宋体"/>
              </w:rPr>
            </w:pPr>
          </w:p>
        </w:tc>
        <w:tc>
          <w:tcPr>
            <w:tcW w:w="5" w:type="pct"/>
            <w:shd w:val="clear" w:color="auto" w:fill="auto"/>
            <w:vAlign w:val="bottom"/>
          </w:tcPr>
          <w:p w14:paraId="67537003" w14:textId="77777777" w:rsidR="001B77DD" w:rsidRDefault="001B77DD">
            <w:pPr>
              <w:rPr>
                <w:rFonts w:ascii="宋体"/>
              </w:rPr>
            </w:pPr>
          </w:p>
        </w:tc>
        <w:tc>
          <w:tcPr>
            <w:tcW w:w="50" w:type="pct"/>
            <w:shd w:val="clear" w:color="auto" w:fill="auto"/>
            <w:vAlign w:val="bottom"/>
          </w:tcPr>
          <w:p w14:paraId="67537004" w14:textId="77777777" w:rsidR="001B77DD" w:rsidRDefault="001B77DD">
            <w:pPr>
              <w:rPr>
                <w:rFonts w:ascii="宋体"/>
              </w:rPr>
            </w:pPr>
          </w:p>
        </w:tc>
        <w:tc>
          <w:tcPr>
            <w:tcW w:w="410" w:type="pct"/>
            <w:shd w:val="clear" w:color="auto" w:fill="auto"/>
            <w:vAlign w:val="bottom"/>
          </w:tcPr>
          <w:p w14:paraId="67537005" w14:textId="77777777" w:rsidR="001B77DD" w:rsidRDefault="001B77DD">
            <w:pPr>
              <w:rPr>
                <w:rFonts w:ascii="宋体"/>
              </w:rPr>
            </w:pPr>
          </w:p>
        </w:tc>
        <w:tc>
          <w:tcPr>
            <w:tcW w:w="5" w:type="pct"/>
            <w:shd w:val="clear" w:color="auto" w:fill="auto"/>
            <w:vAlign w:val="bottom"/>
          </w:tcPr>
          <w:p w14:paraId="67537006" w14:textId="77777777" w:rsidR="001B77DD" w:rsidRDefault="001B77DD">
            <w:pPr>
              <w:rPr>
                <w:rFonts w:ascii="宋体"/>
              </w:rPr>
            </w:pPr>
          </w:p>
        </w:tc>
        <w:tc>
          <w:tcPr>
            <w:tcW w:w="5" w:type="pct"/>
            <w:shd w:val="clear" w:color="auto" w:fill="auto"/>
            <w:vAlign w:val="bottom"/>
          </w:tcPr>
          <w:p w14:paraId="67537007" w14:textId="77777777" w:rsidR="001B77DD" w:rsidRDefault="001B77DD">
            <w:pPr>
              <w:rPr>
                <w:rFonts w:ascii="宋体"/>
              </w:rPr>
            </w:pPr>
          </w:p>
        </w:tc>
        <w:tc>
          <w:tcPr>
            <w:tcW w:w="24" w:type="pct"/>
            <w:shd w:val="clear" w:color="auto" w:fill="auto"/>
            <w:vAlign w:val="bottom"/>
          </w:tcPr>
          <w:p w14:paraId="67537008" w14:textId="77777777" w:rsidR="001B77DD" w:rsidRDefault="001B77DD">
            <w:pPr>
              <w:rPr>
                <w:rFonts w:ascii="宋体"/>
              </w:rPr>
            </w:pPr>
          </w:p>
        </w:tc>
        <w:tc>
          <w:tcPr>
            <w:tcW w:w="5" w:type="pct"/>
            <w:shd w:val="clear" w:color="auto" w:fill="auto"/>
            <w:vAlign w:val="bottom"/>
          </w:tcPr>
          <w:p w14:paraId="67537009" w14:textId="77777777" w:rsidR="001B77DD" w:rsidRDefault="001B77DD">
            <w:pPr>
              <w:rPr>
                <w:rFonts w:ascii="宋体"/>
              </w:rPr>
            </w:pPr>
          </w:p>
        </w:tc>
        <w:tc>
          <w:tcPr>
            <w:tcW w:w="50" w:type="pct"/>
            <w:shd w:val="clear" w:color="auto" w:fill="auto"/>
            <w:vAlign w:val="bottom"/>
          </w:tcPr>
          <w:p w14:paraId="6753700A" w14:textId="77777777" w:rsidR="001B77DD" w:rsidRDefault="001B77DD">
            <w:pPr>
              <w:rPr>
                <w:rFonts w:ascii="宋体"/>
              </w:rPr>
            </w:pPr>
          </w:p>
        </w:tc>
        <w:tc>
          <w:tcPr>
            <w:tcW w:w="410" w:type="pct"/>
            <w:shd w:val="clear" w:color="auto" w:fill="auto"/>
            <w:vAlign w:val="bottom"/>
          </w:tcPr>
          <w:p w14:paraId="6753700B" w14:textId="77777777" w:rsidR="001B77DD" w:rsidRDefault="001B77DD">
            <w:pPr>
              <w:rPr>
                <w:rFonts w:ascii="宋体"/>
              </w:rPr>
            </w:pPr>
          </w:p>
        </w:tc>
        <w:tc>
          <w:tcPr>
            <w:tcW w:w="5" w:type="pct"/>
            <w:shd w:val="clear" w:color="auto" w:fill="auto"/>
            <w:vAlign w:val="bottom"/>
          </w:tcPr>
          <w:p w14:paraId="6753700C" w14:textId="77777777" w:rsidR="001B77DD" w:rsidRDefault="001B77DD">
            <w:pPr>
              <w:rPr>
                <w:rFonts w:ascii="宋体"/>
              </w:rPr>
            </w:pPr>
          </w:p>
        </w:tc>
        <w:tc>
          <w:tcPr>
            <w:tcW w:w="5" w:type="pct"/>
            <w:shd w:val="clear" w:color="auto" w:fill="auto"/>
            <w:vAlign w:val="bottom"/>
          </w:tcPr>
          <w:p w14:paraId="6753700D" w14:textId="77777777" w:rsidR="001B77DD" w:rsidRDefault="001B77DD">
            <w:pPr>
              <w:rPr>
                <w:rFonts w:ascii="宋体"/>
              </w:rPr>
            </w:pPr>
          </w:p>
        </w:tc>
        <w:tc>
          <w:tcPr>
            <w:tcW w:w="24" w:type="pct"/>
            <w:shd w:val="clear" w:color="auto" w:fill="auto"/>
            <w:vAlign w:val="bottom"/>
          </w:tcPr>
          <w:p w14:paraId="6753700E" w14:textId="77777777" w:rsidR="001B77DD" w:rsidRDefault="001B77DD">
            <w:pPr>
              <w:rPr>
                <w:rFonts w:ascii="宋体"/>
              </w:rPr>
            </w:pPr>
          </w:p>
        </w:tc>
        <w:tc>
          <w:tcPr>
            <w:tcW w:w="5" w:type="pct"/>
            <w:shd w:val="clear" w:color="auto" w:fill="auto"/>
            <w:vAlign w:val="bottom"/>
          </w:tcPr>
          <w:p w14:paraId="6753700F" w14:textId="77777777" w:rsidR="001B77DD" w:rsidRDefault="001B77DD">
            <w:pPr>
              <w:rPr>
                <w:rFonts w:ascii="宋体"/>
              </w:rPr>
            </w:pPr>
          </w:p>
        </w:tc>
        <w:tc>
          <w:tcPr>
            <w:tcW w:w="50" w:type="pct"/>
            <w:shd w:val="clear" w:color="auto" w:fill="auto"/>
            <w:vAlign w:val="bottom"/>
          </w:tcPr>
          <w:p w14:paraId="67537010" w14:textId="77777777" w:rsidR="001B77DD" w:rsidRDefault="001B77DD">
            <w:pPr>
              <w:rPr>
                <w:rFonts w:ascii="宋体"/>
              </w:rPr>
            </w:pPr>
          </w:p>
        </w:tc>
        <w:tc>
          <w:tcPr>
            <w:tcW w:w="410" w:type="pct"/>
            <w:shd w:val="clear" w:color="auto" w:fill="auto"/>
            <w:vAlign w:val="bottom"/>
          </w:tcPr>
          <w:p w14:paraId="67537011" w14:textId="77777777" w:rsidR="001B77DD" w:rsidRDefault="001B77DD">
            <w:pPr>
              <w:rPr>
                <w:rFonts w:ascii="宋体"/>
              </w:rPr>
            </w:pPr>
          </w:p>
        </w:tc>
        <w:tc>
          <w:tcPr>
            <w:tcW w:w="5" w:type="pct"/>
            <w:shd w:val="clear" w:color="auto" w:fill="auto"/>
            <w:vAlign w:val="bottom"/>
          </w:tcPr>
          <w:p w14:paraId="67537012" w14:textId="77777777" w:rsidR="001B77DD" w:rsidRDefault="001B77DD">
            <w:pPr>
              <w:rPr>
                <w:rFonts w:ascii="宋体"/>
              </w:rPr>
            </w:pPr>
          </w:p>
        </w:tc>
        <w:tc>
          <w:tcPr>
            <w:tcW w:w="5" w:type="pct"/>
            <w:shd w:val="clear" w:color="auto" w:fill="auto"/>
            <w:vAlign w:val="bottom"/>
          </w:tcPr>
          <w:p w14:paraId="67537013" w14:textId="77777777" w:rsidR="001B77DD" w:rsidRDefault="001B77DD">
            <w:pPr>
              <w:rPr>
                <w:rFonts w:ascii="宋体"/>
              </w:rPr>
            </w:pPr>
          </w:p>
        </w:tc>
        <w:tc>
          <w:tcPr>
            <w:tcW w:w="24" w:type="pct"/>
            <w:shd w:val="clear" w:color="auto" w:fill="auto"/>
            <w:vAlign w:val="bottom"/>
          </w:tcPr>
          <w:p w14:paraId="67537014" w14:textId="77777777" w:rsidR="001B77DD" w:rsidRDefault="001B77DD">
            <w:pPr>
              <w:rPr>
                <w:rFonts w:ascii="宋体"/>
              </w:rPr>
            </w:pPr>
          </w:p>
        </w:tc>
        <w:tc>
          <w:tcPr>
            <w:tcW w:w="5" w:type="pct"/>
            <w:shd w:val="clear" w:color="auto" w:fill="auto"/>
            <w:vAlign w:val="bottom"/>
          </w:tcPr>
          <w:p w14:paraId="67537015" w14:textId="77777777" w:rsidR="001B77DD" w:rsidRDefault="001B77DD">
            <w:pPr>
              <w:rPr>
                <w:rFonts w:ascii="宋体"/>
              </w:rPr>
            </w:pPr>
          </w:p>
        </w:tc>
        <w:tc>
          <w:tcPr>
            <w:tcW w:w="50" w:type="pct"/>
            <w:shd w:val="clear" w:color="auto" w:fill="auto"/>
            <w:vAlign w:val="bottom"/>
          </w:tcPr>
          <w:p w14:paraId="67537016" w14:textId="77777777" w:rsidR="001B77DD" w:rsidRDefault="001B77DD">
            <w:pPr>
              <w:rPr>
                <w:rFonts w:ascii="宋体"/>
              </w:rPr>
            </w:pPr>
          </w:p>
        </w:tc>
        <w:tc>
          <w:tcPr>
            <w:tcW w:w="410" w:type="pct"/>
            <w:shd w:val="clear" w:color="auto" w:fill="auto"/>
            <w:vAlign w:val="bottom"/>
          </w:tcPr>
          <w:p w14:paraId="67537017" w14:textId="77777777" w:rsidR="001B77DD" w:rsidRDefault="001B77DD">
            <w:pPr>
              <w:rPr>
                <w:rFonts w:ascii="宋体"/>
              </w:rPr>
            </w:pPr>
          </w:p>
        </w:tc>
        <w:tc>
          <w:tcPr>
            <w:tcW w:w="5" w:type="pct"/>
            <w:shd w:val="clear" w:color="auto" w:fill="auto"/>
            <w:vAlign w:val="bottom"/>
          </w:tcPr>
          <w:p w14:paraId="67537018" w14:textId="77777777" w:rsidR="001B77DD" w:rsidRDefault="001B77DD">
            <w:pPr>
              <w:rPr>
                <w:rFonts w:ascii="宋体"/>
              </w:rPr>
            </w:pPr>
          </w:p>
        </w:tc>
        <w:tc>
          <w:tcPr>
            <w:tcW w:w="5" w:type="pct"/>
            <w:shd w:val="clear" w:color="auto" w:fill="auto"/>
            <w:vAlign w:val="bottom"/>
          </w:tcPr>
          <w:p w14:paraId="67537019" w14:textId="77777777" w:rsidR="001B77DD" w:rsidRDefault="001B77DD">
            <w:pPr>
              <w:rPr>
                <w:rFonts w:ascii="宋体"/>
              </w:rPr>
            </w:pPr>
          </w:p>
        </w:tc>
        <w:tc>
          <w:tcPr>
            <w:tcW w:w="24" w:type="pct"/>
            <w:shd w:val="clear" w:color="auto" w:fill="auto"/>
            <w:vAlign w:val="bottom"/>
          </w:tcPr>
          <w:p w14:paraId="6753701A" w14:textId="77777777" w:rsidR="001B77DD" w:rsidRDefault="001B77DD">
            <w:pPr>
              <w:rPr>
                <w:rFonts w:ascii="宋体"/>
              </w:rPr>
            </w:pPr>
          </w:p>
        </w:tc>
        <w:tc>
          <w:tcPr>
            <w:tcW w:w="5" w:type="pct"/>
            <w:shd w:val="clear" w:color="auto" w:fill="auto"/>
            <w:vAlign w:val="bottom"/>
          </w:tcPr>
          <w:p w14:paraId="6753701B" w14:textId="77777777" w:rsidR="001B77DD" w:rsidRDefault="001B77DD">
            <w:pPr>
              <w:rPr>
                <w:rFonts w:ascii="宋体"/>
              </w:rPr>
            </w:pPr>
          </w:p>
        </w:tc>
        <w:tc>
          <w:tcPr>
            <w:tcW w:w="50" w:type="pct"/>
            <w:shd w:val="clear" w:color="auto" w:fill="auto"/>
            <w:vAlign w:val="bottom"/>
          </w:tcPr>
          <w:p w14:paraId="6753701C" w14:textId="77777777" w:rsidR="001B77DD" w:rsidRDefault="001B77DD">
            <w:pPr>
              <w:rPr>
                <w:rFonts w:ascii="宋体"/>
              </w:rPr>
            </w:pPr>
          </w:p>
        </w:tc>
        <w:tc>
          <w:tcPr>
            <w:tcW w:w="410" w:type="pct"/>
            <w:shd w:val="clear" w:color="auto" w:fill="auto"/>
            <w:vAlign w:val="bottom"/>
          </w:tcPr>
          <w:p w14:paraId="6753701D" w14:textId="77777777" w:rsidR="001B77DD" w:rsidRDefault="001B77DD">
            <w:pPr>
              <w:rPr>
                <w:rFonts w:ascii="宋体"/>
              </w:rPr>
            </w:pPr>
          </w:p>
        </w:tc>
        <w:tc>
          <w:tcPr>
            <w:tcW w:w="5" w:type="pct"/>
            <w:shd w:val="clear" w:color="auto" w:fill="auto"/>
            <w:vAlign w:val="bottom"/>
          </w:tcPr>
          <w:p w14:paraId="6753701E" w14:textId="77777777" w:rsidR="001B77DD" w:rsidRDefault="001B77DD">
            <w:pPr>
              <w:rPr>
                <w:rFonts w:ascii="宋体"/>
              </w:rPr>
            </w:pPr>
          </w:p>
        </w:tc>
        <w:tc>
          <w:tcPr>
            <w:tcW w:w="5" w:type="pct"/>
            <w:shd w:val="clear" w:color="auto" w:fill="auto"/>
            <w:vAlign w:val="bottom"/>
          </w:tcPr>
          <w:p w14:paraId="6753701F" w14:textId="77777777" w:rsidR="001B77DD" w:rsidRDefault="001B77DD">
            <w:pPr>
              <w:rPr>
                <w:rFonts w:ascii="宋体"/>
              </w:rPr>
            </w:pPr>
          </w:p>
        </w:tc>
        <w:tc>
          <w:tcPr>
            <w:tcW w:w="24" w:type="pct"/>
            <w:shd w:val="clear" w:color="auto" w:fill="auto"/>
            <w:vAlign w:val="bottom"/>
          </w:tcPr>
          <w:p w14:paraId="67537020" w14:textId="77777777" w:rsidR="001B77DD" w:rsidRDefault="001B77DD">
            <w:pPr>
              <w:rPr>
                <w:rFonts w:ascii="宋体"/>
              </w:rPr>
            </w:pPr>
          </w:p>
        </w:tc>
        <w:tc>
          <w:tcPr>
            <w:tcW w:w="5" w:type="pct"/>
            <w:shd w:val="clear" w:color="auto" w:fill="auto"/>
            <w:vAlign w:val="bottom"/>
          </w:tcPr>
          <w:p w14:paraId="67537021" w14:textId="77777777" w:rsidR="001B77DD" w:rsidRDefault="001B77DD">
            <w:pPr>
              <w:rPr>
                <w:rFonts w:ascii="宋体"/>
              </w:rPr>
            </w:pPr>
          </w:p>
        </w:tc>
        <w:tc>
          <w:tcPr>
            <w:tcW w:w="50" w:type="pct"/>
            <w:shd w:val="clear" w:color="auto" w:fill="auto"/>
            <w:vAlign w:val="bottom"/>
          </w:tcPr>
          <w:p w14:paraId="67537022" w14:textId="77777777" w:rsidR="001B77DD" w:rsidRDefault="001B77DD">
            <w:pPr>
              <w:rPr>
                <w:rFonts w:ascii="宋体"/>
              </w:rPr>
            </w:pPr>
          </w:p>
        </w:tc>
        <w:tc>
          <w:tcPr>
            <w:tcW w:w="410" w:type="pct"/>
            <w:shd w:val="clear" w:color="auto" w:fill="auto"/>
            <w:vAlign w:val="bottom"/>
          </w:tcPr>
          <w:p w14:paraId="67537023" w14:textId="77777777" w:rsidR="001B77DD" w:rsidRDefault="001B77DD">
            <w:pPr>
              <w:rPr>
                <w:rFonts w:ascii="宋体"/>
              </w:rPr>
            </w:pPr>
          </w:p>
        </w:tc>
        <w:tc>
          <w:tcPr>
            <w:tcW w:w="5" w:type="pct"/>
            <w:shd w:val="clear" w:color="auto" w:fill="auto"/>
            <w:vAlign w:val="bottom"/>
          </w:tcPr>
          <w:p w14:paraId="67537024" w14:textId="77777777" w:rsidR="001B77DD" w:rsidRDefault="001B77DD">
            <w:pPr>
              <w:rPr>
                <w:rFonts w:ascii="宋体"/>
              </w:rPr>
            </w:pPr>
          </w:p>
        </w:tc>
        <w:tc>
          <w:tcPr>
            <w:tcW w:w="5" w:type="pct"/>
            <w:shd w:val="clear" w:color="auto" w:fill="auto"/>
            <w:vAlign w:val="bottom"/>
          </w:tcPr>
          <w:p w14:paraId="67537025" w14:textId="77777777" w:rsidR="001B77DD" w:rsidRDefault="001B77DD">
            <w:pPr>
              <w:rPr>
                <w:rFonts w:ascii="宋体"/>
              </w:rPr>
            </w:pPr>
          </w:p>
        </w:tc>
        <w:tc>
          <w:tcPr>
            <w:tcW w:w="24" w:type="pct"/>
            <w:shd w:val="clear" w:color="auto" w:fill="auto"/>
            <w:vAlign w:val="bottom"/>
          </w:tcPr>
          <w:p w14:paraId="67537026" w14:textId="77777777" w:rsidR="001B77DD" w:rsidRDefault="001B77DD">
            <w:pPr>
              <w:rPr>
                <w:rFonts w:ascii="宋体"/>
              </w:rPr>
            </w:pPr>
          </w:p>
        </w:tc>
        <w:tc>
          <w:tcPr>
            <w:tcW w:w="5" w:type="pct"/>
            <w:shd w:val="clear" w:color="auto" w:fill="auto"/>
            <w:vAlign w:val="bottom"/>
          </w:tcPr>
          <w:p w14:paraId="67537027" w14:textId="77777777" w:rsidR="001B77DD" w:rsidRDefault="001B77DD">
            <w:pPr>
              <w:rPr>
                <w:rFonts w:ascii="宋体"/>
              </w:rPr>
            </w:pPr>
          </w:p>
        </w:tc>
        <w:tc>
          <w:tcPr>
            <w:tcW w:w="50" w:type="pct"/>
            <w:shd w:val="clear" w:color="auto" w:fill="auto"/>
            <w:vAlign w:val="bottom"/>
          </w:tcPr>
          <w:p w14:paraId="67537028" w14:textId="77777777" w:rsidR="001B77DD" w:rsidRDefault="001B77DD">
            <w:pPr>
              <w:rPr>
                <w:rFonts w:ascii="宋体"/>
              </w:rPr>
            </w:pPr>
          </w:p>
        </w:tc>
        <w:tc>
          <w:tcPr>
            <w:tcW w:w="411" w:type="pct"/>
            <w:shd w:val="clear" w:color="auto" w:fill="auto"/>
            <w:vAlign w:val="bottom"/>
          </w:tcPr>
          <w:p w14:paraId="67537029" w14:textId="77777777" w:rsidR="001B77DD" w:rsidRDefault="001B77DD">
            <w:pPr>
              <w:rPr>
                <w:rFonts w:ascii="宋体"/>
              </w:rPr>
            </w:pPr>
          </w:p>
        </w:tc>
        <w:tc>
          <w:tcPr>
            <w:tcW w:w="5" w:type="pct"/>
            <w:shd w:val="clear" w:color="auto" w:fill="auto"/>
            <w:vAlign w:val="bottom"/>
          </w:tcPr>
          <w:p w14:paraId="6753702A" w14:textId="77777777" w:rsidR="001B77DD" w:rsidRDefault="001B77DD">
            <w:pPr>
              <w:rPr>
                <w:rFonts w:ascii="宋体"/>
              </w:rPr>
            </w:pPr>
          </w:p>
        </w:tc>
      </w:tr>
      <w:tr w:rsidR="001B77DD" w14:paraId="6753703B" w14:textId="77777777">
        <w:trPr>
          <w:jc w:val="center"/>
        </w:trPr>
        <w:tc>
          <w:tcPr>
            <w:tcW w:w="0" w:type="auto"/>
            <w:gridSpan w:val="3"/>
            <w:shd w:val="clear" w:color="auto" w:fill="auto"/>
            <w:tcMar>
              <w:top w:w="40" w:type="dxa"/>
              <w:left w:w="20" w:type="dxa"/>
              <w:bottom w:w="40" w:type="dxa"/>
              <w:right w:w="20" w:type="dxa"/>
            </w:tcMar>
            <w:vAlign w:val="bottom"/>
          </w:tcPr>
          <w:p w14:paraId="6753702C"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702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02E" w14:textId="77777777" w:rsidR="001B77DD" w:rsidRDefault="00BF0A28">
            <w:pPr>
              <w:jc w:val="center"/>
              <w:textAlignment w:val="bottom"/>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vAlign w:val="bottom"/>
          </w:tcPr>
          <w:p w14:paraId="6753702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030" w14:textId="77777777" w:rsidR="001B77DD" w:rsidRDefault="00BF0A28">
            <w:pPr>
              <w:jc w:val="center"/>
              <w:textAlignment w:val="bottom"/>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6753703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032" w14:textId="77777777" w:rsidR="001B77DD" w:rsidRDefault="00BF0A28">
            <w:pPr>
              <w:jc w:val="center"/>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6753703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034" w14:textId="77777777" w:rsidR="001B77DD" w:rsidRDefault="00BF0A28">
            <w:pPr>
              <w:jc w:val="center"/>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6753703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036" w14:textId="77777777" w:rsidR="001B77DD" w:rsidRDefault="00BF0A28">
            <w:pPr>
              <w:jc w:val="center"/>
              <w:textAlignment w:val="bottom"/>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6753703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038" w14:textId="77777777" w:rsidR="001B77DD" w:rsidRDefault="00BF0A28">
            <w:pPr>
              <w:jc w:val="center"/>
              <w:textAlignment w:val="bottom"/>
            </w:pPr>
            <w:r>
              <w:rPr>
                <w:rFonts w:ascii="Arial" w:eastAsia="宋体" w:hAnsi="Arial" w:cs="Arial"/>
                <w:b/>
                <w:bCs/>
                <w:color w:val="262626"/>
                <w:sz w:val="18"/>
                <w:szCs w:val="18"/>
              </w:rPr>
              <w:t>Thereafter</w:t>
            </w:r>
          </w:p>
        </w:tc>
        <w:tc>
          <w:tcPr>
            <w:tcW w:w="0" w:type="auto"/>
            <w:gridSpan w:val="3"/>
            <w:shd w:val="clear" w:color="auto" w:fill="auto"/>
            <w:tcMar>
              <w:top w:w="0" w:type="dxa"/>
              <w:left w:w="20" w:type="dxa"/>
              <w:bottom w:w="0" w:type="dxa"/>
              <w:right w:w="20" w:type="dxa"/>
            </w:tcMar>
            <w:vAlign w:val="bottom"/>
          </w:tcPr>
          <w:p w14:paraId="6753703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03A" w14:textId="77777777" w:rsidR="001B77DD" w:rsidRDefault="00BF0A28">
            <w:pPr>
              <w:jc w:val="center"/>
              <w:textAlignment w:val="bottom"/>
            </w:pPr>
            <w:r>
              <w:rPr>
                <w:rFonts w:ascii="Arial" w:eastAsia="宋体" w:hAnsi="Arial" w:cs="Arial"/>
                <w:b/>
                <w:bCs/>
                <w:color w:val="262626"/>
                <w:sz w:val="18"/>
                <w:szCs w:val="18"/>
              </w:rPr>
              <w:t>Total</w:t>
            </w:r>
          </w:p>
        </w:tc>
      </w:tr>
      <w:tr w:rsidR="001B77DD" w14:paraId="67537059" w14:textId="77777777">
        <w:trPr>
          <w:jc w:val="center"/>
        </w:trPr>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03C" w14:textId="77777777" w:rsidR="001B77DD" w:rsidRDefault="00BF0A28">
            <w:pPr>
              <w:textAlignment w:val="bottom"/>
            </w:pPr>
            <w:r>
              <w:rPr>
                <w:rFonts w:ascii="Arial" w:eastAsia="宋体" w:hAnsi="Arial" w:cs="Arial"/>
                <w:b/>
                <w:bCs/>
                <w:color w:val="262626"/>
                <w:sz w:val="18"/>
                <w:szCs w:val="18"/>
              </w:rPr>
              <w:t>Future amortization expenses</w:t>
            </w:r>
          </w:p>
        </w:tc>
        <w:tc>
          <w:tcPr>
            <w:tcW w:w="0" w:type="auto"/>
            <w:gridSpan w:val="3"/>
            <w:shd w:val="clear" w:color="auto" w:fill="auto"/>
            <w:tcMar>
              <w:top w:w="0" w:type="dxa"/>
              <w:left w:w="20" w:type="dxa"/>
              <w:bottom w:w="0" w:type="dxa"/>
              <w:right w:w="20" w:type="dxa"/>
            </w:tcMar>
            <w:vAlign w:val="bottom"/>
          </w:tcPr>
          <w:p w14:paraId="6753703D"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03E"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03F" w14:textId="77777777" w:rsidR="001B77DD" w:rsidRDefault="00BF0A28">
            <w:pPr>
              <w:jc w:val="right"/>
              <w:textAlignment w:val="bottom"/>
            </w:pPr>
            <w:r>
              <w:rPr>
                <w:rFonts w:ascii="Arial" w:eastAsia="宋体" w:hAnsi="Arial" w:cs="Arial"/>
                <w:color w:val="0068B5"/>
                <w:sz w:val="18"/>
                <w:szCs w:val="18"/>
              </w:rPr>
              <w:t>1,854 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040" w14:textId="77777777" w:rsidR="001B77DD" w:rsidRDefault="001B77DD">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41"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042"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043" w14:textId="77777777" w:rsidR="001B77DD" w:rsidRDefault="00BF0A28">
            <w:pPr>
              <w:jc w:val="right"/>
              <w:textAlignment w:val="bottom"/>
            </w:pPr>
            <w:r>
              <w:rPr>
                <w:rFonts w:ascii="Arial" w:eastAsia="宋体" w:hAnsi="Arial" w:cs="Arial"/>
                <w:color w:val="0068B5"/>
                <w:sz w:val="18"/>
                <w:szCs w:val="18"/>
              </w:rPr>
              <w:t>1,622 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044" w14:textId="77777777" w:rsidR="001B77DD" w:rsidRDefault="001B77DD">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45"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046"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047" w14:textId="77777777" w:rsidR="001B77DD" w:rsidRDefault="00BF0A28">
            <w:pPr>
              <w:jc w:val="right"/>
              <w:textAlignment w:val="bottom"/>
            </w:pPr>
            <w:r>
              <w:rPr>
                <w:rFonts w:ascii="Arial" w:eastAsia="宋体" w:hAnsi="Arial" w:cs="Arial"/>
                <w:color w:val="0068B5"/>
                <w:sz w:val="18"/>
                <w:szCs w:val="18"/>
              </w:rPr>
              <w:t>1,188 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048" w14:textId="77777777" w:rsidR="001B77DD" w:rsidRDefault="001B77DD">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49"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04A"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04B" w14:textId="77777777" w:rsidR="001B77DD" w:rsidRDefault="00BF0A28">
            <w:pPr>
              <w:jc w:val="right"/>
              <w:textAlignment w:val="bottom"/>
            </w:pPr>
            <w:r>
              <w:rPr>
                <w:rFonts w:ascii="Arial" w:eastAsia="宋体" w:hAnsi="Arial" w:cs="Arial"/>
                <w:color w:val="0068B5"/>
                <w:sz w:val="18"/>
                <w:szCs w:val="18"/>
              </w:rPr>
              <w:t>779 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04C" w14:textId="77777777" w:rsidR="001B77DD" w:rsidRDefault="001B77DD">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4D"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04E"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04F" w14:textId="77777777" w:rsidR="001B77DD" w:rsidRDefault="00BF0A28">
            <w:pPr>
              <w:jc w:val="right"/>
              <w:textAlignment w:val="bottom"/>
            </w:pPr>
            <w:r>
              <w:rPr>
                <w:rFonts w:ascii="Arial" w:eastAsia="宋体" w:hAnsi="Arial" w:cs="Arial"/>
                <w:color w:val="0068B5"/>
                <w:sz w:val="18"/>
                <w:szCs w:val="18"/>
              </w:rPr>
              <w:t>598 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050" w14:textId="77777777" w:rsidR="001B77DD" w:rsidRDefault="001B77DD">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51"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052"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053" w14:textId="77777777" w:rsidR="001B77DD" w:rsidRDefault="00BF0A28">
            <w:pPr>
              <w:jc w:val="right"/>
              <w:textAlignment w:val="bottom"/>
            </w:pPr>
            <w:r>
              <w:rPr>
                <w:rFonts w:ascii="Arial" w:eastAsia="宋体" w:hAnsi="Arial" w:cs="Arial"/>
                <w:color w:val="0068B5"/>
                <w:sz w:val="18"/>
                <w:szCs w:val="18"/>
              </w:rPr>
              <w:t>1,229 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054" w14:textId="77777777" w:rsidR="001B77DD" w:rsidRDefault="001B77DD">
            <w:pPr>
              <w:jc w:val="right"/>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55"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056"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057" w14:textId="77777777" w:rsidR="001B77DD" w:rsidRDefault="00BF0A28">
            <w:pPr>
              <w:jc w:val="right"/>
              <w:textAlignment w:val="bottom"/>
            </w:pPr>
            <w:r>
              <w:rPr>
                <w:rFonts w:ascii="Arial" w:eastAsia="宋体" w:hAnsi="Arial" w:cs="Arial"/>
                <w:b/>
                <w:bCs/>
                <w:color w:val="0068B5"/>
                <w:sz w:val="18"/>
                <w:szCs w:val="18"/>
              </w:rPr>
              <w:t>7,270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058" w14:textId="77777777" w:rsidR="001B77DD" w:rsidRDefault="001B77DD">
            <w:pPr>
              <w:jc w:val="right"/>
              <w:rPr>
                <w:rFonts w:ascii="宋体"/>
              </w:rPr>
            </w:pPr>
          </w:p>
        </w:tc>
      </w:tr>
    </w:tbl>
    <w:p w14:paraId="6753705A" w14:textId="77777777" w:rsidR="001B77DD" w:rsidRDefault="001B77DD">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067" w14:textId="77777777">
        <w:tc>
          <w:tcPr>
            <w:tcW w:w="50" w:type="pct"/>
            <w:shd w:val="clear" w:color="auto" w:fill="auto"/>
            <w:vAlign w:val="bottom"/>
          </w:tcPr>
          <w:p w14:paraId="6753705B" w14:textId="77777777" w:rsidR="001B77DD" w:rsidRDefault="001B77DD">
            <w:pPr>
              <w:rPr>
                <w:rFonts w:ascii="宋体"/>
              </w:rPr>
            </w:pPr>
          </w:p>
        </w:tc>
        <w:tc>
          <w:tcPr>
            <w:tcW w:w="276" w:type="pct"/>
            <w:shd w:val="clear" w:color="auto" w:fill="auto"/>
            <w:vAlign w:val="bottom"/>
          </w:tcPr>
          <w:p w14:paraId="6753705C" w14:textId="77777777" w:rsidR="001B77DD" w:rsidRDefault="001B77DD">
            <w:pPr>
              <w:rPr>
                <w:rFonts w:ascii="宋体"/>
              </w:rPr>
            </w:pPr>
          </w:p>
        </w:tc>
        <w:tc>
          <w:tcPr>
            <w:tcW w:w="5" w:type="pct"/>
            <w:shd w:val="clear" w:color="auto" w:fill="auto"/>
            <w:vAlign w:val="bottom"/>
          </w:tcPr>
          <w:p w14:paraId="6753705D" w14:textId="77777777" w:rsidR="001B77DD" w:rsidRDefault="001B77DD">
            <w:pPr>
              <w:rPr>
                <w:rFonts w:ascii="宋体"/>
              </w:rPr>
            </w:pPr>
          </w:p>
        </w:tc>
        <w:tc>
          <w:tcPr>
            <w:tcW w:w="50" w:type="pct"/>
            <w:shd w:val="clear" w:color="auto" w:fill="auto"/>
            <w:vAlign w:val="bottom"/>
          </w:tcPr>
          <w:p w14:paraId="6753705E" w14:textId="77777777" w:rsidR="001B77DD" w:rsidRDefault="001B77DD">
            <w:pPr>
              <w:rPr>
                <w:rFonts w:ascii="宋体"/>
              </w:rPr>
            </w:pPr>
          </w:p>
        </w:tc>
        <w:tc>
          <w:tcPr>
            <w:tcW w:w="940" w:type="pct"/>
            <w:shd w:val="clear" w:color="auto" w:fill="auto"/>
            <w:vAlign w:val="bottom"/>
          </w:tcPr>
          <w:p w14:paraId="6753705F" w14:textId="77777777" w:rsidR="001B77DD" w:rsidRDefault="001B77DD">
            <w:pPr>
              <w:rPr>
                <w:rFonts w:ascii="宋体"/>
              </w:rPr>
            </w:pPr>
          </w:p>
        </w:tc>
        <w:tc>
          <w:tcPr>
            <w:tcW w:w="5" w:type="pct"/>
            <w:shd w:val="clear" w:color="auto" w:fill="auto"/>
            <w:vAlign w:val="bottom"/>
          </w:tcPr>
          <w:p w14:paraId="67537060" w14:textId="77777777" w:rsidR="001B77DD" w:rsidRDefault="001B77DD">
            <w:pPr>
              <w:rPr>
                <w:rFonts w:ascii="宋体"/>
              </w:rPr>
            </w:pPr>
          </w:p>
        </w:tc>
        <w:tc>
          <w:tcPr>
            <w:tcW w:w="50" w:type="pct"/>
            <w:shd w:val="clear" w:color="auto" w:fill="auto"/>
            <w:vAlign w:val="bottom"/>
          </w:tcPr>
          <w:p w14:paraId="67537061" w14:textId="77777777" w:rsidR="001B77DD" w:rsidRDefault="001B77DD">
            <w:pPr>
              <w:rPr>
                <w:rFonts w:ascii="宋体"/>
              </w:rPr>
            </w:pPr>
          </w:p>
        </w:tc>
        <w:tc>
          <w:tcPr>
            <w:tcW w:w="1837" w:type="pct"/>
            <w:shd w:val="clear" w:color="auto" w:fill="auto"/>
            <w:vAlign w:val="bottom"/>
          </w:tcPr>
          <w:p w14:paraId="67537062" w14:textId="77777777" w:rsidR="001B77DD" w:rsidRDefault="001B77DD">
            <w:pPr>
              <w:rPr>
                <w:rFonts w:ascii="宋体"/>
              </w:rPr>
            </w:pPr>
          </w:p>
        </w:tc>
        <w:tc>
          <w:tcPr>
            <w:tcW w:w="5" w:type="pct"/>
            <w:shd w:val="clear" w:color="auto" w:fill="auto"/>
            <w:vAlign w:val="bottom"/>
          </w:tcPr>
          <w:p w14:paraId="67537063" w14:textId="77777777" w:rsidR="001B77DD" w:rsidRDefault="001B77DD">
            <w:pPr>
              <w:rPr>
                <w:rFonts w:ascii="宋体"/>
              </w:rPr>
            </w:pPr>
          </w:p>
        </w:tc>
        <w:tc>
          <w:tcPr>
            <w:tcW w:w="50" w:type="pct"/>
            <w:shd w:val="clear" w:color="auto" w:fill="auto"/>
            <w:vAlign w:val="bottom"/>
          </w:tcPr>
          <w:p w14:paraId="67537064" w14:textId="77777777" w:rsidR="001B77DD" w:rsidRDefault="001B77DD">
            <w:pPr>
              <w:rPr>
                <w:rFonts w:ascii="宋体"/>
              </w:rPr>
            </w:pPr>
          </w:p>
        </w:tc>
        <w:tc>
          <w:tcPr>
            <w:tcW w:w="1724" w:type="pct"/>
            <w:shd w:val="clear" w:color="auto" w:fill="auto"/>
            <w:vAlign w:val="bottom"/>
          </w:tcPr>
          <w:p w14:paraId="67537065" w14:textId="77777777" w:rsidR="001B77DD" w:rsidRDefault="001B77DD">
            <w:pPr>
              <w:rPr>
                <w:rFonts w:ascii="宋体"/>
              </w:rPr>
            </w:pPr>
          </w:p>
        </w:tc>
        <w:tc>
          <w:tcPr>
            <w:tcW w:w="5" w:type="pct"/>
            <w:shd w:val="clear" w:color="auto" w:fill="auto"/>
            <w:vAlign w:val="bottom"/>
          </w:tcPr>
          <w:p w14:paraId="67537066" w14:textId="77777777" w:rsidR="001B77DD" w:rsidRDefault="001B77DD">
            <w:pPr>
              <w:rPr>
                <w:rFonts w:ascii="宋体"/>
              </w:rPr>
            </w:pPr>
          </w:p>
        </w:tc>
      </w:tr>
      <w:tr w:rsidR="001B77DD" w14:paraId="6753706C"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068"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57" wp14:editId="67538F58">
                  <wp:extent cx="304800" cy="304800"/>
                  <wp:effectExtent l="0" t="0" r="0" b="0"/>
                  <wp:docPr id="99" name="图片 31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1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069"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06A"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06B" w14:textId="77777777" w:rsidR="001B77DD" w:rsidRDefault="00BF0A28">
            <w:pPr>
              <w:jc w:val="right"/>
              <w:textAlignment w:val="center"/>
            </w:pPr>
            <w:r>
              <w:rPr>
                <w:rFonts w:ascii="Arial" w:eastAsia="宋体" w:hAnsi="Arial" w:cs="Arial"/>
                <w:color w:val="262626"/>
                <w:sz w:val="16"/>
                <w:szCs w:val="16"/>
              </w:rPr>
              <w:t>93</w:t>
            </w:r>
          </w:p>
        </w:tc>
      </w:tr>
    </w:tbl>
    <w:p w14:paraId="6753706D" w14:textId="77777777" w:rsidR="001B77DD" w:rsidRDefault="00BF0A28">
      <w:r>
        <w:pict w14:anchorId="67538F59">
          <v:rect id="_x0000_i1119" style="width:415.3pt;height:1.5pt" o:hralign="center" o:hrstd="t" o:hr="t" fillcolor="#a0a0a0" stroked="f"/>
        </w:pict>
      </w:r>
    </w:p>
    <w:p w14:paraId="6753706E" w14:textId="77777777" w:rsidR="001B77DD" w:rsidRDefault="00BF0A28">
      <w:pPr>
        <w:jc w:val="right"/>
      </w:pPr>
      <w:hyperlink r:id="rId181" w:anchor="i6c9ced68f6b24d58a3dcf326e8c3c699_16" w:history="1">
        <w:r>
          <w:rPr>
            <w:rStyle w:val="a5"/>
            <w:rFonts w:ascii="Arial" w:eastAsia="宋体" w:hAnsi="Arial" w:cs="Arial"/>
            <w:b/>
            <w:bCs/>
            <w:sz w:val="16"/>
            <w:szCs w:val="16"/>
          </w:rPr>
          <w:t>Table of Contents</w:t>
        </w:r>
      </w:hyperlink>
    </w:p>
    <w:p w14:paraId="6753706F"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7076" w14:textId="77777777">
        <w:tc>
          <w:tcPr>
            <w:tcW w:w="50" w:type="pct"/>
            <w:shd w:val="clear" w:color="auto" w:fill="auto"/>
            <w:vAlign w:val="bottom"/>
          </w:tcPr>
          <w:p w14:paraId="67537070" w14:textId="77777777" w:rsidR="001B77DD" w:rsidRDefault="001B77DD">
            <w:pPr>
              <w:rPr>
                <w:rFonts w:ascii="宋体"/>
              </w:rPr>
            </w:pPr>
          </w:p>
        </w:tc>
        <w:tc>
          <w:tcPr>
            <w:tcW w:w="539" w:type="pct"/>
            <w:shd w:val="clear" w:color="auto" w:fill="auto"/>
            <w:vAlign w:val="bottom"/>
          </w:tcPr>
          <w:p w14:paraId="67537071" w14:textId="77777777" w:rsidR="001B77DD" w:rsidRDefault="001B77DD">
            <w:pPr>
              <w:rPr>
                <w:rFonts w:ascii="宋体"/>
              </w:rPr>
            </w:pPr>
          </w:p>
        </w:tc>
        <w:tc>
          <w:tcPr>
            <w:tcW w:w="5" w:type="pct"/>
            <w:shd w:val="clear" w:color="auto" w:fill="auto"/>
            <w:vAlign w:val="bottom"/>
          </w:tcPr>
          <w:p w14:paraId="67537072" w14:textId="77777777" w:rsidR="001B77DD" w:rsidRDefault="001B77DD">
            <w:pPr>
              <w:rPr>
                <w:rFonts w:ascii="宋体"/>
              </w:rPr>
            </w:pPr>
          </w:p>
        </w:tc>
        <w:tc>
          <w:tcPr>
            <w:tcW w:w="50" w:type="pct"/>
            <w:shd w:val="clear" w:color="auto" w:fill="auto"/>
            <w:vAlign w:val="bottom"/>
          </w:tcPr>
          <w:p w14:paraId="67537073" w14:textId="77777777" w:rsidR="001B77DD" w:rsidRDefault="001B77DD">
            <w:pPr>
              <w:rPr>
                <w:rFonts w:ascii="宋体"/>
              </w:rPr>
            </w:pPr>
          </w:p>
        </w:tc>
        <w:tc>
          <w:tcPr>
            <w:tcW w:w="4350" w:type="pct"/>
            <w:shd w:val="clear" w:color="auto" w:fill="auto"/>
            <w:vAlign w:val="bottom"/>
          </w:tcPr>
          <w:p w14:paraId="67537074" w14:textId="77777777" w:rsidR="001B77DD" w:rsidRDefault="001B77DD">
            <w:pPr>
              <w:rPr>
                <w:rFonts w:ascii="宋体"/>
              </w:rPr>
            </w:pPr>
          </w:p>
        </w:tc>
        <w:tc>
          <w:tcPr>
            <w:tcW w:w="5" w:type="pct"/>
            <w:shd w:val="clear" w:color="auto" w:fill="auto"/>
            <w:vAlign w:val="bottom"/>
          </w:tcPr>
          <w:p w14:paraId="67537075" w14:textId="77777777" w:rsidR="001B77DD" w:rsidRDefault="001B77DD">
            <w:pPr>
              <w:rPr>
                <w:rFonts w:ascii="宋体"/>
              </w:rPr>
            </w:pPr>
          </w:p>
        </w:tc>
      </w:tr>
      <w:tr w:rsidR="001B77DD" w14:paraId="6753707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7077" w14:textId="77777777" w:rsidR="001B77DD" w:rsidRDefault="00BF0A28">
            <w:pPr>
              <w:textAlignment w:val="bottom"/>
            </w:pPr>
            <w:r>
              <w:rPr>
                <w:rFonts w:ascii="Arial" w:eastAsia="宋体" w:hAnsi="Arial" w:cs="Arial"/>
                <w:color w:val="FFFFFF"/>
                <w:sz w:val="28"/>
                <w:szCs w:val="28"/>
              </w:rPr>
              <w:t xml:space="preserve">Note 13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7078" w14:textId="77777777" w:rsidR="001B77DD" w:rsidRDefault="00BF0A28">
            <w:pPr>
              <w:textAlignment w:val="bottom"/>
            </w:pPr>
            <w:r>
              <w:rPr>
                <w:rFonts w:ascii="Arial" w:eastAsia="宋体" w:hAnsi="Arial" w:cs="Arial"/>
                <w:color w:val="0068B5"/>
                <w:sz w:val="28"/>
                <w:szCs w:val="28"/>
              </w:rPr>
              <w:t>Borrowings</w:t>
            </w:r>
          </w:p>
        </w:tc>
      </w:tr>
    </w:tbl>
    <w:p w14:paraId="6753707A" w14:textId="77777777" w:rsidR="001B77DD" w:rsidRDefault="00BF0A28">
      <w:pPr>
        <w:spacing w:after="180"/>
      </w:pPr>
      <w:r>
        <w:rPr>
          <w:rFonts w:ascii="Arial" w:eastAsia="宋体" w:hAnsi="Arial" w:cs="Arial"/>
          <w:color w:val="0068B5"/>
        </w:rPr>
        <w:t>Short-Term Debt</w:t>
      </w:r>
    </w:p>
    <w:p w14:paraId="6753707B" w14:textId="77777777" w:rsidR="001B77DD" w:rsidRDefault="00BF0A28">
      <w:pPr>
        <w:spacing w:after="180"/>
      </w:pPr>
      <w:r>
        <w:rPr>
          <w:rFonts w:ascii="Arial" w:eastAsia="宋体" w:hAnsi="Arial" w:cs="Arial"/>
          <w:color w:val="262626"/>
          <w:sz w:val="18"/>
          <w:szCs w:val="18"/>
        </w:rPr>
        <w:t xml:space="preserve">Short-term debt, which </w:t>
      </w:r>
      <w:r>
        <w:rPr>
          <w:rFonts w:ascii="Arial" w:eastAsia="宋体" w:hAnsi="Arial" w:cs="Arial"/>
          <w:color w:val="262626"/>
          <w:sz w:val="18"/>
          <w:szCs w:val="18"/>
        </w:rPr>
        <w:t>primarily includes the current portion of long-term debt, was $4.6 billion as of December 25, 2021 and $2.5 billion as of December 26, 2020.</w:t>
      </w:r>
    </w:p>
    <w:p w14:paraId="6753707C" w14:textId="77777777" w:rsidR="001B77DD" w:rsidRDefault="00BF0A28">
      <w:pPr>
        <w:spacing w:after="180"/>
      </w:pPr>
      <w:r>
        <w:rPr>
          <w:rFonts w:ascii="Arial" w:eastAsia="宋体" w:hAnsi="Arial" w:cs="Arial"/>
          <w:color w:val="262626"/>
          <w:sz w:val="18"/>
          <w:szCs w:val="18"/>
        </w:rPr>
        <w:t xml:space="preserve">The current portion of long-term debt includes debt classified as short term based on time remaining until maturity. </w:t>
      </w:r>
    </w:p>
    <w:p w14:paraId="6753707D" w14:textId="77777777" w:rsidR="001B77DD" w:rsidRDefault="00BF0A28">
      <w:pPr>
        <w:spacing w:after="180"/>
      </w:pPr>
      <w:r>
        <w:rPr>
          <w:rFonts w:ascii="Arial" w:eastAsia="宋体" w:hAnsi="Arial" w:cs="Arial"/>
          <w:color w:val="262626"/>
          <w:sz w:val="18"/>
          <w:szCs w:val="18"/>
        </w:rPr>
        <w:t>We have an ongoing authorization from our Board of Directors to borrow up to $10.0 billion under our commercial paper program.</w:t>
      </w:r>
    </w:p>
    <w:p w14:paraId="6753707E" w14:textId="77777777" w:rsidR="001B77DD" w:rsidRDefault="001B77DD">
      <w:pPr>
        <w:spacing w:after="180"/>
      </w:pPr>
    </w:p>
    <w:p w14:paraId="6753707F" w14:textId="77777777" w:rsidR="001B77DD" w:rsidRDefault="001B77DD"/>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08C" w14:textId="77777777">
        <w:tc>
          <w:tcPr>
            <w:tcW w:w="50" w:type="pct"/>
            <w:shd w:val="clear" w:color="auto" w:fill="auto"/>
            <w:vAlign w:val="bottom"/>
          </w:tcPr>
          <w:p w14:paraId="67537080" w14:textId="77777777" w:rsidR="001B77DD" w:rsidRDefault="001B77DD">
            <w:pPr>
              <w:rPr>
                <w:rFonts w:ascii="宋体"/>
              </w:rPr>
            </w:pPr>
          </w:p>
        </w:tc>
        <w:tc>
          <w:tcPr>
            <w:tcW w:w="276" w:type="pct"/>
            <w:shd w:val="clear" w:color="auto" w:fill="auto"/>
            <w:vAlign w:val="bottom"/>
          </w:tcPr>
          <w:p w14:paraId="67537081" w14:textId="77777777" w:rsidR="001B77DD" w:rsidRDefault="001B77DD">
            <w:pPr>
              <w:rPr>
                <w:rFonts w:ascii="宋体"/>
              </w:rPr>
            </w:pPr>
          </w:p>
        </w:tc>
        <w:tc>
          <w:tcPr>
            <w:tcW w:w="5" w:type="pct"/>
            <w:shd w:val="clear" w:color="auto" w:fill="auto"/>
            <w:vAlign w:val="bottom"/>
          </w:tcPr>
          <w:p w14:paraId="67537082" w14:textId="77777777" w:rsidR="001B77DD" w:rsidRDefault="001B77DD">
            <w:pPr>
              <w:rPr>
                <w:rFonts w:ascii="宋体"/>
              </w:rPr>
            </w:pPr>
          </w:p>
        </w:tc>
        <w:tc>
          <w:tcPr>
            <w:tcW w:w="50" w:type="pct"/>
            <w:shd w:val="clear" w:color="auto" w:fill="auto"/>
            <w:vAlign w:val="bottom"/>
          </w:tcPr>
          <w:p w14:paraId="67537083" w14:textId="77777777" w:rsidR="001B77DD" w:rsidRDefault="001B77DD">
            <w:pPr>
              <w:rPr>
                <w:rFonts w:ascii="宋体"/>
              </w:rPr>
            </w:pPr>
          </w:p>
        </w:tc>
        <w:tc>
          <w:tcPr>
            <w:tcW w:w="940" w:type="pct"/>
            <w:shd w:val="clear" w:color="auto" w:fill="auto"/>
            <w:vAlign w:val="bottom"/>
          </w:tcPr>
          <w:p w14:paraId="67537084" w14:textId="77777777" w:rsidR="001B77DD" w:rsidRDefault="001B77DD">
            <w:pPr>
              <w:rPr>
                <w:rFonts w:ascii="宋体"/>
              </w:rPr>
            </w:pPr>
          </w:p>
        </w:tc>
        <w:tc>
          <w:tcPr>
            <w:tcW w:w="5" w:type="pct"/>
            <w:shd w:val="clear" w:color="auto" w:fill="auto"/>
            <w:vAlign w:val="bottom"/>
          </w:tcPr>
          <w:p w14:paraId="67537085" w14:textId="77777777" w:rsidR="001B77DD" w:rsidRDefault="001B77DD">
            <w:pPr>
              <w:rPr>
                <w:rFonts w:ascii="宋体"/>
              </w:rPr>
            </w:pPr>
          </w:p>
        </w:tc>
        <w:tc>
          <w:tcPr>
            <w:tcW w:w="50" w:type="pct"/>
            <w:shd w:val="clear" w:color="auto" w:fill="auto"/>
            <w:vAlign w:val="bottom"/>
          </w:tcPr>
          <w:p w14:paraId="67537086" w14:textId="77777777" w:rsidR="001B77DD" w:rsidRDefault="001B77DD">
            <w:pPr>
              <w:rPr>
                <w:rFonts w:ascii="宋体"/>
              </w:rPr>
            </w:pPr>
          </w:p>
        </w:tc>
        <w:tc>
          <w:tcPr>
            <w:tcW w:w="1837" w:type="pct"/>
            <w:shd w:val="clear" w:color="auto" w:fill="auto"/>
            <w:vAlign w:val="bottom"/>
          </w:tcPr>
          <w:p w14:paraId="67537087" w14:textId="77777777" w:rsidR="001B77DD" w:rsidRDefault="001B77DD">
            <w:pPr>
              <w:rPr>
                <w:rFonts w:ascii="宋体"/>
              </w:rPr>
            </w:pPr>
          </w:p>
        </w:tc>
        <w:tc>
          <w:tcPr>
            <w:tcW w:w="5" w:type="pct"/>
            <w:shd w:val="clear" w:color="auto" w:fill="auto"/>
            <w:vAlign w:val="bottom"/>
          </w:tcPr>
          <w:p w14:paraId="67537088" w14:textId="77777777" w:rsidR="001B77DD" w:rsidRDefault="001B77DD">
            <w:pPr>
              <w:rPr>
                <w:rFonts w:ascii="宋体"/>
              </w:rPr>
            </w:pPr>
          </w:p>
        </w:tc>
        <w:tc>
          <w:tcPr>
            <w:tcW w:w="50" w:type="pct"/>
            <w:shd w:val="clear" w:color="auto" w:fill="auto"/>
            <w:vAlign w:val="bottom"/>
          </w:tcPr>
          <w:p w14:paraId="67537089" w14:textId="77777777" w:rsidR="001B77DD" w:rsidRDefault="001B77DD">
            <w:pPr>
              <w:rPr>
                <w:rFonts w:ascii="宋体"/>
              </w:rPr>
            </w:pPr>
          </w:p>
        </w:tc>
        <w:tc>
          <w:tcPr>
            <w:tcW w:w="1724" w:type="pct"/>
            <w:shd w:val="clear" w:color="auto" w:fill="auto"/>
            <w:vAlign w:val="bottom"/>
          </w:tcPr>
          <w:p w14:paraId="6753708A" w14:textId="77777777" w:rsidR="001B77DD" w:rsidRDefault="001B77DD">
            <w:pPr>
              <w:rPr>
                <w:rFonts w:ascii="宋体"/>
              </w:rPr>
            </w:pPr>
          </w:p>
        </w:tc>
        <w:tc>
          <w:tcPr>
            <w:tcW w:w="5" w:type="pct"/>
            <w:shd w:val="clear" w:color="auto" w:fill="auto"/>
            <w:vAlign w:val="bottom"/>
          </w:tcPr>
          <w:p w14:paraId="6753708B" w14:textId="77777777" w:rsidR="001B77DD" w:rsidRDefault="001B77DD">
            <w:pPr>
              <w:rPr>
                <w:rFonts w:ascii="宋体"/>
              </w:rPr>
            </w:pPr>
          </w:p>
        </w:tc>
      </w:tr>
      <w:tr w:rsidR="001B77DD" w14:paraId="67537091"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08D"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5A" wp14:editId="67538F5B">
                  <wp:extent cx="304800" cy="304800"/>
                  <wp:effectExtent l="0" t="0" r="0" b="0"/>
                  <wp:docPr id="80" name="图片 31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1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08E"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08F"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090" w14:textId="77777777" w:rsidR="001B77DD" w:rsidRDefault="00BF0A28">
            <w:pPr>
              <w:jc w:val="right"/>
              <w:textAlignment w:val="center"/>
            </w:pPr>
            <w:r>
              <w:rPr>
                <w:rFonts w:ascii="Arial" w:eastAsia="宋体" w:hAnsi="Arial" w:cs="Arial"/>
                <w:color w:val="262626"/>
                <w:sz w:val="16"/>
                <w:szCs w:val="16"/>
              </w:rPr>
              <w:t>94</w:t>
            </w:r>
          </w:p>
        </w:tc>
      </w:tr>
    </w:tbl>
    <w:p w14:paraId="67537092" w14:textId="77777777" w:rsidR="001B77DD" w:rsidRDefault="00BF0A28">
      <w:r>
        <w:pict w14:anchorId="67538F5C">
          <v:rect id="_x0000_i1120" style="width:415.3pt;height:1.5pt" o:hralign="center" o:hrstd="t" o:hr="t" fillcolor="#a0a0a0" stroked="f"/>
        </w:pict>
      </w:r>
    </w:p>
    <w:p w14:paraId="67537093" w14:textId="77777777" w:rsidR="001B77DD" w:rsidRDefault="00BF0A28">
      <w:pPr>
        <w:jc w:val="right"/>
      </w:pPr>
      <w:hyperlink r:id="rId182" w:anchor="i6c9ced68f6b24d58a3dcf326e8c3c699_16" w:history="1">
        <w:r>
          <w:rPr>
            <w:rStyle w:val="a5"/>
            <w:rFonts w:ascii="Arial" w:eastAsia="宋体" w:hAnsi="Arial" w:cs="Arial"/>
            <w:b/>
            <w:bCs/>
            <w:sz w:val="16"/>
            <w:szCs w:val="16"/>
          </w:rPr>
          <w:t>Table of Contents</w:t>
        </w:r>
      </w:hyperlink>
    </w:p>
    <w:p w14:paraId="67537094" w14:textId="77777777" w:rsidR="001B77DD" w:rsidRDefault="001B77DD">
      <w:pPr>
        <w:jc w:val="right"/>
      </w:pPr>
    </w:p>
    <w:p w14:paraId="67537095" w14:textId="77777777" w:rsidR="001B77DD" w:rsidRDefault="00BF0A28">
      <w:r>
        <w:rPr>
          <w:rFonts w:ascii="Arial" w:eastAsia="宋体" w:hAnsi="Arial" w:cs="Arial"/>
          <w:color w:val="0068B5"/>
        </w:rPr>
        <w:t>Long-Term Debt</w:t>
      </w:r>
    </w:p>
    <w:tbl>
      <w:tblPr>
        <w:tblW w:w="5000" w:type="pct"/>
        <w:tblCellMar>
          <w:top w:w="15" w:type="dxa"/>
          <w:left w:w="15" w:type="dxa"/>
          <w:bottom w:w="15" w:type="dxa"/>
          <w:right w:w="15" w:type="dxa"/>
        </w:tblCellMar>
        <w:tblLook w:val="04A0" w:firstRow="1" w:lastRow="0" w:firstColumn="1" w:lastColumn="0" w:noHBand="0" w:noVBand="1"/>
      </w:tblPr>
      <w:tblGrid>
        <w:gridCol w:w="42"/>
        <w:gridCol w:w="4930"/>
        <w:gridCol w:w="38"/>
        <w:gridCol w:w="36"/>
        <w:gridCol w:w="36"/>
        <w:gridCol w:w="36"/>
        <w:gridCol w:w="67"/>
        <w:gridCol w:w="772"/>
        <w:gridCol w:w="36"/>
        <w:gridCol w:w="36"/>
        <w:gridCol w:w="36"/>
        <w:gridCol w:w="36"/>
        <w:gridCol w:w="121"/>
        <w:gridCol w:w="798"/>
        <w:gridCol w:w="36"/>
        <w:gridCol w:w="36"/>
        <w:gridCol w:w="36"/>
        <w:gridCol w:w="36"/>
        <w:gridCol w:w="36"/>
        <w:gridCol w:w="36"/>
        <w:gridCol w:w="121"/>
        <w:gridCol w:w="799"/>
        <w:gridCol w:w="36"/>
        <w:gridCol w:w="36"/>
        <w:gridCol w:w="36"/>
        <w:gridCol w:w="36"/>
        <w:gridCol w:w="36"/>
      </w:tblGrid>
      <w:tr w:rsidR="001B77DD" w14:paraId="675370B1" w14:textId="77777777">
        <w:tc>
          <w:tcPr>
            <w:tcW w:w="50" w:type="pct"/>
            <w:shd w:val="clear" w:color="auto" w:fill="auto"/>
            <w:vAlign w:val="bottom"/>
          </w:tcPr>
          <w:p w14:paraId="67537096" w14:textId="77777777" w:rsidR="001B77DD" w:rsidRDefault="001B77DD">
            <w:pPr>
              <w:rPr>
                <w:rFonts w:ascii="宋体"/>
              </w:rPr>
            </w:pPr>
          </w:p>
        </w:tc>
        <w:tc>
          <w:tcPr>
            <w:tcW w:w="3059" w:type="pct"/>
            <w:shd w:val="clear" w:color="auto" w:fill="auto"/>
            <w:vAlign w:val="bottom"/>
          </w:tcPr>
          <w:p w14:paraId="67537097" w14:textId="77777777" w:rsidR="001B77DD" w:rsidRDefault="001B77DD">
            <w:pPr>
              <w:rPr>
                <w:rFonts w:ascii="宋体"/>
              </w:rPr>
            </w:pPr>
          </w:p>
        </w:tc>
        <w:tc>
          <w:tcPr>
            <w:tcW w:w="5" w:type="pct"/>
            <w:shd w:val="clear" w:color="auto" w:fill="auto"/>
            <w:vAlign w:val="bottom"/>
          </w:tcPr>
          <w:p w14:paraId="67537098" w14:textId="77777777" w:rsidR="001B77DD" w:rsidRDefault="001B77DD">
            <w:pPr>
              <w:rPr>
                <w:rFonts w:ascii="宋体"/>
              </w:rPr>
            </w:pPr>
          </w:p>
        </w:tc>
        <w:tc>
          <w:tcPr>
            <w:tcW w:w="5" w:type="pct"/>
            <w:shd w:val="clear" w:color="auto" w:fill="auto"/>
            <w:vAlign w:val="bottom"/>
          </w:tcPr>
          <w:p w14:paraId="67537099" w14:textId="77777777" w:rsidR="001B77DD" w:rsidRDefault="001B77DD">
            <w:pPr>
              <w:rPr>
                <w:rFonts w:ascii="宋体"/>
              </w:rPr>
            </w:pPr>
          </w:p>
        </w:tc>
        <w:tc>
          <w:tcPr>
            <w:tcW w:w="24" w:type="pct"/>
            <w:shd w:val="clear" w:color="auto" w:fill="auto"/>
            <w:vAlign w:val="bottom"/>
          </w:tcPr>
          <w:p w14:paraId="6753709A" w14:textId="77777777" w:rsidR="001B77DD" w:rsidRDefault="001B77DD">
            <w:pPr>
              <w:rPr>
                <w:rFonts w:ascii="宋体"/>
              </w:rPr>
            </w:pPr>
          </w:p>
        </w:tc>
        <w:tc>
          <w:tcPr>
            <w:tcW w:w="5" w:type="pct"/>
            <w:shd w:val="clear" w:color="auto" w:fill="auto"/>
            <w:vAlign w:val="bottom"/>
          </w:tcPr>
          <w:p w14:paraId="6753709B" w14:textId="77777777" w:rsidR="001B77DD" w:rsidRDefault="001B77DD">
            <w:pPr>
              <w:rPr>
                <w:rFonts w:ascii="宋体"/>
              </w:rPr>
            </w:pPr>
          </w:p>
        </w:tc>
        <w:tc>
          <w:tcPr>
            <w:tcW w:w="50" w:type="pct"/>
            <w:shd w:val="clear" w:color="auto" w:fill="auto"/>
            <w:vAlign w:val="bottom"/>
          </w:tcPr>
          <w:p w14:paraId="6753709C" w14:textId="77777777" w:rsidR="001B77DD" w:rsidRDefault="001B77DD">
            <w:pPr>
              <w:rPr>
                <w:rFonts w:ascii="宋体"/>
              </w:rPr>
            </w:pPr>
          </w:p>
        </w:tc>
        <w:tc>
          <w:tcPr>
            <w:tcW w:w="539" w:type="pct"/>
            <w:shd w:val="clear" w:color="auto" w:fill="auto"/>
            <w:vAlign w:val="bottom"/>
          </w:tcPr>
          <w:p w14:paraId="6753709D" w14:textId="77777777" w:rsidR="001B77DD" w:rsidRDefault="001B77DD">
            <w:pPr>
              <w:rPr>
                <w:rFonts w:ascii="宋体"/>
              </w:rPr>
            </w:pPr>
          </w:p>
        </w:tc>
        <w:tc>
          <w:tcPr>
            <w:tcW w:w="5" w:type="pct"/>
            <w:shd w:val="clear" w:color="auto" w:fill="auto"/>
            <w:vAlign w:val="bottom"/>
          </w:tcPr>
          <w:p w14:paraId="6753709E" w14:textId="77777777" w:rsidR="001B77DD" w:rsidRDefault="001B77DD">
            <w:pPr>
              <w:rPr>
                <w:rFonts w:ascii="宋体"/>
              </w:rPr>
            </w:pPr>
          </w:p>
        </w:tc>
        <w:tc>
          <w:tcPr>
            <w:tcW w:w="5" w:type="pct"/>
            <w:shd w:val="clear" w:color="auto" w:fill="auto"/>
            <w:vAlign w:val="bottom"/>
          </w:tcPr>
          <w:p w14:paraId="6753709F" w14:textId="77777777" w:rsidR="001B77DD" w:rsidRDefault="001B77DD">
            <w:pPr>
              <w:rPr>
                <w:rFonts w:ascii="宋体"/>
              </w:rPr>
            </w:pPr>
          </w:p>
        </w:tc>
        <w:tc>
          <w:tcPr>
            <w:tcW w:w="24" w:type="pct"/>
            <w:shd w:val="clear" w:color="auto" w:fill="auto"/>
            <w:vAlign w:val="bottom"/>
          </w:tcPr>
          <w:p w14:paraId="675370A0" w14:textId="77777777" w:rsidR="001B77DD" w:rsidRDefault="001B77DD">
            <w:pPr>
              <w:rPr>
                <w:rFonts w:ascii="宋体"/>
              </w:rPr>
            </w:pPr>
          </w:p>
        </w:tc>
        <w:tc>
          <w:tcPr>
            <w:tcW w:w="5" w:type="pct"/>
            <w:shd w:val="clear" w:color="auto" w:fill="auto"/>
            <w:vAlign w:val="bottom"/>
          </w:tcPr>
          <w:p w14:paraId="675370A1" w14:textId="77777777" w:rsidR="001B77DD" w:rsidRDefault="001B77DD">
            <w:pPr>
              <w:rPr>
                <w:rFonts w:ascii="宋体"/>
              </w:rPr>
            </w:pPr>
          </w:p>
        </w:tc>
        <w:tc>
          <w:tcPr>
            <w:tcW w:w="50" w:type="pct"/>
            <w:shd w:val="clear" w:color="auto" w:fill="auto"/>
            <w:vAlign w:val="bottom"/>
          </w:tcPr>
          <w:p w14:paraId="675370A2" w14:textId="77777777" w:rsidR="001B77DD" w:rsidRDefault="001B77DD">
            <w:pPr>
              <w:rPr>
                <w:rFonts w:ascii="宋体"/>
              </w:rPr>
            </w:pPr>
          </w:p>
        </w:tc>
        <w:tc>
          <w:tcPr>
            <w:tcW w:w="539" w:type="pct"/>
            <w:shd w:val="clear" w:color="auto" w:fill="auto"/>
            <w:vAlign w:val="bottom"/>
          </w:tcPr>
          <w:p w14:paraId="675370A3" w14:textId="77777777" w:rsidR="001B77DD" w:rsidRDefault="001B77DD">
            <w:pPr>
              <w:rPr>
                <w:rFonts w:ascii="宋体"/>
              </w:rPr>
            </w:pPr>
          </w:p>
        </w:tc>
        <w:tc>
          <w:tcPr>
            <w:tcW w:w="5" w:type="pct"/>
            <w:shd w:val="clear" w:color="auto" w:fill="auto"/>
            <w:vAlign w:val="bottom"/>
          </w:tcPr>
          <w:p w14:paraId="675370A4" w14:textId="77777777" w:rsidR="001B77DD" w:rsidRDefault="001B77DD">
            <w:pPr>
              <w:rPr>
                <w:rFonts w:ascii="宋体"/>
              </w:rPr>
            </w:pPr>
          </w:p>
        </w:tc>
        <w:tc>
          <w:tcPr>
            <w:tcW w:w="5" w:type="pct"/>
            <w:shd w:val="clear" w:color="auto" w:fill="auto"/>
            <w:vAlign w:val="bottom"/>
          </w:tcPr>
          <w:p w14:paraId="675370A5" w14:textId="77777777" w:rsidR="001B77DD" w:rsidRDefault="001B77DD">
            <w:pPr>
              <w:rPr>
                <w:rFonts w:ascii="宋体"/>
              </w:rPr>
            </w:pPr>
          </w:p>
        </w:tc>
        <w:tc>
          <w:tcPr>
            <w:tcW w:w="24" w:type="pct"/>
            <w:shd w:val="clear" w:color="auto" w:fill="auto"/>
            <w:vAlign w:val="bottom"/>
          </w:tcPr>
          <w:p w14:paraId="675370A6" w14:textId="77777777" w:rsidR="001B77DD" w:rsidRDefault="001B77DD">
            <w:pPr>
              <w:rPr>
                <w:rFonts w:ascii="宋体"/>
              </w:rPr>
            </w:pPr>
          </w:p>
        </w:tc>
        <w:tc>
          <w:tcPr>
            <w:tcW w:w="5" w:type="pct"/>
            <w:shd w:val="clear" w:color="auto" w:fill="auto"/>
            <w:vAlign w:val="bottom"/>
          </w:tcPr>
          <w:p w14:paraId="675370A7" w14:textId="77777777" w:rsidR="001B77DD" w:rsidRDefault="001B77DD">
            <w:pPr>
              <w:rPr>
                <w:rFonts w:ascii="宋体"/>
              </w:rPr>
            </w:pPr>
          </w:p>
        </w:tc>
        <w:tc>
          <w:tcPr>
            <w:tcW w:w="0" w:type="auto"/>
            <w:shd w:val="clear" w:color="auto" w:fill="auto"/>
            <w:vAlign w:val="bottom"/>
          </w:tcPr>
          <w:p w14:paraId="675370A8" w14:textId="77777777" w:rsidR="001B77DD" w:rsidRDefault="001B77DD">
            <w:pPr>
              <w:rPr>
                <w:rFonts w:ascii="宋体"/>
                <w:vanish/>
              </w:rPr>
            </w:pPr>
          </w:p>
        </w:tc>
        <w:tc>
          <w:tcPr>
            <w:tcW w:w="0" w:type="auto"/>
            <w:shd w:val="clear" w:color="auto" w:fill="auto"/>
            <w:vAlign w:val="bottom"/>
          </w:tcPr>
          <w:p w14:paraId="675370A9" w14:textId="77777777" w:rsidR="001B77DD" w:rsidRDefault="001B77DD">
            <w:pPr>
              <w:rPr>
                <w:rFonts w:ascii="宋体"/>
                <w:vanish/>
              </w:rPr>
            </w:pPr>
          </w:p>
        </w:tc>
        <w:tc>
          <w:tcPr>
            <w:tcW w:w="50" w:type="pct"/>
            <w:shd w:val="clear" w:color="auto" w:fill="auto"/>
            <w:vAlign w:val="bottom"/>
          </w:tcPr>
          <w:p w14:paraId="675370AA" w14:textId="77777777" w:rsidR="001B77DD" w:rsidRDefault="001B77DD">
            <w:pPr>
              <w:rPr>
                <w:rFonts w:ascii="宋体"/>
              </w:rPr>
            </w:pPr>
          </w:p>
        </w:tc>
        <w:tc>
          <w:tcPr>
            <w:tcW w:w="539" w:type="pct"/>
            <w:shd w:val="clear" w:color="auto" w:fill="auto"/>
            <w:vAlign w:val="bottom"/>
          </w:tcPr>
          <w:p w14:paraId="675370AB" w14:textId="77777777" w:rsidR="001B77DD" w:rsidRDefault="001B77DD">
            <w:pPr>
              <w:rPr>
                <w:rFonts w:ascii="宋体"/>
              </w:rPr>
            </w:pPr>
          </w:p>
        </w:tc>
        <w:tc>
          <w:tcPr>
            <w:tcW w:w="5" w:type="pct"/>
            <w:shd w:val="clear" w:color="auto" w:fill="auto"/>
            <w:vAlign w:val="bottom"/>
          </w:tcPr>
          <w:p w14:paraId="675370AC" w14:textId="77777777" w:rsidR="001B77DD" w:rsidRDefault="001B77DD">
            <w:pPr>
              <w:rPr>
                <w:rFonts w:ascii="宋体"/>
              </w:rPr>
            </w:pPr>
          </w:p>
        </w:tc>
        <w:tc>
          <w:tcPr>
            <w:tcW w:w="0" w:type="auto"/>
            <w:shd w:val="clear" w:color="auto" w:fill="auto"/>
            <w:vAlign w:val="bottom"/>
          </w:tcPr>
          <w:p w14:paraId="675370AD" w14:textId="77777777" w:rsidR="001B77DD" w:rsidRDefault="001B77DD">
            <w:pPr>
              <w:rPr>
                <w:rFonts w:ascii="宋体"/>
                <w:vanish/>
              </w:rPr>
            </w:pPr>
          </w:p>
        </w:tc>
        <w:tc>
          <w:tcPr>
            <w:tcW w:w="0" w:type="auto"/>
            <w:shd w:val="clear" w:color="auto" w:fill="auto"/>
            <w:vAlign w:val="bottom"/>
          </w:tcPr>
          <w:p w14:paraId="675370AE" w14:textId="77777777" w:rsidR="001B77DD" w:rsidRDefault="001B77DD">
            <w:pPr>
              <w:rPr>
                <w:rFonts w:ascii="宋体"/>
                <w:vanish/>
              </w:rPr>
            </w:pPr>
          </w:p>
        </w:tc>
        <w:tc>
          <w:tcPr>
            <w:tcW w:w="0" w:type="auto"/>
            <w:shd w:val="clear" w:color="auto" w:fill="auto"/>
            <w:vAlign w:val="bottom"/>
          </w:tcPr>
          <w:p w14:paraId="675370AF" w14:textId="77777777" w:rsidR="001B77DD" w:rsidRDefault="001B77DD">
            <w:pPr>
              <w:rPr>
                <w:rFonts w:ascii="宋体"/>
                <w:vanish/>
              </w:rPr>
            </w:pPr>
          </w:p>
        </w:tc>
        <w:tc>
          <w:tcPr>
            <w:tcW w:w="0" w:type="auto"/>
            <w:shd w:val="clear" w:color="auto" w:fill="auto"/>
            <w:vAlign w:val="bottom"/>
          </w:tcPr>
          <w:p w14:paraId="675370B0" w14:textId="77777777" w:rsidR="001B77DD" w:rsidRDefault="001B77DD">
            <w:pPr>
              <w:rPr>
                <w:rFonts w:ascii="宋体"/>
                <w:vanish/>
              </w:rPr>
            </w:pPr>
          </w:p>
        </w:tc>
      </w:tr>
      <w:tr w:rsidR="001B77DD" w14:paraId="675370BD" w14:textId="77777777">
        <w:tc>
          <w:tcPr>
            <w:tcW w:w="0" w:type="auto"/>
            <w:gridSpan w:val="3"/>
            <w:shd w:val="clear" w:color="auto" w:fill="auto"/>
            <w:tcMar>
              <w:top w:w="0" w:type="dxa"/>
              <w:left w:w="20" w:type="dxa"/>
              <w:bottom w:w="0" w:type="dxa"/>
              <w:right w:w="20" w:type="dxa"/>
            </w:tcMar>
            <w:vAlign w:val="bottom"/>
          </w:tcPr>
          <w:p w14:paraId="675370B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0B3"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70B4"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70B5" w14:textId="77777777" w:rsidR="001B77DD" w:rsidRDefault="001B77DD">
            <w:pPr>
              <w:rPr>
                <w:rFonts w:ascii="宋体"/>
              </w:rPr>
            </w:pPr>
          </w:p>
        </w:tc>
        <w:tc>
          <w:tcPr>
            <w:tcW w:w="0" w:type="auto"/>
            <w:shd w:val="clear" w:color="auto" w:fill="auto"/>
            <w:vAlign w:val="bottom"/>
          </w:tcPr>
          <w:p w14:paraId="675370B6" w14:textId="77777777" w:rsidR="001B77DD" w:rsidRDefault="001B77DD">
            <w:pPr>
              <w:rPr>
                <w:rFonts w:ascii="宋体"/>
                <w:vanish/>
              </w:rPr>
            </w:pPr>
          </w:p>
        </w:tc>
        <w:tc>
          <w:tcPr>
            <w:tcW w:w="0" w:type="auto"/>
            <w:shd w:val="clear" w:color="auto" w:fill="auto"/>
            <w:vAlign w:val="bottom"/>
          </w:tcPr>
          <w:p w14:paraId="675370B7"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70B8"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shd w:val="clear" w:color="auto" w:fill="auto"/>
            <w:vAlign w:val="bottom"/>
          </w:tcPr>
          <w:p w14:paraId="675370B9" w14:textId="77777777" w:rsidR="001B77DD" w:rsidRDefault="001B77DD">
            <w:pPr>
              <w:rPr>
                <w:rFonts w:ascii="宋体"/>
                <w:vanish/>
              </w:rPr>
            </w:pPr>
          </w:p>
        </w:tc>
        <w:tc>
          <w:tcPr>
            <w:tcW w:w="0" w:type="auto"/>
            <w:shd w:val="clear" w:color="auto" w:fill="auto"/>
            <w:vAlign w:val="bottom"/>
          </w:tcPr>
          <w:p w14:paraId="675370BA" w14:textId="77777777" w:rsidR="001B77DD" w:rsidRDefault="001B77DD">
            <w:pPr>
              <w:rPr>
                <w:rFonts w:ascii="宋体"/>
                <w:vanish/>
              </w:rPr>
            </w:pPr>
          </w:p>
        </w:tc>
        <w:tc>
          <w:tcPr>
            <w:tcW w:w="0" w:type="auto"/>
            <w:shd w:val="clear" w:color="auto" w:fill="auto"/>
            <w:vAlign w:val="bottom"/>
          </w:tcPr>
          <w:p w14:paraId="675370BB" w14:textId="77777777" w:rsidR="001B77DD" w:rsidRDefault="001B77DD">
            <w:pPr>
              <w:rPr>
                <w:rFonts w:ascii="宋体"/>
                <w:vanish/>
              </w:rPr>
            </w:pPr>
          </w:p>
        </w:tc>
        <w:tc>
          <w:tcPr>
            <w:tcW w:w="0" w:type="auto"/>
            <w:shd w:val="clear" w:color="auto" w:fill="auto"/>
            <w:vAlign w:val="bottom"/>
          </w:tcPr>
          <w:p w14:paraId="675370BC" w14:textId="77777777" w:rsidR="001B77DD" w:rsidRDefault="001B77DD">
            <w:pPr>
              <w:rPr>
                <w:rFonts w:ascii="宋体"/>
                <w:vanish/>
              </w:rPr>
            </w:pPr>
          </w:p>
        </w:tc>
      </w:tr>
      <w:tr w:rsidR="001B77DD" w14:paraId="675370CB" w14:textId="77777777">
        <w:tc>
          <w:tcPr>
            <w:tcW w:w="0" w:type="auto"/>
            <w:gridSpan w:val="3"/>
            <w:shd w:val="clear" w:color="auto" w:fill="auto"/>
            <w:tcMar>
              <w:top w:w="40" w:type="dxa"/>
              <w:left w:w="20" w:type="dxa"/>
              <w:bottom w:w="40" w:type="dxa"/>
              <w:right w:w="20" w:type="dxa"/>
            </w:tcMar>
            <w:vAlign w:val="bottom"/>
          </w:tcPr>
          <w:p w14:paraId="675370BE"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70BF"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0C0" w14:textId="77777777" w:rsidR="001B77DD" w:rsidRDefault="00BF0A28">
            <w:pPr>
              <w:jc w:val="center"/>
              <w:textAlignment w:val="bottom"/>
            </w:pPr>
            <w:r>
              <w:rPr>
                <w:rFonts w:ascii="Arial" w:eastAsia="宋体" w:hAnsi="Arial" w:cs="Arial"/>
                <w:b/>
                <w:bCs/>
                <w:color w:val="262626"/>
                <w:sz w:val="18"/>
                <w:szCs w:val="18"/>
              </w:rPr>
              <w:t>Effective Interest Rate</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0C1"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0C2" w14:textId="77777777" w:rsidR="001B77DD" w:rsidRDefault="00BF0A28">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675370C3" w14:textId="77777777" w:rsidR="001B77DD" w:rsidRDefault="001B77DD">
            <w:pPr>
              <w:rPr>
                <w:rFonts w:ascii="宋体"/>
              </w:rPr>
            </w:pPr>
          </w:p>
        </w:tc>
        <w:tc>
          <w:tcPr>
            <w:tcW w:w="0" w:type="auto"/>
            <w:shd w:val="clear" w:color="auto" w:fill="auto"/>
            <w:vAlign w:val="bottom"/>
          </w:tcPr>
          <w:p w14:paraId="675370C4" w14:textId="77777777" w:rsidR="001B77DD" w:rsidRDefault="001B77DD">
            <w:pPr>
              <w:rPr>
                <w:rFonts w:ascii="宋体"/>
                <w:vanish/>
              </w:rPr>
            </w:pPr>
          </w:p>
        </w:tc>
        <w:tc>
          <w:tcPr>
            <w:tcW w:w="0" w:type="auto"/>
            <w:shd w:val="clear" w:color="auto" w:fill="auto"/>
            <w:vAlign w:val="bottom"/>
          </w:tcPr>
          <w:p w14:paraId="675370C5" w14:textId="77777777" w:rsidR="001B77DD" w:rsidRDefault="001B77DD">
            <w:pPr>
              <w:rPr>
                <w:rFonts w:ascii="宋体"/>
                <w:vanish/>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0C6" w14:textId="77777777" w:rsidR="001B77DD" w:rsidRDefault="00BF0A28">
            <w:pPr>
              <w:jc w:val="center"/>
              <w:textAlignment w:val="bottom"/>
            </w:pPr>
            <w:r>
              <w:rPr>
                <w:rFonts w:ascii="Arial" w:eastAsia="宋体" w:hAnsi="Arial" w:cs="Arial"/>
                <w:b/>
                <w:bCs/>
                <w:color w:val="262626"/>
                <w:sz w:val="18"/>
                <w:szCs w:val="18"/>
              </w:rPr>
              <w:t>Amount</w:t>
            </w:r>
          </w:p>
        </w:tc>
        <w:tc>
          <w:tcPr>
            <w:tcW w:w="0" w:type="auto"/>
            <w:shd w:val="clear" w:color="auto" w:fill="auto"/>
            <w:vAlign w:val="bottom"/>
          </w:tcPr>
          <w:p w14:paraId="675370C7" w14:textId="77777777" w:rsidR="001B77DD" w:rsidRDefault="001B77DD">
            <w:pPr>
              <w:rPr>
                <w:rFonts w:ascii="宋体"/>
                <w:vanish/>
              </w:rPr>
            </w:pPr>
          </w:p>
        </w:tc>
        <w:tc>
          <w:tcPr>
            <w:tcW w:w="0" w:type="auto"/>
            <w:shd w:val="clear" w:color="auto" w:fill="auto"/>
            <w:vAlign w:val="bottom"/>
          </w:tcPr>
          <w:p w14:paraId="675370C8" w14:textId="77777777" w:rsidR="001B77DD" w:rsidRDefault="001B77DD">
            <w:pPr>
              <w:rPr>
                <w:rFonts w:ascii="宋体"/>
                <w:vanish/>
              </w:rPr>
            </w:pPr>
          </w:p>
        </w:tc>
        <w:tc>
          <w:tcPr>
            <w:tcW w:w="0" w:type="auto"/>
            <w:shd w:val="clear" w:color="auto" w:fill="auto"/>
            <w:vAlign w:val="bottom"/>
          </w:tcPr>
          <w:p w14:paraId="675370C9" w14:textId="77777777" w:rsidR="001B77DD" w:rsidRDefault="001B77DD">
            <w:pPr>
              <w:rPr>
                <w:rFonts w:ascii="宋体"/>
                <w:vanish/>
              </w:rPr>
            </w:pPr>
          </w:p>
        </w:tc>
        <w:tc>
          <w:tcPr>
            <w:tcW w:w="0" w:type="auto"/>
            <w:shd w:val="clear" w:color="auto" w:fill="auto"/>
            <w:vAlign w:val="bottom"/>
          </w:tcPr>
          <w:p w14:paraId="675370CA" w14:textId="77777777" w:rsidR="001B77DD" w:rsidRDefault="001B77DD">
            <w:pPr>
              <w:rPr>
                <w:rFonts w:ascii="宋体"/>
                <w:vanish/>
              </w:rPr>
            </w:pPr>
          </w:p>
        </w:tc>
      </w:tr>
      <w:tr w:rsidR="001B77DD" w14:paraId="675370D9" w14:textId="77777777">
        <w:tc>
          <w:tcPr>
            <w:tcW w:w="0" w:type="auto"/>
            <w:gridSpan w:val="3"/>
            <w:tcBorders>
              <w:top w:val="single" w:sz="8" w:space="0" w:color="0068B5"/>
            </w:tcBorders>
            <w:shd w:val="clear" w:color="auto" w:fill="auto"/>
            <w:tcMar>
              <w:top w:w="40" w:type="dxa"/>
              <w:left w:w="20" w:type="dxa"/>
              <w:bottom w:w="40" w:type="dxa"/>
              <w:right w:w="20" w:type="dxa"/>
            </w:tcMar>
          </w:tcPr>
          <w:p w14:paraId="675370CC" w14:textId="77777777" w:rsidR="001B77DD" w:rsidRDefault="00BF0A28">
            <w:pPr>
              <w:textAlignment w:val="top"/>
            </w:pPr>
            <w:r>
              <w:rPr>
                <w:rFonts w:ascii="Arial" w:eastAsia="宋体" w:hAnsi="Arial" w:cs="Arial"/>
                <w:color w:val="262626"/>
                <w:sz w:val="18"/>
                <w:szCs w:val="18"/>
              </w:rPr>
              <w:t>Floating-rate senior note:</w:t>
            </w:r>
          </w:p>
        </w:tc>
        <w:tc>
          <w:tcPr>
            <w:tcW w:w="0" w:type="auto"/>
            <w:gridSpan w:val="3"/>
            <w:shd w:val="clear" w:color="auto" w:fill="auto"/>
            <w:tcMar>
              <w:top w:w="0" w:type="dxa"/>
              <w:left w:w="20" w:type="dxa"/>
              <w:bottom w:w="0" w:type="dxa"/>
              <w:right w:w="20" w:type="dxa"/>
            </w:tcMar>
            <w:vAlign w:val="bottom"/>
          </w:tcPr>
          <w:p w14:paraId="675370CD"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C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0CF"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D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0D1" w14:textId="77777777" w:rsidR="001B77DD" w:rsidRDefault="001B77DD">
            <w:pPr>
              <w:rPr>
                <w:rFonts w:ascii="宋体"/>
              </w:rPr>
            </w:pPr>
          </w:p>
        </w:tc>
        <w:tc>
          <w:tcPr>
            <w:tcW w:w="0" w:type="auto"/>
            <w:shd w:val="clear" w:color="auto" w:fill="auto"/>
            <w:vAlign w:val="bottom"/>
          </w:tcPr>
          <w:p w14:paraId="675370D2" w14:textId="77777777" w:rsidR="001B77DD" w:rsidRDefault="001B77DD">
            <w:pPr>
              <w:rPr>
                <w:rFonts w:ascii="宋体"/>
                <w:vanish/>
              </w:rPr>
            </w:pPr>
          </w:p>
        </w:tc>
        <w:tc>
          <w:tcPr>
            <w:tcW w:w="0" w:type="auto"/>
            <w:shd w:val="clear" w:color="auto" w:fill="auto"/>
            <w:vAlign w:val="bottom"/>
          </w:tcPr>
          <w:p w14:paraId="675370D3" w14:textId="77777777" w:rsidR="001B77DD" w:rsidRDefault="001B77DD">
            <w:pPr>
              <w:rPr>
                <w:rFonts w:ascii="宋体"/>
                <w:vanish/>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0D4" w14:textId="77777777" w:rsidR="001B77DD" w:rsidRDefault="001B77DD">
            <w:pPr>
              <w:rPr>
                <w:rFonts w:ascii="宋体"/>
              </w:rPr>
            </w:pPr>
          </w:p>
        </w:tc>
        <w:tc>
          <w:tcPr>
            <w:tcW w:w="0" w:type="auto"/>
            <w:shd w:val="clear" w:color="auto" w:fill="auto"/>
            <w:vAlign w:val="bottom"/>
          </w:tcPr>
          <w:p w14:paraId="675370D5" w14:textId="77777777" w:rsidR="001B77DD" w:rsidRDefault="001B77DD">
            <w:pPr>
              <w:rPr>
                <w:rFonts w:ascii="宋体"/>
                <w:vanish/>
              </w:rPr>
            </w:pPr>
          </w:p>
        </w:tc>
        <w:tc>
          <w:tcPr>
            <w:tcW w:w="0" w:type="auto"/>
            <w:shd w:val="clear" w:color="auto" w:fill="auto"/>
            <w:vAlign w:val="bottom"/>
          </w:tcPr>
          <w:p w14:paraId="675370D6" w14:textId="77777777" w:rsidR="001B77DD" w:rsidRDefault="001B77DD">
            <w:pPr>
              <w:rPr>
                <w:rFonts w:ascii="宋体"/>
                <w:vanish/>
              </w:rPr>
            </w:pPr>
          </w:p>
        </w:tc>
        <w:tc>
          <w:tcPr>
            <w:tcW w:w="0" w:type="auto"/>
            <w:shd w:val="clear" w:color="auto" w:fill="auto"/>
            <w:vAlign w:val="bottom"/>
          </w:tcPr>
          <w:p w14:paraId="675370D7" w14:textId="77777777" w:rsidR="001B77DD" w:rsidRDefault="001B77DD">
            <w:pPr>
              <w:rPr>
                <w:rFonts w:ascii="宋体"/>
                <w:vanish/>
              </w:rPr>
            </w:pPr>
          </w:p>
        </w:tc>
        <w:tc>
          <w:tcPr>
            <w:tcW w:w="0" w:type="auto"/>
            <w:shd w:val="clear" w:color="auto" w:fill="auto"/>
            <w:vAlign w:val="bottom"/>
          </w:tcPr>
          <w:p w14:paraId="675370D8" w14:textId="77777777" w:rsidR="001B77DD" w:rsidRDefault="001B77DD">
            <w:pPr>
              <w:rPr>
                <w:rFonts w:ascii="宋体"/>
                <w:vanish/>
              </w:rPr>
            </w:pPr>
          </w:p>
        </w:tc>
      </w:tr>
      <w:tr w:rsidR="001B77DD" w14:paraId="675370E7" w14:textId="77777777">
        <w:trPr>
          <w:hidden/>
        </w:trPr>
        <w:tc>
          <w:tcPr>
            <w:tcW w:w="0" w:type="auto"/>
            <w:gridSpan w:val="3"/>
            <w:shd w:val="clear" w:color="auto" w:fill="auto"/>
            <w:vAlign w:val="bottom"/>
          </w:tcPr>
          <w:p w14:paraId="675370DA" w14:textId="77777777" w:rsidR="001B77DD" w:rsidRDefault="001B77DD">
            <w:pPr>
              <w:rPr>
                <w:rFonts w:ascii="宋体"/>
                <w:vanish/>
              </w:rPr>
            </w:pPr>
          </w:p>
        </w:tc>
        <w:tc>
          <w:tcPr>
            <w:tcW w:w="0" w:type="auto"/>
            <w:gridSpan w:val="3"/>
            <w:shd w:val="clear" w:color="auto" w:fill="auto"/>
            <w:vAlign w:val="bottom"/>
          </w:tcPr>
          <w:p w14:paraId="675370DB" w14:textId="77777777" w:rsidR="001B77DD" w:rsidRDefault="001B77DD">
            <w:pPr>
              <w:rPr>
                <w:rFonts w:ascii="宋体"/>
                <w:vanish/>
              </w:rPr>
            </w:pPr>
          </w:p>
        </w:tc>
        <w:tc>
          <w:tcPr>
            <w:tcW w:w="0" w:type="auto"/>
            <w:gridSpan w:val="3"/>
            <w:shd w:val="clear" w:color="auto" w:fill="auto"/>
            <w:vAlign w:val="bottom"/>
          </w:tcPr>
          <w:p w14:paraId="675370DC" w14:textId="77777777" w:rsidR="001B77DD" w:rsidRDefault="001B77DD">
            <w:pPr>
              <w:rPr>
                <w:rFonts w:ascii="宋体"/>
                <w:vanish/>
              </w:rPr>
            </w:pPr>
          </w:p>
        </w:tc>
        <w:tc>
          <w:tcPr>
            <w:tcW w:w="0" w:type="auto"/>
            <w:gridSpan w:val="3"/>
            <w:shd w:val="clear" w:color="auto" w:fill="auto"/>
            <w:vAlign w:val="bottom"/>
          </w:tcPr>
          <w:p w14:paraId="675370DD" w14:textId="77777777" w:rsidR="001B77DD" w:rsidRDefault="001B77DD">
            <w:pPr>
              <w:rPr>
                <w:rFonts w:ascii="宋体"/>
                <w:vanish/>
              </w:rPr>
            </w:pPr>
          </w:p>
        </w:tc>
        <w:tc>
          <w:tcPr>
            <w:tcW w:w="0" w:type="auto"/>
            <w:gridSpan w:val="3"/>
            <w:shd w:val="clear" w:color="auto" w:fill="auto"/>
            <w:vAlign w:val="bottom"/>
          </w:tcPr>
          <w:p w14:paraId="675370DE" w14:textId="77777777" w:rsidR="001B77DD" w:rsidRDefault="001B77DD">
            <w:pPr>
              <w:rPr>
                <w:rFonts w:ascii="宋体"/>
                <w:vanish/>
              </w:rPr>
            </w:pPr>
          </w:p>
        </w:tc>
        <w:tc>
          <w:tcPr>
            <w:tcW w:w="0" w:type="auto"/>
            <w:gridSpan w:val="3"/>
            <w:shd w:val="clear" w:color="auto" w:fill="auto"/>
            <w:vAlign w:val="bottom"/>
          </w:tcPr>
          <w:p w14:paraId="675370DF" w14:textId="77777777" w:rsidR="001B77DD" w:rsidRDefault="001B77DD">
            <w:pPr>
              <w:rPr>
                <w:rFonts w:ascii="宋体"/>
                <w:vanish/>
              </w:rPr>
            </w:pPr>
          </w:p>
        </w:tc>
        <w:tc>
          <w:tcPr>
            <w:tcW w:w="0" w:type="auto"/>
            <w:shd w:val="clear" w:color="auto" w:fill="auto"/>
            <w:vAlign w:val="bottom"/>
          </w:tcPr>
          <w:p w14:paraId="675370E0" w14:textId="77777777" w:rsidR="001B77DD" w:rsidRDefault="001B77DD">
            <w:pPr>
              <w:rPr>
                <w:rFonts w:ascii="宋体"/>
                <w:vanish/>
              </w:rPr>
            </w:pPr>
          </w:p>
        </w:tc>
        <w:tc>
          <w:tcPr>
            <w:tcW w:w="0" w:type="auto"/>
            <w:shd w:val="clear" w:color="auto" w:fill="auto"/>
            <w:vAlign w:val="bottom"/>
          </w:tcPr>
          <w:p w14:paraId="675370E1" w14:textId="77777777" w:rsidR="001B77DD" w:rsidRDefault="001B77DD">
            <w:pPr>
              <w:rPr>
                <w:rFonts w:ascii="宋体"/>
                <w:vanish/>
              </w:rPr>
            </w:pPr>
          </w:p>
        </w:tc>
        <w:tc>
          <w:tcPr>
            <w:tcW w:w="0" w:type="auto"/>
            <w:gridSpan w:val="3"/>
            <w:shd w:val="clear" w:color="auto" w:fill="auto"/>
            <w:vAlign w:val="bottom"/>
          </w:tcPr>
          <w:p w14:paraId="675370E2" w14:textId="77777777" w:rsidR="001B77DD" w:rsidRDefault="001B77DD">
            <w:pPr>
              <w:rPr>
                <w:rFonts w:ascii="宋体"/>
                <w:vanish/>
              </w:rPr>
            </w:pPr>
          </w:p>
        </w:tc>
        <w:tc>
          <w:tcPr>
            <w:tcW w:w="0" w:type="auto"/>
            <w:shd w:val="clear" w:color="auto" w:fill="auto"/>
            <w:vAlign w:val="bottom"/>
          </w:tcPr>
          <w:p w14:paraId="675370E3" w14:textId="77777777" w:rsidR="001B77DD" w:rsidRDefault="001B77DD">
            <w:pPr>
              <w:rPr>
                <w:rFonts w:ascii="宋体"/>
                <w:vanish/>
              </w:rPr>
            </w:pPr>
          </w:p>
        </w:tc>
        <w:tc>
          <w:tcPr>
            <w:tcW w:w="0" w:type="auto"/>
            <w:shd w:val="clear" w:color="auto" w:fill="auto"/>
            <w:vAlign w:val="bottom"/>
          </w:tcPr>
          <w:p w14:paraId="675370E4" w14:textId="77777777" w:rsidR="001B77DD" w:rsidRDefault="001B77DD">
            <w:pPr>
              <w:rPr>
                <w:rFonts w:ascii="宋体"/>
                <w:vanish/>
              </w:rPr>
            </w:pPr>
          </w:p>
        </w:tc>
        <w:tc>
          <w:tcPr>
            <w:tcW w:w="0" w:type="auto"/>
            <w:shd w:val="clear" w:color="auto" w:fill="auto"/>
            <w:vAlign w:val="bottom"/>
          </w:tcPr>
          <w:p w14:paraId="675370E5" w14:textId="77777777" w:rsidR="001B77DD" w:rsidRDefault="001B77DD">
            <w:pPr>
              <w:rPr>
                <w:rFonts w:ascii="宋体"/>
                <w:vanish/>
              </w:rPr>
            </w:pPr>
          </w:p>
        </w:tc>
        <w:tc>
          <w:tcPr>
            <w:tcW w:w="0" w:type="auto"/>
            <w:shd w:val="clear" w:color="auto" w:fill="auto"/>
            <w:vAlign w:val="bottom"/>
          </w:tcPr>
          <w:p w14:paraId="675370E6" w14:textId="77777777" w:rsidR="001B77DD" w:rsidRDefault="001B77DD">
            <w:pPr>
              <w:rPr>
                <w:rFonts w:ascii="宋体"/>
                <w:vanish/>
              </w:rPr>
            </w:pPr>
          </w:p>
        </w:tc>
      </w:tr>
      <w:tr w:rsidR="001B77DD" w14:paraId="675370F9" w14:textId="77777777">
        <w:tc>
          <w:tcPr>
            <w:tcW w:w="0" w:type="auto"/>
            <w:gridSpan w:val="3"/>
            <w:shd w:val="clear" w:color="auto" w:fill="auto"/>
            <w:tcMar>
              <w:top w:w="40" w:type="dxa"/>
              <w:left w:w="155" w:type="dxa"/>
              <w:bottom w:w="40" w:type="dxa"/>
              <w:right w:w="20" w:type="dxa"/>
            </w:tcMar>
            <w:vAlign w:val="bottom"/>
          </w:tcPr>
          <w:p w14:paraId="675370E8" w14:textId="77777777" w:rsidR="001B77DD" w:rsidRDefault="00BF0A28">
            <w:pPr>
              <w:textAlignment w:val="bottom"/>
            </w:pPr>
            <w:r>
              <w:rPr>
                <w:rFonts w:ascii="Arial" w:eastAsia="宋体" w:hAnsi="Arial" w:cs="Arial"/>
                <w:color w:val="262626"/>
                <w:sz w:val="18"/>
                <w:szCs w:val="18"/>
              </w:rPr>
              <w:t>Three-month LIBOR plus 0.35%, due May 2022</w:t>
            </w:r>
          </w:p>
        </w:tc>
        <w:tc>
          <w:tcPr>
            <w:tcW w:w="0" w:type="auto"/>
            <w:gridSpan w:val="3"/>
            <w:shd w:val="clear" w:color="auto" w:fill="auto"/>
            <w:tcMar>
              <w:top w:w="0" w:type="dxa"/>
              <w:left w:w="20" w:type="dxa"/>
              <w:bottom w:w="0" w:type="dxa"/>
              <w:right w:w="20" w:type="dxa"/>
            </w:tcMar>
            <w:vAlign w:val="bottom"/>
          </w:tcPr>
          <w:p w14:paraId="675370E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0EA" w14:textId="77777777" w:rsidR="001B77DD" w:rsidRDefault="00BF0A28">
            <w:pPr>
              <w:jc w:val="center"/>
              <w:textAlignment w:val="bottom"/>
            </w:pPr>
            <w:r>
              <w:rPr>
                <w:rFonts w:ascii="Arial" w:eastAsia="宋体" w:hAnsi="Arial" w:cs="Arial"/>
                <w:color w:val="0068B5"/>
                <w:sz w:val="18"/>
                <w:szCs w:val="18"/>
              </w:rPr>
              <w:t>0.55%</w:t>
            </w:r>
          </w:p>
        </w:tc>
        <w:tc>
          <w:tcPr>
            <w:tcW w:w="0" w:type="auto"/>
            <w:gridSpan w:val="3"/>
            <w:shd w:val="clear" w:color="auto" w:fill="auto"/>
            <w:tcMar>
              <w:top w:w="0" w:type="dxa"/>
              <w:left w:w="20" w:type="dxa"/>
              <w:bottom w:w="0" w:type="dxa"/>
              <w:right w:w="20" w:type="dxa"/>
            </w:tcMar>
            <w:vAlign w:val="bottom"/>
          </w:tcPr>
          <w:p w14:paraId="675370E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0EC"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0ED" w14:textId="77777777" w:rsidR="001B77DD" w:rsidRDefault="00BF0A28">
            <w:pPr>
              <w:jc w:val="right"/>
              <w:textAlignment w:val="bottom"/>
            </w:pPr>
            <w:r>
              <w:rPr>
                <w:rFonts w:ascii="Arial" w:eastAsia="宋体" w:hAnsi="Arial" w:cs="Arial"/>
                <w:color w:val="0068B5"/>
                <w:sz w:val="18"/>
                <w:szCs w:val="18"/>
              </w:rPr>
              <w:t>800 </w:t>
            </w:r>
          </w:p>
        </w:tc>
        <w:tc>
          <w:tcPr>
            <w:tcW w:w="0" w:type="auto"/>
            <w:shd w:val="clear" w:color="auto" w:fill="auto"/>
            <w:tcMar>
              <w:top w:w="40" w:type="dxa"/>
              <w:left w:w="0" w:type="dxa"/>
              <w:bottom w:w="40" w:type="dxa"/>
              <w:right w:w="20" w:type="dxa"/>
            </w:tcMar>
            <w:vAlign w:val="bottom"/>
          </w:tcPr>
          <w:p w14:paraId="675370E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0EF" w14:textId="77777777" w:rsidR="001B77DD" w:rsidRDefault="001B77DD">
            <w:pPr>
              <w:rPr>
                <w:rFonts w:ascii="宋体"/>
              </w:rPr>
            </w:pPr>
          </w:p>
        </w:tc>
        <w:tc>
          <w:tcPr>
            <w:tcW w:w="0" w:type="auto"/>
            <w:shd w:val="clear" w:color="auto" w:fill="auto"/>
            <w:vAlign w:val="bottom"/>
          </w:tcPr>
          <w:p w14:paraId="675370F0" w14:textId="77777777" w:rsidR="001B77DD" w:rsidRDefault="001B77DD">
            <w:pPr>
              <w:rPr>
                <w:rFonts w:ascii="宋体"/>
                <w:vanish/>
              </w:rPr>
            </w:pPr>
          </w:p>
        </w:tc>
        <w:tc>
          <w:tcPr>
            <w:tcW w:w="0" w:type="auto"/>
            <w:shd w:val="clear" w:color="auto" w:fill="auto"/>
            <w:vAlign w:val="bottom"/>
          </w:tcPr>
          <w:p w14:paraId="675370F1" w14:textId="77777777" w:rsidR="001B77DD" w:rsidRDefault="001B77DD">
            <w:pPr>
              <w:rPr>
                <w:rFonts w:ascii="宋体"/>
                <w:vanish/>
              </w:rPr>
            </w:pPr>
          </w:p>
        </w:tc>
        <w:tc>
          <w:tcPr>
            <w:tcW w:w="0" w:type="auto"/>
            <w:shd w:val="clear" w:color="auto" w:fill="auto"/>
            <w:tcMar>
              <w:top w:w="40" w:type="dxa"/>
              <w:left w:w="20" w:type="dxa"/>
              <w:bottom w:w="40" w:type="dxa"/>
              <w:right w:w="0" w:type="dxa"/>
            </w:tcMar>
            <w:vAlign w:val="bottom"/>
          </w:tcPr>
          <w:p w14:paraId="675370F2" w14:textId="77777777" w:rsidR="001B77DD" w:rsidRDefault="00BF0A28">
            <w:pPr>
              <w:textAlignment w:val="bottom"/>
            </w:pPr>
            <w:r>
              <w:rPr>
                <w:rFonts w:ascii="Arial" w:eastAsia="宋体" w:hAnsi="Arial" w:cs="Arial"/>
                <w:color w:val="000000"/>
                <w:sz w:val="18"/>
                <w:szCs w:val="18"/>
              </w:rPr>
              <w:t>$</w:t>
            </w:r>
          </w:p>
        </w:tc>
        <w:tc>
          <w:tcPr>
            <w:tcW w:w="0" w:type="auto"/>
            <w:shd w:val="clear" w:color="auto" w:fill="auto"/>
            <w:tcMar>
              <w:top w:w="40" w:type="dxa"/>
              <w:left w:w="0" w:type="dxa"/>
              <w:bottom w:w="40" w:type="dxa"/>
              <w:right w:w="0" w:type="dxa"/>
            </w:tcMar>
            <w:vAlign w:val="bottom"/>
          </w:tcPr>
          <w:p w14:paraId="675370F3" w14:textId="77777777" w:rsidR="001B77DD" w:rsidRDefault="00BF0A28">
            <w:pPr>
              <w:jc w:val="right"/>
              <w:textAlignment w:val="bottom"/>
            </w:pPr>
            <w:r>
              <w:rPr>
                <w:rFonts w:ascii="Arial" w:eastAsia="宋体" w:hAnsi="Arial" w:cs="Arial"/>
                <w:color w:val="000000"/>
                <w:sz w:val="18"/>
                <w:szCs w:val="18"/>
              </w:rPr>
              <w:t>800 </w:t>
            </w:r>
          </w:p>
        </w:tc>
        <w:tc>
          <w:tcPr>
            <w:tcW w:w="0" w:type="auto"/>
            <w:shd w:val="clear" w:color="auto" w:fill="auto"/>
            <w:tcMar>
              <w:top w:w="40" w:type="dxa"/>
              <w:left w:w="0" w:type="dxa"/>
              <w:bottom w:w="40" w:type="dxa"/>
              <w:right w:w="20" w:type="dxa"/>
            </w:tcMar>
            <w:vAlign w:val="bottom"/>
          </w:tcPr>
          <w:p w14:paraId="675370F4" w14:textId="77777777" w:rsidR="001B77DD" w:rsidRDefault="001B77DD">
            <w:pPr>
              <w:jc w:val="right"/>
              <w:rPr>
                <w:rFonts w:ascii="宋体"/>
              </w:rPr>
            </w:pPr>
          </w:p>
        </w:tc>
        <w:tc>
          <w:tcPr>
            <w:tcW w:w="0" w:type="auto"/>
            <w:shd w:val="clear" w:color="auto" w:fill="auto"/>
            <w:vAlign w:val="bottom"/>
          </w:tcPr>
          <w:p w14:paraId="675370F5" w14:textId="77777777" w:rsidR="001B77DD" w:rsidRDefault="001B77DD">
            <w:pPr>
              <w:rPr>
                <w:rFonts w:ascii="宋体"/>
                <w:vanish/>
              </w:rPr>
            </w:pPr>
          </w:p>
        </w:tc>
        <w:tc>
          <w:tcPr>
            <w:tcW w:w="0" w:type="auto"/>
            <w:shd w:val="clear" w:color="auto" w:fill="auto"/>
            <w:vAlign w:val="bottom"/>
          </w:tcPr>
          <w:p w14:paraId="675370F6" w14:textId="77777777" w:rsidR="001B77DD" w:rsidRDefault="001B77DD">
            <w:pPr>
              <w:rPr>
                <w:rFonts w:ascii="宋体"/>
                <w:vanish/>
              </w:rPr>
            </w:pPr>
          </w:p>
        </w:tc>
        <w:tc>
          <w:tcPr>
            <w:tcW w:w="0" w:type="auto"/>
            <w:shd w:val="clear" w:color="auto" w:fill="auto"/>
            <w:vAlign w:val="bottom"/>
          </w:tcPr>
          <w:p w14:paraId="675370F7" w14:textId="77777777" w:rsidR="001B77DD" w:rsidRDefault="001B77DD">
            <w:pPr>
              <w:rPr>
                <w:rFonts w:ascii="宋体"/>
                <w:vanish/>
              </w:rPr>
            </w:pPr>
          </w:p>
        </w:tc>
        <w:tc>
          <w:tcPr>
            <w:tcW w:w="0" w:type="auto"/>
            <w:shd w:val="clear" w:color="auto" w:fill="auto"/>
            <w:vAlign w:val="bottom"/>
          </w:tcPr>
          <w:p w14:paraId="675370F8" w14:textId="77777777" w:rsidR="001B77DD" w:rsidRDefault="001B77DD">
            <w:pPr>
              <w:rPr>
                <w:rFonts w:ascii="宋体"/>
                <w:vanish/>
              </w:rPr>
            </w:pPr>
          </w:p>
        </w:tc>
      </w:tr>
      <w:tr w:rsidR="001B77DD" w14:paraId="67537107" w14:textId="77777777">
        <w:tc>
          <w:tcPr>
            <w:tcW w:w="0" w:type="auto"/>
            <w:gridSpan w:val="3"/>
            <w:shd w:val="clear" w:color="auto" w:fill="auto"/>
            <w:tcMar>
              <w:top w:w="40" w:type="dxa"/>
              <w:left w:w="20" w:type="dxa"/>
              <w:bottom w:w="40" w:type="dxa"/>
              <w:right w:w="20" w:type="dxa"/>
            </w:tcMar>
          </w:tcPr>
          <w:p w14:paraId="675370FA" w14:textId="77777777" w:rsidR="001B77DD" w:rsidRDefault="00BF0A28">
            <w:pPr>
              <w:textAlignment w:val="top"/>
            </w:pPr>
            <w:r>
              <w:rPr>
                <w:rFonts w:ascii="Arial" w:eastAsia="宋体" w:hAnsi="Arial" w:cs="Arial"/>
                <w:color w:val="262626"/>
                <w:sz w:val="18"/>
                <w:szCs w:val="18"/>
              </w:rPr>
              <w:t>Fixed-rate senior notes:</w:t>
            </w:r>
          </w:p>
        </w:tc>
        <w:tc>
          <w:tcPr>
            <w:tcW w:w="0" w:type="auto"/>
            <w:gridSpan w:val="3"/>
            <w:shd w:val="clear" w:color="auto" w:fill="auto"/>
            <w:tcMar>
              <w:top w:w="0" w:type="dxa"/>
              <w:left w:w="20" w:type="dxa"/>
              <w:bottom w:w="0" w:type="dxa"/>
              <w:right w:w="20" w:type="dxa"/>
            </w:tcMar>
            <w:vAlign w:val="bottom"/>
          </w:tcPr>
          <w:p w14:paraId="675370F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0F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0F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0F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0FF" w14:textId="77777777" w:rsidR="001B77DD" w:rsidRDefault="001B77DD">
            <w:pPr>
              <w:rPr>
                <w:rFonts w:ascii="宋体"/>
              </w:rPr>
            </w:pPr>
          </w:p>
        </w:tc>
        <w:tc>
          <w:tcPr>
            <w:tcW w:w="0" w:type="auto"/>
            <w:shd w:val="clear" w:color="auto" w:fill="auto"/>
            <w:vAlign w:val="bottom"/>
          </w:tcPr>
          <w:p w14:paraId="67537100" w14:textId="77777777" w:rsidR="001B77DD" w:rsidRDefault="001B77DD">
            <w:pPr>
              <w:rPr>
                <w:rFonts w:ascii="宋体"/>
                <w:vanish/>
              </w:rPr>
            </w:pPr>
          </w:p>
        </w:tc>
        <w:tc>
          <w:tcPr>
            <w:tcW w:w="0" w:type="auto"/>
            <w:shd w:val="clear" w:color="auto" w:fill="auto"/>
            <w:vAlign w:val="bottom"/>
          </w:tcPr>
          <w:p w14:paraId="67537101"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7102" w14:textId="77777777" w:rsidR="001B77DD" w:rsidRDefault="001B77DD">
            <w:pPr>
              <w:rPr>
                <w:rFonts w:ascii="宋体"/>
              </w:rPr>
            </w:pPr>
          </w:p>
        </w:tc>
        <w:tc>
          <w:tcPr>
            <w:tcW w:w="0" w:type="auto"/>
            <w:shd w:val="clear" w:color="auto" w:fill="auto"/>
            <w:vAlign w:val="bottom"/>
          </w:tcPr>
          <w:p w14:paraId="67537103" w14:textId="77777777" w:rsidR="001B77DD" w:rsidRDefault="001B77DD">
            <w:pPr>
              <w:rPr>
                <w:rFonts w:ascii="宋体"/>
                <w:vanish/>
              </w:rPr>
            </w:pPr>
          </w:p>
        </w:tc>
        <w:tc>
          <w:tcPr>
            <w:tcW w:w="0" w:type="auto"/>
            <w:shd w:val="clear" w:color="auto" w:fill="auto"/>
            <w:vAlign w:val="bottom"/>
          </w:tcPr>
          <w:p w14:paraId="67537104" w14:textId="77777777" w:rsidR="001B77DD" w:rsidRDefault="001B77DD">
            <w:pPr>
              <w:rPr>
                <w:rFonts w:ascii="宋体"/>
                <w:vanish/>
              </w:rPr>
            </w:pPr>
          </w:p>
        </w:tc>
        <w:tc>
          <w:tcPr>
            <w:tcW w:w="0" w:type="auto"/>
            <w:shd w:val="clear" w:color="auto" w:fill="auto"/>
            <w:vAlign w:val="bottom"/>
          </w:tcPr>
          <w:p w14:paraId="67537105" w14:textId="77777777" w:rsidR="001B77DD" w:rsidRDefault="001B77DD">
            <w:pPr>
              <w:rPr>
                <w:rFonts w:ascii="宋体"/>
                <w:vanish/>
              </w:rPr>
            </w:pPr>
          </w:p>
        </w:tc>
        <w:tc>
          <w:tcPr>
            <w:tcW w:w="0" w:type="auto"/>
            <w:shd w:val="clear" w:color="auto" w:fill="auto"/>
            <w:vAlign w:val="bottom"/>
          </w:tcPr>
          <w:p w14:paraId="67537106" w14:textId="77777777" w:rsidR="001B77DD" w:rsidRDefault="001B77DD">
            <w:pPr>
              <w:rPr>
                <w:rFonts w:ascii="宋体"/>
                <w:vanish/>
              </w:rPr>
            </w:pPr>
          </w:p>
        </w:tc>
      </w:tr>
      <w:tr w:rsidR="001B77DD" w14:paraId="67537117" w14:textId="77777777">
        <w:tc>
          <w:tcPr>
            <w:tcW w:w="0" w:type="auto"/>
            <w:gridSpan w:val="3"/>
            <w:shd w:val="clear" w:color="auto" w:fill="auto"/>
            <w:tcMar>
              <w:top w:w="40" w:type="dxa"/>
              <w:left w:w="155" w:type="dxa"/>
              <w:bottom w:w="40" w:type="dxa"/>
              <w:right w:w="20" w:type="dxa"/>
            </w:tcMar>
            <w:vAlign w:val="bottom"/>
          </w:tcPr>
          <w:p w14:paraId="67537108" w14:textId="77777777" w:rsidR="001B77DD" w:rsidRDefault="00BF0A28">
            <w:pPr>
              <w:textAlignment w:val="bottom"/>
            </w:pPr>
            <w:r>
              <w:rPr>
                <w:rFonts w:ascii="Arial" w:eastAsia="宋体" w:hAnsi="Arial" w:cs="Arial"/>
                <w:color w:val="262626"/>
                <w:sz w:val="18"/>
                <w:szCs w:val="18"/>
              </w:rPr>
              <w:t>1.70%, due May 2021</w:t>
            </w:r>
          </w:p>
        </w:tc>
        <w:tc>
          <w:tcPr>
            <w:tcW w:w="0" w:type="auto"/>
            <w:gridSpan w:val="3"/>
            <w:shd w:val="clear" w:color="auto" w:fill="auto"/>
            <w:tcMar>
              <w:top w:w="0" w:type="dxa"/>
              <w:left w:w="20" w:type="dxa"/>
              <w:bottom w:w="0" w:type="dxa"/>
              <w:right w:w="20" w:type="dxa"/>
            </w:tcMar>
            <w:vAlign w:val="bottom"/>
          </w:tcPr>
          <w:p w14:paraId="6753710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0A" w14:textId="77777777" w:rsidR="001B77DD" w:rsidRDefault="00BF0A28">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710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0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10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0E" w14:textId="77777777" w:rsidR="001B77DD" w:rsidRDefault="001B77DD">
            <w:pPr>
              <w:rPr>
                <w:rFonts w:ascii="宋体"/>
              </w:rPr>
            </w:pPr>
          </w:p>
        </w:tc>
        <w:tc>
          <w:tcPr>
            <w:tcW w:w="0" w:type="auto"/>
            <w:shd w:val="clear" w:color="auto" w:fill="auto"/>
            <w:vAlign w:val="bottom"/>
          </w:tcPr>
          <w:p w14:paraId="6753710F" w14:textId="77777777" w:rsidR="001B77DD" w:rsidRDefault="001B77DD">
            <w:pPr>
              <w:rPr>
                <w:rFonts w:ascii="宋体"/>
                <w:vanish/>
              </w:rPr>
            </w:pPr>
          </w:p>
        </w:tc>
        <w:tc>
          <w:tcPr>
            <w:tcW w:w="0" w:type="auto"/>
            <w:shd w:val="clear" w:color="auto" w:fill="auto"/>
            <w:vAlign w:val="bottom"/>
          </w:tcPr>
          <w:p w14:paraId="6753711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11" w14:textId="77777777" w:rsidR="001B77DD" w:rsidRDefault="00BF0A28">
            <w:pPr>
              <w:jc w:val="right"/>
              <w:textAlignment w:val="bottom"/>
            </w:pPr>
            <w:r>
              <w:rPr>
                <w:rFonts w:ascii="Arial" w:eastAsia="宋体" w:hAnsi="Arial" w:cs="Arial"/>
                <w:color w:val="000000"/>
                <w:sz w:val="18"/>
                <w:szCs w:val="18"/>
              </w:rPr>
              <w:t>500 </w:t>
            </w:r>
          </w:p>
        </w:tc>
        <w:tc>
          <w:tcPr>
            <w:tcW w:w="0" w:type="auto"/>
            <w:shd w:val="clear" w:color="auto" w:fill="auto"/>
            <w:tcMar>
              <w:top w:w="40" w:type="dxa"/>
              <w:left w:w="0" w:type="dxa"/>
              <w:bottom w:w="40" w:type="dxa"/>
              <w:right w:w="20" w:type="dxa"/>
            </w:tcMar>
            <w:vAlign w:val="bottom"/>
          </w:tcPr>
          <w:p w14:paraId="67537112" w14:textId="77777777" w:rsidR="001B77DD" w:rsidRDefault="001B77DD">
            <w:pPr>
              <w:jc w:val="right"/>
              <w:rPr>
                <w:rFonts w:ascii="宋体"/>
              </w:rPr>
            </w:pPr>
          </w:p>
        </w:tc>
        <w:tc>
          <w:tcPr>
            <w:tcW w:w="0" w:type="auto"/>
            <w:shd w:val="clear" w:color="auto" w:fill="auto"/>
            <w:vAlign w:val="bottom"/>
          </w:tcPr>
          <w:p w14:paraId="67537113" w14:textId="77777777" w:rsidR="001B77DD" w:rsidRDefault="001B77DD">
            <w:pPr>
              <w:rPr>
                <w:rFonts w:ascii="宋体"/>
                <w:vanish/>
              </w:rPr>
            </w:pPr>
          </w:p>
        </w:tc>
        <w:tc>
          <w:tcPr>
            <w:tcW w:w="0" w:type="auto"/>
            <w:shd w:val="clear" w:color="auto" w:fill="auto"/>
            <w:vAlign w:val="bottom"/>
          </w:tcPr>
          <w:p w14:paraId="67537114" w14:textId="77777777" w:rsidR="001B77DD" w:rsidRDefault="001B77DD">
            <w:pPr>
              <w:rPr>
                <w:rFonts w:ascii="宋体"/>
                <w:vanish/>
              </w:rPr>
            </w:pPr>
          </w:p>
        </w:tc>
        <w:tc>
          <w:tcPr>
            <w:tcW w:w="0" w:type="auto"/>
            <w:shd w:val="clear" w:color="auto" w:fill="auto"/>
            <w:vAlign w:val="bottom"/>
          </w:tcPr>
          <w:p w14:paraId="67537115" w14:textId="77777777" w:rsidR="001B77DD" w:rsidRDefault="001B77DD">
            <w:pPr>
              <w:rPr>
                <w:rFonts w:ascii="宋体"/>
                <w:vanish/>
              </w:rPr>
            </w:pPr>
          </w:p>
        </w:tc>
        <w:tc>
          <w:tcPr>
            <w:tcW w:w="0" w:type="auto"/>
            <w:shd w:val="clear" w:color="auto" w:fill="auto"/>
            <w:vAlign w:val="bottom"/>
          </w:tcPr>
          <w:p w14:paraId="67537116" w14:textId="77777777" w:rsidR="001B77DD" w:rsidRDefault="001B77DD">
            <w:pPr>
              <w:rPr>
                <w:rFonts w:ascii="宋体"/>
                <w:vanish/>
              </w:rPr>
            </w:pPr>
          </w:p>
        </w:tc>
      </w:tr>
      <w:tr w:rsidR="001B77DD" w14:paraId="67537127" w14:textId="77777777">
        <w:tc>
          <w:tcPr>
            <w:tcW w:w="0" w:type="auto"/>
            <w:gridSpan w:val="3"/>
            <w:shd w:val="clear" w:color="auto" w:fill="auto"/>
            <w:tcMar>
              <w:top w:w="40" w:type="dxa"/>
              <w:left w:w="155" w:type="dxa"/>
              <w:bottom w:w="40" w:type="dxa"/>
              <w:right w:w="20" w:type="dxa"/>
            </w:tcMar>
            <w:vAlign w:val="bottom"/>
          </w:tcPr>
          <w:p w14:paraId="67537118" w14:textId="77777777" w:rsidR="001B77DD" w:rsidRDefault="00BF0A28">
            <w:pPr>
              <w:textAlignment w:val="bottom"/>
            </w:pPr>
            <w:r>
              <w:rPr>
                <w:rFonts w:ascii="Arial" w:eastAsia="宋体" w:hAnsi="Arial" w:cs="Arial"/>
                <w:color w:val="262626"/>
                <w:sz w:val="18"/>
                <w:szCs w:val="18"/>
              </w:rPr>
              <w:t xml:space="preserve">3.30%, </w:t>
            </w:r>
            <w:r>
              <w:rPr>
                <w:rFonts w:ascii="Arial" w:eastAsia="宋体" w:hAnsi="Arial" w:cs="Arial"/>
                <w:color w:val="262626"/>
                <w:sz w:val="18"/>
                <w:szCs w:val="18"/>
              </w:rPr>
              <w:t>due October 2021</w:t>
            </w:r>
          </w:p>
        </w:tc>
        <w:tc>
          <w:tcPr>
            <w:tcW w:w="0" w:type="auto"/>
            <w:gridSpan w:val="3"/>
            <w:shd w:val="clear" w:color="auto" w:fill="auto"/>
            <w:tcMar>
              <w:top w:w="0" w:type="dxa"/>
              <w:left w:w="20" w:type="dxa"/>
              <w:bottom w:w="0" w:type="dxa"/>
              <w:right w:w="20" w:type="dxa"/>
            </w:tcMar>
            <w:vAlign w:val="bottom"/>
          </w:tcPr>
          <w:p w14:paraId="6753711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1A" w14:textId="77777777" w:rsidR="001B77DD" w:rsidRDefault="00BF0A28">
            <w:pPr>
              <w:jc w:val="center"/>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711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1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11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1E" w14:textId="77777777" w:rsidR="001B77DD" w:rsidRDefault="001B77DD">
            <w:pPr>
              <w:rPr>
                <w:rFonts w:ascii="宋体"/>
              </w:rPr>
            </w:pPr>
          </w:p>
        </w:tc>
        <w:tc>
          <w:tcPr>
            <w:tcW w:w="0" w:type="auto"/>
            <w:shd w:val="clear" w:color="auto" w:fill="auto"/>
            <w:vAlign w:val="bottom"/>
          </w:tcPr>
          <w:p w14:paraId="6753711F" w14:textId="77777777" w:rsidR="001B77DD" w:rsidRDefault="001B77DD">
            <w:pPr>
              <w:rPr>
                <w:rFonts w:ascii="宋体"/>
                <w:vanish/>
              </w:rPr>
            </w:pPr>
          </w:p>
        </w:tc>
        <w:tc>
          <w:tcPr>
            <w:tcW w:w="0" w:type="auto"/>
            <w:shd w:val="clear" w:color="auto" w:fill="auto"/>
            <w:vAlign w:val="bottom"/>
          </w:tcPr>
          <w:p w14:paraId="6753712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21" w14:textId="77777777" w:rsidR="001B77DD" w:rsidRDefault="00BF0A28">
            <w:pPr>
              <w:jc w:val="right"/>
              <w:textAlignment w:val="bottom"/>
            </w:pPr>
            <w:r>
              <w:rPr>
                <w:rFonts w:ascii="Arial" w:eastAsia="宋体" w:hAnsi="Arial" w:cs="Arial"/>
                <w:color w:val="000000"/>
                <w:sz w:val="18"/>
                <w:szCs w:val="18"/>
              </w:rPr>
              <w:t>2,000 </w:t>
            </w:r>
          </w:p>
        </w:tc>
        <w:tc>
          <w:tcPr>
            <w:tcW w:w="0" w:type="auto"/>
            <w:shd w:val="clear" w:color="auto" w:fill="auto"/>
            <w:tcMar>
              <w:top w:w="40" w:type="dxa"/>
              <w:left w:w="0" w:type="dxa"/>
              <w:bottom w:w="40" w:type="dxa"/>
              <w:right w:w="20" w:type="dxa"/>
            </w:tcMar>
            <w:vAlign w:val="bottom"/>
          </w:tcPr>
          <w:p w14:paraId="67537122" w14:textId="77777777" w:rsidR="001B77DD" w:rsidRDefault="001B77DD">
            <w:pPr>
              <w:jc w:val="right"/>
              <w:rPr>
                <w:rFonts w:ascii="宋体"/>
              </w:rPr>
            </w:pPr>
          </w:p>
        </w:tc>
        <w:tc>
          <w:tcPr>
            <w:tcW w:w="0" w:type="auto"/>
            <w:shd w:val="clear" w:color="auto" w:fill="auto"/>
            <w:vAlign w:val="bottom"/>
          </w:tcPr>
          <w:p w14:paraId="67537123" w14:textId="77777777" w:rsidR="001B77DD" w:rsidRDefault="001B77DD">
            <w:pPr>
              <w:rPr>
                <w:rFonts w:ascii="宋体"/>
                <w:vanish/>
              </w:rPr>
            </w:pPr>
          </w:p>
        </w:tc>
        <w:tc>
          <w:tcPr>
            <w:tcW w:w="0" w:type="auto"/>
            <w:shd w:val="clear" w:color="auto" w:fill="auto"/>
            <w:vAlign w:val="bottom"/>
          </w:tcPr>
          <w:p w14:paraId="67537124" w14:textId="77777777" w:rsidR="001B77DD" w:rsidRDefault="001B77DD">
            <w:pPr>
              <w:rPr>
                <w:rFonts w:ascii="宋体"/>
                <w:vanish/>
              </w:rPr>
            </w:pPr>
          </w:p>
        </w:tc>
        <w:tc>
          <w:tcPr>
            <w:tcW w:w="0" w:type="auto"/>
            <w:shd w:val="clear" w:color="auto" w:fill="auto"/>
            <w:vAlign w:val="bottom"/>
          </w:tcPr>
          <w:p w14:paraId="67537125" w14:textId="77777777" w:rsidR="001B77DD" w:rsidRDefault="001B77DD">
            <w:pPr>
              <w:rPr>
                <w:rFonts w:ascii="宋体"/>
                <w:vanish/>
              </w:rPr>
            </w:pPr>
          </w:p>
        </w:tc>
        <w:tc>
          <w:tcPr>
            <w:tcW w:w="0" w:type="auto"/>
            <w:shd w:val="clear" w:color="auto" w:fill="auto"/>
            <w:vAlign w:val="bottom"/>
          </w:tcPr>
          <w:p w14:paraId="67537126" w14:textId="77777777" w:rsidR="001B77DD" w:rsidRDefault="001B77DD">
            <w:pPr>
              <w:rPr>
                <w:rFonts w:ascii="宋体"/>
                <w:vanish/>
              </w:rPr>
            </w:pPr>
          </w:p>
        </w:tc>
      </w:tr>
      <w:tr w:rsidR="001B77DD" w14:paraId="67537137" w14:textId="77777777">
        <w:tc>
          <w:tcPr>
            <w:tcW w:w="0" w:type="auto"/>
            <w:gridSpan w:val="3"/>
            <w:shd w:val="clear" w:color="auto" w:fill="auto"/>
            <w:tcMar>
              <w:top w:w="40" w:type="dxa"/>
              <w:left w:w="155" w:type="dxa"/>
              <w:bottom w:w="40" w:type="dxa"/>
              <w:right w:w="20" w:type="dxa"/>
            </w:tcMar>
            <w:vAlign w:val="bottom"/>
          </w:tcPr>
          <w:p w14:paraId="67537128" w14:textId="77777777" w:rsidR="001B77DD" w:rsidRDefault="00BF0A28">
            <w:pPr>
              <w:textAlignment w:val="bottom"/>
            </w:pPr>
            <w:r>
              <w:rPr>
                <w:rFonts w:ascii="Arial" w:eastAsia="宋体" w:hAnsi="Arial" w:cs="Arial"/>
                <w:color w:val="262626"/>
                <w:sz w:val="18"/>
                <w:szCs w:val="18"/>
              </w:rPr>
              <w:t xml:space="preserve">2.35%, </w:t>
            </w:r>
            <w:r>
              <w:rPr>
                <w:rFonts w:ascii="Arial" w:eastAsia="宋体" w:hAnsi="Arial" w:cs="Arial"/>
                <w:color w:val="262626"/>
                <w:sz w:val="18"/>
                <w:szCs w:val="18"/>
              </w:rPr>
              <w:t>due May 2022</w:t>
            </w:r>
          </w:p>
        </w:tc>
        <w:tc>
          <w:tcPr>
            <w:tcW w:w="0" w:type="auto"/>
            <w:gridSpan w:val="3"/>
            <w:shd w:val="clear" w:color="auto" w:fill="auto"/>
            <w:tcMar>
              <w:top w:w="0" w:type="dxa"/>
              <w:left w:w="20" w:type="dxa"/>
              <w:bottom w:w="0" w:type="dxa"/>
              <w:right w:w="20" w:type="dxa"/>
            </w:tcMar>
            <w:vAlign w:val="bottom"/>
          </w:tcPr>
          <w:p w14:paraId="6753712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2A" w14:textId="77777777" w:rsidR="001B77DD" w:rsidRDefault="00BF0A28">
            <w:pPr>
              <w:jc w:val="center"/>
              <w:textAlignment w:val="bottom"/>
            </w:pPr>
            <w:r>
              <w:rPr>
                <w:rFonts w:ascii="Arial" w:eastAsia="宋体" w:hAnsi="Arial" w:cs="Arial"/>
                <w:color w:val="0068B5"/>
                <w:sz w:val="18"/>
                <w:szCs w:val="18"/>
              </w:rPr>
              <w:t>1.96%</w:t>
            </w:r>
          </w:p>
        </w:tc>
        <w:tc>
          <w:tcPr>
            <w:tcW w:w="0" w:type="auto"/>
            <w:gridSpan w:val="3"/>
            <w:shd w:val="clear" w:color="auto" w:fill="auto"/>
            <w:tcMar>
              <w:top w:w="0" w:type="dxa"/>
              <w:left w:w="20" w:type="dxa"/>
              <w:bottom w:w="0" w:type="dxa"/>
              <w:right w:w="20" w:type="dxa"/>
            </w:tcMar>
            <w:vAlign w:val="bottom"/>
          </w:tcPr>
          <w:p w14:paraId="6753712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2C" w14:textId="77777777" w:rsidR="001B77DD" w:rsidRDefault="00BF0A2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675371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2E" w14:textId="77777777" w:rsidR="001B77DD" w:rsidRDefault="001B77DD">
            <w:pPr>
              <w:rPr>
                <w:rFonts w:ascii="宋体"/>
              </w:rPr>
            </w:pPr>
          </w:p>
        </w:tc>
        <w:tc>
          <w:tcPr>
            <w:tcW w:w="0" w:type="auto"/>
            <w:shd w:val="clear" w:color="auto" w:fill="auto"/>
            <w:vAlign w:val="bottom"/>
          </w:tcPr>
          <w:p w14:paraId="6753712F" w14:textId="77777777" w:rsidR="001B77DD" w:rsidRDefault="001B77DD">
            <w:pPr>
              <w:rPr>
                <w:rFonts w:ascii="宋体"/>
                <w:vanish/>
              </w:rPr>
            </w:pPr>
          </w:p>
        </w:tc>
        <w:tc>
          <w:tcPr>
            <w:tcW w:w="0" w:type="auto"/>
            <w:shd w:val="clear" w:color="auto" w:fill="auto"/>
            <w:vAlign w:val="bottom"/>
          </w:tcPr>
          <w:p w14:paraId="6753713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31" w14:textId="77777777" w:rsidR="001B77DD" w:rsidRDefault="00BF0A28">
            <w:pPr>
              <w:jc w:val="right"/>
              <w:textAlignment w:val="bottom"/>
            </w:pPr>
            <w:r>
              <w:rPr>
                <w:rFonts w:ascii="Arial" w:eastAsia="宋体" w:hAnsi="Arial" w:cs="Arial"/>
                <w:color w:val="000000"/>
                <w:sz w:val="18"/>
                <w:szCs w:val="18"/>
              </w:rPr>
              <w:t>750 </w:t>
            </w:r>
          </w:p>
        </w:tc>
        <w:tc>
          <w:tcPr>
            <w:tcW w:w="0" w:type="auto"/>
            <w:shd w:val="clear" w:color="auto" w:fill="auto"/>
            <w:tcMar>
              <w:top w:w="40" w:type="dxa"/>
              <w:left w:w="0" w:type="dxa"/>
              <w:bottom w:w="40" w:type="dxa"/>
              <w:right w:w="20" w:type="dxa"/>
            </w:tcMar>
            <w:vAlign w:val="bottom"/>
          </w:tcPr>
          <w:p w14:paraId="67537132" w14:textId="77777777" w:rsidR="001B77DD" w:rsidRDefault="001B77DD">
            <w:pPr>
              <w:jc w:val="right"/>
              <w:rPr>
                <w:rFonts w:ascii="宋体"/>
              </w:rPr>
            </w:pPr>
          </w:p>
        </w:tc>
        <w:tc>
          <w:tcPr>
            <w:tcW w:w="0" w:type="auto"/>
            <w:shd w:val="clear" w:color="auto" w:fill="auto"/>
            <w:vAlign w:val="bottom"/>
          </w:tcPr>
          <w:p w14:paraId="67537133" w14:textId="77777777" w:rsidR="001B77DD" w:rsidRDefault="001B77DD">
            <w:pPr>
              <w:rPr>
                <w:rFonts w:ascii="宋体"/>
                <w:vanish/>
              </w:rPr>
            </w:pPr>
          </w:p>
        </w:tc>
        <w:tc>
          <w:tcPr>
            <w:tcW w:w="0" w:type="auto"/>
            <w:shd w:val="clear" w:color="auto" w:fill="auto"/>
            <w:vAlign w:val="bottom"/>
          </w:tcPr>
          <w:p w14:paraId="67537134" w14:textId="77777777" w:rsidR="001B77DD" w:rsidRDefault="001B77DD">
            <w:pPr>
              <w:rPr>
                <w:rFonts w:ascii="宋体"/>
                <w:vanish/>
              </w:rPr>
            </w:pPr>
          </w:p>
        </w:tc>
        <w:tc>
          <w:tcPr>
            <w:tcW w:w="0" w:type="auto"/>
            <w:shd w:val="clear" w:color="auto" w:fill="auto"/>
            <w:vAlign w:val="bottom"/>
          </w:tcPr>
          <w:p w14:paraId="67537135" w14:textId="77777777" w:rsidR="001B77DD" w:rsidRDefault="001B77DD">
            <w:pPr>
              <w:rPr>
                <w:rFonts w:ascii="宋体"/>
                <w:vanish/>
              </w:rPr>
            </w:pPr>
          </w:p>
        </w:tc>
        <w:tc>
          <w:tcPr>
            <w:tcW w:w="0" w:type="auto"/>
            <w:shd w:val="clear" w:color="auto" w:fill="auto"/>
            <w:vAlign w:val="bottom"/>
          </w:tcPr>
          <w:p w14:paraId="67537136" w14:textId="77777777" w:rsidR="001B77DD" w:rsidRDefault="001B77DD">
            <w:pPr>
              <w:rPr>
                <w:rFonts w:ascii="宋体"/>
                <w:vanish/>
              </w:rPr>
            </w:pPr>
          </w:p>
        </w:tc>
      </w:tr>
      <w:tr w:rsidR="001B77DD" w14:paraId="67537147" w14:textId="77777777">
        <w:tc>
          <w:tcPr>
            <w:tcW w:w="0" w:type="auto"/>
            <w:gridSpan w:val="3"/>
            <w:shd w:val="clear" w:color="auto" w:fill="auto"/>
            <w:tcMar>
              <w:top w:w="40" w:type="dxa"/>
              <w:left w:w="155" w:type="dxa"/>
              <w:bottom w:w="40" w:type="dxa"/>
              <w:right w:w="20" w:type="dxa"/>
            </w:tcMar>
            <w:vAlign w:val="bottom"/>
          </w:tcPr>
          <w:p w14:paraId="67537138" w14:textId="77777777" w:rsidR="001B77DD" w:rsidRDefault="00BF0A28">
            <w:pPr>
              <w:textAlignment w:val="bottom"/>
            </w:pPr>
            <w:r>
              <w:rPr>
                <w:rFonts w:ascii="Arial" w:eastAsia="宋体" w:hAnsi="Arial" w:cs="Arial"/>
                <w:color w:val="262626"/>
                <w:sz w:val="18"/>
                <w:szCs w:val="18"/>
              </w:rPr>
              <w:t xml:space="preserve">3.10%, </w:t>
            </w:r>
            <w:r>
              <w:rPr>
                <w:rFonts w:ascii="Arial" w:eastAsia="宋体" w:hAnsi="Arial" w:cs="Arial"/>
                <w:color w:val="262626"/>
                <w:sz w:val="18"/>
                <w:szCs w:val="18"/>
              </w:rPr>
              <w:t>due July 2022</w:t>
            </w:r>
          </w:p>
        </w:tc>
        <w:tc>
          <w:tcPr>
            <w:tcW w:w="0" w:type="auto"/>
            <w:gridSpan w:val="3"/>
            <w:shd w:val="clear" w:color="auto" w:fill="auto"/>
            <w:tcMar>
              <w:top w:w="0" w:type="dxa"/>
              <w:left w:w="20" w:type="dxa"/>
              <w:bottom w:w="0" w:type="dxa"/>
              <w:right w:w="20" w:type="dxa"/>
            </w:tcMar>
            <w:vAlign w:val="bottom"/>
          </w:tcPr>
          <w:p w14:paraId="6753713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3A" w14:textId="77777777" w:rsidR="001B77DD" w:rsidRDefault="00BF0A28">
            <w:pPr>
              <w:jc w:val="center"/>
              <w:textAlignment w:val="bottom"/>
            </w:pPr>
            <w:r>
              <w:rPr>
                <w:rFonts w:ascii="Arial" w:eastAsia="宋体" w:hAnsi="Arial" w:cs="Arial"/>
                <w:color w:val="0068B5"/>
                <w:sz w:val="18"/>
                <w:szCs w:val="18"/>
              </w:rPr>
              <w:t>2.70%</w:t>
            </w:r>
          </w:p>
        </w:tc>
        <w:tc>
          <w:tcPr>
            <w:tcW w:w="0" w:type="auto"/>
            <w:gridSpan w:val="3"/>
            <w:shd w:val="clear" w:color="auto" w:fill="auto"/>
            <w:tcMar>
              <w:top w:w="0" w:type="dxa"/>
              <w:left w:w="20" w:type="dxa"/>
              <w:bottom w:w="0" w:type="dxa"/>
              <w:right w:w="20" w:type="dxa"/>
            </w:tcMar>
            <w:vAlign w:val="bottom"/>
          </w:tcPr>
          <w:p w14:paraId="6753713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3C" w14:textId="77777777" w:rsidR="001B77DD" w:rsidRDefault="00BF0A2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753713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3E" w14:textId="77777777" w:rsidR="001B77DD" w:rsidRDefault="001B77DD">
            <w:pPr>
              <w:rPr>
                <w:rFonts w:ascii="宋体"/>
              </w:rPr>
            </w:pPr>
          </w:p>
        </w:tc>
        <w:tc>
          <w:tcPr>
            <w:tcW w:w="0" w:type="auto"/>
            <w:shd w:val="clear" w:color="auto" w:fill="auto"/>
            <w:vAlign w:val="bottom"/>
          </w:tcPr>
          <w:p w14:paraId="6753713F" w14:textId="77777777" w:rsidR="001B77DD" w:rsidRDefault="001B77DD">
            <w:pPr>
              <w:rPr>
                <w:rFonts w:ascii="宋体"/>
                <w:vanish/>
              </w:rPr>
            </w:pPr>
          </w:p>
        </w:tc>
        <w:tc>
          <w:tcPr>
            <w:tcW w:w="0" w:type="auto"/>
            <w:shd w:val="clear" w:color="auto" w:fill="auto"/>
            <w:vAlign w:val="bottom"/>
          </w:tcPr>
          <w:p w14:paraId="6753714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41" w14:textId="77777777" w:rsidR="001B77DD" w:rsidRDefault="00BF0A28">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67537142" w14:textId="77777777" w:rsidR="001B77DD" w:rsidRDefault="001B77DD">
            <w:pPr>
              <w:jc w:val="right"/>
              <w:rPr>
                <w:rFonts w:ascii="宋体"/>
              </w:rPr>
            </w:pPr>
          </w:p>
        </w:tc>
        <w:tc>
          <w:tcPr>
            <w:tcW w:w="0" w:type="auto"/>
            <w:shd w:val="clear" w:color="auto" w:fill="auto"/>
            <w:vAlign w:val="bottom"/>
          </w:tcPr>
          <w:p w14:paraId="67537143" w14:textId="77777777" w:rsidR="001B77DD" w:rsidRDefault="001B77DD">
            <w:pPr>
              <w:rPr>
                <w:rFonts w:ascii="宋体"/>
                <w:vanish/>
              </w:rPr>
            </w:pPr>
          </w:p>
        </w:tc>
        <w:tc>
          <w:tcPr>
            <w:tcW w:w="0" w:type="auto"/>
            <w:shd w:val="clear" w:color="auto" w:fill="auto"/>
            <w:vAlign w:val="bottom"/>
          </w:tcPr>
          <w:p w14:paraId="67537144" w14:textId="77777777" w:rsidR="001B77DD" w:rsidRDefault="001B77DD">
            <w:pPr>
              <w:rPr>
                <w:rFonts w:ascii="宋体"/>
                <w:vanish/>
              </w:rPr>
            </w:pPr>
          </w:p>
        </w:tc>
        <w:tc>
          <w:tcPr>
            <w:tcW w:w="0" w:type="auto"/>
            <w:shd w:val="clear" w:color="auto" w:fill="auto"/>
            <w:vAlign w:val="bottom"/>
          </w:tcPr>
          <w:p w14:paraId="67537145" w14:textId="77777777" w:rsidR="001B77DD" w:rsidRDefault="001B77DD">
            <w:pPr>
              <w:rPr>
                <w:rFonts w:ascii="宋体"/>
                <w:vanish/>
              </w:rPr>
            </w:pPr>
          </w:p>
        </w:tc>
        <w:tc>
          <w:tcPr>
            <w:tcW w:w="0" w:type="auto"/>
            <w:shd w:val="clear" w:color="auto" w:fill="auto"/>
            <w:vAlign w:val="bottom"/>
          </w:tcPr>
          <w:p w14:paraId="67537146" w14:textId="77777777" w:rsidR="001B77DD" w:rsidRDefault="001B77DD">
            <w:pPr>
              <w:rPr>
                <w:rFonts w:ascii="宋体"/>
                <w:vanish/>
              </w:rPr>
            </w:pPr>
          </w:p>
        </w:tc>
      </w:tr>
      <w:tr w:rsidR="001B77DD" w14:paraId="67537157" w14:textId="77777777">
        <w:tc>
          <w:tcPr>
            <w:tcW w:w="0" w:type="auto"/>
            <w:gridSpan w:val="3"/>
            <w:shd w:val="clear" w:color="auto" w:fill="auto"/>
            <w:tcMar>
              <w:top w:w="40" w:type="dxa"/>
              <w:left w:w="20" w:type="dxa"/>
              <w:bottom w:w="40" w:type="dxa"/>
              <w:right w:w="20" w:type="dxa"/>
            </w:tcMar>
            <w:vAlign w:val="bottom"/>
          </w:tcPr>
          <w:p w14:paraId="67537148" w14:textId="77777777" w:rsidR="001B77DD" w:rsidRDefault="00BF0A28">
            <w:pPr>
              <w:textAlignment w:val="bottom"/>
            </w:pPr>
            <w:r>
              <w:rPr>
                <w:rFonts w:ascii="Arial" w:eastAsia="宋体" w:hAnsi="Arial" w:cs="Arial"/>
                <w:color w:val="262626"/>
                <w:sz w:val="18"/>
                <w:szCs w:val="18"/>
              </w:rPr>
              <w:t>4.00%, due December 2022</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6753714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4A" w14:textId="77777777" w:rsidR="001B77DD" w:rsidRDefault="00BF0A28">
            <w:pPr>
              <w:jc w:val="center"/>
              <w:textAlignment w:val="bottom"/>
            </w:pPr>
            <w:r>
              <w:rPr>
                <w:rFonts w:ascii="Arial" w:eastAsia="宋体" w:hAnsi="Arial" w:cs="Arial"/>
                <w:color w:val="0068B5"/>
                <w:sz w:val="18"/>
                <w:szCs w:val="18"/>
              </w:rPr>
              <w:t>2.96%</w:t>
            </w:r>
          </w:p>
        </w:tc>
        <w:tc>
          <w:tcPr>
            <w:tcW w:w="0" w:type="auto"/>
            <w:gridSpan w:val="3"/>
            <w:shd w:val="clear" w:color="auto" w:fill="auto"/>
            <w:tcMar>
              <w:top w:w="0" w:type="dxa"/>
              <w:left w:w="20" w:type="dxa"/>
              <w:bottom w:w="0" w:type="dxa"/>
              <w:right w:w="20" w:type="dxa"/>
            </w:tcMar>
            <w:vAlign w:val="bottom"/>
          </w:tcPr>
          <w:p w14:paraId="6753714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4C" w14:textId="77777777" w:rsidR="001B77DD" w:rsidRDefault="00BF0A28">
            <w:pPr>
              <w:jc w:val="right"/>
              <w:textAlignment w:val="bottom"/>
            </w:pPr>
            <w:r>
              <w:rPr>
                <w:rFonts w:ascii="Arial" w:eastAsia="宋体" w:hAnsi="Arial" w:cs="Arial"/>
                <w:color w:val="0068B5"/>
                <w:sz w:val="18"/>
                <w:szCs w:val="18"/>
              </w:rPr>
              <w:t>398 </w:t>
            </w:r>
          </w:p>
        </w:tc>
        <w:tc>
          <w:tcPr>
            <w:tcW w:w="0" w:type="auto"/>
            <w:shd w:val="clear" w:color="auto" w:fill="auto"/>
            <w:tcMar>
              <w:top w:w="40" w:type="dxa"/>
              <w:left w:w="0" w:type="dxa"/>
              <w:bottom w:w="40" w:type="dxa"/>
              <w:right w:w="20" w:type="dxa"/>
            </w:tcMar>
            <w:vAlign w:val="bottom"/>
          </w:tcPr>
          <w:p w14:paraId="6753714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4E" w14:textId="77777777" w:rsidR="001B77DD" w:rsidRDefault="001B77DD">
            <w:pPr>
              <w:rPr>
                <w:rFonts w:ascii="宋体"/>
              </w:rPr>
            </w:pPr>
          </w:p>
        </w:tc>
        <w:tc>
          <w:tcPr>
            <w:tcW w:w="0" w:type="auto"/>
            <w:shd w:val="clear" w:color="auto" w:fill="auto"/>
            <w:vAlign w:val="bottom"/>
          </w:tcPr>
          <w:p w14:paraId="6753714F" w14:textId="77777777" w:rsidR="001B77DD" w:rsidRDefault="001B77DD">
            <w:pPr>
              <w:rPr>
                <w:rFonts w:ascii="宋体"/>
                <w:vanish/>
              </w:rPr>
            </w:pPr>
          </w:p>
        </w:tc>
        <w:tc>
          <w:tcPr>
            <w:tcW w:w="0" w:type="auto"/>
            <w:shd w:val="clear" w:color="auto" w:fill="auto"/>
            <w:vAlign w:val="bottom"/>
          </w:tcPr>
          <w:p w14:paraId="6753715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51" w14:textId="77777777" w:rsidR="001B77DD" w:rsidRDefault="00BF0A28">
            <w:pPr>
              <w:jc w:val="right"/>
              <w:textAlignment w:val="bottom"/>
            </w:pPr>
            <w:r>
              <w:rPr>
                <w:rFonts w:ascii="Arial" w:eastAsia="宋体" w:hAnsi="Arial" w:cs="Arial"/>
                <w:color w:val="000000"/>
                <w:sz w:val="18"/>
                <w:szCs w:val="18"/>
              </w:rPr>
              <w:t>417 </w:t>
            </w:r>
          </w:p>
        </w:tc>
        <w:tc>
          <w:tcPr>
            <w:tcW w:w="0" w:type="auto"/>
            <w:shd w:val="clear" w:color="auto" w:fill="auto"/>
            <w:tcMar>
              <w:top w:w="40" w:type="dxa"/>
              <w:left w:w="0" w:type="dxa"/>
              <w:bottom w:w="40" w:type="dxa"/>
              <w:right w:w="20" w:type="dxa"/>
            </w:tcMar>
            <w:vAlign w:val="bottom"/>
          </w:tcPr>
          <w:p w14:paraId="67537152" w14:textId="77777777" w:rsidR="001B77DD" w:rsidRDefault="001B77DD">
            <w:pPr>
              <w:jc w:val="right"/>
              <w:rPr>
                <w:rFonts w:ascii="宋体"/>
              </w:rPr>
            </w:pPr>
          </w:p>
        </w:tc>
        <w:tc>
          <w:tcPr>
            <w:tcW w:w="0" w:type="auto"/>
            <w:shd w:val="clear" w:color="auto" w:fill="auto"/>
            <w:vAlign w:val="bottom"/>
          </w:tcPr>
          <w:p w14:paraId="67537153" w14:textId="77777777" w:rsidR="001B77DD" w:rsidRDefault="001B77DD">
            <w:pPr>
              <w:rPr>
                <w:rFonts w:ascii="宋体"/>
                <w:vanish/>
              </w:rPr>
            </w:pPr>
          </w:p>
        </w:tc>
        <w:tc>
          <w:tcPr>
            <w:tcW w:w="0" w:type="auto"/>
            <w:shd w:val="clear" w:color="auto" w:fill="auto"/>
            <w:vAlign w:val="bottom"/>
          </w:tcPr>
          <w:p w14:paraId="67537154" w14:textId="77777777" w:rsidR="001B77DD" w:rsidRDefault="001B77DD">
            <w:pPr>
              <w:rPr>
                <w:rFonts w:ascii="宋体"/>
                <w:vanish/>
              </w:rPr>
            </w:pPr>
          </w:p>
        </w:tc>
        <w:tc>
          <w:tcPr>
            <w:tcW w:w="0" w:type="auto"/>
            <w:shd w:val="clear" w:color="auto" w:fill="auto"/>
            <w:vAlign w:val="bottom"/>
          </w:tcPr>
          <w:p w14:paraId="67537155" w14:textId="77777777" w:rsidR="001B77DD" w:rsidRDefault="001B77DD">
            <w:pPr>
              <w:rPr>
                <w:rFonts w:ascii="宋体"/>
                <w:vanish/>
              </w:rPr>
            </w:pPr>
          </w:p>
        </w:tc>
        <w:tc>
          <w:tcPr>
            <w:tcW w:w="0" w:type="auto"/>
            <w:shd w:val="clear" w:color="auto" w:fill="auto"/>
            <w:vAlign w:val="bottom"/>
          </w:tcPr>
          <w:p w14:paraId="67537156" w14:textId="77777777" w:rsidR="001B77DD" w:rsidRDefault="001B77DD">
            <w:pPr>
              <w:rPr>
                <w:rFonts w:ascii="宋体"/>
                <w:vanish/>
              </w:rPr>
            </w:pPr>
          </w:p>
        </w:tc>
      </w:tr>
      <w:tr w:rsidR="001B77DD" w14:paraId="67537167" w14:textId="77777777">
        <w:tc>
          <w:tcPr>
            <w:tcW w:w="0" w:type="auto"/>
            <w:gridSpan w:val="3"/>
            <w:shd w:val="clear" w:color="auto" w:fill="auto"/>
            <w:tcMar>
              <w:top w:w="40" w:type="dxa"/>
              <w:left w:w="155" w:type="dxa"/>
              <w:bottom w:w="40" w:type="dxa"/>
              <w:right w:w="20" w:type="dxa"/>
            </w:tcMar>
            <w:vAlign w:val="bottom"/>
          </w:tcPr>
          <w:p w14:paraId="67537158" w14:textId="77777777" w:rsidR="001B77DD" w:rsidRDefault="00BF0A28">
            <w:pPr>
              <w:textAlignment w:val="bottom"/>
            </w:pPr>
            <w:r>
              <w:rPr>
                <w:rFonts w:ascii="Arial" w:eastAsia="宋体" w:hAnsi="Arial" w:cs="Arial"/>
                <w:color w:val="262626"/>
                <w:sz w:val="18"/>
                <w:szCs w:val="18"/>
              </w:rPr>
              <w:t>2.70%, due December 2022</w:t>
            </w:r>
          </w:p>
        </w:tc>
        <w:tc>
          <w:tcPr>
            <w:tcW w:w="0" w:type="auto"/>
            <w:gridSpan w:val="3"/>
            <w:shd w:val="clear" w:color="auto" w:fill="auto"/>
            <w:tcMar>
              <w:top w:w="0" w:type="dxa"/>
              <w:left w:w="20" w:type="dxa"/>
              <w:bottom w:w="0" w:type="dxa"/>
              <w:right w:w="20" w:type="dxa"/>
            </w:tcMar>
            <w:vAlign w:val="bottom"/>
          </w:tcPr>
          <w:p w14:paraId="6753715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5A" w14:textId="77777777" w:rsidR="001B77DD" w:rsidRDefault="00BF0A28">
            <w:pPr>
              <w:jc w:val="center"/>
              <w:textAlignment w:val="bottom"/>
            </w:pPr>
            <w:r>
              <w:rPr>
                <w:rFonts w:ascii="Arial" w:eastAsia="宋体" w:hAnsi="Arial" w:cs="Arial"/>
                <w:color w:val="0068B5"/>
                <w:sz w:val="18"/>
                <w:szCs w:val="18"/>
              </w:rPr>
              <w:t>2.28%</w:t>
            </w:r>
          </w:p>
        </w:tc>
        <w:tc>
          <w:tcPr>
            <w:tcW w:w="0" w:type="auto"/>
            <w:gridSpan w:val="3"/>
            <w:shd w:val="clear" w:color="auto" w:fill="auto"/>
            <w:tcMar>
              <w:top w:w="0" w:type="dxa"/>
              <w:left w:w="20" w:type="dxa"/>
              <w:bottom w:w="0" w:type="dxa"/>
              <w:right w:w="20" w:type="dxa"/>
            </w:tcMar>
            <w:vAlign w:val="bottom"/>
          </w:tcPr>
          <w:p w14:paraId="6753715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5C" w14:textId="77777777" w:rsidR="001B77DD" w:rsidRDefault="00BF0A28">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6753715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5E" w14:textId="77777777" w:rsidR="001B77DD" w:rsidRDefault="001B77DD">
            <w:pPr>
              <w:rPr>
                <w:rFonts w:ascii="宋体"/>
              </w:rPr>
            </w:pPr>
          </w:p>
        </w:tc>
        <w:tc>
          <w:tcPr>
            <w:tcW w:w="0" w:type="auto"/>
            <w:shd w:val="clear" w:color="auto" w:fill="auto"/>
            <w:vAlign w:val="bottom"/>
          </w:tcPr>
          <w:p w14:paraId="6753715F" w14:textId="77777777" w:rsidR="001B77DD" w:rsidRDefault="001B77DD">
            <w:pPr>
              <w:rPr>
                <w:rFonts w:ascii="宋体"/>
                <w:vanish/>
              </w:rPr>
            </w:pPr>
          </w:p>
        </w:tc>
        <w:tc>
          <w:tcPr>
            <w:tcW w:w="0" w:type="auto"/>
            <w:shd w:val="clear" w:color="auto" w:fill="auto"/>
            <w:vAlign w:val="bottom"/>
          </w:tcPr>
          <w:p w14:paraId="6753716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61" w14:textId="77777777" w:rsidR="001B77DD" w:rsidRDefault="00BF0A28">
            <w:pPr>
              <w:jc w:val="right"/>
              <w:textAlignment w:val="bottom"/>
            </w:pPr>
            <w:r>
              <w:rPr>
                <w:rFonts w:ascii="Arial" w:eastAsia="宋体" w:hAnsi="Arial" w:cs="Arial"/>
                <w:color w:val="000000"/>
                <w:sz w:val="18"/>
                <w:szCs w:val="18"/>
              </w:rPr>
              <w:t>1,500 </w:t>
            </w:r>
          </w:p>
        </w:tc>
        <w:tc>
          <w:tcPr>
            <w:tcW w:w="0" w:type="auto"/>
            <w:shd w:val="clear" w:color="auto" w:fill="auto"/>
            <w:tcMar>
              <w:top w:w="40" w:type="dxa"/>
              <w:left w:w="0" w:type="dxa"/>
              <w:bottom w:w="40" w:type="dxa"/>
              <w:right w:w="20" w:type="dxa"/>
            </w:tcMar>
            <w:vAlign w:val="bottom"/>
          </w:tcPr>
          <w:p w14:paraId="67537162" w14:textId="77777777" w:rsidR="001B77DD" w:rsidRDefault="001B77DD">
            <w:pPr>
              <w:jc w:val="right"/>
              <w:rPr>
                <w:rFonts w:ascii="宋体"/>
              </w:rPr>
            </w:pPr>
          </w:p>
        </w:tc>
        <w:tc>
          <w:tcPr>
            <w:tcW w:w="0" w:type="auto"/>
            <w:shd w:val="clear" w:color="auto" w:fill="auto"/>
            <w:vAlign w:val="bottom"/>
          </w:tcPr>
          <w:p w14:paraId="67537163" w14:textId="77777777" w:rsidR="001B77DD" w:rsidRDefault="001B77DD">
            <w:pPr>
              <w:rPr>
                <w:rFonts w:ascii="宋体"/>
                <w:vanish/>
              </w:rPr>
            </w:pPr>
          </w:p>
        </w:tc>
        <w:tc>
          <w:tcPr>
            <w:tcW w:w="0" w:type="auto"/>
            <w:shd w:val="clear" w:color="auto" w:fill="auto"/>
            <w:vAlign w:val="bottom"/>
          </w:tcPr>
          <w:p w14:paraId="67537164" w14:textId="77777777" w:rsidR="001B77DD" w:rsidRDefault="001B77DD">
            <w:pPr>
              <w:rPr>
                <w:rFonts w:ascii="宋体"/>
                <w:vanish/>
              </w:rPr>
            </w:pPr>
          </w:p>
        </w:tc>
        <w:tc>
          <w:tcPr>
            <w:tcW w:w="0" w:type="auto"/>
            <w:shd w:val="clear" w:color="auto" w:fill="auto"/>
            <w:vAlign w:val="bottom"/>
          </w:tcPr>
          <w:p w14:paraId="67537165" w14:textId="77777777" w:rsidR="001B77DD" w:rsidRDefault="001B77DD">
            <w:pPr>
              <w:rPr>
                <w:rFonts w:ascii="宋体"/>
                <w:vanish/>
              </w:rPr>
            </w:pPr>
          </w:p>
        </w:tc>
        <w:tc>
          <w:tcPr>
            <w:tcW w:w="0" w:type="auto"/>
            <w:shd w:val="clear" w:color="auto" w:fill="auto"/>
            <w:vAlign w:val="bottom"/>
          </w:tcPr>
          <w:p w14:paraId="67537166" w14:textId="77777777" w:rsidR="001B77DD" w:rsidRDefault="001B77DD">
            <w:pPr>
              <w:rPr>
                <w:rFonts w:ascii="宋体"/>
                <w:vanish/>
              </w:rPr>
            </w:pPr>
          </w:p>
        </w:tc>
      </w:tr>
      <w:tr w:rsidR="001B77DD" w14:paraId="67537177" w14:textId="77777777">
        <w:tc>
          <w:tcPr>
            <w:tcW w:w="0" w:type="auto"/>
            <w:gridSpan w:val="3"/>
            <w:shd w:val="clear" w:color="auto" w:fill="auto"/>
            <w:tcMar>
              <w:top w:w="40" w:type="dxa"/>
              <w:left w:w="155" w:type="dxa"/>
              <w:bottom w:w="40" w:type="dxa"/>
              <w:right w:w="20" w:type="dxa"/>
            </w:tcMar>
            <w:vAlign w:val="bottom"/>
          </w:tcPr>
          <w:p w14:paraId="67537168" w14:textId="77777777" w:rsidR="001B77DD" w:rsidRDefault="00BF0A28">
            <w:pPr>
              <w:textAlignment w:val="bottom"/>
            </w:pPr>
            <w:r>
              <w:rPr>
                <w:rFonts w:ascii="Arial" w:eastAsia="宋体" w:hAnsi="Arial" w:cs="Arial"/>
                <w:color w:val="262626"/>
                <w:sz w:val="18"/>
                <w:szCs w:val="18"/>
              </w:rPr>
              <w:t xml:space="preserve">4.10%, </w:t>
            </w:r>
            <w:r>
              <w:rPr>
                <w:rFonts w:ascii="Arial" w:eastAsia="宋体" w:hAnsi="Arial" w:cs="Arial"/>
                <w:color w:val="262626"/>
                <w:sz w:val="18"/>
                <w:szCs w:val="18"/>
              </w:rPr>
              <w:t>due November 2023</w:t>
            </w:r>
          </w:p>
        </w:tc>
        <w:tc>
          <w:tcPr>
            <w:tcW w:w="0" w:type="auto"/>
            <w:gridSpan w:val="3"/>
            <w:shd w:val="clear" w:color="auto" w:fill="auto"/>
            <w:tcMar>
              <w:top w:w="0" w:type="dxa"/>
              <w:left w:w="20" w:type="dxa"/>
              <w:bottom w:w="0" w:type="dxa"/>
              <w:right w:w="20" w:type="dxa"/>
            </w:tcMar>
            <w:vAlign w:val="bottom"/>
          </w:tcPr>
          <w:p w14:paraId="6753716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6A" w14:textId="77777777" w:rsidR="001B77DD" w:rsidRDefault="00BF0A28">
            <w:pPr>
              <w:jc w:val="center"/>
              <w:textAlignment w:val="bottom"/>
            </w:pPr>
            <w:r>
              <w:rPr>
                <w:rFonts w:ascii="Arial" w:eastAsia="宋体" w:hAnsi="Arial" w:cs="Arial"/>
                <w:color w:val="0068B5"/>
                <w:sz w:val="18"/>
                <w:szCs w:val="18"/>
              </w:rPr>
              <w:t>3.22%</w:t>
            </w:r>
          </w:p>
        </w:tc>
        <w:tc>
          <w:tcPr>
            <w:tcW w:w="0" w:type="auto"/>
            <w:gridSpan w:val="3"/>
            <w:shd w:val="clear" w:color="auto" w:fill="auto"/>
            <w:tcMar>
              <w:top w:w="0" w:type="dxa"/>
              <w:left w:w="20" w:type="dxa"/>
              <w:bottom w:w="0" w:type="dxa"/>
              <w:right w:w="20" w:type="dxa"/>
            </w:tcMar>
            <w:vAlign w:val="bottom"/>
          </w:tcPr>
          <w:p w14:paraId="6753716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6C" w14:textId="77777777" w:rsidR="001B77DD" w:rsidRDefault="00BF0A28">
            <w:pPr>
              <w:jc w:val="right"/>
              <w:textAlignment w:val="bottom"/>
            </w:pPr>
            <w:r>
              <w:rPr>
                <w:rFonts w:ascii="Arial" w:eastAsia="宋体" w:hAnsi="Arial" w:cs="Arial"/>
                <w:color w:val="0068B5"/>
                <w:sz w:val="18"/>
                <w:szCs w:val="18"/>
              </w:rPr>
              <w:t>400 </w:t>
            </w:r>
          </w:p>
        </w:tc>
        <w:tc>
          <w:tcPr>
            <w:tcW w:w="0" w:type="auto"/>
            <w:shd w:val="clear" w:color="auto" w:fill="auto"/>
            <w:tcMar>
              <w:top w:w="40" w:type="dxa"/>
              <w:left w:w="0" w:type="dxa"/>
              <w:bottom w:w="40" w:type="dxa"/>
              <w:right w:w="20" w:type="dxa"/>
            </w:tcMar>
            <w:vAlign w:val="bottom"/>
          </w:tcPr>
          <w:p w14:paraId="6753716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6E" w14:textId="77777777" w:rsidR="001B77DD" w:rsidRDefault="001B77DD">
            <w:pPr>
              <w:rPr>
                <w:rFonts w:ascii="宋体"/>
              </w:rPr>
            </w:pPr>
          </w:p>
        </w:tc>
        <w:tc>
          <w:tcPr>
            <w:tcW w:w="0" w:type="auto"/>
            <w:shd w:val="clear" w:color="auto" w:fill="auto"/>
            <w:vAlign w:val="bottom"/>
          </w:tcPr>
          <w:p w14:paraId="6753716F" w14:textId="77777777" w:rsidR="001B77DD" w:rsidRDefault="001B77DD">
            <w:pPr>
              <w:rPr>
                <w:rFonts w:ascii="宋体"/>
                <w:vanish/>
              </w:rPr>
            </w:pPr>
          </w:p>
        </w:tc>
        <w:tc>
          <w:tcPr>
            <w:tcW w:w="0" w:type="auto"/>
            <w:shd w:val="clear" w:color="auto" w:fill="auto"/>
            <w:vAlign w:val="bottom"/>
          </w:tcPr>
          <w:p w14:paraId="6753717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71" w14:textId="77777777" w:rsidR="001B77DD" w:rsidRDefault="00BF0A28">
            <w:pPr>
              <w:jc w:val="right"/>
              <w:textAlignment w:val="bottom"/>
            </w:pPr>
            <w:r>
              <w:rPr>
                <w:rFonts w:ascii="Arial" w:eastAsia="宋体" w:hAnsi="Arial" w:cs="Arial"/>
                <w:color w:val="000000"/>
                <w:sz w:val="18"/>
                <w:szCs w:val="18"/>
              </w:rPr>
              <w:t>400 </w:t>
            </w:r>
          </w:p>
        </w:tc>
        <w:tc>
          <w:tcPr>
            <w:tcW w:w="0" w:type="auto"/>
            <w:shd w:val="clear" w:color="auto" w:fill="auto"/>
            <w:tcMar>
              <w:top w:w="40" w:type="dxa"/>
              <w:left w:w="0" w:type="dxa"/>
              <w:bottom w:w="40" w:type="dxa"/>
              <w:right w:w="20" w:type="dxa"/>
            </w:tcMar>
            <w:vAlign w:val="bottom"/>
          </w:tcPr>
          <w:p w14:paraId="67537172" w14:textId="77777777" w:rsidR="001B77DD" w:rsidRDefault="001B77DD">
            <w:pPr>
              <w:jc w:val="right"/>
              <w:rPr>
                <w:rFonts w:ascii="宋体"/>
              </w:rPr>
            </w:pPr>
          </w:p>
        </w:tc>
        <w:tc>
          <w:tcPr>
            <w:tcW w:w="0" w:type="auto"/>
            <w:shd w:val="clear" w:color="auto" w:fill="auto"/>
            <w:vAlign w:val="bottom"/>
          </w:tcPr>
          <w:p w14:paraId="67537173" w14:textId="77777777" w:rsidR="001B77DD" w:rsidRDefault="001B77DD">
            <w:pPr>
              <w:rPr>
                <w:rFonts w:ascii="宋体"/>
                <w:vanish/>
              </w:rPr>
            </w:pPr>
          </w:p>
        </w:tc>
        <w:tc>
          <w:tcPr>
            <w:tcW w:w="0" w:type="auto"/>
            <w:shd w:val="clear" w:color="auto" w:fill="auto"/>
            <w:vAlign w:val="bottom"/>
          </w:tcPr>
          <w:p w14:paraId="67537174" w14:textId="77777777" w:rsidR="001B77DD" w:rsidRDefault="001B77DD">
            <w:pPr>
              <w:rPr>
                <w:rFonts w:ascii="宋体"/>
                <w:vanish/>
              </w:rPr>
            </w:pPr>
          </w:p>
        </w:tc>
        <w:tc>
          <w:tcPr>
            <w:tcW w:w="0" w:type="auto"/>
            <w:shd w:val="clear" w:color="auto" w:fill="auto"/>
            <w:vAlign w:val="bottom"/>
          </w:tcPr>
          <w:p w14:paraId="67537175" w14:textId="77777777" w:rsidR="001B77DD" w:rsidRDefault="001B77DD">
            <w:pPr>
              <w:rPr>
                <w:rFonts w:ascii="宋体"/>
                <w:vanish/>
              </w:rPr>
            </w:pPr>
          </w:p>
        </w:tc>
        <w:tc>
          <w:tcPr>
            <w:tcW w:w="0" w:type="auto"/>
            <w:shd w:val="clear" w:color="auto" w:fill="auto"/>
            <w:vAlign w:val="bottom"/>
          </w:tcPr>
          <w:p w14:paraId="67537176" w14:textId="77777777" w:rsidR="001B77DD" w:rsidRDefault="001B77DD">
            <w:pPr>
              <w:rPr>
                <w:rFonts w:ascii="宋体"/>
                <w:vanish/>
              </w:rPr>
            </w:pPr>
          </w:p>
        </w:tc>
      </w:tr>
      <w:tr w:rsidR="001B77DD" w14:paraId="67537187" w14:textId="77777777">
        <w:tc>
          <w:tcPr>
            <w:tcW w:w="0" w:type="auto"/>
            <w:gridSpan w:val="3"/>
            <w:shd w:val="clear" w:color="auto" w:fill="auto"/>
            <w:tcMar>
              <w:top w:w="40" w:type="dxa"/>
              <w:left w:w="155" w:type="dxa"/>
              <w:bottom w:w="40" w:type="dxa"/>
              <w:right w:w="20" w:type="dxa"/>
            </w:tcMar>
            <w:vAlign w:val="bottom"/>
          </w:tcPr>
          <w:p w14:paraId="67537178" w14:textId="77777777" w:rsidR="001B77DD" w:rsidRDefault="00BF0A28">
            <w:pPr>
              <w:textAlignment w:val="bottom"/>
            </w:pPr>
            <w:r>
              <w:rPr>
                <w:rFonts w:ascii="Arial" w:eastAsia="宋体" w:hAnsi="Arial" w:cs="Arial"/>
                <w:color w:val="262626"/>
                <w:sz w:val="18"/>
                <w:szCs w:val="18"/>
              </w:rPr>
              <w:t xml:space="preserve">2.88%, </w:t>
            </w:r>
            <w:r>
              <w:rPr>
                <w:rFonts w:ascii="Arial" w:eastAsia="宋体" w:hAnsi="Arial" w:cs="Arial"/>
                <w:color w:val="262626"/>
                <w:sz w:val="18"/>
                <w:szCs w:val="18"/>
              </w:rPr>
              <w:t>due May 2024</w:t>
            </w:r>
          </w:p>
        </w:tc>
        <w:tc>
          <w:tcPr>
            <w:tcW w:w="0" w:type="auto"/>
            <w:gridSpan w:val="3"/>
            <w:shd w:val="clear" w:color="auto" w:fill="auto"/>
            <w:tcMar>
              <w:top w:w="0" w:type="dxa"/>
              <w:left w:w="20" w:type="dxa"/>
              <w:bottom w:w="0" w:type="dxa"/>
              <w:right w:w="20" w:type="dxa"/>
            </w:tcMar>
            <w:vAlign w:val="bottom"/>
          </w:tcPr>
          <w:p w14:paraId="6753717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7A" w14:textId="77777777" w:rsidR="001B77DD" w:rsidRDefault="00BF0A28">
            <w:pPr>
              <w:jc w:val="center"/>
              <w:textAlignment w:val="bottom"/>
            </w:pPr>
            <w:r>
              <w:rPr>
                <w:rFonts w:ascii="Arial" w:eastAsia="宋体" w:hAnsi="Arial" w:cs="Arial"/>
                <w:color w:val="0068B5"/>
                <w:sz w:val="18"/>
                <w:szCs w:val="18"/>
              </w:rPr>
              <w:t>2.31%</w:t>
            </w:r>
          </w:p>
        </w:tc>
        <w:tc>
          <w:tcPr>
            <w:tcW w:w="0" w:type="auto"/>
            <w:gridSpan w:val="3"/>
            <w:shd w:val="clear" w:color="auto" w:fill="auto"/>
            <w:tcMar>
              <w:top w:w="0" w:type="dxa"/>
              <w:left w:w="20" w:type="dxa"/>
              <w:bottom w:w="0" w:type="dxa"/>
              <w:right w:w="20" w:type="dxa"/>
            </w:tcMar>
            <w:vAlign w:val="bottom"/>
          </w:tcPr>
          <w:p w14:paraId="6753717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7C" w14:textId="77777777" w:rsidR="001B77DD" w:rsidRDefault="00BF0A28">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6753717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7E" w14:textId="77777777" w:rsidR="001B77DD" w:rsidRDefault="001B77DD">
            <w:pPr>
              <w:rPr>
                <w:rFonts w:ascii="宋体"/>
              </w:rPr>
            </w:pPr>
          </w:p>
        </w:tc>
        <w:tc>
          <w:tcPr>
            <w:tcW w:w="0" w:type="auto"/>
            <w:shd w:val="clear" w:color="auto" w:fill="auto"/>
            <w:vAlign w:val="bottom"/>
          </w:tcPr>
          <w:p w14:paraId="6753717F" w14:textId="77777777" w:rsidR="001B77DD" w:rsidRDefault="001B77DD">
            <w:pPr>
              <w:rPr>
                <w:rFonts w:ascii="宋体"/>
                <w:vanish/>
              </w:rPr>
            </w:pPr>
          </w:p>
        </w:tc>
        <w:tc>
          <w:tcPr>
            <w:tcW w:w="0" w:type="auto"/>
            <w:shd w:val="clear" w:color="auto" w:fill="auto"/>
            <w:vAlign w:val="bottom"/>
          </w:tcPr>
          <w:p w14:paraId="6753718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81" w14:textId="77777777" w:rsidR="001B77DD" w:rsidRDefault="00BF0A28">
            <w:pPr>
              <w:jc w:val="right"/>
              <w:textAlignment w:val="bottom"/>
            </w:pPr>
            <w:r>
              <w:rPr>
                <w:rFonts w:ascii="Arial" w:eastAsia="宋体" w:hAnsi="Arial" w:cs="Arial"/>
                <w:color w:val="000000"/>
                <w:sz w:val="18"/>
                <w:szCs w:val="18"/>
              </w:rPr>
              <w:t>1,250 </w:t>
            </w:r>
          </w:p>
        </w:tc>
        <w:tc>
          <w:tcPr>
            <w:tcW w:w="0" w:type="auto"/>
            <w:shd w:val="clear" w:color="auto" w:fill="auto"/>
            <w:tcMar>
              <w:top w:w="40" w:type="dxa"/>
              <w:left w:w="0" w:type="dxa"/>
              <w:bottom w:w="40" w:type="dxa"/>
              <w:right w:w="20" w:type="dxa"/>
            </w:tcMar>
            <w:vAlign w:val="bottom"/>
          </w:tcPr>
          <w:p w14:paraId="67537182" w14:textId="77777777" w:rsidR="001B77DD" w:rsidRDefault="001B77DD">
            <w:pPr>
              <w:jc w:val="right"/>
              <w:rPr>
                <w:rFonts w:ascii="宋体"/>
              </w:rPr>
            </w:pPr>
          </w:p>
        </w:tc>
        <w:tc>
          <w:tcPr>
            <w:tcW w:w="0" w:type="auto"/>
            <w:shd w:val="clear" w:color="auto" w:fill="auto"/>
            <w:vAlign w:val="bottom"/>
          </w:tcPr>
          <w:p w14:paraId="67537183" w14:textId="77777777" w:rsidR="001B77DD" w:rsidRDefault="001B77DD">
            <w:pPr>
              <w:rPr>
                <w:rFonts w:ascii="宋体"/>
                <w:vanish/>
              </w:rPr>
            </w:pPr>
          </w:p>
        </w:tc>
        <w:tc>
          <w:tcPr>
            <w:tcW w:w="0" w:type="auto"/>
            <w:shd w:val="clear" w:color="auto" w:fill="auto"/>
            <w:vAlign w:val="bottom"/>
          </w:tcPr>
          <w:p w14:paraId="67537184" w14:textId="77777777" w:rsidR="001B77DD" w:rsidRDefault="001B77DD">
            <w:pPr>
              <w:rPr>
                <w:rFonts w:ascii="宋体"/>
                <w:vanish/>
              </w:rPr>
            </w:pPr>
          </w:p>
        </w:tc>
        <w:tc>
          <w:tcPr>
            <w:tcW w:w="0" w:type="auto"/>
            <w:shd w:val="clear" w:color="auto" w:fill="auto"/>
            <w:vAlign w:val="bottom"/>
          </w:tcPr>
          <w:p w14:paraId="67537185" w14:textId="77777777" w:rsidR="001B77DD" w:rsidRDefault="001B77DD">
            <w:pPr>
              <w:rPr>
                <w:rFonts w:ascii="宋体"/>
                <w:vanish/>
              </w:rPr>
            </w:pPr>
          </w:p>
        </w:tc>
        <w:tc>
          <w:tcPr>
            <w:tcW w:w="0" w:type="auto"/>
            <w:shd w:val="clear" w:color="auto" w:fill="auto"/>
            <w:vAlign w:val="bottom"/>
          </w:tcPr>
          <w:p w14:paraId="67537186" w14:textId="77777777" w:rsidR="001B77DD" w:rsidRDefault="001B77DD">
            <w:pPr>
              <w:rPr>
                <w:rFonts w:ascii="宋体"/>
                <w:vanish/>
              </w:rPr>
            </w:pPr>
          </w:p>
        </w:tc>
      </w:tr>
      <w:tr w:rsidR="001B77DD" w14:paraId="67537197" w14:textId="77777777">
        <w:tc>
          <w:tcPr>
            <w:tcW w:w="0" w:type="auto"/>
            <w:gridSpan w:val="3"/>
            <w:shd w:val="clear" w:color="auto" w:fill="auto"/>
            <w:tcMar>
              <w:top w:w="40" w:type="dxa"/>
              <w:left w:w="155" w:type="dxa"/>
              <w:bottom w:w="40" w:type="dxa"/>
              <w:right w:w="20" w:type="dxa"/>
            </w:tcMar>
            <w:vAlign w:val="bottom"/>
          </w:tcPr>
          <w:p w14:paraId="67537188" w14:textId="77777777" w:rsidR="001B77DD" w:rsidRDefault="00BF0A28">
            <w:pPr>
              <w:textAlignment w:val="bottom"/>
            </w:pPr>
            <w:r>
              <w:rPr>
                <w:rFonts w:ascii="Arial" w:eastAsia="宋体" w:hAnsi="Arial" w:cs="Arial"/>
                <w:color w:val="262626"/>
                <w:sz w:val="18"/>
                <w:szCs w:val="18"/>
              </w:rPr>
              <w:t xml:space="preserve">2.70%, </w:t>
            </w:r>
            <w:r>
              <w:rPr>
                <w:rFonts w:ascii="Arial" w:eastAsia="宋体" w:hAnsi="Arial" w:cs="Arial"/>
                <w:color w:val="262626"/>
                <w:sz w:val="18"/>
                <w:szCs w:val="18"/>
              </w:rPr>
              <w:t>due June 2024</w:t>
            </w:r>
          </w:p>
        </w:tc>
        <w:tc>
          <w:tcPr>
            <w:tcW w:w="0" w:type="auto"/>
            <w:gridSpan w:val="3"/>
            <w:shd w:val="clear" w:color="auto" w:fill="auto"/>
            <w:tcMar>
              <w:top w:w="0" w:type="dxa"/>
              <w:left w:w="20" w:type="dxa"/>
              <w:bottom w:w="0" w:type="dxa"/>
              <w:right w:w="20" w:type="dxa"/>
            </w:tcMar>
            <w:vAlign w:val="bottom"/>
          </w:tcPr>
          <w:p w14:paraId="6753718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8A" w14:textId="77777777" w:rsidR="001B77DD" w:rsidRDefault="00BF0A28">
            <w:pPr>
              <w:jc w:val="center"/>
              <w:textAlignment w:val="bottom"/>
            </w:pPr>
            <w:r>
              <w:rPr>
                <w:rFonts w:ascii="Arial" w:eastAsia="宋体" w:hAnsi="Arial" w:cs="Arial"/>
                <w:color w:val="0068B5"/>
                <w:sz w:val="18"/>
                <w:szCs w:val="18"/>
              </w:rPr>
              <w:t>2.14%</w:t>
            </w:r>
          </w:p>
        </w:tc>
        <w:tc>
          <w:tcPr>
            <w:tcW w:w="0" w:type="auto"/>
            <w:gridSpan w:val="3"/>
            <w:shd w:val="clear" w:color="auto" w:fill="auto"/>
            <w:tcMar>
              <w:top w:w="0" w:type="dxa"/>
              <w:left w:w="20" w:type="dxa"/>
              <w:bottom w:w="0" w:type="dxa"/>
              <w:right w:w="20" w:type="dxa"/>
            </w:tcMar>
            <w:vAlign w:val="bottom"/>
          </w:tcPr>
          <w:p w14:paraId="6753718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8C" w14:textId="77777777" w:rsidR="001B77DD" w:rsidRDefault="00BF0A28">
            <w:pPr>
              <w:jc w:val="right"/>
              <w:textAlignment w:val="bottom"/>
            </w:pPr>
            <w:r>
              <w:rPr>
                <w:rFonts w:ascii="Arial" w:eastAsia="宋体" w:hAnsi="Arial" w:cs="Arial"/>
                <w:color w:val="0068B5"/>
                <w:sz w:val="18"/>
                <w:szCs w:val="18"/>
              </w:rPr>
              <w:t>600 </w:t>
            </w:r>
          </w:p>
        </w:tc>
        <w:tc>
          <w:tcPr>
            <w:tcW w:w="0" w:type="auto"/>
            <w:shd w:val="clear" w:color="auto" w:fill="auto"/>
            <w:tcMar>
              <w:top w:w="40" w:type="dxa"/>
              <w:left w:w="0" w:type="dxa"/>
              <w:bottom w:w="40" w:type="dxa"/>
              <w:right w:w="20" w:type="dxa"/>
            </w:tcMar>
            <w:vAlign w:val="bottom"/>
          </w:tcPr>
          <w:p w14:paraId="6753718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8E" w14:textId="77777777" w:rsidR="001B77DD" w:rsidRDefault="001B77DD">
            <w:pPr>
              <w:rPr>
                <w:rFonts w:ascii="宋体"/>
              </w:rPr>
            </w:pPr>
          </w:p>
        </w:tc>
        <w:tc>
          <w:tcPr>
            <w:tcW w:w="0" w:type="auto"/>
            <w:shd w:val="clear" w:color="auto" w:fill="auto"/>
            <w:vAlign w:val="bottom"/>
          </w:tcPr>
          <w:p w14:paraId="6753718F" w14:textId="77777777" w:rsidR="001B77DD" w:rsidRDefault="001B77DD">
            <w:pPr>
              <w:rPr>
                <w:rFonts w:ascii="宋体"/>
                <w:vanish/>
              </w:rPr>
            </w:pPr>
          </w:p>
        </w:tc>
        <w:tc>
          <w:tcPr>
            <w:tcW w:w="0" w:type="auto"/>
            <w:shd w:val="clear" w:color="auto" w:fill="auto"/>
            <w:vAlign w:val="bottom"/>
          </w:tcPr>
          <w:p w14:paraId="6753719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91" w14:textId="77777777" w:rsidR="001B77DD" w:rsidRDefault="00BF0A28">
            <w:pPr>
              <w:jc w:val="right"/>
              <w:textAlignment w:val="bottom"/>
            </w:pPr>
            <w:r>
              <w:rPr>
                <w:rFonts w:ascii="Arial" w:eastAsia="宋体" w:hAnsi="Arial" w:cs="Arial"/>
                <w:color w:val="000000"/>
                <w:sz w:val="18"/>
                <w:szCs w:val="18"/>
              </w:rPr>
              <w:t>600 </w:t>
            </w:r>
          </w:p>
        </w:tc>
        <w:tc>
          <w:tcPr>
            <w:tcW w:w="0" w:type="auto"/>
            <w:shd w:val="clear" w:color="auto" w:fill="auto"/>
            <w:tcMar>
              <w:top w:w="40" w:type="dxa"/>
              <w:left w:w="0" w:type="dxa"/>
              <w:bottom w:w="40" w:type="dxa"/>
              <w:right w:w="20" w:type="dxa"/>
            </w:tcMar>
            <w:vAlign w:val="bottom"/>
          </w:tcPr>
          <w:p w14:paraId="67537192" w14:textId="77777777" w:rsidR="001B77DD" w:rsidRDefault="001B77DD">
            <w:pPr>
              <w:jc w:val="right"/>
              <w:rPr>
                <w:rFonts w:ascii="宋体"/>
              </w:rPr>
            </w:pPr>
          </w:p>
        </w:tc>
        <w:tc>
          <w:tcPr>
            <w:tcW w:w="0" w:type="auto"/>
            <w:shd w:val="clear" w:color="auto" w:fill="auto"/>
            <w:vAlign w:val="bottom"/>
          </w:tcPr>
          <w:p w14:paraId="67537193" w14:textId="77777777" w:rsidR="001B77DD" w:rsidRDefault="001B77DD">
            <w:pPr>
              <w:rPr>
                <w:rFonts w:ascii="宋体"/>
                <w:vanish/>
              </w:rPr>
            </w:pPr>
          </w:p>
        </w:tc>
        <w:tc>
          <w:tcPr>
            <w:tcW w:w="0" w:type="auto"/>
            <w:shd w:val="clear" w:color="auto" w:fill="auto"/>
            <w:vAlign w:val="bottom"/>
          </w:tcPr>
          <w:p w14:paraId="67537194" w14:textId="77777777" w:rsidR="001B77DD" w:rsidRDefault="001B77DD">
            <w:pPr>
              <w:rPr>
                <w:rFonts w:ascii="宋体"/>
                <w:vanish/>
              </w:rPr>
            </w:pPr>
          </w:p>
        </w:tc>
        <w:tc>
          <w:tcPr>
            <w:tcW w:w="0" w:type="auto"/>
            <w:shd w:val="clear" w:color="auto" w:fill="auto"/>
            <w:vAlign w:val="bottom"/>
          </w:tcPr>
          <w:p w14:paraId="67537195" w14:textId="77777777" w:rsidR="001B77DD" w:rsidRDefault="001B77DD">
            <w:pPr>
              <w:rPr>
                <w:rFonts w:ascii="宋体"/>
                <w:vanish/>
              </w:rPr>
            </w:pPr>
          </w:p>
        </w:tc>
        <w:tc>
          <w:tcPr>
            <w:tcW w:w="0" w:type="auto"/>
            <w:shd w:val="clear" w:color="auto" w:fill="auto"/>
            <w:vAlign w:val="bottom"/>
          </w:tcPr>
          <w:p w14:paraId="67537196" w14:textId="77777777" w:rsidR="001B77DD" w:rsidRDefault="001B77DD">
            <w:pPr>
              <w:rPr>
                <w:rFonts w:ascii="宋体"/>
                <w:vanish/>
              </w:rPr>
            </w:pPr>
          </w:p>
        </w:tc>
      </w:tr>
      <w:tr w:rsidR="001B77DD" w14:paraId="675371A7" w14:textId="77777777">
        <w:tc>
          <w:tcPr>
            <w:tcW w:w="0" w:type="auto"/>
            <w:gridSpan w:val="3"/>
            <w:shd w:val="clear" w:color="auto" w:fill="auto"/>
            <w:tcMar>
              <w:top w:w="40" w:type="dxa"/>
              <w:left w:w="155" w:type="dxa"/>
              <w:bottom w:w="40" w:type="dxa"/>
              <w:right w:w="20" w:type="dxa"/>
            </w:tcMar>
            <w:vAlign w:val="bottom"/>
          </w:tcPr>
          <w:p w14:paraId="67537198" w14:textId="77777777" w:rsidR="001B77DD" w:rsidRDefault="00BF0A28">
            <w:pPr>
              <w:textAlignment w:val="bottom"/>
            </w:pPr>
            <w:r>
              <w:rPr>
                <w:rFonts w:ascii="Arial" w:eastAsia="宋体" w:hAnsi="Arial" w:cs="Arial"/>
                <w:color w:val="262626"/>
                <w:sz w:val="18"/>
                <w:szCs w:val="18"/>
              </w:rPr>
              <w:t xml:space="preserve">3.40%, </w:t>
            </w:r>
            <w:r>
              <w:rPr>
                <w:rFonts w:ascii="Arial" w:eastAsia="宋体" w:hAnsi="Arial" w:cs="Arial"/>
                <w:color w:val="262626"/>
                <w:sz w:val="18"/>
                <w:szCs w:val="18"/>
              </w:rPr>
              <w:t>due March 2025</w:t>
            </w:r>
          </w:p>
        </w:tc>
        <w:tc>
          <w:tcPr>
            <w:tcW w:w="0" w:type="auto"/>
            <w:gridSpan w:val="3"/>
            <w:shd w:val="clear" w:color="auto" w:fill="auto"/>
            <w:tcMar>
              <w:top w:w="0" w:type="dxa"/>
              <w:left w:w="20" w:type="dxa"/>
              <w:bottom w:w="0" w:type="dxa"/>
              <w:right w:w="20" w:type="dxa"/>
            </w:tcMar>
            <w:vAlign w:val="bottom"/>
          </w:tcPr>
          <w:p w14:paraId="6753719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9A" w14:textId="77777777" w:rsidR="001B77DD" w:rsidRDefault="00BF0A28">
            <w:pPr>
              <w:jc w:val="center"/>
              <w:textAlignment w:val="bottom"/>
            </w:pPr>
            <w:r>
              <w:rPr>
                <w:rFonts w:ascii="Arial" w:eastAsia="宋体" w:hAnsi="Arial" w:cs="Arial"/>
                <w:color w:val="0068B5"/>
                <w:sz w:val="18"/>
                <w:szCs w:val="18"/>
              </w:rPr>
              <w:t>3.45%</w:t>
            </w:r>
          </w:p>
        </w:tc>
        <w:tc>
          <w:tcPr>
            <w:tcW w:w="0" w:type="auto"/>
            <w:gridSpan w:val="3"/>
            <w:shd w:val="clear" w:color="auto" w:fill="auto"/>
            <w:tcMar>
              <w:top w:w="0" w:type="dxa"/>
              <w:left w:w="20" w:type="dxa"/>
              <w:bottom w:w="0" w:type="dxa"/>
              <w:right w:w="20" w:type="dxa"/>
            </w:tcMar>
            <w:vAlign w:val="bottom"/>
          </w:tcPr>
          <w:p w14:paraId="6753719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9C" w14:textId="77777777" w:rsidR="001B77DD" w:rsidRDefault="00BF0A28">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6753719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9E" w14:textId="77777777" w:rsidR="001B77DD" w:rsidRDefault="001B77DD">
            <w:pPr>
              <w:rPr>
                <w:rFonts w:ascii="宋体"/>
              </w:rPr>
            </w:pPr>
          </w:p>
        </w:tc>
        <w:tc>
          <w:tcPr>
            <w:tcW w:w="0" w:type="auto"/>
            <w:shd w:val="clear" w:color="auto" w:fill="auto"/>
            <w:vAlign w:val="bottom"/>
          </w:tcPr>
          <w:p w14:paraId="6753719F" w14:textId="77777777" w:rsidR="001B77DD" w:rsidRDefault="001B77DD">
            <w:pPr>
              <w:rPr>
                <w:rFonts w:ascii="宋体"/>
                <w:vanish/>
              </w:rPr>
            </w:pPr>
          </w:p>
        </w:tc>
        <w:tc>
          <w:tcPr>
            <w:tcW w:w="0" w:type="auto"/>
            <w:shd w:val="clear" w:color="auto" w:fill="auto"/>
            <w:vAlign w:val="bottom"/>
          </w:tcPr>
          <w:p w14:paraId="675371A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A1" w14:textId="77777777" w:rsidR="001B77DD" w:rsidRDefault="00BF0A28">
            <w:pPr>
              <w:jc w:val="right"/>
              <w:textAlignment w:val="bottom"/>
            </w:pPr>
            <w:r>
              <w:rPr>
                <w:rFonts w:ascii="Arial" w:eastAsia="宋体" w:hAnsi="Arial" w:cs="Arial"/>
                <w:color w:val="000000"/>
                <w:sz w:val="18"/>
                <w:szCs w:val="18"/>
              </w:rPr>
              <w:t>1,500 </w:t>
            </w:r>
          </w:p>
        </w:tc>
        <w:tc>
          <w:tcPr>
            <w:tcW w:w="0" w:type="auto"/>
            <w:shd w:val="clear" w:color="auto" w:fill="auto"/>
            <w:tcMar>
              <w:top w:w="40" w:type="dxa"/>
              <w:left w:w="0" w:type="dxa"/>
              <w:bottom w:w="40" w:type="dxa"/>
              <w:right w:w="20" w:type="dxa"/>
            </w:tcMar>
            <w:vAlign w:val="bottom"/>
          </w:tcPr>
          <w:p w14:paraId="675371A2" w14:textId="77777777" w:rsidR="001B77DD" w:rsidRDefault="001B77DD">
            <w:pPr>
              <w:jc w:val="right"/>
              <w:rPr>
                <w:rFonts w:ascii="宋体"/>
              </w:rPr>
            </w:pPr>
          </w:p>
        </w:tc>
        <w:tc>
          <w:tcPr>
            <w:tcW w:w="0" w:type="auto"/>
            <w:shd w:val="clear" w:color="auto" w:fill="auto"/>
            <w:vAlign w:val="bottom"/>
          </w:tcPr>
          <w:p w14:paraId="675371A3" w14:textId="77777777" w:rsidR="001B77DD" w:rsidRDefault="001B77DD">
            <w:pPr>
              <w:rPr>
                <w:rFonts w:ascii="宋体"/>
                <w:vanish/>
              </w:rPr>
            </w:pPr>
          </w:p>
        </w:tc>
        <w:tc>
          <w:tcPr>
            <w:tcW w:w="0" w:type="auto"/>
            <w:shd w:val="clear" w:color="auto" w:fill="auto"/>
            <w:vAlign w:val="bottom"/>
          </w:tcPr>
          <w:p w14:paraId="675371A4" w14:textId="77777777" w:rsidR="001B77DD" w:rsidRDefault="001B77DD">
            <w:pPr>
              <w:rPr>
                <w:rFonts w:ascii="宋体"/>
                <w:vanish/>
              </w:rPr>
            </w:pPr>
          </w:p>
        </w:tc>
        <w:tc>
          <w:tcPr>
            <w:tcW w:w="0" w:type="auto"/>
            <w:shd w:val="clear" w:color="auto" w:fill="auto"/>
            <w:vAlign w:val="bottom"/>
          </w:tcPr>
          <w:p w14:paraId="675371A5" w14:textId="77777777" w:rsidR="001B77DD" w:rsidRDefault="001B77DD">
            <w:pPr>
              <w:rPr>
                <w:rFonts w:ascii="宋体"/>
                <w:vanish/>
              </w:rPr>
            </w:pPr>
          </w:p>
        </w:tc>
        <w:tc>
          <w:tcPr>
            <w:tcW w:w="0" w:type="auto"/>
            <w:shd w:val="clear" w:color="auto" w:fill="auto"/>
            <w:vAlign w:val="bottom"/>
          </w:tcPr>
          <w:p w14:paraId="675371A6" w14:textId="77777777" w:rsidR="001B77DD" w:rsidRDefault="001B77DD">
            <w:pPr>
              <w:rPr>
                <w:rFonts w:ascii="宋体"/>
                <w:vanish/>
              </w:rPr>
            </w:pPr>
          </w:p>
        </w:tc>
      </w:tr>
      <w:tr w:rsidR="001B77DD" w14:paraId="675371B7" w14:textId="77777777">
        <w:tc>
          <w:tcPr>
            <w:tcW w:w="0" w:type="auto"/>
            <w:gridSpan w:val="3"/>
            <w:shd w:val="clear" w:color="auto" w:fill="auto"/>
            <w:tcMar>
              <w:top w:w="40" w:type="dxa"/>
              <w:left w:w="155" w:type="dxa"/>
              <w:bottom w:w="40" w:type="dxa"/>
              <w:right w:w="20" w:type="dxa"/>
            </w:tcMar>
            <w:vAlign w:val="bottom"/>
          </w:tcPr>
          <w:p w14:paraId="675371A8" w14:textId="77777777" w:rsidR="001B77DD" w:rsidRDefault="00BF0A28">
            <w:pPr>
              <w:textAlignment w:val="bottom"/>
            </w:pPr>
            <w:r>
              <w:rPr>
                <w:rFonts w:ascii="Arial" w:eastAsia="宋体" w:hAnsi="Arial" w:cs="Arial"/>
                <w:color w:val="262626"/>
                <w:sz w:val="18"/>
                <w:szCs w:val="18"/>
              </w:rPr>
              <w:t>3.70%, due July 2025</w:t>
            </w:r>
          </w:p>
        </w:tc>
        <w:tc>
          <w:tcPr>
            <w:tcW w:w="0" w:type="auto"/>
            <w:gridSpan w:val="3"/>
            <w:shd w:val="clear" w:color="auto" w:fill="auto"/>
            <w:tcMar>
              <w:top w:w="0" w:type="dxa"/>
              <w:left w:w="20" w:type="dxa"/>
              <w:bottom w:w="0" w:type="dxa"/>
              <w:right w:w="20" w:type="dxa"/>
            </w:tcMar>
            <w:vAlign w:val="bottom"/>
          </w:tcPr>
          <w:p w14:paraId="675371A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AA" w14:textId="77777777" w:rsidR="001B77DD" w:rsidRDefault="00BF0A28">
            <w:pPr>
              <w:jc w:val="center"/>
              <w:textAlignment w:val="bottom"/>
            </w:pPr>
            <w:r>
              <w:rPr>
                <w:rFonts w:ascii="Arial" w:eastAsia="宋体" w:hAnsi="Arial" w:cs="Arial"/>
                <w:color w:val="0068B5"/>
                <w:sz w:val="18"/>
                <w:szCs w:val="18"/>
              </w:rPr>
              <w:t>2.16%</w:t>
            </w:r>
          </w:p>
        </w:tc>
        <w:tc>
          <w:tcPr>
            <w:tcW w:w="0" w:type="auto"/>
            <w:gridSpan w:val="3"/>
            <w:shd w:val="clear" w:color="auto" w:fill="auto"/>
            <w:tcMar>
              <w:top w:w="0" w:type="dxa"/>
              <w:left w:w="20" w:type="dxa"/>
              <w:bottom w:w="0" w:type="dxa"/>
              <w:right w:w="20" w:type="dxa"/>
            </w:tcMar>
            <w:vAlign w:val="bottom"/>
          </w:tcPr>
          <w:p w14:paraId="675371A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AC" w14:textId="77777777" w:rsidR="001B77DD" w:rsidRDefault="00BF0A28">
            <w:pPr>
              <w:jc w:val="right"/>
              <w:textAlignment w:val="bottom"/>
            </w:pPr>
            <w:r>
              <w:rPr>
                <w:rFonts w:ascii="Arial" w:eastAsia="宋体" w:hAnsi="Arial" w:cs="Arial"/>
                <w:color w:val="0068B5"/>
                <w:sz w:val="18"/>
                <w:szCs w:val="18"/>
              </w:rPr>
              <w:t>2,250 </w:t>
            </w:r>
          </w:p>
        </w:tc>
        <w:tc>
          <w:tcPr>
            <w:tcW w:w="0" w:type="auto"/>
            <w:shd w:val="clear" w:color="auto" w:fill="auto"/>
            <w:tcMar>
              <w:top w:w="40" w:type="dxa"/>
              <w:left w:w="0" w:type="dxa"/>
              <w:bottom w:w="40" w:type="dxa"/>
              <w:right w:w="20" w:type="dxa"/>
            </w:tcMar>
            <w:vAlign w:val="bottom"/>
          </w:tcPr>
          <w:p w14:paraId="675371A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AE" w14:textId="77777777" w:rsidR="001B77DD" w:rsidRDefault="001B77DD">
            <w:pPr>
              <w:rPr>
                <w:rFonts w:ascii="宋体"/>
              </w:rPr>
            </w:pPr>
          </w:p>
        </w:tc>
        <w:tc>
          <w:tcPr>
            <w:tcW w:w="0" w:type="auto"/>
            <w:shd w:val="clear" w:color="auto" w:fill="auto"/>
            <w:vAlign w:val="bottom"/>
          </w:tcPr>
          <w:p w14:paraId="675371AF" w14:textId="77777777" w:rsidR="001B77DD" w:rsidRDefault="001B77DD">
            <w:pPr>
              <w:rPr>
                <w:rFonts w:ascii="宋体"/>
                <w:vanish/>
              </w:rPr>
            </w:pPr>
          </w:p>
        </w:tc>
        <w:tc>
          <w:tcPr>
            <w:tcW w:w="0" w:type="auto"/>
            <w:shd w:val="clear" w:color="auto" w:fill="auto"/>
            <w:vAlign w:val="bottom"/>
          </w:tcPr>
          <w:p w14:paraId="675371B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B1" w14:textId="77777777" w:rsidR="001B77DD" w:rsidRDefault="00BF0A28">
            <w:pPr>
              <w:jc w:val="right"/>
              <w:textAlignment w:val="bottom"/>
            </w:pPr>
            <w:r>
              <w:rPr>
                <w:rFonts w:ascii="Arial" w:eastAsia="宋体" w:hAnsi="Arial" w:cs="Arial"/>
                <w:color w:val="000000"/>
                <w:sz w:val="18"/>
                <w:szCs w:val="18"/>
              </w:rPr>
              <w:t>2,250 </w:t>
            </w:r>
          </w:p>
        </w:tc>
        <w:tc>
          <w:tcPr>
            <w:tcW w:w="0" w:type="auto"/>
            <w:shd w:val="clear" w:color="auto" w:fill="auto"/>
            <w:tcMar>
              <w:top w:w="40" w:type="dxa"/>
              <w:left w:w="0" w:type="dxa"/>
              <w:bottom w:w="40" w:type="dxa"/>
              <w:right w:w="20" w:type="dxa"/>
            </w:tcMar>
            <w:vAlign w:val="bottom"/>
          </w:tcPr>
          <w:p w14:paraId="675371B2" w14:textId="77777777" w:rsidR="001B77DD" w:rsidRDefault="001B77DD">
            <w:pPr>
              <w:jc w:val="right"/>
              <w:rPr>
                <w:rFonts w:ascii="宋体"/>
              </w:rPr>
            </w:pPr>
          </w:p>
        </w:tc>
        <w:tc>
          <w:tcPr>
            <w:tcW w:w="0" w:type="auto"/>
            <w:shd w:val="clear" w:color="auto" w:fill="auto"/>
            <w:vAlign w:val="bottom"/>
          </w:tcPr>
          <w:p w14:paraId="675371B3" w14:textId="77777777" w:rsidR="001B77DD" w:rsidRDefault="001B77DD">
            <w:pPr>
              <w:rPr>
                <w:rFonts w:ascii="宋体"/>
                <w:vanish/>
              </w:rPr>
            </w:pPr>
          </w:p>
        </w:tc>
        <w:tc>
          <w:tcPr>
            <w:tcW w:w="0" w:type="auto"/>
            <w:shd w:val="clear" w:color="auto" w:fill="auto"/>
            <w:vAlign w:val="bottom"/>
          </w:tcPr>
          <w:p w14:paraId="675371B4" w14:textId="77777777" w:rsidR="001B77DD" w:rsidRDefault="001B77DD">
            <w:pPr>
              <w:rPr>
                <w:rFonts w:ascii="宋体"/>
                <w:vanish/>
              </w:rPr>
            </w:pPr>
          </w:p>
        </w:tc>
        <w:tc>
          <w:tcPr>
            <w:tcW w:w="0" w:type="auto"/>
            <w:shd w:val="clear" w:color="auto" w:fill="auto"/>
            <w:vAlign w:val="bottom"/>
          </w:tcPr>
          <w:p w14:paraId="675371B5" w14:textId="77777777" w:rsidR="001B77DD" w:rsidRDefault="001B77DD">
            <w:pPr>
              <w:rPr>
                <w:rFonts w:ascii="宋体"/>
                <w:vanish/>
              </w:rPr>
            </w:pPr>
          </w:p>
        </w:tc>
        <w:tc>
          <w:tcPr>
            <w:tcW w:w="0" w:type="auto"/>
            <w:shd w:val="clear" w:color="auto" w:fill="auto"/>
            <w:vAlign w:val="bottom"/>
          </w:tcPr>
          <w:p w14:paraId="675371B6" w14:textId="77777777" w:rsidR="001B77DD" w:rsidRDefault="001B77DD">
            <w:pPr>
              <w:rPr>
                <w:rFonts w:ascii="宋体"/>
                <w:vanish/>
              </w:rPr>
            </w:pPr>
          </w:p>
        </w:tc>
      </w:tr>
      <w:tr w:rsidR="001B77DD" w14:paraId="675371C7" w14:textId="77777777">
        <w:tc>
          <w:tcPr>
            <w:tcW w:w="0" w:type="auto"/>
            <w:gridSpan w:val="3"/>
            <w:shd w:val="clear" w:color="auto" w:fill="auto"/>
            <w:tcMar>
              <w:top w:w="40" w:type="dxa"/>
              <w:left w:w="155" w:type="dxa"/>
              <w:bottom w:w="40" w:type="dxa"/>
              <w:right w:w="20" w:type="dxa"/>
            </w:tcMar>
            <w:vAlign w:val="bottom"/>
          </w:tcPr>
          <w:p w14:paraId="675371B8" w14:textId="77777777" w:rsidR="001B77DD" w:rsidRDefault="00BF0A28">
            <w:pPr>
              <w:textAlignment w:val="bottom"/>
            </w:pPr>
            <w:r>
              <w:rPr>
                <w:rFonts w:ascii="Arial" w:eastAsia="宋体" w:hAnsi="Arial" w:cs="Arial"/>
                <w:color w:val="262626"/>
                <w:sz w:val="18"/>
                <w:szCs w:val="18"/>
              </w:rPr>
              <w:t xml:space="preserve">2.60%, </w:t>
            </w:r>
            <w:r>
              <w:rPr>
                <w:rFonts w:ascii="Arial" w:eastAsia="宋体" w:hAnsi="Arial" w:cs="Arial"/>
                <w:color w:val="262626"/>
                <w:sz w:val="18"/>
                <w:szCs w:val="18"/>
              </w:rPr>
              <w:t>due May 2026</w:t>
            </w:r>
          </w:p>
        </w:tc>
        <w:tc>
          <w:tcPr>
            <w:tcW w:w="0" w:type="auto"/>
            <w:gridSpan w:val="3"/>
            <w:shd w:val="clear" w:color="auto" w:fill="auto"/>
            <w:tcMar>
              <w:top w:w="0" w:type="dxa"/>
              <w:left w:w="20" w:type="dxa"/>
              <w:bottom w:w="0" w:type="dxa"/>
              <w:right w:w="20" w:type="dxa"/>
            </w:tcMar>
            <w:vAlign w:val="bottom"/>
          </w:tcPr>
          <w:p w14:paraId="675371B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BA" w14:textId="77777777" w:rsidR="001B77DD" w:rsidRDefault="00BF0A28">
            <w:pPr>
              <w:jc w:val="center"/>
              <w:textAlignment w:val="bottom"/>
            </w:pPr>
            <w:r>
              <w:rPr>
                <w:rFonts w:ascii="Arial" w:eastAsia="宋体" w:hAnsi="Arial" w:cs="Arial"/>
                <w:color w:val="0068B5"/>
                <w:sz w:val="18"/>
                <w:szCs w:val="18"/>
              </w:rPr>
              <w:t>0.63%</w:t>
            </w:r>
          </w:p>
        </w:tc>
        <w:tc>
          <w:tcPr>
            <w:tcW w:w="0" w:type="auto"/>
            <w:gridSpan w:val="3"/>
            <w:shd w:val="clear" w:color="auto" w:fill="auto"/>
            <w:tcMar>
              <w:top w:w="0" w:type="dxa"/>
              <w:left w:w="20" w:type="dxa"/>
              <w:bottom w:w="0" w:type="dxa"/>
              <w:right w:w="20" w:type="dxa"/>
            </w:tcMar>
            <w:vAlign w:val="bottom"/>
          </w:tcPr>
          <w:p w14:paraId="675371B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BC" w14:textId="77777777" w:rsidR="001B77DD" w:rsidRDefault="00BF0A2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75371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BE" w14:textId="77777777" w:rsidR="001B77DD" w:rsidRDefault="001B77DD">
            <w:pPr>
              <w:rPr>
                <w:rFonts w:ascii="宋体"/>
              </w:rPr>
            </w:pPr>
          </w:p>
        </w:tc>
        <w:tc>
          <w:tcPr>
            <w:tcW w:w="0" w:type="auto"/>
            <w:shd w:val="clear" w:color="auto" w:fill="auto"/>
            <w:vAlign w:val="bottom"/>
          </w:tcPr>
          <w:p w14:paraId="675371BF" w14:textId="77777777" w:rsidR="001B77DD" w:rsidRDefault="001B77DD">
            <w:pPr>
              <w:rPr>
                <w:rFonts w:ascii="宋体"/>
                <w:vanish/>
              </w:rPr>
            </w:pPr>
          </w:p>
        </w:tc>
        <w:tc>
          <w:tcPr>
            <w:tcW w:w="0" w:type="auto"/>
            <w:shd w:val="clear" w:color="auto" w:fill="auto"/>
            <w:vAlign w:val="bottom"/>
          </w:tcPr>
          <w:p w14:paraId="675371C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C1" w14:textId="77777777" w:rsidR="001B77DD" w:rsidRDefault="00BF0A28">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675371C2" w14:textId="77777777" w:rsidR="001B77DD" w:rsidRDefault="001B77DD">
            <w:pPr>
              <w:jc w:val="right"/>
              <w:rPr>
                <w:rFonts w:ascii="宋体"/>
              </w:rPr>
            </w:pPr>
          </w:p>
        </w:tc>
        <w:tc>
          <w:tcPr>
            <w:tcW w:w="0" w:type="auto"/>
            <w:shd w:val="clear" w:color="auto" w:fill="auto"/>
            <w:vAlign w:val="bottom"/>
          </w:tcPr>
          <w:p w14:paraId="675371C3" w14:textId="77777777" w:rsidR="001B77DD" w:rsidRDefault="001B77DD">
            <w:pPr>
              <w:rPr>
                <w:rFonts w:ascii="宋体"/>
                <w:vanish/>
              </w:rPr>
            </w:pPr>
          </w:p>
        </w:tc>
        <w:tc>
          <w:tcPr>
            <w:tcW w:w="0" w:type="auto"/>
            <w:shd w:val="clear" w:color="auto" w:fill="auto"/>
            <w:vAlign w:val="bottom"/>
          </w:tcPr>
          <w:p w14:paraId="675371C4" w14:textId="77777777" w:rsidR="001B77DD" w:rsidRDefault="001B77DD">
            <w:pPr>
              <w:rPr>
                <w:rFonts w:ascii="宋体"/>
                <w:vanish/>
              </w:rPr>
            </w:pPr>
          </w:p>
        </w:tc>
        <w:tc>
          <w:tcPr>
            <w:tcW w:w="0" w:type="auto"/>
            <w:shd w:val="clear" w:color="auto" w:fill="auto"/>
            <w:vAlign w:val="bottom"/>
          </w:tcPr>
          <w:p w14:paraId="675371C5" w14:textId="77777777" w:rsidR="001B77DD" w:rsidRDefault="001B77DD">
            <w:pPr>
              <w:rPr>
                <w:rFonts w:ascii="宋体"/>
                <w:vanish/>
              </w:rPr>
            </w:pPr>
          </w:p>
        </w:tc>
        <w:tc>
          <w:tcPr>
            <w:tcW w:w="0" w:type="auto"/>
            <w:shd w:val="clear" w:color="auto" w:fill="auto"/>
            <w:vAlign w:val="bottom"/>
          </w:tcPr>
          <w:p w14:paraId="675371C6" w14:textId="77777777" w:rsidR="001B77DD" w:rsidRDefault="001B77DD">
            <w:pPr>
              <w:rPr>
                <w:rFonts w:ascii="宋体"/>
                <w:vanish/>
              </w:rPr>
            </w:pPr>
          </w:p>
        </w:tc>
      </w:tr>
      <w:tr w:rsidR="001B77DD" w14:paraId="675371D7" w14:textId="77777777">
        <w:tc>
          <w:tcPr>
            <w:tcW w:w="0" w:type="auto"/>
            <w:gridSpan w:val="3"/>
            <w:shd w:val="clear" w:color="auto" w:fill="auto"/>
            <w:tcMar>
              <w:top w:w="40" w:type="dxa"/>
              <w:left w:w="155" w:type="dxa"/>
              <w:bottom w:w="40" w:type="dxa"/>
              <w:right w:w="20" w:type="dxa"/>
            </w:tcMar>
            <w:vAlign w:val="bottom"/>
          </w:tcPr>
          <w:p w14:paraId="675371C8" w14:textId="77777777" w:rsidR="001B77DD" w:rsidRDefault="00BF0A28">
            <w:pPr>
              <w:textAlignment w:val="bottom"/>
            </w:pPr>
            <w:r>
              <w:rPr>
                <w:rFonts w:ascii="Arial" w:eastAsia="宋体" w:hAnsi="Arial" w:cs="Arial"/>
                <w:color w:val="262626"/>
                <w:sz w:val="18"/>
                <w:szCs w:val="18"/>
              </w:rPr>
              <w:t xml:space="preserve">3.75%, </w:t>
            </w:r>
            <w:r>
              <w:rPr>
                <w:rFonts w:ascii="Arial" w:eastAsia="宋体" w:hAnsi="Arial" w:cs="Arial"/>
                <w:color w:val="262626"/>
                <w:sz w:val="18"/>
                <w:szCs w:val="18"/>
              </w:rPr>
              <w:t>due March 2027</w:t>
            </w:r>
          </w:p>
        </w:tc>
        <w:tc>
          <w:tcPr>
            <w:tcW w:w="0" w:type="auto"/>
            <w:gridSpan w:val="3"/>
            <w:shd w:val="clear" w:color="auto" w:fill="auto"/>
            <w:tcMar>
              <w:top w:w="0" w:type="dxa"/>
              <w:left w:w="20" w:type="dxa"/>
              <w:bottom w:w="0" w:type="dxa"/>
              <w:right w:w="20" w:type="dxa"/>
            </w:tcMar>
            <w:vAlign w:val="bottom"/>
          </w:tcPr>
          <w:p w14:paraId="675371C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CA" w14:textId="77777777" w:rsidR="001B77DD" w:rsidRDefault="00BF0A28">
            <w:pPr>
              <w:jc w:val="center"/>
              <w:textAlignment w:val="bottom"/>
            </w:pPr>
            <w:r>
              <w:rPr>
                <w:rFonts w:ascii="Arial" w:eastAsia="宋体" w:hAnsi="Arial" w:cs="Arial"/>
                <w:color w:val="0068B5"/>
                <w:sz w:val="18"/>
                <w:szCs w:val="18"/>
              </w:rPr>
              <w:t>3.79%</w:t>
            </w:r>
          </w:p>
        </w:tc>
        <w:tc>
          <w:tcPr>
            <w:tcW w:w="0" w:type="auto"/>
            <w:gridSpan w:val="3"/>
            <w:shd w:val="clear" w:color="auto" w:fill="auto"/>
            <w:tcMar>
              <w:top w:w="0" w:type="dxa"/>
              <w:left w:w="20" w:type="dxa"/>
              <w:bottom w:w="0" w:type="dxa"/>
              <w:right w:w="20" w:type="dxa"/>
            </w:tcMar>
            <w:vAlign w:val="bottom"/>
          </w:tcPr>
          <w:p w14:paraId="675371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CC" w14:textId="77777777" w:rsidR="001B77DD" w:rsidRDefault="00BF0A2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75371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CE" w14:textId="77777777" w:rsidR="001B77DD" w:rsidRDefault="001B77DD">
            <w:pPr>
              <w:rPr>
                <w:rFonts w:ascii="宋体"/>
              </w:rPr>
            </w:pPr>
          </w:p>
        </w:tc>
        <w:tc>
          <w:tcPr>
            <w:tcW w:w="0" w:type="auto"/>
            <w:shd w:val="clear" w:color="auto" w:fill="auto"/>
            <w:vAlign w:val="bottom"/>
          </w:tcPr>
          <w:p w14:paraId="675371CF" w14:textId="77777777" w:rsidR="001B77DD" w:rsidRDefault="001B77DD">
            <w:pPr>
              <w:rPr>
                <w:rFonts w:ascii="宋体"/>
                <w:vanish/>
              </w:rPr>
            </w:pPr>
          </w:p>
        </w:tc>
        <w:tc>
          <w:tcPr>
            <w:tcW w:w="0" w:type="auto"/>
            <w:shd w:val="clear" w:color="auto" w:fill="auto"/>
            <w:vAlign w:val="bottom"/>
          </w:tcPr>
          <w:p w14:paraId="675371D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D1" w14:textId="77777777" w:rsidR="001B77DD" w:rsidRDefault="00BF0A28">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675371D2" w14:textId="77777777" w:rsidR="001B77DD" w:rsidRDefault="001B77DD">
            <w:pPr>
              <w:jc w:val="right"/>
              <w:rPr>
                <w:rFonts w:ascii="宋体"/>
              </w:rPr>
            </w:pPr>
          </w:p>
        </w:tc>
        <w:tc>
          <w:tcPr>
            <w:tcW w:w="0" w:type="auto"/>
            <w:shd w:val="clear" w:color="auto" w:fill="auto"/>
            <w:vAlign w:val="bottom"/>
          </w:tcPr>
          <w:p w14:paraId="675371D3" w14:textId="77777777" w:rsidR="001B77DD" w:rsidRDefault="001B77DD">
            <w:pPr>
              <w:rPr>
                <w:rFonts w:ascii="宋体"/>
                <w:vanish/>
              </w:rPr>
            </w:pPr>
          </w:p>
        </w:tc>
        <w:tc>
          <w:tcPr>
            <w:tcW w:w="0" w:type="auto"/>
            <w:shd w:val="clear" w:color="auto" w:fill="auto"/>
            <w:vAlign w:val="bottom"/>
          </w:tcPr>
          <w:p w14:paraId="675371D4" w14:textId="77777777" w:rsidR="001B77DD" w:rsidRDefault="001B77DD">
            <w:pPr>
              <w:rPr>
                <w:rFonts w:ascii="宋体"/>
                <w:vanish/>
              </w:rPr>
            </w:pPr>
          </w:p>
        </w:tc>
        <w:tc>
          <w:tcPr>
            <w:tcW w:w="0" w:type="auto"/>
            <w:shd w:val="clear" w:color="auto" w:fill="auto"/>
            <w:vAlign w:val="bottom"/>
          </w:tcPr>
          <w:p w14:paraId="675371D5" w14:textId="77777777" w:rsidR="001B77DD" w:rsidRDefault="001B77DD">
            <w:pPr>
              <w:rPr>
                <w:rFonts w:ascii="宋体"/>
                <w:vanish/>
              </w:rPr>
            </w:pPr>
          </w:p>
        </w:tc>
        <w:tc>
          <w:tcPr>
            <w:tcW w:w="0" w:type="auto"/>
            <w:shd w:val="clear" w:color="auto" w:fill="auto"/>
            <w:vAlign w:val="bottom"/>
          </w:tcPr>
          <w:p w14:paraId="675371D6" w14:textId="77777777" w:rsidR="001B77DD" w:rsidRDefault="001B77DD">
            <w:pPr>
              <w:rPr>
                <w:rFonts w:ascii="宋体"/>
                <w:vanish/>
              </w:rPr>
            </w:pPr>
          </w:p>
        </w:tc>
      </w:tr>
      <w:tr w:rsidR="001B77DD" w14:paraId="675371E7" w14:textId="77777777">
        <w:tc>
          <w:tcPr>
            <w:tcW w:w="0" w:type="auto"/>
            <w:gridSpan w:val="3"/>
            <w:shd w:val="clear" w:color="auto" w:fill="auto"/>
            <w:tcMar>
              <w:top w:w="40" w:type="dxa"/>
              <w:left w:w="155" w:type="dxa"/>
              <w:bottom w:w="40" w:type="dxa"/>
              <w:right w:w="20" w:type="dxa"/>
            </w:tcMar>
            <w:vAlign w:val="bottom"/>
          </w:tcPr>
          <w:p w14:paraId="675371D8" w14:textId="77777777" w:rsidR="001B77DD" w:rsidRDefault="00BF0A28">
            <w:pPr>
              <w:textAlignment w:val="bottom"/>
            </w:pPr>
            <w:r>
              <w:rPr>
                <w:rFonts w:ascii="Arial" w:eastAsia="宋体" w:hAnsi="Arial" w:cs="Arial"/>
                <w:color w:val="262626"/>
                <w:sz w:val="18"/>
                <w:szCs w:val="18"/>
              </w:rPr>
              <w:t xml:space="preserve">3.15%, </w:t>
            </w:r>
            <w:r>
              <w:rPr>
                <w:rFonts w:ascii="Arial" w:eastAsia="宋体" w:hAnsi="Arial" w:cs="Arial"/>
                <w:color w:val="262626"/>
                <w:sz w:val="18"/>
                <w:szCs w:val="18"/>
              </w:rPr>
              <w:t>due May 2027</w:t>
            </w:r>
          </w:p>
        </w:tc>
        <w:tc>
          <w:tcPr>
            <w:tcW w:w="0" w:type="auto"/>
            <w:gridSpan w:val="3"/>
            <w:shd w:val="clear" w:color="auto" w:fill="auto"/>
            <w:tcMar>
              <w:top w:w="0" w:type="dxa"/>
              <w:left w:w="20" w:type="dxa"/>
              <w:bottom w:w="0" w:type="dxa"/>
              <w:right w:w="20" w:type="dxa"/>
            </w:tcMar>
            <w:vAlign w:val="bottom"/>
          </w:tcPr>
          <w:p w14:paraId="675371D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DA" w14:textId="77777777" w:rsidR="001B77DD" w:rsidRDefault="00BF0A28">
            <w:pPr>
              <w:jc w:val="center"/>
              <w:textAlignment w:val="bottom"/>
            </w:pPr>
            <w:r>
              <w:rPr>
                <w:rFonts w:ascii="Arial" w:eastAsia="宋体" w:hAnsi="Arial" w:cs="Arial"/>
                <w:color w:val="0068B5"/>
                <w:sz w:val="18"/>
                <w:szCs w:val="18"/>
              </w:rPr>
              <w:t>1.21%</w:t>
            </w:r>
          </w:p>
        </w:tc>
        <w:tc>
          <w:tcPr>
            <w:tcW w:w="0" w:type="auto"/>
            <w:gridSpan w:val="3"/>
            <w:shd w:val="clear" w:color="auto" w:fill="auto"/>
            <w:tcMar>
              <w:top w:w="0" w:type="dxa"/>
              <w:left w:w="20" w:type="dxa"/>
              <w:bottom w:w="0" w:type="dxa"/>
              <w:right w:w="20" w:type="dxa"/>
            </w:tcMar>
            <w:vAlign w:val="bottom"/>
          </w:tcPr>
          <w:p w14:paraId="675371D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DC" w14:textId="77777777" w:rsidR="001B77DD" w:rsidRDefault="00BF0A2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75371D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DE" w14:textId="77777777" w:rsidR="001B77DD" w:rsidRDefault="001B77DD">
            <w:pPr>
              <w:rPr>
                <w:rFonts w:ascii="宋体"/>
              </w:rPr>
            </w:pPr>
          </w:p>
        </w:tc>
        <w:tc>
          <w:tcPr>
            <w:tcW w:w="0" w:type="auto"/>
            <w:shd w:val="clear" w:color="auto" w:fill="auto"/>
            <w:vAlign w:val="bottom"/>
          </w:tcPr>
          <w:p w14:paraId="675371DF" w14:textId="77777777" w:rsidR="001B77DD" w:rsidRDefault="001B77DD">
            <w:pPr>
              <w:rPr>
                <w:rFonts w:ascii="宋体"/>
                <w:vanish/>
              </w:rPr>
            </w:pPr>
          </w:p>
        </w:tc>
        <w:tc>
          <w:tcPr>
            <w:tcW w:w="0" w:type="auto"/>
            <w:shd w:val="clear" w:color="auto" w:fill="auto"/>
            <w:vAlign w:val="bottom"/>
          </w:tcPr>
          <w:p w14:paraId="675371E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E1" w14:textId="77777777" w:rsidR="001B77DD" w:rsidRDefault="00BF0A28">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675371E2" w14:textId="77777777" w:rsidR="001B77DD" w:rsidRDefault="001B77DD">
            <w:pPr>
              <w:jc w:val="right"/>
              <w:rPr>
                <w:rFonts w:ascii="宋体"/>
              </w:rPr>
            </w:pPr>
          </w:p>
        </w:tc>
        <w:tc>
          <w:tcPr>
            <w:tcW w:w="0" w:type="auto"/>
            <w:shd w:val="clear" w:color="auto" w:fill="auto"/>
            <w:vAlign w:val="bottom"/>
          </w:tcPr>
          <w:p w14:paraId="675371E3" w14:textId="77777777" w:rsidR="001B77DD" w:rsidRDefault="001B77DD">
            <w:pPr>
              <w:rPr>
                <w:rFonts w:ascii="宋体"/>
                <w:vanish/>
              </w:rPr>
            </w:pPr>
          </w:p>
        </w:tc>
        <w:tc>
          <w:tcPr>
            <w:tcW w:w="0" w:type="auto"/>
            <w:shd w:val="clear" w:color="auto" w:fill="auto"/>
            <w:vAlign w:val="bottom"/>
          </w:tcPr>
          <w:p w14:paraId="675371E4" w14:textId="77777777" w:rsidR="001B77DD" w:rsidRDefault="001B77DD">
            <w:pPr>
              <w:rPr>
                <w:rFonts w:ascii="宋体"/>
                <w:vanish/>
              </w:rPr>
            </w:pPr>
          </w:p>
        </w:tc>
        <w:tc>
          <w:tcPr>
            <w:tcW w:w="0" w:type="auto"/>
            <w:shd w:val="clear" w:color="auto" w:fill="auto"/>
            <w:vAlign w:val="bottom"/>
          </w:tcPr>
          <w:p w14:paraId="675371E5" w14:textId="77777777" w:rsidR="001B77DD" w:rsidRDefault="001B77DD">
            <w:pPr>
              <w:rPr>
                <w:rFonts w:ascii="宋体"/>
                <w:vanish/>
              </w:rPr>
            </w:pPr>
          </w:p>
        </w:tc>
        <w:tc>
          <w:tcPr>
            <w:tcW w:w="0" w:type="auto"/>
            <w:shd w:val="clear" w:color="auto" w:fill="auto"/>
            <w:vAlign w:val="bottom"/>
          </w:tcPr>
          <w:p w14:paraId="675371E6" w14:textId="77777777" w:rsidR="001B77DD" w:rsidRDefault="001B77DD">
            <w:pPr>
              <w:rPr>
                <w:rFonts w:ascii="宋体"/>
                <w:vanish/>
              </w:rPr>
            </w:pPr>
          </w:p>
        </w:tc>
      </w:tr>
      <w:tr w:rsidR="001B77DD" w14:paraId="675371F7" w14:textId="77777777">
        <w:tc>
          <w:tcPr>
            <w:tcW w:w="0" w:type="auto"/>
            <w:gridSpan w:val="3"/>
            <w:shd w:val="clear" w:color="auto" w:fill="auto"/>
            <w:tcMar>
              <w:top w:w="40" w:type="dxa"/>
              <w:left w:w="155" w:type="dxa"/>
              <w:bottom w:w="40" w:type="dxa"/>
              <w:right w:w="20" w:type="dxa"/>
            </w:tcMar>
            <w:vAlign w:val="bottom"/>
          </w:tcPr>
          <w:p w14:paraId="675371E8" w14:textId="77777777" w:rsidR="001B77DD" w:rsidRDefault="00BF0A28">
            <w:pPr>
              <w:textAlignment w:val="bottom"/>
            </w:pPr>
            <w:r>
              <w:rPr>
                <w:rFonts w:ascii="Arial" w:eastAsia="宋体" w:hAnsi="Arial" w:cs="Arial"/>
                <w:color w:val="262626"/>
                <w:sz w:val="18"/>
                <w:szCs w:val="18"/>
              </w:rPr>
              <w:t xml:space="preserve">1.60%, </w:t>
            </w:r>
            <w:r>
              <w:rPr>
                <w:rFonts w:ascii="Arial" w:eastAsia="宋体" w:hAnsi="Arial" w:cs="Arial"/>
                <w:color w:val="262626"/>
                <w:sz w:val="18"/>
                <w:szCs w:val="18"/>
              </w:rPr>
              <w:t>due August 2028</w:t>
            </w:r>
          </w:p>
        </w:tc>
        <w:tc>
          <w:tcPr>
            <w:tcW w:w="0" w:type="auto"/>
            <w:gridSpan w:val="3"/>
            <w:shd w:val="clear" w:color="auto" w:fill="auto"/>
            <w:tcMar>
              <w:top w:w="0" w:type="dxa"/>
              <w:left w:w="20" w:type="dxa"/>
              <w:bottom w:w="0" w:type="dxa"/>
              <w:right w:w="20" w:type="dxa"/>
            </w:tcMar>
            <w:vAlign w:val="bottom"/>
          </w:tcPr>
          <w:p w14:paraId="675371E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EA" w14:textId="77777777" w:rsidR="001B77DD" w:rsidRDefault="00BF0A28">
            <w:pPr>
              <w:jc w:val="center"/>
              <w:textAlignment w:val="bottom"/>
            </w:pPr>
            <w:r>
              <w:rPr>
                <w:rFonts w:ascii="Arial" w:eastAsia="宋体" w:hAnsi="Arial" w:cs="Arial"/>
                <w:color w:val="0068B5"/>
                <w:sz w:val="18"/>
                <w:szCs w:val="18"/>
              </w:rPr>
              <w:t>1.68%</w:t>
            </w:r>
          </w:p>
        </w:tc>
        <w:tc>
          <w:tcPr>
            <w:tcW w:w="0" w:type="auto"/>
            <w:gridSpan w:val="3"/>
            <w:shd w:val="clear" w:color="auto" w:fill="auto"/>
            <w:tcMar>
              <w:top w:w="0" w:type="dxa"/>
              <w:left w:w="20" w:type="dxa"/>
              <w:bottom w:w="0" w:type="dxa"/>
              <w:right w:w="20" w:type="dxa"/>
            </w:tcMar>
            <w:vAlign w:val="bottom"/>
          </w:tcPr>
          <w:p w14:paraId="675371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EC" w14:textId="77777777" w:rsidR="001B77DD" w:rsidRDefault="00BF0A2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75371E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EE" w14:textId="77777777" w:rsidR="001B77DD" w:rsidRDefault="001B77DD">
            <w:pPr>
              <w:rPr>
                <w:rFonts w:ascii="宋体"/>
              </w:rPr>
            </w:pPr>
          </w:p>
        </w:tc>
        <w:tc>
          <w:tcPr>
            <w:tcW w:w="0" w:type="auto"/>
            <w:shd w:val="clear" w:color="auto" w:fill="auto"/>
            <w:vAlign w:val="bottom"/>
          </w:tcPr>
          <w:p w14:paraId="675371EF" w14:textId="77777777" w:rsidR="001B77DD" w:rsidRDefault="001B77DD">
            <w:pPr>
              <w:rPr>
                <w:rFonts w:ascii="宋体"/>
                <w:vanish/>
              </w:rPr>
            </w:pPr>
          </w:p>
        </w:tc>
        <w:tc>
          <w:tcPr>
            <w:tcW w:w="0" w:type="auto"/>
            <w:shd w:val="clear" w:color="auto" w:fill="auto"/>
            <w:vAlign w:val="bottom"/>
          </w:tcPr>
          <w:p w14:paraId="675371F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1F1" w14:textId="77777777" w:rsidR="001B77DD" w:rsidRDefault="00BF0A28">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675371F2" w14:textId="77777777" w:rsidR="001B77DD" w:rsidRDefault="001B77DD">
            <w:pPr>
              <w:jc w:val="right"/>
              <w:rPr>
                <w:rFonts w:ascii="宋体"/>
              </w:rPr>
            </w:pPr>
          </w:p>
        </w:tc>
        <w:tc>
          <w:tcPr>
            <w:tcW w:w="0" w:type="auto"/>
            <w:shd w:val="clear" w:color="auto" w:fill="auto"/>
            <w:vAlign w:val="bottom"/>
          </w:tcPr>
          <w:p w14:paraId="675371F3" w14:textId="77777777" w:rsidR="001B77DD" w:rsidRDefault="001B77DD">
            <w:pPr>
              <w:rPr>
                <w:rFonts w:ascii="宋体"/>
                <w:vanish/>
              </w:rPr>
            </w:pPr>
          </w:p>
        </w:tc>
        <w:tc>
          <w:tcPr>
            <w:tcW w:w="0" w:type="auto"/>
            <w:shd w:val="clear" w:color="auto" w:fill="auto"/>
            <w:vAlign w:val="bottom"/>
          </w:tcPr>
          <w:p w14:paraId="675371F4" w14:textId="77777777" w:rsidR="001B77DD" w:rsidRDefault="001B77DD">
            <w:pPr>
              <w:rPr>
                <w:rFonts w:ascii="宋体"/>
                <w:vanish/>
              </w:rPr>
            </w:pPr>
          </w:p>
        </w:tc>
        <w:tc>
          <w:tcPr>
            <w:tcW w:w="0" w:type="auto"/>
            <w:shd w:val="clear" w:color="auto" w:fill="auto"/>
            <w:vAlign w:val="bottom"/>
          </w:tcPr>
          <w:p w14:paraId="675371F5" w14:textId="77777777" w:rsidR="001B77DD" w:rsidRDefault="001B77DD">
            <w:pPr>
              <w:rPr>
                <w:rFonts w:ascii="宋体"/>
                <w:vanish/>
              </w:rPr>
            </w:pPr>
          </w:p>
        </w:tc>
        <w:tc>
          <w:tcPr>
            <w:tcW w:w="0" w:type="auto"/>
            <w:shd w:val="clear" w:color="auto" w:fill="auto"/>
            <w:vAlign w:val="bottom"/>
          </w:tcPr>
          <w:p w14:paraId="675371F6" w14:textId="77777777" w:rsidR="001B77DD" w:rsidRDefault="001B77DD">
            <w:pPr>
              <w:rPr>
                <w:rFonts w:ascii="宋体"/>
                <w:vanish/>
              </w:rPr>
            </w:pPr>
          </w:p>
        </w:tc>
      </w:tr>
      <w:tr w:rsidR="001B77DD" w14:paraId="67537207" w14:textId="77777777">
        <w:tc>
          <w:tcPr>
            <w:tcW w:w="0" w:type="auto"/>
            <w:gridSpan w:val="3"/>
            <w:shd w:val="clear" w:color="auto" w:fill="auto"/>
            <w:tcMar>
              <w:top w:w="40" w:type="dxa"/>
              <w:left w:w="155" w:type="dxa"/>
              <w:bottom w:w="40" w:type="dxa"/>
              <w:right w:w="20" w:type="dxa"/>
            </w:tcMar>
            <w:vAlign w:val="bottom"/>
          </w:tcPr>
          <w:p w14:paraId="675371F8" w14:textId="77777777" w:rsidR="001B77DD" w:rsidRDefault="00BF0A28">
            <w:pPr>
              <w:textAlignment w:val="bottom"/>
            </w:pPr>
            <w:r>
              <w:rPr>
                <w:rFonts w:ascii="Arial" w:eastAsia="宋体" w:hAnsi="Arial" w:cs="Arial"/>
                <w:color w:val="262626"/>
                <w:sz w:val="18"/>
                <w:szCs w:val="18"/>
              </w:rPr>
              <w:t>2.45%, due November 2029</w:t>
            </w:r>
          </w:p>
        </w:tc>
        <w:tc>
          <w:tcPr>
            <w:tcW w:w="0" w:type="auto"/>
            <w:gridSpan w:val="3"/>
            <w:shd w:val="clear" w:color="auto" w:fill="auto"/>
            <w:tcMar>
              <w:top w:w="0" w:type="dxa"/>
              <w:left w:w="20" w:type="dxa"/>
              <w:bottom w:w="0" w:type="dxa"/>
              <w:right w:w="20" w:type="dxa"/>
            </w:tcMar>
            <w:vAlign w:val="bottom"/>
          </w:tcPr>
          <w:p w14:paraId="675371F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1FA" w14:textId="77777777" w:rsidR="001B77DD" w:rsidRDefault="00BF0A28">
            <w:pPr>
              <w:jc w:val="center"/>
              <w:textAlignment w:val="bottom"/>
            </w:pPr>
            <w:r>
              <w:rPr>
                <w:rFonts w:ascii="Arial" w:eastAsia="宋体" w:hAnsi="Arial" w:cs="Arial"/>
                <w:color w:val="0068B5"/>
                <w:sz w:val="18"/>
                <w:szCs w:val="18"/>
              </w:rPr>
              <w:t>2.39%</w:t>
            </w:r>
          </w:p>
        </w:tc>
        <w:tc>
          <w:tcPr>
            <w:tcW w:w="0" w:type="auto"/>
            <w:gridSpan w:val="3"/>
            <w:shd w:val="clear" w:color="auto" w:fill="auto"/>
            <w:tcMar>
              <w:top w:w="0" w:type="dxa"/>
              <w:left w:w="20" w:type="dxa"/>
              <w:bottom w:w="0" w:type="dxa"/>
              <w:right w:w="20" w:type="dxa"/>
            </w:tcMar>
            <w:vAlign w:val="bottom"/>
          </w:tcPr>
          <w:p w14:paraId="675371F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1FC" w14:textId="77777777" w:rsidR="001B77DD" w:rsidRDefault="00BF0A28">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675371F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1FE" w14:textId="77777777" w:rsidR="001B77DD" w:rsidRDefault="001B77DD">
            <w:pPr>
              <w:rPr>
                <w:rFonts w:ascii="宋体"/>
              </w:rPr>
            </w:pPr>
          </w:p>
        </w:tc>
        <w:tc>
          <w:tcPr>
            <w:tcW w:w="0" w:type="auto"/>
            <w:shd w:val="clear" w:color="auto" w:fill="auto"/>
            <w:vAlign w:val="bottom"/>
          </w:tcPr>
          <w:p w14:paraId="675371FF" w14:textId="77777777" w:rsidR="001B77DD" w:rsidRDefault="001B77DD">
            <w:pPr>
              <w:rPr>
                <w:rFonts w:ascii="宋体"/>
                <w:vanish/>
              </w:rPr>
            </w:pPr>
          </w:p>
        </w:tc>
        <w:tc>
          <w:tcPr>
            <w:tcW w:w="0" w:type="auto"/>
            <w:shd w:val="clear" w:color="auto" w:fill="auto"/>
            <w:vAlign w:val="bottom"/>
          </w:tcPr>
          <w:p w14:paraId="6753720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01" w14:textId="77777777" w:rsidR="001B77DD" w:rsidRDefault="00BF0A28">
            <w:pPr>
              <w:jc w:val="right"/>
              <w:textAlignment w:val="bottom"/>
            </w:pPr>
            <w:r>
              <w:rPr>
                <w:rFonts w:ascii="Arial" w:eastAsia="宋体" w:hAnsi="Arial" w:cs="Arial"/>
                <w:color w:val="000000"/>
                <w:sz w:val="18"/>
                <w:szCs w:val="18"/>
              </w:rPr>
              <w:t>2,000 </w:t>
            </w:r>
          </w:p>
        </w:tc>
        <w:tc>
          <w:tcPr>
            <w:tcW w:w="0" w:type="auto"/>
            <w:shd w:val="clear" w:color="auto" w:fill="auto"/>
            <w:tcMar>
              <w:top w:w="40" w:type="dxa"/>
              <w:left w:w="0" w:type="dxa"/>
              <w:bottom w:w="40" w:type="dxa"/>
              <w:right w:w="20" w:type="dxa"/>
            </w:tcMar>
            <w:vAlign w:val="bottom"/>
          </w:tcPr>
          <w:p w14:paraId="67537202" w14:textId="77777777" w:rsidR="001B77DD" w:rsidRDefault="001B77DD">
            <w:pPr>
              <w:jc w:val="right"/>
              <w:rPr>
                <w:rFonts w:ascii="宋体"/>
              </w:rPr>
            </w:pPr>
          </w:p>
        </w:tc>
        <w:tc>
          <w:tcPr>
            <w:tcW w:w="0" w:type="auto"/>
            <w:shd w:val="clear" w:color="auto" w:fill="auto"/>
            <w:vAlign w:val="bottom"/>
          </w:tcPr>
          <w:p w14:paraId="67537203" w14:textId="77777777" w:rsidR="001B77DD" w:rsidRDefault="001B77DD">
            <w:pPr>
              <w:rPr>
                <w:rFonts w:ascii="宋体"/>
                <w:vanish/>
              </w:rPr>
            </w:pPr>
          </w:p>
        </w:tc>
        <w:tc>
          <w:tcPr>
            <w:tcW w:w="0" w:type="auto"/>
            <w:shd w:val="clear" w:color="auto" w:fill="auto"/>
            <w:vAlign w:val="bottom"/>
          </w:tcPr>
          <w:p w14:paraId="67537204" w14:textId="77777777" w:rsidR="001B77DD" w:rsidRDefault="001B77DD">
            <w:pPr>
              <w:rPr>
                <w:rFonts w:ascii="宋体"/>
                <w:vanish/>
              </w:rPr>
            </w:pPr>
          </w:p>
        </w:tc>
        <w:tc>
          <w:tcPr>
            <w:tcW w:w="0" w:type="auto"/>
            <w:shd w:val="clear" w:color="auto" w:fill="auto"/>
            <w:vAlign w:val="bottom"/>
          </w:tcPr>
          <w:p w14:paraId="67537205" w14:textId="77777777" w:rsidR="001B77DD" w:rsidRDefault="001B77DD">
            <w:pPr>
              <w:rPr>
                <w:rFonts w:ascii="宋体"/>
                <w:vanish/>
              </w:rPr>
            </w:pPr>
          </w:p>
        </w:tc>
        <w:tc>
          <w:tcPr>
            <w:tcW w:w="0" w:type="auto"/>
            <w:shd w:val="clear" w:color="auto" w:fill="auto"/>
            <w:vAlign w:val="bottom"/>
          </w:tcPr>
          <w:p w14:paraId="67537206" w14:textId="77777777" w:rsidR="001B77DD" w:rsidRDefault="001B77DD">
            <w:pPr>
              <w:rPr>
                <w:rFonts w:ascii="宋体"/>
                <w:vanish/>
              </w:rPr>
            </w:pPr>
          </w:p>
        </w:tc>
      </w:tr>
      <w:tr w:rsidR="001B77DD" w14:paraId="67537217" w14:textId="77777777">
        <w:tc>
          <w:tcPr>
            <w:tcW w:w="0" w:type="auto"/>
            <w:gridSpan w:val="3"/>
            <w:shd w:val="clear" w:color="auto" w:fill="auto"/>
            <w:tcMar>
              <w:top w:w="40" w:type="dxa"/>
              <w:left w:w="155" w:type="dxa"/>
              <w:bottom w:w="40" w:type="dxa"/>
              <w:right w:w="20" w:type="dxa"/>
            </w:tcMar>
            <w:vAlign w:val="bottom"/>
          </w:tcPr>
          <w:p w14:paraId="67537208" w14:textId="77777777" w:rsidR="001B77DD" w:rsidRDefault="00BF0A28">
            <w:pPr>
              <w:textAlignment w:val="bottom"/>
            </w:pPr>
            <w:r>
              <w:rPr>
                <w:rFonts w:ascii="Arial" w:eastAsia="宋体" w:hAnsi="Arial" w:cs="Arial"/>
                <w:color w:val="262626"/>
                <w:sz w:val="18"/>
                <w:szCs w:val="18"/>
              </w:rPr>
              <w:t xml:space="preserve">3.90%, </w:t>
            </w:r>
            <w:r>
              <w:rPr>
                <w:rFonts w:ascii="Arial" w:eastAsia="宋体" w:hAnsi="Arial" w:cs="Arial"/>
                <w:color w:val="262626"/>
                <w:sz w:val="18"/>
                <w:szCs w:val="18"/>
              </w:rPr>
              <w:t>due March 2030</w:t>
            </w:r>
          </w:p>
        </w:tc>
        <w:tc>
          <w:tcPr>
            <w:tcW w:w="0" w:type="auto"/>
            <w:gridSpan w:val="3"/>
            <w:shd w:val="clear" w:color="auto" w:fill="auto"/>
            <w:tcMar>
              <w:top w:w="0" w:type="dxa"/>
              <w:left w:w="20" w:type="dxa"/>
              <w:bottom w:w="0" w:type="dxa"/>
              <w:right w:w="20" w:type="dxa"/>
            </w:tcMar>
            <w:vAlign w:val="bottom"/>
          </w:tcPr>
          <w:p w14:paraId="6753720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0A" w14:textId="77777777" w:rsidR="001B77DD" w:rsidRDefault="00BF0A28">
            <w:pPr>
              <w:jc w:val="center"/>
              <w:textAlignment w:val="bottom"/>
            </w:pPr>
            <w:r>
              <w:rPr>
                <w:rFonts w:ascii="Arial" w:eastAsia="宋体" w:hAnsi="Arial" w:cs="Arial"/>
                <w:color w:val="0068B5"/>
                <w:sz w:val="18"/>
                <w:szCs w:val="18"/>
              </w:rPr>
              <w:t>3.93%</w:t>
            </w:r>
          </w:p>
        </w:tc>
        <w:tc>
          <w:tcPr>
            <w:tcW w:w="0" w:type="auto"/>
            <w:gridSpan w:val="3"/>
            <w:shd w:val="clear" w:color="auto" w:fill="auto"/>
            <w:tcMar>
              <w:top w:w="0" w:type="dxa"/>
              <w:left w:w="20" w:type="dxa"/>
              <w:bottom w:w="0" w:type="dxa"/>
              <w:right w:w="20" w:type="dxa"/>
            </w:tcMar>
            <w:vAlign w:val="bottom"/>
          </w:tcPr>
          <w:p w14:paraId="6753720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0C" w14:textId="77777777" w:rsidR="001B77DD" w:rsidRDefault="00BF0A28">
            <w:pPr>
              <w:jc w:val="right"/>
              <w:textAlignment w:val="bottom"/>
            </w:pPr>
            <w:r>
              <w:rPr>
                <w:rFonts w:ascii="Arial" w:eastAsia="宋体" w:hAnsi="Arial" w:cs="Arial"/>
                <w:color w:val="0068B5"/>
                <w:sz w:val="18"/>
                <w:szCs w:val="18"/>
              </w:rPr>
              <w:t>1,500 </w:t>
            </w:r>
          </w:p>
        </w:tc>
        <w:tc>
          <w:tcPr>
            <w:tcW w:w="0" w:type="auto"/>
            <w:shd w:val="clear" w:color="auto" w:fill="auto"/>
            <w:tcMar>
              <w:top w:w="40" w:type="dxa"/>
              <w:left w:w="0" w:type="dxa"/>
              <w:bottom w:w="40" w:type="dxa"/>
              <w:right w:w="20" w:type="dxa"/>
            </w:tcMar>
            <w:vAlign w:val="bottom"/>
          </w:tcPr>
          <w:p w14:paraId="6753720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0E" w14:textId="77777777" w:rsidR="001B77DD" w:rsidRDefault="001B77DD">
            <w:pPr>
              <w:rPr>
                <w:rFonts w:ascii="宋体"/>
              </w:rPr>
            </w:pPr>
          </w:p>
        </w:tc>
        <w:tc>
          <w:tcPr>
            <w:tcW w:w="0" w:type="auto"/>
            <w:shd w:val="clear" w:color="auto" w:fill="auto"/>
            <w:vAlign w:val="bottom"/>
          </w:tcPr>
          <w:p w14:paraId="6753720F" w14:textId="77777777" w:rsidR="001B77DD" w:rsidRDefault="001B77DD">
            <w:pPr>
              <w:rPr>
                <w:rFonts w:ascii="宋体"/>
                <w:vanish/>
              </w:rPr>
            </w:pPr>
          </w:p>
        </w:tc>
        <w:tc>
          <w:tcPr>
            <w:tcW w:w="0" w:type="auto"/>
            <w:shd w:val="clear" w:color="auto" w:fill="auto"/>
            <w:vAlign w:val="bottom"/>
          </w:tcPr>
          <w:p w14:paraId="6753721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11" w14:textId="77777777" w:rsidR="001B77DD" w:rsidRDefault="00BF0A28">
            <w:pPr>
              <w:jc w:val="right"/>
              <w:textAlignment w:val="bottom"/>
            </w:pPr>
            <w:r>
              <w:rPr>
                <w:rFonts w:ascii="Arial" w:eastAsia="宋体" w:hAnsi="Arial" w:cs="Arial"/>
                <w:color w:val="000000"/>
                <w:sz w:val="18"/>
                <w:szCs w:val="18"/>
              </w:rPr>
              <w:t>1,500 </w:t>
            </w:r>
          </w:p>
        </w:tc>
        <w:tc>
          <w:tcPr>
            <w:tcW w:w="0" w:type="auto"/>
            <w:shd w:val="clear" w:color="auto" w:fill="auto"/>
            <w:tcMar>
              <w:top w:w="40" w:type="dxa"/>
              <w:left w:w="0" w:type="dxa"/>
              <w:bottom w:w="40" w:type="dxa"/>
              <w:right w:w="20" w:type="dxa"/>
            </w:tcMar>
            <w:vAlign w:val="bottom"/>
          </w:tcPr>
          <w:p w14:paraId="67537212" w14:textId="77777777" w:rsidR="001B77DD" w:rsidRDefault="001B77DD">
            <w:pPr>
              <w:jc w:val="right"/>
              <w:rPr>
                <w:rFonts w:ascii="宋体"/>
              </w:rPr>
            </w:pPr>
          </w:p>
        </w:tc>
        <w:tc>
          <w:tcPr>
            <w:tcW w:w="0" w:type="auto"/>
            <w:shd w:val="clear" w:color="auto" w:fill="auto"/>
            <w:vAlign w:val="bottom"/>
          </w:tcPr>
          <w:p w14:paraId="67537213" w14:textId="77777777" w:rsidR="001B77DD" w:rsidRDefault="001B77DD">
            <w:pPr>
              <w:rPr>
                <w:rFonts w:ascii="宋体"/>
                <w:vanish/>
              </w:rPr>
            </w:pPr>
          </w:p>
        </w:tc>
        <w:tc>
          <w:tcPr>
            <w:tcW w:w="0" w:type="auto"/>
            <w:shd w:val="clear" w:color="auto" w:fill="auto"/>
            <w:vAlign w:val="bottom"/>
          </w:tcPr>
          <w:p w14:paraId="67537214" w14:textId="77777777" w:rsidR="001B77DD" w:rsidRDefault="001B77DD">
            <w:pPr>
              <w:rPr>
                <w:rFonts w:ascii="宋体"/>
                <w:vanish/>
              </w:rPr>
            </w:pPr>
          </w:p>
        </w:tc>
        <w:tc>
          <w:tcPr>
            <w:tcW w:w="0" w:type="auto"/>
            <w:shd w:val="clear" w:color="auto" w:fill="auto"/>
            <w:vAlign w:val="bottom"/>
          </w:tcPr>
          <w:p w14:paraId="67537215" w14:textId="77777777" w:rsidR="001B77DD" w:rsidRDefault="001B77DD">
            <w:pPr>
              <w:rPr>
                <w:rFonts w:ascii="宋体"/>
                <w:vanish/>
              </w:rPr>
            </w:pPr>
          </w:p>
        </w:tc>
        <w:tc>
          <w:tcPr>
            <w:tcW w:w="0" w:type="auto"/>
            <w:shd w:val="clear" w:color="auto" w:fill="auto"/>
            <w:vAlign w:val="bottom"/>
          </w:tcPr>
          <w:p w14:paraId="67537216" w14:textId="77777777" w:rsidR="001B77DD" w:rsidRDefault="001B77DD">
            <w:pPr>
              <w:rPr>
                <w:rFonts w:ascii="宋体"/>
                <w:vanish/>
              </w:rPr>
            </w:pPr>
          </w:p>
        </w:tc>
      </w:tr>
      <w:tr w:rsidR="001B77DD" w14:paraId="67537227" w14:textId="77777777">
        <w:tc>
          <w:tcPr>
            <w:tcW w:w="0" w:type="auto"/>
            <w:gridSpan w:val="3"/>
            <w:shd w:val="clear" w:color="auto" w:fill="auto"/>
            <w:tcMar>
              <w:top w:w="40" w:type="dxa"/>
              <w:left w:w="155" w:type="dxa"/>
              <w:bottom w:w="40" w:type="dxa"/>
              <w:right w:w="20" w:type="dxa"/>
            </w:tcMar>
            <w:vAlign w:val="bottom"/>
          </w:tcPr>
          <w:p w14:paraId="67537218" w14:textId="77777777" w:rsidR="001B77DD" w:rsidRDefault="00BF0A28">
            <w:pPr>
              <w:textAlignment w:val="bottom"/>
            </w:pPr>
            <w:r>
              <w:rPr>
                <w:rFonts w:ascii="Arial" w:eastAsia="宋体" w:hAnsi="Arial" w:cs="Arial"/>
                <w:color w:val="262626"/>
                <w:sz w:val="18"/>
                <w:szCs w:val="18"/>
              </w:rPr>
              <w:t xml:space="preserve">2.00%, </w:t>
            </w:r>
            <w:r>
              <w:rPr>
                <w:rFonts w:ascii="Arial" w:eastAsia="宋体" w:hAnsi="Arial" w:cs="Arial"/>
                <w:color w:val="262626"/>
                <w:sz w:val="18"/>
                <w:szCs w:val="18"/>
              </w:rPr>
              <w:t>due August 2031</w:t>
            </w:r>
          </w:p>
        </w:tc>
        <w:tc>
          <w:tcPr>
            <w:tcW w:w="0" w:type="auto"/>
            <w:gridSpan w:val="3"/>
            <w:shd w:val="clear" w:color="auto" w:fill="auto"/>
            <w:tcMar>
              <w:top w:w="0" w:type="dxa"/>
              <w:left w:w="20" w:type="dxa"/>
              <w:bottom w:w="0" w:type="dxa"/>
              <w:right w:w="20" w:type="dxa"/>
            </w:tcMar>
            <w:vAlign w:val="bottom"/>
          </w:tcPr>
          <w:p w14:paraId="6753721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1A" w14:textId="77777777" w:rsidR="001B77DD" w:rsidRDefault="00BF0A28">
            <w:pPr>
              <w:jc w:val="center"/>
              <w:textAlignment w:val="bottom"/>
            </w:pPr>
            <w:r>
              <w:rPr>
                <w:rFonts w:ascii="Arial" w:eastAsia="宋体" w:hAnsi="Arial" w:cs="Arial"/>
                <w:color w:val="0068B5"/>
                <w:sz w:val="18"/>
                <w:szCs w:val="18"/>
              </w:rPr>
              <w:t>2.04%</w:t>
            </w:r>
          </w:p>
        </w:tc>
        <w:tc>
          <w:tcPr>
            <w:tcW w:w="0" w:type="auto"/>
            <w:gridSpan w:val="3"/>
            <w:shd w:val="clear" w:color="auto" w:fill="auto"/>
            <w:tcMar>
              <w:top w:w="0" w:type="dxa"/>
              <w:left w:w="20" w:type="dxa"/>
              <w:bottom w:w="0" w:type="dxa"/>
              <w:right w:w="20" w:type="dxa"/>
            </w:tcMar>
            <w:vAlign w:val="bottom"/>
          </w:tcPr>
          <w:p w14:paraId="6753721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1C" w14:textId="77777777" w:rsidR="001B77DD" w:rsidRDefault="00BF0A28">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6753721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1E" w14:textId="77777777" w:rsidR="001B77DD" w:rsidRDefault="001B77DD">
            <w:pPr>
              <w:rPr>
                <w:rFonts w:ascii="宋体"/>
              </w:rPr>
            </w:pPr>
          </w:p>
        </w:tc>
        <w:tc>
          <w:tcPr>
            <w:tcW w:w="0" w:type="auto"/>
            <w:shd w:val="clear" w:color="auto" w:fill="auto"/>
            <w:vAlign w:val="bottom"/>
          </w:tcPr>
          <w:p w14:paraId="6753721F" w14:textId="77777777" w:rsidR="001B77DD" w:rsidRDefault="001B77DD">
            <w:pPr>
              <w:rPr>
                <w:rFonts w:ascii="宋体"/>
                <w:vanish/>
              </w:rPr>
            </w:pPr>
          </w:p>
        </w:tc>
        <w:tc>
          <w:tcPr>
            <w:tcW w:w="0" w:type="auto"/>
            <w:shd w:val="clear" w:color="auto" w:fill="auto"/>
            <w:vAlign w:val="bottom"/>
          </w:tcPr>
          <w:p w14:paraId="6753722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21" w14:textId="77777777" w:rsidR="001B77DD" w:rsidRDefault="00BF0A28">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67537222" w14:textId="77777777" w:rsidR="001B77DD" w:rsidRDefault="001B77DD">
            <w:pPr>
              <w:jc w:val="right"/>
              <w:rPr>
                <w:rFonts w:ascii="宋体"/>
              </w:rPr>
            </w:pPr>
          </w:p>
        </w:tc>
        <w:tc>
          <w:tcPr>
            <w:tcW w:w="0" w:type="auto"/>
            <w:shd w:val="clear" w:color="auto" w:fill="auto"/>
            <w:vAlign w:val="bottom"/>
          </w:tcPr>
          <w:p w14:paraId="67537223" w14:textId="77777777" w:rsidR="001B77DD" w:rsidRDefault="001B77DD">
            <w:pPr>
              <w:rPr>
                <w:rFonts w:ascii="宋体"/>
                <w:vanish/>
              </w:rPr>
            </w:pPr>
          </w:p>
        </w:tc>
        <w:tc>
          <w:tcPr>
            <w:tcW w:w="0" w:type="auto"/>
            <w:shd w:val="clear" w:color="auto" w:fill="auto"/>
            <w:vAlign w:val="bottom"/>
          </w:tcPr>
          <w:p w14:paraId="67537224" w14:textId="77777777" w:rsidR="001B77DD" w:rsidRDefault="001B77DD">
            <w:pPr>
              <w:rPr>
                <w:rFonts w:ascii="宋体"/>
                <w:vanish/>
              </w:rPr>
            </w:pPr>
          </w:p>
        </w:tc>
        <w:tc>
          <w:tcPr>
            <w:tcW w:w="0" w:type="auto"/>
            <w:shd w:val="clear" w:color="auto" w:fill="auto"/>
            <w:vAlign w:val="bottom"/>
          </w:tcPr>
          <w:p w14:paraId="67537225" w14:textId="77777777" w:rsidR="001B77DD" w:rsidRDefault="001B77DD">
            <w:pPr>
              <w:rPr>
                <w:rFonts w:ascii="宋体"/>
                <w:vanish/>
              </w:rPr>
            </w:pPr>
          </w:p>
        </w:tc>
        <w:tc>
          <w:tcPr>
            <w:tcW w:w="0" w:type="auto"/>
            <w:shd w:val="clear" w:color="auto" w:fill="auto"/>
            <w:vAlign w:val="bottom"/>
          </w:tcPr>
          <w:p w14:paraId="67537226" w14:textId="77777777" w:rsidR="001B77DD" w:rsidRDefault="001B77DD">
            <w:pPr>
              <w:rPr>
                <w:rFonts w:ascii="宋体"/>
                <w:vanish/>
              </w:rPr>
            </w:pPr>
          </w:p>
        </w:tc>
      </w:tr>
      <w:tr w:rsidR="001B77DD" w14:paraId="67537237" w14:textId="77777777">
        <w:tc>
          <w:tcPr>
            <w:tcW w:w="0" w:type="auto"/>
            <w:gridSpan w:val="3"/>
            <w:shd w:val="clear" w:color="auto" w:fill="auto"/>
            <w:tcMar>
              <w:top w:w="40" w:type="dxa"/>
              <w:left w:w="155" w:type="dxa"/>
              <w:bottom w:w="40" w:type="dxa"/>
              <w:right w:w="20" w:type="dxa"/>
            </w:tcMar>
            <w:vAlign w:val="bottom"/>
          </w:tcPr>
          <w:p w14:paraId="67537228" w14:textId="77777777" w:rsidR="001B77DD" w:rsidRDefault="00BF0A28">
            <w:pPr>
              <w:textAlignment w:val="bottom"/>
            </w:pPr>
            <w:r>
              <w:rPr>
                <w:rFonts w:ascii="Arial" w:eastAsia="宋体" w:hAnsi="Arial" w:cs="Arial"/>
                <w:color w:val="262626"/>
                <w:sz w:val="18"/>
                <w:szCs w:val="18"/>
              </w:rPr>
              <w:t xml:space="preserve">4.00%, </w:t>
            </w:r>
            <w:r>
              <w:rPr>
                <w:rFonts w:ascii="Arial" w:eastAsia="宋体" w:hAnsi="Arial" w:cs="Arial"/>
                <w:color w:val="262626"/>
                <w:sz w:val="18"/>
                <w:szCs w:val="18"/>
              </w:rPr>
              <w:t>due December 2032</w:t>
            </w:r>
          </w:p>
        </w:tc>
        <w:tc>
          <w:tcPr>
            <w:tcW w:w="0" w:type="auto"/>
            <w:gridSpan w:val="3"/>
            <w:shd w:val="clear" w:color="auto" w:fill="auto"/>
            <w:tcMar>
              <w:top w:w="0" w:type="dxa"/>
              <w:left w:w="20" w:type="dxa"/>
              <w:bottom w:w="0" w:type="dxa"/>
              <w:right w:w="20" w:type="dxa"/>
            </w:tcMar>
            <w:vAlign w:val="bottom"/>
          </w:tcPr>
          <w:p w14:paraId="6753722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2A" w14:textId="77777777" w:rsidR="001B77DD" w:rsidRDefault="00BF0A28">
            <w:pPr>
              <w:jc w:val="center"/>
              <w:textAlignment w:val="bottom"/>
            </w:pPr>
            <w:r>
              <w:rPr>
                <w:rFonts w:ascii="Arial" w:eastAsia="宋体" w:hAnsi="Arial" w:cs="Arial"/>
                <w:color w:val="0068B5"/>
                <w:sz w:val="18"/>
                <w:szCs w:val="18"/>
              </w:rPr>
              <w:t>1.24%</w:t>
            </w:r>
          </w:p>
        </w:tc>
        <w:tc>
          <w:tcPr>
            <w:tcW w:w="0" w:type="auto"/>
            <w:gridSpan w:val="3"/>
            <w:shd w:val="clear" w:color="auto" w:fill="auto"/>
            <w:tcMar>
              <w:top w:w="0" w:type="dxa"/>
              <w:left w:w="20" w:type="dxa"/>
              <w:bottom w:w="0" w:type="dxa"/>
              <w:right w:w="20" w:type="dxa"/>
            </w:tcMar>
            <w:vAlign w:val="bottom"/>
          </w:tcPr>
          <w:p w14:paraId="6753722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2C" w14:textId="77777777" w:rsidR="001B77DD" w:rsidRDefault="00BF0A2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675372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2E" w14:textId="77777777" w:rsidR="001B77DD" w:rsidRDefault="001B77DD">
            <w:pPr>
              <w:rPr>
                <w:rFonts w:ascii="宋体"/>
              </w:rPr>
            </w:pPr>
          </w:p>
        </w:tc>
        <w:tc>
          <w:tcPr>
            <w:tcW w:w="0" w:type="auto"/>
            <w:shd w:val="clear" w:color="auto" w:fill="auto"/>
            <w:vAlign w:val="bottom"/>
          </w:tcPr>
          <w:p w14:paraId="6753722F" w14:textId="77777777" w:rsidR="001B77DD" w:rsidRDefault="001B77DD">
            <w:pPr>
              <w:rPr>
                <w:rFonts w:ascii="宋体"/>
                <w:vanish/>
              </w:rPr>
            </w:pPr>
          </w:p>
        </w:tc>
        <w:tc>
          <w:tcPr>
            <w:tcW w:w="0" w:type="auto"/>
            <w:shd w:val="clear" w:color="auto" w:fill="auto"/>
            <w:vAlign w:val="bottom"/>
          </w:tcPr>
          <w:p w14:paraId="6753723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31" w14:textId="77777777" w:rsidR="001B77DD" w:rsidRDefault="00BF0A28">
            <w:pPr>
              <w:jc w:val="right"/>
              <w:textAlignment w:val="bottom"/>
            </w:pPr>
            <w:r>
              <w:rPr>
                <w:rFonts w:ascii="Arial" w:eastAsia="宋体" w:hAnsi="Arial" w:cs="Arial"/>
                <w:color w:val="000000"/>
                <w:sz w:val="18"/>
                <w:szCs w:val="18"/>
              </w:rPr>
              <w:t>750 </w:t>
            </w:r>
          </w:p>
        </w:tc>
        <w:tc>
          <w:tcPr>
            <w:tcW w:w="0" w:type="auto"/>
            <w:shd w:val="clear" w:color="auto" w:fill="auto"/>
            <w:tcMar>
              <w:top w:w="40" w:type="dxa"/>
              <w:left w:w="0" w:type="dxa"/>
              <w:bottom w:w="40" w:type="dxa"/>
              <w:right w:w="20" w:type="dxa"/>
            </w:tcMar>
            <w:vAlign w:val="bottom"/>
          </w:tcPr>
          <w:p w14:paraId="67537232" w14:textId="77777777" w:rsidR="001B77DD" w:rsidRDefault="001B77DD">
            <w:pPr>
              <w:jc w:val="right"/>
              <w:rPr>
                <w:rFonts w:ascii="宋体"/>
              </w:rPr>
            </w:pPr>
          </w:p>
        </w:tc>
        <w:tc>
          <w:tcPr>
            <w:tcW w:w="0" w:type="auto"/>
            <w:shd w:val="clear" w:color="auto" w:fill="auto"/>
            <w:vAlign w:val="bottom"/>
          </w:tcPr>
          <w:p w14:paraId="67537233" w14:textId="77777777" w:rsidR="001B77DD" w:rsidRDefault="001B77DD">
            <w:pPr>
              <w:rPr>
                <w:rFonts w:ascii="宋体"/>
                <w:vanish/>
              </w:rPr>
            </w:pPr>
          </w:p>
        </w:tc>
        <w:tc>
          <w:tcPr>
            <w:tcW w:w="0" w:type="auto"/>
            <w:shd w:val="clear" w:color="auto" w:fill="auto"/>
            <w:vAlign w:val="bottom"/>
          </w:tcPr>
          <w:p w14:paraId="67537234" w14:textId="77777777" w:rsidR="001B77DD" w:rsidRDefault="001B77DD">
            <w:pPr>
              <w:rPr>
                <w:rFonts w:ascii="宋体"/>
                <w:vanish/>
              </w:rPr>
            </w:pPr>
          </w:p>
        </w:tc>
        <w:tc>
          <w:tcPr>
            <w:tcW w:w="0" w:type="auto"/>
            <w:shd w:val="clear" w:color="auto" w:fill="auto"/>
            <w:vAlign w:val="bottom"/>
          </w:tcPr>
          <w:p w14:paraId="67537235" w14:textId="77777777" w:rsidR="001B77DD" w:rsidRDefault="001B77DD">
            <w:pPr>
              <w:rPr>
                <w:rFonts w:ascii="宋体"/>
                <w:vanish/>
              </w:rPr>
            </w:pPr>
          </w:p>
        </w:tc>
        <w:tc>
          <w:tcPr>
            <w:tcW w:w="0" w:type="auto"/>
            <w:shd w:val="clear" w:color="auto" w:fill="auto"/>
            <w:vAlign w:val="bottom"/>
          </w:tcPr>
          <w:p w14:paraId="67537236" w14:textId="77777777" w:rsidR="001B77DD" w:rsidRDefault="001B77DD">
            <w:pPr>
              <w:rPr>
                <w:rFonts w:ascii="宋体"/>
                <w:vanish/>
              </w:rPr>
            </w:pPr>
          </w:p>
        </w:tc>
      </w:tr>
      <w:tr w:rsidR="001B77DD" w14:paraId="67537247" w14:textId="77777777">
        <w:tc>
          <w:tcPr>
            <w:tcW w:w="0" w:type="auto"/>
            <w:gridSpan w:val="3"/>
            <w:shd w:val="clear" w:color="auto" w:fill="auto"/>
            <w:tcMar>
              <w:top w:w="40" w:type="dxa"/>
              <w:left w:w="155" w:type="dxa"/>
              <w:bottom w:w="40" w:type="dxa"/>
              <w:right w:w="20" w:type="dxa"/>
            </w:tcMar>
            <w:vAlign w:val="bottom"/>
          </w:tcPr>
          <w:p w14:paraId="67537238" w14:textId="77777777" w:rsidR="001B77DD" w:rsidRDefault="00BF0A28">
            <w:pPr>
              <w:textAlignment w:val="bottom"/>
            </w:pPr>
            <w:r>
              <w:rPr>
                <w:rFonts w:ascii="Arial" w:eastAsia="宋体" w:hAnsi="Arial" w:cs="Arial"/>
                <w:color w:val="262626"/>
                <w:sz w:val="18"/>
                <w:szCs w:val="18"/>
              </w:rPr>
              <w:t xml:space="preserve">4.60%, </w:t>
            </w:r>
            <w:r>
              <w:rPr>
                <w:rFonts w:ascii="Arial" w:eastAsia="宋体" w:hAnsi="Arial" w:cs="Arial"/>
                <w:color w:val="262626"/>
                <w:sz w:val="18"/>
                <w:szCs w:val="18"/>
              </w:rPr>
              <w:t>due March 2040</w:t>
            </w:r>
          </w:p>
        </w:tc>
        <w:tc>
          <w:tcPr>
            <w:tcW w:w="0" w:type="auto"/>
            <w:gridSpan w:val="3"/>
            <w:shd w:val="clear" w:color="auto" w:fill="auto"/>
            <w:tcMar>
              <w:top w:w="0" w:type="dxa"/>
              <w:left w:w="20" w:type="dxa"/>
              <w:bottom w:w="0" w:type="dxa"/>
              <w:right w:w="20" w:type="dxa"/>
            </w:tcMar>
            <w:vAlign w:val="bottom"/>
          </w:tcPr>
          <w:p w14:paraId="6753723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3A" w14:textId="77777777" w:rsidR="001B77DD" w:rsidRDefault="00BF0A28">
            <w:pPr>
              <w:jc w:val="center"/>
              <w:textAlignment w:val="bottom"/>
            </w:pPr>
            <w:r>
              <w:rPr>
                <w:rFonts w:ascii="Arial" w:eastAsia="宋体" w:hAnsi="Arial" w:cs="Arial"/>
                <w:color w:val="0068B5"/>
                <w:sz w:val="18"/>
                <w:szCs w:val="18"/>
              </w:rPr>
              <w:t>4.61%</w:t>
            </w:r>
          </w:p>
        </w:tc>
        <w:tc>
          <w:tcPr>
            <w:tcW w:w="0" w:type="auto"/>
            <w:gridSpan w:val="3"/>
            <w:shd w:val="clear" w:color="auto" w:fill="auto"/>
            <w:tcMar>
              <w:top w:w="0" w:type="dxa"/>
              <w:left w:w="20" w:type="dxa"/>
              <w:bottom w:w="0" w:type="dxa"/>
              <w:right w:w="20" w:type="dxa"/>
            </w:tcMar>
            <w:vAlign w:val="bottom"/>
          </w:tcPr>
          <w:p w14:paraId="6753723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3C" w14:textId="77777777" w:rsidR="001B77DD" w:rsidRDefault="00BF0A2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6753723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3E" w14:textId="77777777" w:rsidR="001B77DD" w:rsidRDefault="001B77DD">
            <w:pPr>
              <w:rPr>
                <w:rFonts w:ascii="宋体"/>
              </w:rPr>
            </w:pPr>
          </w:p>
        </w:tc>
        <w:tc>
          <w:tcPr>
            <w:tcW w:w="0" w:type="auto"/>
            <w:shd w:val="clear" w:color="auto" w:fill="auto"/>
            <w:vAlign w:val="bottom"/>
          </w:tcPr>
          <w:p w14:paraId="6753723F" w14:textId="77777777" w:rsidR="001B77DD" w:rsidRDefault="001B77DD">
            <w:pPr>
              <w:rPr>
                <w:rFonts w:ascii="宋体"/>
                <w:vanish/>
              </w:rPr>
            </w:pPr>
          </w:p>
        </w:tc>
        <w:tc>
          <w:tcPr>
            <w:tcW w:w="0" w:type="auto"/>
            <w:shd w:val="clear" w:color="auto" w:fill="auto"/>
            <w:vAlign w:val="bottom"/>
          </w:tcPr>
          <w:p w14:paraId="6753724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41" w14:textId="77777777" w:rsidR="001B77DD" w:rsidRDefault="00BF0A28">
            <w:pPr>
              <w:jc w:val="right"/>
              <w:textAlignment w:val="bottom"/>
            </w:pPr>
            <w:r>
              <w:rPr>
                <w:rFonts w:ascii="Arial" w:eastAsia="宋体" w:hAnsi="Arial" w:cs="Arial"/>
                <w:color w:val="000000"/>
                <w:sz w:val="18"/>
                <w:szCs w:val="18"/>
              </w:rPr>
              <w:t>750 </w:t>
            </w:r>
          </w:p>
        </w:tc>
        <w:tc>
          <w:tcPr>
            <w:tcW w:w="0" w:type="auto"/>
            <w:shd w:val="clear" w:color="auto" w:fill="auto"/>
            <w:tcMar>
              <w:top w:w="40" w:type="dxa"/>
              <w:left w:w="0" w:type="dxa"/>
              <w:bottom w:w="40" w:type="dxa"/>
              <w:right w:w="20" w:type="dxa"/>
            </w:tcMar>
            <w:vAlign w:val="bottom"/>
          </w:tcPr>
          <w:p w14:paraId="67537242" w14:textId="77777777" w:rsidR="001B77DD" w:rsidRDefault="001B77DD">
            <w:pPr>
              <w:jc w:val="right"/>
              <w:rPr>
                <w:rFonts w:ascii="宋体"/>
              </w:rPr>
            </w:pPr>
          </w:p>
        </w:tc>
        <w:tc>
          <w:tcPr>
            <w:tcW w:w="0" w:type="auto"/>
            <w:shd w:val="clear" w:color="auto" w:fill="auto"/>
            <w:vAlign w:val="bottom"/>
          </w:tcPr>
          <w:p w14:paraId="67537243" w14:textId="77777777" w:rsidR="001B77DD" w:rsidRDefault="001B77DD">
            <w:pPr>
              <w:rPr>
                <w:rFonts w:ascii="宋体"/>
                <w:vanish/>
              </w:rPr>
            </w:pPr>
          </w:p>
        </w:tc>
        <w:tc>
          <w:tcPr>
            <w:tcW w:w="0" w:type="auto"/>
            <w:shd w:val="clear" w:color="auto" w:fill="auto"/>
            <w:vAlign w:val="bottom"/>
          </w:tcPr>
          <w:p w14:paraId="67537244" w14:textId="77777777" w:rsidR="001B77DD" w:rsidRDefault="001B77DD">
            <w:pPr>
              <w:rPr>
                <w:rFonts w:ascii="宋体"/>
                <w:vanish/>
              </w:rPr>
            </w:pPr>
          </w:p>
        </w:tc>
        <w:tc>
          <w:tcPr>
            <w:tcW w:w="0" w:type="auto"/>
            <w:shd w:val="clear" w:color="auto" w:fill="auto"/>
            <w:vAlign w:val="bottom"/>
          </w:tcPr>
          <w:p w14:paraId="67537245" w14:textId="77777777" w:rsidR="001B77DD" w:rsidRDefault="001B77DD">
            <w:pPr>
              <w:rPr>
                <w:rFonts w:ascii="宋体"/>
                <w:vanish/>
              </w:rPr>
            </w:pPr>
          </w:p>
        </w:tc>
        <w:tc>
          <w:tcPr>
            <w:tcW w:w="0" w:type="auto"/>
            <w:shd w:val="clear" w:color="auto" w:fill="auto"/>
            <w:vAlign w:val="bottom"/>
          </w:tcPr>
          <w:p w14:paraId="67537246" w14:textId="77777777" w:rsidR="001B77DD" w:rsidRDefault="001B77DD">
            <w:pPr>
              <w:rPr>
                <w:rFonts w:ascii="宋体"/>
                <w:vanish/>
              </w:rPr>
            </w:pPr>
          </w:p>
        </w:tc>
      </w:tr>
      <w:tr w:rsidR="001B77DD" w14:paraId="67537257" w14:textId="77777777">
        <w:tc>
          <w:tcPr>
            <w:tcW w:w="0" w:type="auto"/>
            <w:gridSpan w:val="3"/>
            <w:shd w:val="clear" w:color="auto" w:fill="auto"/>
            <w:tcMar>
              <w:top w:w="40" w:type="dxa"/>
              <w:left w:w="155" w:type="dxa"/>
              <w:bottom w:w="40" w:type="dxa"/>
              <w:right w:w="20" w:type="dxa"/>
            </w:tcMar>
            <w:vAlign w:val="bottom"/>
          </w:tcPr>
          <w:p w14:paraId="67537248" w14:textId="77777777" w:rsidR="001B77DD" w:rsidRDefault="00BF0A28">
            <w:pPr>
              <w:textAlignment w:val="bottom"/>
            </w:pPr>
            <w:r>
              <w:rPr>
                <w:rFonts w:ascii="Arial" w:eastAsia="宋体" w:hAnsi="Arial" w:cs="Arial"/>
                <w:color w:val="262626"/>
                <w:sz w:val="18"/>
                <w:szCs w:val="18"/>
              </w:rPr>
              <w:t>2.80%, due August 2041</w:t>
            </w:r>
          </w:p>
        </w:tc>
        <w:tc>
          <w:tcPr>
            <w:tcW w:w="0" w:type="auto"/>
            <w:gridSpan w:val="3"/>
            <w:shd w:val="clear" w:color="auto" w:fill="auto"/>
            <w:tcMar>
              <w:top w:w="0" w:type="dxa"/>
              <w:left w:w="20" w:type="dxa"/>
              <w:bottom w:w="0" w:type="dxa"/>
              <w:right w:w="20" w:type="dxa"/>
            </w:tcMar>
            <w:vAlign w:val="bottom"/>
          </w:tcPr>
          <w:p w14:paraId="6753724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4A" w14:textId="77777777" w:rsidR="001B77DD" w:rsidRDefault="00BF0A28">
            <w:pPr>
              <w:jc w:val="center"/>
              <w:textAlignment w:val="bottom"/>
            </w:pPr>
            <w:r>
              <w:rPr>
                <w:rFonts w:ascii="Arial" w:eastAsia="宋体" w:hAnsi="Arial" w:cs="Arial"/>
                <w:color w:val="0068B5"/>
                <w:sz w:val="18"/>
                <w:szCs w:val="18"/>
              </w:rPr>
              <w:t>2.82%</w:t>
            </w:r>
          </w:p>
        </w:tc>
        <w:tc>
          <w:tcPr>
            <w:tcW w:w="0" w:type="auto"/>
            <w:gridSpan w:val="3"/>
            <w:shd w:val="clear" w:color="auto" w:fill="auto"/>
            <w:tcMar>
              <w:top w:w="0" w:type="dxa"/>
              <w:left w:w="20" w:type="dxa"/>
              <w:bottom w:w="0" w:type="dxa"/>
              <w:right w:w="20" w:type="dxa"/>
            </w:tcMar>
            <w:vAlign w:val="bottom"/>
          </w:tcPr>
          <w:p w14:paraId="6753724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4C" w14:textId="77777777" w:rsidR="001B77DD" w:rsidRDefault="00BF0A2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6753724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4E" w14:textId="77777777" w:rsidR="001B77DD" w:rsidRDefault="001B77DD">
            <w:pPr>
              <w:rPr>
                <w:rFonts w:ascii="宋体"/>
              </w:rPr>
            </w:pPr>
          </w:p>
        </w:tc>
        <w:tc>
          <w:tcPr>
            <w:tcW w:w="0" w:type="auto"/>
            <w:shd w:val="clear" w:color="auto" w:fill="auto"/>
            <w:vAlign w:val="bottom"/>
          </w:tcPr>
          <w:p w14:paraId="6753724F" w14:textId="77777777" w:rsidR="001B77DD" w:rsidRDefault="001B77DD">
            <w:pPr>
              <w:rPr>
                <w:rFonts w:ascii="宋体"/>
                <w:vanish/>
              </w:rPr>
            </w:pPr>
          </w:p>
        </w:tc>
        <w:tc>
          <w:tcPr>
            <w:tcW w:w="0" w:type="auto"/>
            <w:shd w:val="clear" w:color="auto" w:fill="auto"/>
            <w:vAlign w:val="bottom"/>
          </w:tcPr>
          <w:p w14:paraId="6753725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51" w14:textId="77777777" w:rsidR="001B77DD" w:rsidRDefault="00BF0A28">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67537252" w14:textId="77777777" w:rsidR="001B77DD" w:rsidRDefault="001B77DD">
            <w:pPr>
              <w:jc w:val="right"/>
              <w:rPr>
                <w:rFonts w:ascii="宋体"/>
              </w:rPr>
            </w:pPr>
          </w:p>
        </w:tc>
        <w:tc>
          <w:tcPr>
            <w:tcW w:w="0" w:type="auto"/>
            <w:shd w:val="clear" w:color="auto" w:fill="auto"/>
            <w:vAlign w:val="bottom"/>
          </w:tcPr>
          <w:p w14:paraId="67537253" w14:textId="77777777" w:rsidR="001B77DD" w:rsidRDefault="001B77DD">
            <w:pPr>
              <w:rPr>
                <w:rFonts w:ascii="宋体"/>
                <w:vanish/>
              </w:rPr>
            </w:pPr>
          </w:p>
        </w:tc>
        <w:tc>
          <w:tcPr>
            <w:tcW w:w="0" w:type="auto"/>
            <w:shd w:val="clear" w:color="auto" w:fill="auto"/>
            <w:vAlign w:val="bottom"/>
          </w:tcPr>
          <w:p w14:paraId="67537254" w14:textId="77777777" w:rsidR="001B77DD" w:rsidRDefault="001B77DD">
            <w:pPr>
              <w:rPr>
                <w:rFonts w:ascii="宋体"/>
                <w:vanish/>
              </w:rPr>
            </w:pPr>
          </w:p>
        </w:tc>
        <w:tc>
          <w:tcPr>
            <w:tcW w:w="0" w:type="auto"/>
            <w:shd w:val="clear" w:color="auto" w:fill="auto"/>
            <w:vAlign w:val="bottom"/>
          </w:tcPr>
          <w:p w14:paraId="67537255" w14:textId="77777777" w:rsidR="001B77DD" w:rsidRDefault="001B77DD">
            <w:pPr>
              <w:rPr>
                <w:rFonts w:ascii="宋体"/>
                <w:vanish/>
              </w:rPr>
            </w:pPr>
          </w:p>
        </w:tc>
        <w:tc>
          <w:tcPr>
            <w:tcW w:w="0" w:type="auto"/>
            <w:shd w:val="clear" w:color="auto" w:fill="auto"/>
            <w:vAlign w:val="bottom"/>
          </w:tcPr>
          <w:p w14:paraId="67537256" w14:textId="77777777" w:rsidR="001B77DD" w:rsidRDefault="001B77DD">
            <w:pPr>
              <w:rPr>
                <w:rFonts w:ascii="宋体"/>
                <w:vanish/>
              </w:rPr>
            </w:pPr>
          </w:p>
        </w:tc>
      </w:tr>
      <w:tr w:rsidR="001B77DD" w14:paraId="67537267" w14:textId="77777777">
        <w:tc>
          <w:tcPr>
            <w:tcW w:w="0" w:type="auto"/>
            <w:gridSpan w:val="3"/>
            <w:shd w:val="clear" w:color="auto" w:fill="auto"/>
            <w:tcMar>
              <w:top w:w="40" w:type="dxa"/>
              <w:left w:w="155" w:type="dxa"/>
              <w:bottom w:w="40" w:type="dxa"/>
              <w:right w:w="20" w:type="dxa"/>
            </w:tcMar>
            <w:vAlign w:val="bottom"/>
          </w:tcPr>
          <w:p w14:paraId="67537258" w14:textId="77777777" w:rsidR="001B77DD" w:rsidRDefault="00BF0A28">
            <w:pPr>
              <w:textAlignment w:val="bottom"/>
            </w:pPr>
            <w:r>
              <w:rPr>
                <w:rFonts w:ascii="Arial" w:eastAsia="宋体" w:hAnsi="Arial" w:cs="Arial"/>
                <w:color w:val="262626"/>
                <w:sz w:val="18"/>
                <w:szCs w:val="18"/>
              </w:rPr>
              <w:t xml:space="preserve">4.80%, </w:t>
            </w:r>
            <w:r>
              <w:rPr>
                <w:rFonts w:ascii="Arial" w:eastAsia="宋体" w:hAnsi="Arial" w:cs="Arial"/>
                <w:color w:val="262626"/>
                <w:sz w:val="18"/>
                <w:szCs w:val="18"/>
              </w:rPr>
              <w:t>due October 2041</w:t>
            </w:r>
          </w:p>
        </w:tc>
        <w:tc>
          <w:tcPr>
            <w:tcW w:w="0" w:type="auto"/>
            <w:gridSpan w:val="3"/>
            <w:shd w:val="clear" w:color="auto" w:fill="auto"/>
            <w:tcMar>
              <w:top w:w="0" w:type="dxa"/>
              <w:left w:w="20" w:type="dxa"/>
              <w:bottom w:w="0" w:type="dxa"/>
              <w:right w:w="20" w:type="dxa"/>
            </w:tcMar>
            <w:vAlign w:val="bottom"/>
          </w:tcPr>
          <w:p w14:paraId="6753725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5A" w14:textId="77777777" w:rsidR="001B77DD" w:rsidRDefault="00BF0A28">
            <w:pPr>
              <w:jc w:val="center"/>
              <w:textAlignment w:val="bottom"/>
            </w:pPr>
            <w:r>
              <w:rPr>
                <w:rFonts w:ascii="Arial" w:eastAsia="宋体" w:hAnsi="Arial" w:cs="Arial"/>
                <w:color w:val="0068B5"/>
                <w:sz w:val="18"/>
                <w:szCs w:val="18"/>
              </w:rPr>
              <w:t>2.01%</w:t>
            </w:r>
          </w:p>
        </w:tc>
        <w:tc>
          <w:tcPr>
            <w:tcW w:w="0" w:type="auto"/>
            <w:gridSpan w:val="3"/>
            <w:shd w:val="clear" w:color="auto" w:fill="auto"/>
            <w:tcMar>
              <w:top w:w="0" w:type="dxa"/>
              <w:left w:w="20" w:type="dxa"/>
              <w:bottom w:w="0" w:type="dxa"/>
              <w:right w:w="20" w:type="dxa"/>
            </w:tcMar>
            <w:vAlign w:val="bottom"/>
          </w:tcPr>
          <w:p w14:paraId="6753725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5C" w14:textId="77777777" w:rsidR="001B77DD" w:rsidRDefault="00BF0A28">
            <w:pPr>
              <w:jc w:val="right"/>
              <w:textAlignment w:val="bottom"/>
            </w:pPr>
            <w:r>
              <w:rPr>
                <w:rFonts w:ascii="Arial" w:eastAsia="宋体" w:hAnsi="Arial" w:cs="Arial"/>
                <w:color w:val="0068B5"/>
                <w:sz w:val="18"/>
                <w:szCs w:val="18"/>
              </w:rPr>
              <w:t>802 </w:t>
            </w:r>
          </w:p>
        </w:tc>
        <w:tc>
          <w:tcPr>
            <w:tcW w:w="0" w:type="auto"/>
            <w:shd w:val="clear" w:color="auto" w:fill="auto"/>
            <w:tcMar>
              <w:top w:w="40" w:type="dxa"/>
              <w:left w:w="0" w:type="dxa"/>
              <w:bottom w:w="40" w:type="dxa"/>
              <w:right w:w="20" w:type="dxa"/>
            </w:tcMar>
            <w:vAlign w:val="bottom"/>
          </w:tcPr>
          <w:p w14:paraId="6753725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5E" w14:textId="77777777" w:rsidR="001B77DD" w:rsidRDefault="001B77DD">
            <w:pPr>
              <w:rPr>
                <w:rFonts w:ascii="宋体"/>
              </w:rPr>
            </w:pPr>
          </w:p>
        </w:tc>
        <w:tc>
          <w:tcPr>
            <w:tcW w:w="0" w:type="auto"/>
            <w:shd w:val="clear" w:color="auto" w:fill="auto"/>
            <w:vAlign w:val="bottom"/>
          </w:tcPr>
          <w:p w14:paraId="6753725F" w14:textId="77777777" w:rsidR="001B77DD" w:rsidRDefault="001B77DD">
            <w:pPr>
              <w:rPr>
                <w:rFonts w:ascii="宋体"/>
                <w:vanish/>
              </w:rPr>
            </w:pPr>
          </w:p>
        </w:tc>
        <w:tc>
          <w:tcPr>
            <w:tcW w:w="0" w:type="auto"/>
            <w:shd w:val="clear" w:color="auto" w:fill="auto"/>
            <w:vAlign w:val="bottom"/>
          </w:tcPr>
          <w:p w14:paraId="6753726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61" w14:textId="77777777" w:rsidR="001B77DD" w:rsidRDefault="00BF0A28">
            <w:pPr>
              <w:jc w:val="right"/>
              <w:textAlignment w:val="bottom"/>
            </w:pPr>
            <w:r>
              <w:rPr>
                <w:rFonts w:ascii="Arial" w:eastAsia="宋体" w:hAnsi="Arial" w:cs="Arial"/>
                <w:color w:val="000000"/>
                <w:sz w:val="18"/>
                <w:szCs w:val="18"/>
              </w:rPr>
              <w:t>802 </w:t>
            </w:r>
          </w:p>
        </w:tc>
        <w:tc>
          <w:tcPr>
            <w:tcW w:w="0" w:type="auto"/>
            <w:shd w:val="clear" w:color="auto" w:fill="auto"/>
            <w:tcMar>
              <w:top w:w="40" w:type="dxa"/>
              <w:left w:w="0" w:type="dxa"/>
              <w:bottom w:w="40" w:type="dxa"/>
              <w:right w:w="20" w:type="dxa"/>
            </w:tcMar>
            <w:vAlign w:val="bottom"/>
          </w:tcPr>
          <w:p w14:paraId="67537262" w14:textId="77777777" w:rsidR="001B77DD" w:rsidRDefault="001B77DD">
            <w:pPr>
              <w:jc w:val="right"/>
              <w:rPr>
                <w:rFonts w:ascii="宋体"/>
              </w:rPr>
            </w:pPr>
          </w:p>
        </w:tc>
        <w:tc>
          <w:tcPr>
            <w:tcW w:w="0" w:type="auto"/>
            <w:shd w:val="clear" w:color="auto" w:fill="auto"/>
            <w:vAlign w:val="bottom"/>
          </w:tcPr>
          <w:p w14:paraId="67537263" w14:textId="77777777" w:rsidR="001B77DD" w:rsidRDefault="001B77DD">
            <w:pPr>
              <w:rPr>
                <w:rFonts w:ascii="宋体"/>
                <w:vanish/>
              </w:rPr>
            </w:pPr>
          </w:p>
        </w:tc>
        <w:tc>
          <w:tcPr>
            <w:tcW w:w="0" w:type="auto"/>
            <w:shd w:val="clear" w:color="auto" w:fill="auto"/>
            <w:vAlign w:val="bottom"/>
          </w:tcPr>
          <w:p w14:paraId="67537264" w14:textId="77777777" w:rsidR="001B77DD" w:rsidRDefault="001B77DD">
            <w:pPr>
              <w:rPr>
                <w:rFonts w:ascii="宋体"/>
                <w:vanish/>
              </w:rPr>
            </w:pPr>
          </w:p>
        </w:tc>
        <w:tc>
          <w:tcPr>
            <w:tcW w:w="0" w:type="auto"/>
            <w:shd w:val="clear" w:color="auto" w:fill="auto"/>
            <w:vAlign w:val="bottom"/>
          </w:tcPr>
          <w:p w14:paraId="67537265" w14:textId="77777777" w:rsidR="001B77DD" w:rsidRDefault="001B77DD">
            <w:pPr>
              <w:rPr>
                <w:rFonts w:ascii="宋体"/>
                <w:vanish/>
              </w:rPr>
            </w:pPr>
          </w:p>
        </w:tc>
        <w:tc>
          <w:tcPr>
            <w:tcW w:w="0" w:type="auto"/>
            <w:shd w:val="clear" w:color="auto" w:fill="auto"/>
            <w:vAlign w:val="bottom"/>
          </w:tcPr>
          <w:p w14:paraId="67537266" w14:textId="77777777" w:rsidR="001B77DD" w:rsidRDefault="001B77DD">
            <w:pPr>
              <w:rPr>
                <w:rFonts w:ascii="宋体"/>
                <w:vanish/>
              </w:rPr>
            </w:pPr>
          </w:p>
        </w:tc>
      </w:tr>
      <w:tr w:rsidR="001B77DD" w14:paraId="67537277" w14:textId="77777777">
        <w:tc>
          <w:tcPr>
            <w:tcW w:w="0" w:type="auto"/>
            <w:gridSpan w:val="3"/>
            <w:shd w:val="clear" w:color="auto" w:fill="auto"/>
            <w:tcMar>
              <w:top w:w="40" w:type="dxa"/>
              <w:left w:w="155" w:type="dxa"/>
              <w:bottom w:w="40" w:type="dxa"/>
              <w:right w:w="20" w:type="dxa"/>
            </w:tcMar>
            <w:vAlign w:val="bottom"/>
          </w:tcPr>
          <w:p w14:paraId="67537268" w14:textId="77777777" w:rsidR="001B77DD" w:rsidRDefault="00BF0A28">
            <w:pPr>
              <w:textAlignment w:val="bottom"/>
            </w:pPr>
            <w:r>
              <w:rPr>
                <w:rFonts w:ascii="Arial" w:eastAsia="宋体" w:hAnsi="Arial" w:cs="Arial"/>
                <w:color w:val="262626"/>
                <w:sz w:val="18"/>
                <w:szCs w:val="18"/>
              </w:rPr>
              <w:t xml:space="preserve">4.25%, </w:t>
            </w:r>
            <w:r>
              <w:rPr>
                <w:rFonts w:ascii="Arial" w:eastAsia="宋体" w:hAnsi="Arial" w:cs="Arial"/>
                <w:color w:val="262626"/>
                <w:sz w:val="18"/>
                <w:szCs w:val="18"/>
              </w:rPr>
              <w:t>due December 2042</w:t>
            </w:r>
          </w:p>
        </w:tc>
        <w:tc>
          <w:tcPr>
            <w:tcW w:w="0" w:type="auto"/>
            <w:gridSpan w:val="3"/>
            <w:shd w:val="clear" w:color="auto" w:fill="auto"/>
            <w:tcMar>
              <w:top w:w="0" w:type="dxa"/>
              <w:left w:w="20" w:type="dxa"/>
              <w:bottom w:w="0" w:type="dxa"/>
              <w:right w:w="20" w:type="dxa"/>
            </w:tcMar>
            <w:vAlign w:val="bottom"/>
          </w:tcPr>
          <w:p w14:paraId="6753726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6A" w14:textId="77777777" w:rsidR="001B77DD" w:rsidRDefault="00BF0A28">
            <w:pPr>
              <w:jc w:val="center"/>
              <w:textAlignment w:val="bottom"/>
            </w:pPr>
            <w:r>
              <w:rPr>
                <w:rFonts w:ascii="Arial" w:eastAsia="宋体" w:hAnsi="Arial" w:cs="Arial"/>
                <w:color w:val="0068B5"/>
                <w:sz w:val="18"/>
                <w:szCs w:val="18"/>
              </w:rPr>
              <w:t>1.42%</w:t>
            </w:r>
          </w:p>
        </w:tc>
        <w:tc>
          <w:tcPr>
            <w:tcW w:w="0" w:type="auto"/>
            <w:gridSpan w:val="3"/>
            <w:shd w:val="clear" w:color="auto" w:fill="auto"/>
            <w:tcMar>
              <w:top w:w="0" w:type="dxa"/>
              <w:left w:w="20" w:type="dxa"/>
              <w:bottom w:w="0" w:type="dxa"/>
              <w:right w:w="20" w:type="dxa"/>
            </w:tcMar>
            <w:vAlign w:val="bottom"/>
          </w:tcPr>
          <w:p w14:paraId="6753726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6C" w14:textId="77777777" w:rsidR="001B77DD" w:rsidRDefault="00BF0A28">
            <w:pPr>
              <w:jc w:val="right"/>
              <w:textAlignment w:val="bottom"/>
            </w:pPr>
            <w:r>
              <w:rPr>
                <w:rFonts w:ascii="Arial" w:eastAsia="宋体" w:hAnsi="Arial" w:cs="Arial"/>
                <w:color w:val="0068B5"/>
                <w:sz w:val="18"/>
                <w:szCs w:val="18"/>
              </w:rPr>
              <w:t>567 </w:t>
            </w:r>
          </w:p>
        </w:tc>
        <w:tc>
          <w:tcPr>
            <w:tcW w:w="0" w:type="auto"/>
            <w:shd w:val="clear" w:color="auto" w:fill="auto"/>
            <w:tcMar>
              <w:top w:w="40" w:type="dxa"/>
              <w:left w:w="0" w:type="dxa"/>
              <w:bottom w:w="40" w:type="dxa"/>
              <w:right w:w="20" w:type="dxa"/>
            </w:tcMar>
            <w:vAlign w:val="bottom"/>
          </w:tcPr>
          <w:p w14:paraId="6753726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6E" w14:textId="77777777" w:rsidR="001B77DD" w:rsidRDefault="001B77DD">
            <w:pPr>
              <w:rPr>
                <w:rFonts w:ascii="宋体"/>
              </w:rPr>
            </w:pPr>
          </w:p>
        </w:tc>
        <w:tc>
          <w:tcPr>
            <w:tcW w:w="0" w:type="auto"/>
            <w:shd w:val="clear" w:color="auto" w:fill="auto"/>
            <w:vAlign w:val="bottom"/>
          </w:tcPr>
          <w:p w14:paraId="6753726F" w14:textId="77777777" w:rsidR="001B77DD" w:rsidRDefault="001B77DD">
            <w:pPr>
              <w:rPr>
                <w:rFonts w:ascii="宋体"/>
                <w:vanish/>
              </w:rPr>
            </w:pPr>
          </w:p>
        </w:tc>
        <w:tc>
          <w:tcPr>
            <w:tcW w:w="0" w:type="auto"/>
            <w:shd w:val="clear" w:color="auto" w:fill="auto"/>
            <w:vAlign w:val="bottom"/>
          </w:tcPr>
          <w:p w14:paraId="6753727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71" w14:textId="77777777" w:rsidR="001B77DD" w:rsidRDefault="00BF0A28">
            <w:pPr>
              <w:jc w:val="right"/>
              <w:textAlignment w:val="bottom"/>
            </w:pPr>
            <w:r>
              <w:rPr>
                <w:rFonts w:ascii="Arial" w:eastAsia="宋体" w:hAnsi="Arial" w:cs="Arial"/>
                <w:color w:val="000000"/>
                <w:sz w:val="18"/>
                <w:szCs w:val="18"/>
              </w:rPr>
              <w:t>567 </w:t>
            </w:r>
          </w:p>
        </w:tc>
        <w:tc>
          <w:tcPr>
            <w:tcW w:w="0" w:type="auto"/>
            <w:shd w:val="clear" w:color="auto" w:fill="auto"/>
            <w:tcMar>
              <w:top w:w="40" w:type="dxa"/>
              <w:left w:w="0" w:type="dxa"/>
              <w:bottom w:w="40" w:type="dxa"/>
              <w:right w:w="20" w:type="dxa"/>
            </w:tcMar>
            <w:vAlign w:val="bottom"/>
          </w:tcPr>
          <w:p w14:paraId="67537272" w14:textId="77777777" w:rsidR="001B77DD" w:rsidRDefault="001B77DD">
            <w:pPr>
              <w:jc w:val="right"/>
              <w:rPr>
                <w:rFonts w:ascii="宋体"/>
              </w:rPr>
            </w:pPr>
          </w:p>
        </w:tc>
        <w:tc>
          <w:tcPr>
            <w:tcW w:w="0" w:type="auto"/>
            <w:shd w:val="clear" w:color="auto" w:fill="auto"/>
            <w:vAlign w:val="bottom"/>
          </w:tcPr>
          <w:p w14:paraId="67537273" w14:textId="77777777" w:rsidR="001B77DD" w:rsidRDefault="001B77DD">
            <w:pPr>
              <w:rPr>
                <w:rFonts w:ascii="宋体"/>
                <w:vanish/>
              </w:rPr>
            </w:pPr>
          </w:p>
        </w:tc>
        <w:tc>
          <w:tcPr>
            <w:tcW w:w="0" w:type="auto"/>
            <w:shd w:val="clear" w:color="auto" w:fill="auto"/>
            <w:vAlign w:val="bottom"/>
          </w:tcPr>
          <w:p w14:paraId="67537274" w14:textId="77777777" w:rsidR="001B77DD" w:rsidRDefault="001B77DD">
            <w:pPr>
              <w:rPr>
                <w:rFonts w:ascii="宋体"/>
                <w:vanish/>
              </w:rPr>
            </w:pPr>
          </w:p>
        </w:tc>
        <w:tc>
          <w:tcPr>
            <w:tcW w:w="0" w:type="auto"/>
            <w:shd w:val="clear" w:color="auto" w:fill="auto"/>
            <w:vAlign w:val="bottom"/>
          </w:tcPr>
          <w:p w14:paraId="67537275" w14:textId="77777777" w:rsidR="001B77DD" w:rsidRDefault="001B77DD">
            <w:pPr>
              <w:rPr>
                <w:rFonts w:ascii="宋体"/>
                <w:vanish/>
              </w:rPr>
            </w:pPr>
          </w:p>
        </w:tc>
        <w:tc>
          <w:tcPr>
            <w:tcW w:w="0" w:type="auto"/>
            <w:shd w:val="clear" w:color="auto" w:fill="auto"/>
            <w:vAlign w:val="bottom"/>
          </w:tcPr>
          <w:p w14:paraId="67537276" w14:textId="77777777" w:rsidR="001B77DD" w:rsidRDefault="001B77DD">
            <w:pPr>
              <w:rPr>
                <w:rFonts w:ascii="宋体"/>
                <w:vanish/>
              </w:rPr>
            </w:pPr>
          </w:p>
        </w:tc>
      </w:tr>
      <w:tr w:rsidR="001B77DD" w14:paraId="67537287" w14:textId="77777777">
        <w:tc>
          <w:tcPr>
            <w:tcW w:w="0" w:type="auto"/>
            <w:gridSpan w:val="3"/>
            <w:shd w:val="clear" w:color="auto" w:fill="auto"/>
            <w:tcMar>
              <w:top w:w="40" w:type="dxa"/>
              <w:left w:w="155" w:type="dxa"/>
              <w:bottom w:w="40" w:type="dxa"/>
              <w:right w:w="20" w:type="dxa"/>
            </w:tcMar>
            <w:vAlign w:val="bottom"/>
          </w:tcPr>
          <w:p w14:paraId="67537278" w14:textId="77777777" w:rsidR="001B77DD" w:rsidRDefault="00BF0A28">
            <w:pPr>
              <w:textAlignment w:val="bottom"/>
            </w:pPr>
            <w:r>
              <w:rPr>
                <w:rFonts w:ascii="Arial" w:eastAsia="宋体" w:hAnsi="Arial" w:cs="Arial"/>
                <w:color w:val="262626"/>
                <w:sz w:val="18"/>
                <w:szCs w:val="18"/>
              </w:rPr>
              <w:t xml:space="preserve">4.90%, </w:t>
            </w:r>
            <w:r>
              <w:rPr>
                <w:rFonts w:ascii="Arial" w:eastAsia="宋体" w:hAnsi="Arial" w:cs="Arial"/>
                <w:color w:val="262626"/>
                <w:sz w:val="18"/>
                <w:szCs w:val="18"/>
              </w:rPr>
              <w:t>due July 2045</w:t>
            </w:r>
          </w:p>
        </w:tc>
        <w:tc>
          <w:tcPr>
            <w:tcW w:w="0" w:type="auto"/>
            <w:gridSpan w:val="3"/>
            <w:shd w:val="clear" w:color="auto" w:fill="auto"/>
            <w:tcMar>
              <w:top w:w="0" w:type="dxa"/>
              <w:left w:w="20" w:type="dxa"/>
              <w:bottom w:w="0" w:type="dxa"/>
              <w:right w:w="20" w:type="dxa"/>
            </w:tcMar>
            <w:vAlign w:val="bottom"/>
          </w:tcPr>
          <w:p w14:paraId="6753727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7A" w14:textId="77777777" w:rsidR="001B77DD" w:rsidRDefault="00BF0A28">
            <w:pPr>
              <w:jc w:val="center"/>
              <w:textAlignment w:val="bottom"/>
            </w:pPr>
            <w:r>
              <w:rPr>
                <w:rFonts w:ascii="Arial" w:eastAsia="宋体" w:hAnsi="Arial" w:cs="Arial"/>
                <w:color w:val="0068B5"/>
                <w:sz w:val="18"/>
                <w:szCs w:val="18"/>
              </w:rPr>
              <w:t>2.13%</w:t>
            </w:r>
          </w:p>
        </w:tc>
        <w:tc>
          <w:tcPr>
            <w:tcW w:w="0" w:type="auto"/>
            <w:gridSpan w:val="3"/>
            <w:shd w:val="clear" w:color="auto" w:fill="auto"/>
            <w:tcMar>
              <w:top w:w="0" w:type="dxa"/>
              <w:left w:w="20" w:type="dxa"/>
              <w:bottom w:w="0" w:type="dxa"/>
              <w:right w:w="20" w:type="dxa"/>
            </w:tcMar>
            <w:vAlign w:val="bottom"/>
          </w:tcPr>
          <w:p w14:paraId="6753727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7C" w14:textId="77777777" w:rsidR="001B77DD" w:rsidRDefault="00BF0A28">
            <w:pPr>
              <w:jc w:val="right"/>
              <w:textAlignment w:val="bottom"/>
            </w:pPr>
            <w:r>
              <w:rPr>
                <w:rFonts w:ascii="Arial" w:eastAsia="宋体" w:hAnsi="Arial" w:cs="Arial"/>
                <w:color w:val="0068B5"/>
                <w:sz w:val="18"/>
                <w:szCs w:val="18"/>
              </w:rPr>
              <w:t>772 </w:t>
            </w:r>
          </w:p>
        </w:tc>
        <w:tc>
          <w:tcPr>
            <w:tcW w:w="0" w:type="auto"/>
            <w:shd w:val="clear" w:color="auto" w:fill="auto"/>
            <w:tcMar>
              <w:top w:w="40" w:type="dxa"/>
              <w:left w:w="0" w:type="dxa"/>
              <w:bottom w:w="40" w:type="dxa"/>
              <w:right w:w="20" w:type="dxa"/>
            </w:tcMar>
            <w:vAlign w:val="bottom"/>
          </w:tcPr>
          <w:p w14:paraId="6753727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7E" w14:textId="77777777" w:rsidR="001B77DD" w:rsidRDefault="001B77DD">
            <w:pPr>
              <w:rPr>
                <w:rFonts w:ascii="宋体"/>
              </w:rPr>
            </w:pPr>
          </w:p>
        </w:tc>
        <w:tc>
          <w:tcPr>
            <w:tcW w:w="0" w:type="auto"/>
            <w:shd w:val="clear" w:color="auto" w:fill="auto"/>
            <w:vAlign w:val="bottom"/>
          </w:tcPr>
          <w:p w14:paraId="6753727F" w14:textId="77777777" w:rsidR="001B77DD" w:rsidRDefault="001B77DD">
            <w:pPr>
              <w:rPr>
                <w:rFonts w:ascii="宋体"/>
                <w:vanish/>
              </w:rPr>
            </w:pPr>
          </w:p>
        </w:tc>
        <w:tc>
          <w:tcPr>
            <w:tcW w:w="0" w:type="auto"/>
            <w:shd w:val="clear" w:color="auto" w:fill="auto"/>
            <w:vAlign w:val="bottom"/>
          </w:tcPr>
          <w:p w14:paraId="6753728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81" w14:textId="77777777" w:rsidR="001B77DD" w:rsidRDefault="00BF0A28">
            <w:pPr>
              <w:jc w:val="right"/>
              <w:textAlignment w:val="bottom"/>
            </w:pPr>
            <w:r>
              <w:rPr>
                <w:rFonts w:ascii="Arial" w:eastAsia="宋体" w:hAnsi="Arial" w:cs="Arial"/>
                <w:color w:val="000000"/>
                <w:sz w:val="18"/>
                <w:szCs w:val="18"/>
              </w:rPr>
              <w:t>772 </w:t>
            </w:r>
          </w:p>
        </w:tc>
        <w:tc>
          <w:tcPr>
            <w:tcW w:w="0" w:type="auto"/>
            <w:shd w:val="clear" w:color="auto" w:fill="auto"/>
            <w:tcMar>
              <w:top w:w="40" w:type="dxa"/>
              <w:left w:w="0" w:type="dxa"/>
              <w:bottom w:w="40" w:type="dxa"/>
              <w:right w:w="20" w:type="dxa"/>
            </w:tcMar>
            <w:vAlign w:val="bottom"/>
          </w:tcPr>
          <w:p w14:paraId="67537282" w14:textId="77777777" w:rsidR="001B77DD" w:rsidRDefault="001B77DD">
            <w:pPr>
              <w:jc w:val="right"/>
              <w:rPr>
                <w:rFonts w:ascii="宋体"/>
              </w:rPr>
            </w:pPr>
          </w:p>
        </w:tc>
        <w:tc>
          <w:tcPr>
            <w:tcW w:w="0" w:type="auto"/>
            <w:shd w:val="clear" w:color="auto" w:fill="auto"/>
            <w:vAlign w:val="bottom"/>
          </w:tcPr>
          <w:p w14:paraId="67537283" w14:textId="77777777" w:rsidR="001B77DD" w:rsidRDefault="001B77DD">
            <w:pPr>
              <w:rPr>
                <w:rFonts w:ascii="宋体"/>
                <w:vanish/>
              </w:rPr>
            </w:pPr>
          </w:p>
        </w:tc>
        <w:tc>
          <w:tcPr>
            <w:tcW w:w="0" w:type="auto"/>
            <w:shd w:val="clear" w:color="auto" w:fill="auto"/>
            <w:vAlign w:val="bottom"/>
          </w:tcPr>
          <w:p w14:paraId="67537284" w14:textId="77777777" w:rsidR="001B77DD" w:rsidRDefault="001B77DD">
            <w:pPr>
              <w:rPr>
                <w:rFonts w:ascii="宋体"/>
                <w:vanish/>
              </w:rPr>
            </w:pPr>
          </w:p>
        </w:tc>
        <w:tc>
          <w:tcPr>
            <w:tcW w:w="0" w:type="auto"/>
            <w:shd w:val="clear" w:color="auto" w:fill="auto"/>
            <w:vAlign w:val="bottom"/>
          </w:tcPr>
          <w:p w14:paraId="67537285" w14:textId="77777777" w:rsidR="001B77DD" w:rsidRDefault="001B77DD">
            <w:pPr>
              <w:rPr>
                <w:rFonts w:ascii="宋体"/>
                <w:vanish/>
              </w:rPr>
            </w:pPr>
          </w:p>
        </w:tc>
        <w:tc>
          <w:tcPr>
            <w:tcW w:w="0" w:type="auto"/>
            <w:shd w:val="clear" w:color="auto" w:fill="auto"/>
            <w:vAlign w:val="bottom"/>
          </w:tcPr>
          <w:p w14:paraId="67537286" w14:textId="77777777" w:rsidR="001B77DD" w:rsidRDefault="001B77DD">
            <w:pPr>
              <w:rPr>
                <w:rFonts w:ascii="宋体"/>
                <w:vanish/>
              </w:rPr>
            </w:pPr>
          </w:p>
        </w:tc>
      </w:tr>
      <w:tr w:rsidR="001B77DD" w14:paraId="67537297" w14:textId="77777777">
        <w:tc>
          <w:tcPr>
            <w:tcW w:w="0" w:type="auto"/>
            <w:gridSpan w:val="3"/>
            <w:shd w:val="clear" w:color="auto" w:fill="auto"/>
            <w:tcMar>
              <w:top w:w="40" w:type="dxa"/>
              <w:left w:w="155" w:type="dxa"/>
              <w:bottom w:w="40" w:type="dxa"/>
              <w:right w:w="20" w:type="dxa"/>
            </w:tcMar>
            <w:vAlign w:val="bottom"/>
          </w:tcPr>
          <w:p w14:paraId="67537288" w14:textId="77777777" w:rsidR="001B77DD" w:rsidRDefault="00BF0A28">
            <w:pPr>
              <w:textAlignment w:val="bottom"/>
            </w:pPr>
            <w:r>
              <w:rPr>
                <w:rFonts w:ascii="Arial" w:eastAsia="宋体" w:hAnsi="Arial" w:cs="Arial"/>
                <w:color w:val="262626"/>
                <w:sz w:val="18"/>
                <w:szCs w:val="18"/>
              </w:rPr>
              <w:t xml:space="preserve">4.10%, </w:t>
            </w:r>
            <w:r>
              <w:rPr>
                <w:rFonts w:ascii="Arial" w:eastAsia="宋体" w:hAnsi="Arial" w:cs="Arial"/>
                <w:color w:val="262626"/>
                <w:sz w:val="18"/>
                <w:szCs w:val="18"/>
              </w:rPr>
              <w:t>due May 2046</w:t>
            </w:r>
          </w:p>
        </w:tc>
        <w:tc>
          <w:tcPr>
            <w:tcW w:w="0" w:type="auto"/>
            <w:gridSpan w:val="3"/>
            <w:shd w:val="clear" w:color="auto" w:fill="auto"/>
            <w:tcMar>
              <w:top w:w="0" w:type="dxa"/>
              <w:left w:w="20" w:type="dxa"/>
              <w:bottom w:w="0" w:type="dxa"/>
              <w:right w:w="20" w:type="dxa"/>
            </w:tcMar>
            <w:vAlign w:val="bottom"/>
          </w:tcPr>
          <w:p w14:paraId="6753728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8A" w14:textId="77777777" w:rsidR="001B77DD" w:rsidRDefault="00BF0A28">
            <w:pPr>
              <w:jc w:val="center"/>
              <w:textAlignment w:val="bottom"/>
            </w:pPr>
            <w:r>
              <w:rPr>
                <w:rFonts w:ascii="Arial" w:eastAsia="宋体" w:hAnsi="Arial" w:cs="Arial"/>
                <w:color w:val="0068B5"/>
                <w:sz w:val="18"/>
                <w:szCs w:val="18"/>
              </w:rPr>
              <w:t>1.40%</w:t>
            </w:r>
          </w:p>
        </w:tc>
        <w:tc>
          <w:tcPr>
            <w:tcW w:w="0" w:type="auto"/>
            <w:gridSpan w:val="3"/>
            <w:shd w:val="clear" w:color="auto" w:fill="auto"/>
            <w:tcMar>
              <w:top w:w="0" w:type="dxa"/>
              <w:left w:w="20" w:type="dxa"/>
              <w:bottom w:w="0" w:type="dxa"/>
              <w:right w:w="20" w:type="dxa"/>
            </w:tcMar>
            <w:vAlign w:val="bottom"/>
          </w:tcPr>
          <w:p w14:paraId="6753728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8C" w14:textId="77777777" w:rsidR="001B77DD" w:rsidRDefault="00BF0A28">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6753728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8E" w14:textId="77777777" w:rsidR="001B77DD" w:rsidRDefault="001B77DD">
            <w:pPr>
              <w:rPr>
                <w:rFonts w:ascii="宋体"/>
              </w:rPr>
            </w:pPr>
          </w:p>
        </w:tc>
        <w:tc>
          <w:tcPr>
            <w:tcW w:w="0" w:type="auto"/>
            <w:shd w:val="clear" w:color="auto" w:fill="auto"/>
            <w:vAlign w:val="bottom"/>
          </w:tcPr>
          <w:p w14:paraId="6753728F" w14:textId="77777777" w:rsidR="001B77DD" w:rsidRDefault="001B77DD">
            <w:pPr>
              <w:rPr>
                <w:rFonts w:ascii="宋体"/>
                <w:vanish/>
              </w:rPr>
            </w:pPr>
          </w:p>
        </w:tc>
        <w:tc>
          <w:tcPr>
            <w:tcW w:w="0" w:type="auto"/>
            <w:shd w:val="clear" w:color="auto" w:fill="auto"/>
            <w:vAlign w:val="bottom"/>
          </w:tcPr>
          <w:p w14:paraId="6753729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91" w14:textId="77777777" w:rsidR="001B77DD" w:rsidRDefault="00BF0A28">
            <w:pPr>
              <w:jc w:val="right"/>
              <w:textAlignment w:val="bottom"/>
            </w:pPr>
            <w:r>
              <w:rPr>
                <w:rFonts w:ascii="Arial" w:eastAsia="宋体" w:hAnsi="Arial" w:cs="Arial"/>
                <w:color w:val="000000"/>
                <w:sz w:val="18"/>
                <w:szCs w:val="18"/>
              </w:rPr>
              <w:t>1,250 </w:t>
            </w:r>
          </w:p>
        </w:tc>
        <w:tc>
          <w:tcPr>
            <w:tcW w:w="0" w:type="auto"/>
            <w:shd w:val="clear" w:color="auto" w:fill="auto"/>
            <w:tcMar>
              <w:top w:w="40" w:type="dxa"/>
              <w:left w:w="0" w:type="dxa"/>
              <w:bottom w:w="40" w:type="dxa"/>
              <w:right w:w="20" w:type="dxa"/>
            </w:tcMar>
            <w:vAlign w:val="bottom"/>
          </w:tcPr>
          <w:p w14:paraId="67537292" w14:textId="77777777" w:rsidR="001B77DD" w:rsidRDefault="001B77DD">
            <w:pPr>
              <w:jc w:val="right"/>
              <w:rPr>
                <w:rFonts w:ascii="宋体"/>
              </w:rPr>
            </w:pPr>
          </w:p>
        </w:tc>
        <w:tc>
          <w:tcPr>
            <w:tcW w:w="0" w:type="auto"/>
            <w:shd w:val="clear" w:color="auto" w:fill="auto"/>
            <w:vAlign w:val="bottom"/>
          </w:tcPr>
          <w:p w14:paraId="67537293" w14:textId="77777777" w:rsidR="001B77DD" w:rsidRDefault="001B77DD">
            <w:pPr>
              <w:rPr>
                <w:rFonts w:ascii="宋体"/>
                <w:vanish/>
              </w:rPr>
            </w:pPr>
          </w:p>
        </w:tc>
        <w:tc>
          <w:tcPr>
            <w:tcW w:w="0" w:type="auto"/>
            <w:shd w:val="clear" w:color="auto" w:fill="auto"/>
            <w:vAlign w:val="bottom"/>
          </w:tcPr>
          <w:p w14:paraId="67537294" w14:textId="77777777" w:rsidR="001B77DD" w:rsidRDefault="001B77DD">
            <w:pPr>
              <w:rPr>
                <w:rFonts w:ascii="宋体"/>
                <w:vanish/>
              </w:rPr>
            </w:pPr>
          </w:p>
        </w:tc>
        <w:tc>
          <w:tcPr>
            <w:tcW w:w="0" w:type="auto"/>
            <w:shd w:val="clear" w:color="auto" w:fill="auto"/>
            <w:vAlign w:val="bottom"/>
          </w:tcPr>
          <w:p w14:paraId="67537295" w14:textId="77777777" w:rsidR="001B77DD" w:rsidRDefault="001B77DD">
            <w:pPr>
              <w:rPr>
                <w:rFonts w:ascii="宋体"/>
                <w:vanish/>
              </w:rPr>
            </w:pPr>
          </w:p>
        </w:tc>
        <w:tc>
          <w:tcPr>
            <w:tcW w:w="0" w:type="auto"/>
            <w:shd w:val="clear" w:color="auto" w:fill="auto"/>
            <w:vAlign w:val="bottom"/>
          </w:tcPr>
          <w:p w14:paraId="67537296" w14:textId="77777777" w:rsidR="001B77DD" w:rsidRDefault="001B77DD">
            <w:pPr>
              <w:rPr>
                <w:rFonts w:ascii="宋体"/>
                <w:vanish/>
              </w:rPr>
            </w:pPr>
          </w:p>
        </w:tc>
      </w:tr>
      <w:tr w:rsidR="001B77DD" w14:paraId="675372A7" w14:textId="77777777">
        <w:tc>
          <w:tcPr>
            <w:tcW w:w="0" w:type="auto"/>
            <w:gridSpan w:val="3"/>
            <w:shd w:val="clear" w:color="auto" w:fill="auto"/>
            <w:tcMar>
              <w:top w:w="40" w:type="dxa"/>
              <w:left w:w="155" w:type="dxa"/>
              <w:bottom w:w="40" w:type="dxa"/>
              <w:right w:w="20" w:type="dxa"/>
            </w:tcMar>
            <w:vAlign w:val="bottom"/>
          </w:tcPr>
          <w:p w14:paraId="67537298" w14:textId="77777777" w:rsidR="001B77DD" w:rsidRDefault="00BF0A28">
            <w:pPr>
              <w:textAlignment w:val="bottom"/>
            </w:pPr>
            <w:r>
              <w:rPr>
                <w:rFonts w:ascii="Arial" w:eastAsia="宋体" w:hAnsi="Arial" w:cs="Arial"/>
                <w:color w:val="262626"/>
                <w:sz w:val="18"/>
                <w:szCs w:val="18"/>
              </w:rPr>
              <w:t>4.10%, due May 2047</w:t>
            </w:r>
          </w:p>
        </w:tc>
        <w:tc>
          <w:tcPr>
            <w:tcW w:w="0" w:type="auto"/>
            <w:gridSpan w:val="3"/>
            <w:shd w:val="clear" w:color="auto" w:fill="auto"/>
            <w:tcMar>
              <w:top w:w="0" w:type="dxa"/>
              <w:left w:w="20" w:type="dxa"/>
              <w:bottom w:w="0" w:type="dxa"/>
              <w:right w:w="20" w:type="dxa"/>
            </w:tcMar>
            <w:vAlign w:val="bottom"/>
          </w:tcPr>
          <w:p w14:paraId="6753729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9A" w14:textId="77777777" w:rsidR="001B77DD" w:rsidRDefault="00BF0A28">
            <w:pPr>
              <w:jc w:val="center"/>
              <w:textAlignment w:val="bottom"/>
            </w:pPr>
            <w:r>
              <w:rPr>
                <w:rFonts w:ascii="Arial" w:eastAsia="宋体" w:hAnsi="Arial" w:cs="Arial"/>
                <w:color w:val="0068B5"/>
                <w:sz w:val="18"/>
                <w:szCs w:val="18"/>
              </w:rPr>
              <w:t>1.37%</w:t>
            </w:r>
          </w:p>
        </w:tc>
        <w:tc>
          <w:tcPr>
            <w:tcW w:w="0" w:type="auto"/>
            <w:gridSpan w:val="3"/>
            <w:shd w:val="clear" w:color="auto" w:fill="auto"/>
            <w:tcMar>
              <w:top w:w="0" w:type="dxa"/>
              <w:left w:w="20" w:type="dxa"/>
              <w:bottom w:w="0" w:type="dxa"/>
              <w:right w:w="20" w:type="dxa"/>
            </w:tcMar>
            <w:vAlign w:val="bottom"/>
          </w:tcPr>
          <w:p w14:paraId="6753729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9C" w14:textId="77777777" w:rsidR="001B77DD" w:rsidRDefault="00BF0A2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753729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9E" w14:textId="77777777" w:rsidR="001B77DD" w:rsidRDefault="001B77DD">
            <w:pPr>
              <w:rPr>
                <w:rFonts w:ascii="宋体"/>
              </w:rPr>
            </w:pPr>
          </w:p>
        </w:tc>
        <w:tc>
          <w:tcPr>
            <w:tcW w:w="0" w:type="auto"/>
            <w:shd w:val="clear" w:color="auto" w:fill="auto"/>
            <w:vAlign w:val="bottom"/>
          </w:tcPr>
          <w:p w14:paraId="6753729F" w14:textId="77777777" w:rsidR="001B77DD" w:rsidRDefault="001B77DD">
            <w:pPr>
              <w:rPr>
                <w:rFonts w:ascii="宋体"/>
                <w:vanish/>
              </w:rPr>
            </w:pPr>
          </w:p>
        </w:tc>
        <w:tc>
          <w:tcPr>
            <w:tcW w:w="0" w:type="auto"/>
            <w:shd w:val="clear" w:color="auto" w:fill="auto"/>
            <w:vAlign w:val="bottom"/>
          </w:tcPr>
          <w:p w14:paraId="675372A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A1" w14:textId="77777777" w:rsidR="001B77DD" w:rsidRDefault="00BF0A28">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675372A2" w14:textId="77777777" w:rsidR="001B77DD" w:rsidRDefault="001B77DD">
            <w:pPr>
              <w:jc w:val="right"/>
              <w:rPr>
                <w:rFonts w:ascii="宋体"/>
              </w:rPr>
            </w:pPr>
          </w:p>
        </w:tc>
        <w:tc>
          <w:tcPr>
            <w:tcW w:w="0" w:type="auto"/>
            <w:shd w:val="clear" w:color="auto" w:fill="auto"/>
            <w:vAlign w:val="bottom"/>
          </w:tcPr>
          <w:p w14:paraId="675372A3" w14:textId="77777777" w:rsidR="001B77DD" w:rsidRDefault="001B77DD">
            <w:pPr>
              <w:rPr>
                <w:rFonts w:ascii="宋体"/>
                <w:vanish/>
              </w:rPr>
            </w:pPr>
          </w:p>
        </w:tc>
        <w:tc>
          <w:tcPr>
            <w:tcW w:w="0" w:type="auto"/>
            <w:shd w:val="clear" w:color="auto" w:fill="auto"/>
            <w:vAlign w:val="bottom"/>
          </w:tcPr>
          <w:p w14:paraId="675372A4" w14:textId="77777777" w:rsidR="001B77DD" w:rsidRDefault="001B77DD">
            <w:pPr>
              <w:rPr>
                <w:rFonts w:ascii="宋体"/>
                <w:vanish/>
              </w:rPr>
            </w:pPr>
          </w:p>
        </w:tc>
        <w:tc>
          <w:tcPr>
            <w:tcW w:w="0" w:type="auto"/>
            <w:shd w:val="clear" w:color="auto" w:fill="auto"/>
            <w:vAlign w:val="bottom"/>
          </w:tcPr>
          <w:p w14:paraId="675372A5" w14:textId="77777777" w:rsidR="001B77DD" w:rsidRDefault="001B77DD">
            <w:pPr>
              <w:rPr>
                <w:rFonts w:ascii="宋体"/>
                <w:vanish/>
              </w:rPr>
            </w:pPr>
          </w:p>
        </w:tc>
        <w:tc>
          <w:tcPr>
            <w:tcW w:w="0" w:type="auto"/>
            <w:shd w:val="clear" w:color="auto" w:fill="auto"/>
            <w:vAlign w:val="bottom"/>
          </w:tcPr>
          <w:p w14:paraId="675372A6" w14:textId="77777777" w:rsidR="001B77DD" w:rsidRDefault="001B77DD">
            <w:pPr>
              <w:rPr>
                <w:rFonts w:ascii="宋体"/>
                <w:vanish/>
              </w:rPr>
            </w:pPr>
          </w:p>
        </w:tc>
      </w:tr>
      <w:tr w:rsidR="001B77DD" w14:paraId="675372B7" w14:textId="77777777">
        <w:tc>
          <w:tcPr>
            <w:tcW w:w="0" w:type="auto"/>
            <w:gridSpan w:val="3"/>
            <w:shd w:val="clear" w:color="auto" w:fill="auto"/>
            <w:tcMar>
              <w:top w:w="40" w:type="dxa"/>
              <w:left w:w="155" w:type="dxa"/>
              <w:bottom w:w="40" w:type="dxa"/>
              <w:right w:w="20" w:type="dxa"/>
            </w:tcMar>
            <w:vAlign w:val="bottom"/>
          </w:tcPr>
          <w:p w14:paraId="675372A8" w14:textId="77777777" w:rsidR="001B77DD" w:rsidRDefault="00BF0A28">
            <w:pPr>
              <w:textAlignment w:val="bottom"/>
            </w:pPr>
            <w:r>
              <w:rPr>
                <w:rFonts w:ascii="Arial" w:eastAsia="宋体" w:hAnsi="Arial" w:cs="Arial"/>
                <w:color w:val="262626"/>
                <w:sz w:val="18"/>
                <w:szCs w:val="18"/>
              </w:rPr>
              <w:t xml:space="preserve">4.10%, </w:t>
            </w:r>
            <w:r>
              <w:rPr>
                <w:rFonts w:ascii="Arial" w:eastAsia="宋体" w:hAnsi="Arial" w:cs="Arial"/>
                <w:color w:val="262626"/>
                <w:sz w:val="18"/>
                <w:szCs w:val="18"/>
              </w:rPr>
              <w:t>due August 2047</w:t>
            </w:r>
          </w:p>
        </w:tc>
        <w:tc>
          <w:tcPr>
            <w:tcW w:w="0" w:type="auto"/>
            <w:gridSpan w:val="3"/>
            <w:shd w:val="clear" w:color="auto" w:fill="auto"/>
            <w:tcMar>
              <w:top w:w="0" w:type="dxa"/>
              <w:left w:w="20" w:type="dxa"/>
              <w:bottom w:w="0" w:type="dxa"/>
              <w:right w:w="20" w:type="dxa"/>
            </w:tcMar>
            <w:vAlign w:val="bottom"/>
          </w:tcPr>
          <w:p w14:paraId="675372A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AA" w14:textId="77777777" w:rsidR="001B77DD" w:rsidRDefault="00BF0A28">
            <w:pPr>
              <w:jc w:val="center"/>
              <w:textAlignment w:val="bottom"/>
            </w:pPr>
            <w:r>
              <w:rPr>
                <w:rFonts w:ascii="Arial" w:eastAsia="宋体" w:hAnsi="Arial" w:cs="Arial"/>
                <w:color w:val="0068B5"/>
                <w:sz w:val="18"/>
                <w:szCs w:val="18"/>
              </w:rPr>
              <w:t>0.92%</w:t>
            </w:r>
          </w:p>
        </w:tc>
        <w:tc>
          <w:tcPr>
            <w:tcW w:w="0" w:type="auto"/>
            <w:gridSpan w:val="3"/>
            <w:shd w:val="clear" w:color="auto" w:fill="auto"/>
            <w:tcMar>
              <w:top w:w="0" w:type="dxa"/>
              <w:left w:w="20" w:type="dxa"/>
              <w:bottom w:w="0" w:type="dxa"/>
              <w:right w:w="20" w:type="dxa"/>
            </w:tcMar>
            <w:vAlign w:val="bottom"/>
          </w:tcPr>
          <w:p w14:paraId="675372A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AC" w14:textId="77777777" w:rsidR="001B77DD" w:rsidRDefault="00BF0A28">
            <w:pPr>
              <w:jc w:val="right"/>
              <w:textAlignment w:val="bottom"/>
            </w:pPr>
            <w:r>
              <w:rPr>
                <w:rFonts w:ascii="Arial" w:eastAsia="宋体" w:hAnsi="Arial" w:cs="Arial"/>
                <w:color w:val="0068B5"/>
                <w:sz w:val="18"/>
                <w:szCs w:val="18"/>
              </w:rPr>
              <w:t>640 </w:t>
            </w:r>
          </w:p>
        </w:tc>
        <w:tc>
          <w:tcPr>
            <w:tcW w:w="0" w:type="auto"/>
            <w:shd w:val="clear" w:color="auto" w:fill="auto"/>
            <w:tcMar>
              <w:top w:w="40" w:type="dxa"/>
              <w:left w:w="0" w:type="dxa"/>
              <w:bottom w:w="40" w:type="dxa"/>
              <w:right w:w="20" w:type="dxa"/>
            </w:tcMar>
            <w:vAlign w:val="bottom"/>
          </w:tcPr>
          <w:p w14:paraId="675372A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AE" w14:textId="77777777" w:rsidR="001B77DD" w:rsidRDefault="001B77DD">
            <w:pPr>
              <w:rPr>
                <w:rFonts w:ascii="宋体"/>
              </w:rPr>
            </w:pPr>
          </w:p>
        </w:tc>
        <w:tc>
          <w:tcPr>
            <w:tcW w:w="0" w:type="auto"/>
            <w:shd w:val="clear" w:color="auto" w:fill="auto"/>
            <w:vAlign w:val="bottom"/>
          </w:tcPr>
          <w:p w14:paraId="675372AF" w14:textId="77777777" w:rsidR="001B77DD" w:rsidRDefault="001B77DD">
            <w:pPr>
              <w:rPr>
                <w:rFonts w:ascii="宋体"/>
                <w:vanish/>
              </w:rPr>
            </w:pPr>
          </w:p>
        </w:tc>
        <w:tc>
          <w:tcPr>
            <w:tcW w:w="0" w:type="auto"/>
            <w:shd w:val="clear" w:color="auto" w:fill="auto"/>
            <w:vAlign w:val="bottom"/>
          </w:tcPr>
          <w:p w14:paraId="675372B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B1" w14:textId="77777777" w:rsidR="001B77DD" w:rsidRDefault="00BF0A28">
            <w:pPr>
              <w:jc w:val="right"/>
              <w:textAlignment w:val="bottom"/>
            </w:pPr>
            <w:r>
              <w:rPr>
                <w:rFonts w:ascii="Arial" w:eastAsia="宋体" w:hAnsi="Arial" w:cs="Arial"/>
                <w:color w:val="000000"/>
                <w:sz w:val="18"/>
                <w:szCs w:val="18"/>
              </w:rPr>
              <w:t>640 </w:t>
            </w:r>
          </w:p>
        </w:tc>
        <w:tc>
          <w:tcPr>
            <w:tcW w:w="0" w:type="auto"/>
            <w:shd w:val="clear" w:color="auto" w:fill="auto"/>
            <w:tcMar>
              <w:top w:w="40" w:type="dxa"/>
              <w:left w:w="0" w:type="dxa"/>
              <w:bottom w:w="40" w:type="dxa"/>
              <w:right w:w="20" w:type="dxa"/>
            </w:tcMar>
            <w:vAlign w:val="bottom"/>
          </w:tcPr>
          <w:p w14:paraId="675372B2" w14:textId="77777777" w:rsidR="001B77DD" w:rsidRDefault="001B77DD">
            <w:pPr>
              <w:jc w:val="right"/>
              <w:rPr>
                <w:rFonts w:ascii="宋体"/>
              </w:rPr>
            </w:pPr>
          </w:p>
        </w:tc>
        <w:tc>
          <w:tcPr>
            <w:tcW w:w="0" w:type="auto"/>
            <w:shd w:val="clear" w:color="auto" w:fill="auto"/>
            <w:vAlign w:val="bottom"/>
          </w:tcPr>
          <w:p w14:paraId="675372B3" w14:textId="77777777" w:rsidR="001B77DD" w:rsidRDefault="001B77DD">
            <w:pPr>
              <w:rPr>
                <w:rFonts w:ascii="宋体"/>
                <w:vanish/>
              </w:rPr>
            </w:pPr>
          </w:p>
        </w:tc>
        <w:tc>
          <w:tcPr>
            <w:tcW w:w="0" w:type="auto"/>
            <w:shd w:val="clear" w:color="auto" w:fill="auto"/>
            <w:vAlign w:val="bottom"/>
          </w:tcPr>
          <w:p w14:paraId="675372B4" w14:textId="77777777" w:rsidR="001B77DD" w:rsidRDefault="001B77DD">
            <w:pPr>
              <w:rPr>
                <w:rFonts w:ascii="宋体"/>
                <w:vanish/>
              </w:rPr>
            </w:pPr>
          </w:p>
        </w:tc>
        <w:tc>
          <w:tcPr>
            <w:tcW w:w="0" w:type="auto"/>
            <w:shd w:val="clear" w:color="auto" w:fill="auto"/>
            <w:vAlign w:val="bottom"/>
          </w:tcPr>
          <w:p w14:paraId="675372B5" w14:textId="77777777" w:rsidR="001B77DD" w:rsidRDefault="001B77DD">
            <w:pPr>
              <w:rPr>
                <w:rFonts w:ascii="宋体"/>
                <w:vanish/>
              </w:rPr>
            </w:pPr>
          </w:p>
        </w:tc>
        <w:tc>
          <w:tcPr>
            <w:tcW w:w="0" w:type="auto"/>
            <w:shd w:val="clear" w:color="auto" w:fill="auto"/>
            <w:vAlign w:val="bottom"/>
          </w:tcPr>
          <w:p w14:paraId="675372B6" w14:textId="77777777" w:rsidR="001B77DD" w:rsidRDefault="001B77DD">
            <w:pPr>
              <w:rPr>
                <w:rFonts w:ascii="宋体"/>
                <w:vanish/>
              </w:rPr>
            </w:pPr>
          </w:p>
        </w:tc>
      </w:tr>
      <w:tr w:rsidR="001B77DD" w14:paraId="675372C7" w14:textId="77777777">
        <w:tc>
          <w:tcPr>
            <w:tcW w:w="0" w:type="auto"/>
            <w:gridSpan w:val="3"/>
            <w:shd w:val="clear" w:color="auto" w:fill="auto"/>
            <w:tcMar>
              <w:top w:w="40" w:type="dxa"/>
              <w:left w:w="155" w:type="dxa"/>
              <w:bottom w:w="40" w:type="dxa"/>
              <w:right w:w="20" w:type="dxa"/>
            </w:tcMar>
            <w:vAlign w:val="bottom"/>
          </w:tcPr>
          <w:p w14:paraId="675372B8" w14:textId="77777777" w:rsidR="001B77DD" w:rsidRDefault="00BF0A28">
            <w:pPr>
              <w:textAlignment w:val="bottom"/>
            </w:pPr>
            <w:r>
              <w:rPr>
                <w:rFonts w:ascii="Arial" w:eastAsia="宋体" w:hAnsi="Arial" w:cs="Arial"/>
                <w:color w:val="262626"/>
                <w:sz w:val="18"/>
                <w:szCs w:val="18"/>
              </w:rPr>
              <w:t xml:space="preserve">3.73%, </w:t>
            </w:r>
            <w:r>
              <w:rPr>
                <w:rFonts w:ascii="Arial" w:eastAsia="宋体" w:hAnsi="Arial" w:cs="Arial"/>
                <w:color w:val="262626"/>
                <w:sz w:val="18"/>
                <w:szCs w:val="18"/>
              </w:rPr>
              <w:t xml:space="preserve">due December 2047 </w:t>
            </w:r>
          </w:p>
        </w:tc>
        <w:tc>
          <w:tcPr>
            <w:tcW w:w="0" w:type="auto"/>
            <w:gridSpan w:val="3"/>
            <w:shd w:val="clear" w:color="auto" w:fill="auto"/>
            <w:tcMar>
              <w:top w:w="0" w:type="dxa"/>
              <w:left w:w="20" w:type="dxa"/>
              <w:bottom w:w="0" w:type="dxa"/>
              <w:right w:w="20" w:type="dxa"/>
            </w:tcMar>
            <w:vAlign w:val="bottom"/>
          </w:tcPr>
          <w:p w14:paraId="675372B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BA" w14:textId="77777777" w:rsidR="001B77DD" w:rsidRDefault="00BF0A28">
            <w:pPr>
              <w:jc w:val="center"/>
              <w:textAlignment w:val="bottom"/>
            </w:pPr>
            <w:r>
              <w:rPr>
                <w:rFonts w:ascii="Arial" w:eastAsia="宋体" w:hAnsi="Arial" w:cs="Arial"/>
                <w:color w:val="0068B5"/>
                <w:sz w:val="18"/>
                <w:szCs w:val="18"/>
              </w:rPr>
              <w:t>1.77%</w:t>
            </w:r>
          </w:p>
        </w:tc>
        <w:tc>
          <w:tcPr>
            <w:tcW w:w="0" w:type="auto"/>
            <w:gridSpan w:val="3"/>
            <w:shd w:val="clear" w:color="auto" w:fill="auto"/>
            <w:tcMar>
              <w:top w:w="0" w:type="dxa"/>
              <w:left w:w="20" w:type="dxa"/>
              <w:bottom w:w="0" w:type="dxa"/>
              <w:right w:w="20" w:type="dxa"/>
            </w:tcMar>
            <w:vAlign w:val="bottom"/>
          </w:tcPr>
          <w:p w14:paraId="675372B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BC" w14:textId="77777777" w:rsidR="001B77DD" w:rsidRDefault="00BF0A28">
            <w:pPr>
              <w:jc w:val="right"/>
              <w:textAlignment w:val="bottom"/>
            </w:pPr>
            <w:r>
              <w:rPr>
                <w:rFonts w:ascii="Arial" w:eastAsia="宋体" w:hAnsi="Arial" w:cs="Arial"/>
                <w:color w:val="0068B5"/>
                <w:sz w:val="18"/>
                <w:szCs w:val="18"/>
              </w:rPr>
              <w:t>1,967 </w:t>
            </w:r>
          </w:p>
        </w:tc>
        <w:tc>
          <w:tcPr>
            <w:tcW w:w="0" w:type="auto"/>
            <w:shd w:val="clear" w:color="auto" w:fill="auto"/>
            <w:tcMar>
              <w:top w:w="40" w:type="dxa"/>
              <w:left w:w="0" w:type="dxa"/>
              <w:bottom w:w="40" w:type="dxa"/>
              <w:right w:w="20" w:type="dxa"/>
            </w:tcMar>
            <w:vAlign w:val="bottom"/>
          </w:tcPr>
          <w:p w14:paraId="675372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BE" w14:textId="77777777" w:rsidR="001B77DD" w:rsidRDefault="001B77DD">
            <w:pPr>
              <w:rPr>
                <w:rFonts w:ascii="宋体"/>
              </w:rPr>
            </w:pPr>
          </w:p>
        </w:tc>
        <w:tc>
          <w:tcPr>
            <w:tcW w:w="0" w:type="auto"/>
            <w:shd w:val="clear" w:color="auto" w:fill="auto"/>
            <w:vAlign w:val="bottom"/>
          </w:tcPr>
          <w:p w14:paraId="675372BF" w14:textId="77777777" w:rsidR="001B77DD" w:rsidRDefault="001B77DD">
            <w:pPr>
              <w:rPr>
                <w:rFonts w:ascii="宋体"/>
                <w:vanish/>
              </w:rPr>
            </w:pPr>
          </w:p>
        </w:tc>
        <w:tc>
          <w:tcPr>
            <w:tcW w:w="0" w:type="auto"/>
            <w:shd w:val="clear" w:color="auto" w:fill="auto"/>
            <w:vAlign w:val="bottom"/>
          </w:tcPr>
          <w:p w14:paraId="675372C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C1" w14:textId="77777777" w:rsidR="001B77DD" w:rsidRDefault="00BF0A28">
            <w:pPr>
              <w:jc w:val="right"/>
              <w:textAlignment w:val="bottom"/>
            </w:pPr>
            <w:r>
              <w:rPr>
                <w:rFonts w:ascii="Arial" w:eastAsia="宋体" w:hAnsi="Arial" w:cs="Arial"/>
                <w:color w:val="000000"/>
                <w:sz w:val="18"/>
                <w:szCs w:val="18"/>
              </w:rPr>
              <w:t>1,967 </w:t>
            </w:r>
          </w:p>
        </w:tc>
        <w:tc>
          <w:tcPr>
            <w:tcW w:w="0" w:type="auto"/>
            <w:shd w:val="clear" w:color="auto" w:fill="auto"/>
            <w:tcMar>
              <w:top w:w="40" w:type="dxa"/>
              <w:left w:w="0" w:type="dxa"/>
              <w:bottom w:w="40" w:type="dxa"/>
              <w:right w:w="20" w:type="dxa"/>
            </w:tcMar>
            <w:vAlign w:val="bottom"/>
          </w:tcPr>
          <w:p w14:paraId="675372C2" w14:textId="77777777" w:rsidR="001B77DD" w:rsidRDefault="001B77DD">
            <w:pPr>
              <w:jc w:val="right"/>
              <w:rPr>
                <w:rFonts w:ascii="宋体"/>
              </w:rPr>
            </w:pPr>
          </w:p>
        </w:tc>
        <w:tc>
          <w:tcPr>
            <w:tcW w:w="0" w:type="auto"/>
            <w:shd w:val="clear" w:color="auto" w:fill="auto"/>
            <w:vAlign w:val="bottom"/>
          </w:tcPr>
          <w:p w14:paraId="675372C3" w14:textId="77777777" w:rsidR="001B77DD" w:rsidRDefault="001B77DD">
            <w:pPr>
              <w:rPr>
                <w:rFonts w:ascii="宋体"/>
                <w:vanish/>
              </w:rPr>
            </w:pPr>
          </w:p>
        </w:tc>
        <w:tc>
          <w:tcPr>
            <w:tcW w:w="0" w:type="auto"/>
            <w:shd w:val="clear" w:color="auto" w:fill="auto"/>
            <w:vAlign w:val="bottom"/>
          </w:tcPr>
          <w:p w14:paraId="675372C4" w14:textId="77777777" w:rsidR="001B77DD" w:rsidRDefault="001B77DD">
            <w:pPr>
              <w:rPr>
                <w:rFonts w:ascii="宋体"/>
                <w:vanish/>
              </w:rPr>
            </w:pPr>
          </w:p>
        </w:tc>
        <w:tc>
          <w:tcPr>
            <w:tcW w:w="0" w:type="auto"/>
            <w:shd w:val="clear" w:color="auto" w:fill="auto"/>
            <w:vAlign w:val="bottom"/>
          </w:tcPr>
          <w:p w14:paraId="675372C5" w14:textId="77777777" w:rsidR="001B77DD" w:rsidRDefault="001B77DD">
            <w:pPr>
              <w:rPr>
                <w:rFonts w:ascii="宋体"/>
                <w:vanish/>
              </w:rPr>
            </w:pPr>
          </w:p>
        </w:tc>
        <w:tc>
          <w:tcPr>
            <w:tcW w:w="0" w:type="auto"/>
            <w:shd w:val="clear" w:color="auto" w:fill="auto"/>
            <w:vAlign w:val="bottom"/>
          </w:tcPr>
          <w:p w14:paraId="675372C6" w14:textId="77777777" w:rsidR="001B77DD" w:rsidRDefault="001B77DD">
            <w:pPr>
              <w:rPr>
                <w:rFonts w:ascii="宋体"/>
                <w:vanish/>
              </w:rPr>
            </w:pPr>
          </w:p>
        </w:tc>
      </w:tr>
      <w:tr w:rsidR="001B77DD" w14:paraId="675372D7" w14:textId="77777777">
        <w:tc>
          <w:tcPr>
            <w:tcW w:w="0" w:type="auto"/>
            <w:gridSpan w:val="3"/>
            <w:shd w:val="clear" w:color="auto" w:fill="auto"/>
            <w:tcMar>
              <w:top w:w="40" w:type="dxa"/>
              <w:left w:w="155" w:type="dxa"/>
              <w:bottom w:w="40" w:type="dxa"/>
              <w:right w:w="20" w:type="dxa"/>
            </w:tcMar>
            <w:vAlign w:val="bottom"/>
          </w:tcPr>
          <w:p w14:paraId="675372C8" w14:textId="77777777" w:rsidR="001B77DD" w:rsidRDefault="00BF0A28">
            <w:pPr>
              <w:textAlignment w:val="bottom"/>
            </w:pPr>
            <w:r>
              <w:rPr>
                <w:rFonts w:ascii="Arial" w:eastAsia="宋体" w:hAnsi="Arial" w:cs="Arial"/>
                <w:color w:val="262626"/>
                <w:sz w:val="18"/>
                <w:szCs w:val="18"/>
              </w:rPr>
              <w:t xml:space="preserve">3.25%, </w:t>
            </w:r>
            <w:r>
              <w:rPr>
                <w:rFonts w:ascii="Arial" w:eastAsia="宋体" w:hAnsi="Arial" w:cs="Arial"/>
                <w:color w:val="262626"/>
                <w:sz w:val="18"/>
                <w:szCs w:val="18"/>
              </w:rPr>
              <w:t>due November 2049</w:t>
            </w:r>
          </w:p>
        </w:tc>
        <w:tc>
          <w:tcPr>
            <w:tcW w:w="0" w:type="auto"/>
            <w:gridSpan w:val="3"/>
            <w:shd w:val="clear" w:color="auto" w:fill="auto"/>
            <w:tcMar>
              <w:top w:w="0" w:type="dxa"/>
              <w:left w:w="20" w:type="dxa"/>
              <w:bottom w:w="0" w:type="dxa"/>
              <w:right w:w="20" w:type="dxa"/>
            </w:tcMar>
            <w:vAlign w:val="bottom"/>
          </w:tcPr>
          <w:p w14:paraId="675372C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CA" w14:textId="77777777" w:rsidR="001B77DD" w:rsidRDefault="00BF0A28">
            <w:pPr>
              <w:jc w:val="center"/>
              <w:textAlignment w:val="bottom"/>
            </w:pPr>
            <w:r>
              <w:rPr>
                <w:rFonts w:ascii="Arial" w:eastAsia="宋体" w:hAnsi="Arial" w:cs="Arial"/>
                <w:color w:val="0068B5"/>
                <w:sz w:val="18"/>
                <w:szCs w:val="18"/>
              </w:rPr>
              <w:t>3.20%</w:t>
            </w:r>
          </w:p>
        </w:tc>
        <w:tc>
          <w:tcPr>
            <w:tcW w:w="0" w:type="auto"/>
            <w:gridSpan w:val="3"/>
            <w:shd w:val="clear" w:color="auto" w:fill="auto"/>
            <w:tcMar>
              <w:top w:w="0" w:type="dxa"/>
              <w:left w:w="20" w:type="dxa"/>
              <w:bottom w:w="0" w:type="dxa"/>
              <w:right w:w="20" w:type="dxa"/>
            </w:tcMar>
            <w:vAlign w:val="bottom"/>
          </w:tcPr>
          <w:p w14:paraId="675372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CC" w14:textId="77777777" w:rsidR="001B77DD" w:rsidRDefault="00BF0A28">
            <w:pPr>
              <w:jc w:val="right"/>
              <w:textAlignment w:val="bottom"/>
            </w:pPr>
            <w:r>
              <w:rPr>
                <w:rFonts w:ascii="Arial" w:eastAsia="宋体" w:hAnsi="Arial" w:cs="Arial"/>
                <w:color w:val="0068B5"/>
                <w:sz w:val="18"/>
                <w:szCs w:val="18"/>
              </w:rPr>
              <w:t>2,000 </w:t>
            </w:r>
          </w:p>
        </w:tc>
        <w:tc>
          <w:tcPr>
            <w:tcW w:w="0" w:type="auto"/>
            <w:shd w:val="clear" w:color="auto" w:fill="auto"/>
            <w:tcMar>
              <w:top w:w="40" w:type="dxa"/>
              <w:left w:w="0" w:type="dxa"/>
              <w:bottom w:w="40" w:type="dxa"/>
              <w:right w:w="20" w:type="dxa"/>
            </w:tcMar>
            <w:vAlign w:val="bottom"/>
          </w:tcPr>
          <w:p w14:paraId="675372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CE" w14:textId="77777777" w:rsidR="001B77DD" w:rsidRDefault="001B77DD">
            <w:pPr>
              <w:rPr>
                <w:rFonts w:ascii="宋体"/>
              </w:rPr>
            </w:pPr>
          </w:p>
        </w:tc>
        <w:tc>
          <w:tcPr>
            <w:tcW w:w="0" w:type="auto"/>
            <w:shd w:val="clear" w:color="auto" w:fill="auto"/>
            <w:vAlign w:val="bottom"/>
          </w:tcPr>
          <w:p w14:paraId="675372CF" w14:textId="77777777" w:rsidR="001B77DD" w:rsidRDefault="001B77DD">
            <w:pPr>
              <w:rPr>
                <w:rFonts w:ascii="宋体"/>
                <w:vanish/>
              </w:rPr>
            </w:pPr>
          </w:p>
        </w:tc>
        <w:tc>
          <w:tcPr>
            <w:tcW w:w="0" w:type="auto"/>
            <w:shd w:val="clear" w:color="auto" w:fill="auto"/>
            <w:vAlign w:val="bottom"/>
          </w:tcPr>
          <w:p w14:paraId="675372D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D1" w14:textId="77777777" w:rsidR="001B77DD" w:rsidRDefault="00BF0A28">
            <w:pPr>
              <w:jc w:val="right"/>
              <w:textAlignment w:val="bottom"/>
            </w:pPr>
            <w:r>
              <w:rPr>
                <w:rFonts w:ascii="Arial" w:eastAsia="宋体" w:hAnsi="Arial" w:cs="Arial"/>
                <w:color w:val="000000"/>
                <w:sz w:val="18"/>
                <w:szCs w:val="18"/>
              </w:rPr>
              <w:t>2,000 </w:t>
            </w:r>
          </w:p>
        </w:tc>
        <w:tc>
          <w:tcPr>
            <w:tcW w:w="0" w:type="auto"/>
            <w:shd w:val="clear" w:color="auto" w:fill="auto"/>
            <w:tcMar>
              <w:top w:w="40" w:type="dxa"/>
              <w:left w:w="0" w:type="dxa"/>
              <w:bottom w:w="40" w:type="dxa"/>
              <w:right w:w="20" w:type="dxa"/>
            </w:tcMar>
            <w:vAlign w:val="bottom"/>
          </w:tcPr>
          <w:p w14:paraId="675372D2" w14:textId="77777777" w:rsidR="001B77DD" w:rsidRDefault="001B77DD">
            <w:pPr>
              <w:jc w:val="right"/>
              <w:rPr>
                <w:rFonts w:ascii="宋体"/>
              </w:rPr>
            </w:pPr>
          </w:p>
        </w:tc>
        <w:tc>
          <w:tcPr>
            <w:tcW w:w="0" w:type="auto"/>
            <w:shd w:val="clear" w:color="auto" w:fill="auto"/>
            <w:vAlign w:val="bottom"/>
          </w:tcPr>
          <w:p w14:paraId="675372D3" w14:textId="77777777" w:rsidR="001B77DD" w:rsidRDefault="001B77DD">
            <w:pPr>
              <w:rPr>
                <w:rFonts w:ascii="宋体"/>
                <w:vanish/>
              </w:rPr>
            </w:pPr>
          </w:p>
        </w:tc>
        <w:tc>
          <w:tcPr>
            <w:tcW w:w="0" w:type="auto"/>
            <w:shd w:val="clear" w:color="auto" w:fill="auto"/>
            <w:vAlign w:val="bottom"/>
          </w:tcPr>
          <w:p w14:paraId="675372D4" w14:textId="77777777" w:rsidR="001B77DD" w:rsidRDefault="001B77DD">
            <w:pPr>
              <w:rPr>
                <w:rFonts w:ascii="宋体"/>
                <w:vanish/>
              </w:rPr>
            </w:pPr>
          </w:p>
        </w:tc>
        <w:tc>
          <w:tcPr>
            <w:tcW w:w="0" w:type="auto"/>
            <w:shd w:val="clear" w:color="auto" w:fill="auto"/>
            <w:vAlign w:val="bottom"/>
          </w:tcPr>
          <w:p w14:paraId="675372D5" w14:textId="77777777" w:rsidR="001B77DD" w:rsidRDefault="001B77DD">
            <w:pPr>
              <w:rPr>
                <w:rFonts w:ascii="宋体"/>
                <w:vanish/>
              </w:rPr>
            </w:pPr>
          </w:p>
        </w:tc>
        <w:tc>
          <w:tcPr>
            <w:tcW w:w="0" w:type="auto"/>
            <w:shd w:val="clear" w:color="auto" w:fill="auto"/>
            <w:vAlign w:val="bottom"/>
          </w:tcPr>
          <w:p w14:paraId="675372D6" w14:textId="77777777" w:rsidR="001B77DD" w:rsidRDefault="001B77DD">
            <w:pPr>
              <w:rPr>
                <w:rFonts w:ascii="宋体"/>
                <w:vanish/>
              </w:rPr>
            </w:pPr>
          </w:p>
        </w:tc>
      </w:tr>
      <w:tr w:rsidR="001B77DD" w14:paraId="675372E7" w14:textId="77777777">
        <w:tc>
          <w:tcPr>
            <w:tcW w:w="0" w:type="auto"/>
            <w:gridSpan w:val="3"/>
            <w:shd w:val="clear" w:color="auto" w:fill="auto"/>
            <w:tcMar>
              <w:top w:w="40" w:type="dxa"/>
              <w:left w:w="155" w:type="dxa"/>
              <w:bottom w:w="40" w:type="dxa"/>
              <w:right w:w="20" w:type="dxa"/>
            </w:tcMar>
            <w:vAlign w:val="bottom"/>
          </w:tcPr>
          <w:p w14:paraId="675372D8" w14:textId="77777777" w:rsidR="001B77DD" w:rsidRDefault="00BF0A28">
            <w:pPr>
              <w:textAlignment w:val="bottom"/>
            </w:pPr>
            <w:r>
              <w:rPr>
                <w:rFonts w:ascii="Arial" w:eastAsia="宋体" w:hAnsi="Arial" w:cs="Arial"/>
                <w:color w:val="262626"/>
                <w:sz w:val="18"/>
                <w:szCs w:val="18"/>
              </w:rPr>
              <w:t xml:space="preserve">4.75%, </w:t>
            </w:r>
            <w:r>
              <w:rPr>
                <w:rFonts w:ascii="Arial" w:eastAsia="宋体" w:hAnsi="Arial" w:cs="Arial"/>
                <w:color w:val="262626"/>
                <w:sz w:val="18"/>
                <w:szCs w:val="18"/>
              </w:rPr>
              <w:t>due March 2050</w:t>
            </w:r>
          </w:p>
        </w:tc>
        <w:tc>
          <w:tcPr>
            <w:tcW w:w="0" w:type="auto"/>
            <w:gridSpan w:val="3"/>
            <w:shd w:val="clear" w:color="auto" w:fill="auto"/>
            <w:tcMar>
              <w:top w:w="0" w:type="dxa"/>
              <w:left w:w="20" w:type="dxa"/>
              <w:bottom w:w="0" w:type="dxa"/>
              <w:right w:w="20" w:type="dxa"/>
            </w:tcMar>
            <w:vAlign w:val="bottom"/>
          </w:tcPr>
          <w:p w14:paraId="675372D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DA" w14:textId="77777777" w:rsidR="001B77DD" w:rsidRDefault="00BF0A28">
            <w:pPr>
              <w:jc w:val="center"/>
              <w:textAlignment w:val="bottom"/>
            </w:pPr>
            <w:r>
              <w:rPr>
                <w:rFonts w:ascii="Arial" w:eastAsia="宋体" w:hAnsi="Arial" w:cs="Arial"/>
                <w:color w:val="0068B5"/>
                <w:sz w:val="18"/>
                <w:szCs w:val="18"/>
              </w:rPr>
              <w:t>4.74%</w:t>
            </w:r>
          </w:p>
        </w:tc>
        <w:tc>
          <w:tcPr>
            <w:tcW w:w="0" w:type="auto"/>
            <w:gridSpan w:val="3"/>
            <w:shd w:val="clear" w:color="auto" w:fill="auto"/>
            <w:tcMar>
              <w:top w:w="0" w:type="dxa"/>
              <w:left w:w="20" w:type="dxa"/>
              <w:bottom w:w="0" w:type="dxa"/>
              <w:right w:w="20" w:type="dxa"/>
            </w:tcMar>
            <w:vAlign w:val="bottom"/>
          </w:tcPr>
          <w:p w14:paraId="675372D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DC" w14:textId="77777777" w:rsidR="001B77DD" w:rsidRDefault="00BF0A28">
            <w:pPr>
              <w:jc w:val="right"/>
              <w:textAlignment w:val="bottom"/>
            </w:pPr>
            <w:r>
              <w:rPr>
                <w:rFonts w:ascii="Arial" w:eastAsia="宋体" w:hAnsi="Arial" w:cs="Arial"/>
                <w:color w:val="0068B5"/>
                <w:sz w:val="18"/>
                <w:szCs w:val="18"/>
              </w:rPr>
              <w:t>2,250 </w:t>
            </w:r>
          </w:p>
        </w:tc>
        <w:tc>
          <w:tcPr>
            <w:tcW w:w="0" w:type="auto"/>
            <w:shd w:val="clear" w:color="auto" w:fill="auto"/>
            <w:tcMar>
              <w:top w:w="40" w:type="dxa"/>
              <w:left w:w="0" w:type="dxa"/>
              <w:bottom w:w="40" w:type="dxa"/>
              <w:right w:w="20" w:type="dxa"/>
            </w:tcMar>
            <w:vAlign w:val="bottom"/>
          </w:tcPr>
          <w:p w14:paraId="675372D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DE" w14:textId="77777777" w:rsidR="001B77DD" w:rsidRDefault="001B77DD">
            <w:pPr>
              <w:rPr>
                <w:rFonts w:ascii="宋体"/>
              </w:rPr>
            </w:pPr>
          </w:p>
        </w:tc>
        <w:tc>
          <w:tcPr>
            <w:tcW w:w="0" w:type="auto"/>
            <w:shd w:val="clear" w:color="auto" w:fill="auto"/>
            <w:vAlign w:val="bottom"/>
          </w:tcPr>
          <w:p w14:paraId="675372DF" w14:textId="77777777" w:rsidR="001B77DD" w:rsidRDefault="001B77DD">
            <w:pPr>
              <w:rPr>
                <w:rFonts w:ascii="宋体"/>
                <w:vanish/>
              </w:rPr>
            </w:pPr>
          </w:p>
        </w:tc>
        <w:tc>
          <w:tcPr>
            <w:tcW w:w="0" w:type="auto"/>
            <w:shd w:val="clear" w:color="auto" w:fill="auto"/>
            <w:vAlign w:val="bottom"/>
          </w:tcPr>
          <w:p w14:paraId="675372E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E1" w14:textId="77777777" w:rsidR="001B77DD" w:rsidRDefault="00BF0A28">
            <w:pPr>
              <w:jc w:val="right"/>
              <w:textAlignment w:val="bottom"/>
            </w:pPr>
            <w:r>
              <w:rPr>
                <w:rFonts w:ascii="Arial" w:eastAsia="宋体" w:hAnsi="Arial" w:cs="Arial"/>
                <w:color w:val="000000"/>
                <w:sz w:val="18"/>
                <w:szCs w:val="18"/>
              </w:rPr>
              <w:t>2,250 </w:t>
            </w:r>
          </w:p>
        </w:tc>
        <w:tc>
          <w:tcPr>
            <w:tcW w:w="0" w:type="auto"/>
            <w:shd w:val="clear" w:color="auto" w:fill="auto"/>
            <w:tcMar>
              <w:top w:w="40" w:type="dxa"/>
              <w:left w:w="0" w:type="dxa"/>
              <w:bottom w:w="40" w:type="dxa"/>
              <w:right w:w="20" w:type="dxa"/>
            </w:tcMar>
            <w:vAlign w:val="bottom"/>
          </w:tcPr>
          <w:p w14:paraId="675372E2" w14:textId="77777777" w:rsidR="001B77DD" w:rsidRDefault="001B77DD">
            <w:pPr>
              <w:jc w:val="right"/>
              <w:rPr>
                <w:rFonts w:ascii="宋体"/>
              </w:rPr>
            </w:pPr>
          </w:p>
        </w:tc>
        <w:tc>
          <w:tcPr>
            <w:tcW w:w="0" w:type="auto"/>
            <w:shd w:val="clear" w:color="auto" w:fill="auto"/>
            <w:vAlign w:val="bottom"/>
          </w:tcPr>
          <w:p w14:paraId="675372E3" w14:textId="77777777" w:rsidR="001B77DD" w:rsidRDefault="001B77DD">
            <w:pPr>
              <w:rPr>
                <w:rFonts w:ascii="宋体"/>
                <w:vanish/>
              </w:rPr>
            </w:pPr>
          </w:p>
        </w:tc>
        <w:tc>
          <w:tcPr>
            <w:tcW w:w="0" w:type="auto"/>
            <w:shd w:val="clear" w:color="auto" w:fill="auto"/>
            <w:vAlign w:val="bottom"/>
          </w:tcPr>
          <w:p w14:paraId="675372E4" w14:textId="77777777" w:rsidR="001B77DD" w:rsidRDefault="001B77DD">
            <w:pPr>
              <w:rPr>
                <w:rFonts w:ascii="宋体"/>
                <w:vanish/>
              </w:rPr>
            </w:pPr>
          </w:p>
        </w:tc>
        <w:tc>
          <w:tcPr>
            <w:tcW w:w="0" w:type="auto"/>
            <w:shd w:val="clear" w:color="auto" w:fill="auto"/>
            <w:vAlign w:val="bottom"/>
          </w:tcPr>
          <w:p w14:paraId="675372E5" w14:textId="77777777" w:rsidR="001B77DD" w:rsidRDefault="001B77DD">
            <w:pPr>
              <w:rPr>
                <w:rFonts w:ascii="宋体"/>
                <w:vanish/>
              </w:rPr>
            </w:pPr>
          </w:p>
        </w:tc>
        <w:tc>
          <w:tcPr>
            <w:tcW w:w="0" w:type="auto"/>
            <w:shd w:val="clear" w:color="auto" w:fill="auto"/>
            <w:vAlign w:val="bottom"/>
          </w:tcPr>
          <w:p w14:paraId="675372E6" w14:textId="77777777" w:rsidR="001B77DD" w:rsidRDefault="001B77DD">
            <w:pPr>
              <w:rPr>
                <w:rFonts w:ascii="宋体"/>
                <w:vanish/>
              </w:rPr>
            </w:pPr>
          </w:p>
        </w:tc>
      </w:tr>
      <w:tr w:rsidR="001B77DD" w14:paraId="675372F7" w14:textId="77777777">
        <w:tc>
          <w:tcPr>
            <w:tcW w:w="0" w:type="auto"/>
            <w:gridSpan w:val="3"/>
            <w:shd w:val="clear" w:color="auto" w:fill="auto"/>
            <w:tcMar>
              <w:top w:w="40" w:type="dxa"/>
              <w:left w:w="155" w:type="dxa"/>
              <w:bottom w:w="40" w:type="dxa"/>
              <w:right w:w="20" w:type="dxa"/>
            </w:tcMar>
            <w:vAlign w:val="bottom"/>
          </w:tcPr>
          <w:p w14:paraId="675372E8" w14:textId="77777777" w:rsidR="001B77DD" w:rsidRDefault="00BF0A28">
            <w:pPr>
              <w:textAlignment w:val="bottom"/>
            </w:pPr>
            <w:r>
              <w:rPr>
                <w:rFonts w:ascii="Arial" w:eastAsia="宋体" w:hAnsi="Arial" w:cs="Arial"/>
                <w:color w:val="262626"/>
                <w:sz w:val="18"/>
                <w:szCs w:val="18"/>
              </w:rPr>
              <w:t>3.05%, due August 2051</w:t>
            </w:r>
          </w:p>
        </w:tc>
        <w:tc>
          <w:tcPr>
            <w:tcW w:w="0" w:type="auto"/>
            <w:gridSpan w:val="3"/>
            <w:shd w:val="clear" w:color="auto" w:fill="auto"/>
            <w:tcMar>
              <w:top w:w="0" w:type="dxa"/>
              <w:left w:w="20" w:type="dxa"/>
              <w:bottom w:w="0" w:type="dxa"/>
              <w:right w:w="20" w:type="dxa"/>
            </w:tcMar>
            <w:vAlign w:val="bottom"/>
          </w:tcPr>
          <w:p w14:paraId="675372E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EA" w14:textId="77777777" w:rsidR="001B77DD" w:rsidRDefault="00BF0A28">
            <w:pPr>
              <w:jc w:val="center"/>
              <w:textAlignment w:val="bottom"/>
            </w:pPr>
            <w:r>
              <w:rPr>
                <w:rFonts w:ascii="Arial" w:eastAsia="宋体" w:hAnsi="Arial" w:cs="Arial"/>
                <w:color w:val="0068B5"/>
                <w:sz w:val="18"/>
                <w:szCs w:val="18"/>
              </w:rPr>
              <w:t>3.07%</w:t>
            </w:r>
          </w:p>
        </w:tc>
        <w:tc>
          <w:tcPr>
            <w:tcW w:w="0" w:type="auto"/>
            <w:gridSpan w:val="3"/>
            <w:shd w:val="clear" w:color="auto" w:fill="auto"/>
            <w:tcMar>
              <w:top w:w="0" w:type="dxa"/>
              <w:left w:w="20" w:type="dxa"/>
              <w:bottom w:w="0" w:type="dxa"/>
              <w:right w:w="20" w:type="dxa"/>
            </w:tcMar>
            <w:vAlign w:val="bottom"/>
          </w:tcPr>
          <w:p w14:paraId="675372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EC" w14:textId="77777777" w:rsidR="001B77DD" w:rsidRDefault="00BF0A28">
            <w:pPr>
              <w:jc w:val="right"/>
              <w:textAlignment w:val="bottom"/>
            </w:pPr>
            <w:r>
              <w:rPr>
                <w:rFonts w:ascii="Arial" w:eastAsia="宋体" w:hAnsi="Arial" w:cs="Arial"/>
                <w:color w:val="0068B5"/>
                <w:sz w:val="18"/>
                <w:szCs w:val="18"/>
              </w:rPr>
              <w:t>1,250 </w:t>
            </w:r>
          </w:p>
        </w:tc>
        <w:tc>
          <w:tcPr>
            <w:tcW w:w="0" w:type="auto"/>
            <w:shd w:val="clear" w:color="auto" w:fill="auto"/>
            <w:tcMar>
              <w:top w:w="40" w:type="dxa"/>
              <w:left w:w="0" w:type="dxa"/>
              <w:bottom w:w="40" w:type="dxa"/>
              <w:right w:w="20" w:type="dxa"/>
            </w:tcMar>
            <w:vAlign w:val="bottom"/>
          </w:tcPr>
          <w:p w14:paraId="675372E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EE" w14:textId="77777777" w:rsidR="001B77DD" w:rsidRDefault="001B77DD">
            <w:pPr>
              <w:rPr>
                <w:rFonts w:ascii="宋体"/>
              </w:rPr>
            </w:pPr>
          </w:p>
        </w:tc>
        <w:tc>
          <w:tcPr>
            <w:tcW w:w="0" w:type="auto"/>
            <w:shd w:val="clear" w:color="auto" w:fill="auto"/>
            <w:vAlign w:val="bottom"/>
          </w:tcPr>
          <w:p w14:paraId="675372EF" w14:textId="77777777" w:rsidR="001B77DD" w:rsidRDefault="001B77DD">
            <w:pPr>
              <w:rPr>
                <w:rFonts w:ascii="宋体"/>
                <w:vanish/>
              </w:rPr>
            </w:pPr>
          </w:p>
        </w:tc>
        <w:tc>
          <w:tcPr>
            <w:tcW w:w="0" w:type="auto"/>
            <w:shd w:val="clear" w:color="auto" w:fill="auto"/>
            <w:vAlign w:val="bottom"/>
          </w:tcPr>
          <w:p w14:paraId="675372F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2F1" w14:textId="77777777" w:rsidR="001B77DD" w:rsidRDefault="00BF0A28">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675372F2" w14:textId="77777777" w:rsidR="001B77DD" w:rsidRDefault="001B77DD">
            <w:pPr>
              <w:jc w:val="right"/>
              <w:rPr>
                <w:rFonts w:ascii="宋体"/>
              </w:rPr>
            </w:pPr>
          </w:p>
        </w:tc>
        <w:tc>
          <w:tcPr>
            <w:tcW w:w="0" w:type="auto"/>
            <w:shd w:val="clear" w:color="auto" w:fill="auto"/>
            <w:vAlign w:val="bottom"/>
          </w:tcPr>
          <w:p w14:paraId="675372F3" w14:textId="77777777" w:rsidR="001B77DD" w:rsidRDefault="001B77DD">
            <w:pPr>
              <w:rPr>
                <w:rFonts w:ascii="宋体"/>
                <w:vanish/>
              </w:rPr>
            </w:pPr>
          </w:p>
        </w:tc>
        <w:tc>
          <w:tcPr>
            <w:tcW w:w="0" w:type="auto"/>
            <w:shd w:val="clear" w:color="auto" w:fill="auto"/>
            <w:vAlign w:val="bottom"/>
          </w:tcPr>
          <w:p w14:paraId="675372F4" w14:textId="77777777" w:rsidR="001B77DD" w:rsidRDefault="001B77DD">
            <w:pPr>
              <w:rPr>
                <w:rFonts w:ascii="宋体"/>
                <w:vanish/>
              </w:rPr>
            </w:pPr>
          </w:p>
        </w:tc>
        <w:tc>
          <w:tcPr>
            <w:tcW w:w="0" w:type="auto"/>
            <w:shd w:val="clear" w:color="auto" w:fill="auto"/>
            <w:vAlign w:val="bottom"/>
          </w:tcPr>
          <w:p w14:paraId="675372F5" w14:textId="77777777" w:rsidR="001B77DD" w:rsidRDefault="001B77DD">
            <w:pPr>
              <w:rPr>
                <w:rFonts w:ascii="宋体"/>
                <w:vanish/>
              </w:rPr>
            </w:pPr>
          </w:p>
        </w:tc>
        <w:tc>
          <w:tcPr>
            <w:tcW w:w="0" w:type="auto"/>
            <w:shd w:val="clear" w:color="auto" w:fill="auto"/>
            <w:vAlign w:val="bottom"/>
          </w:tcPr>
          <w:p w14:paraId="675372F6" w14:textId="77777777" w:rsidR="001B77DD" w:rsidRDefault="001B77DD">
            <w:pPr>
              <w:rPr>
                <w:rFonts w:ascii="宋体"/>
                <w:vanish/>
              </w:rPr>
            </w:pPr>
          </w:p>
        </w:tc>
      </w:tr>
      <w:tr w:rsidR="001B77DD" w14:paraId="67537307" w14:textId="77777777">
        <w:tc>
          <w:tcPr>
            <w:tcW w:w="0" w:type="auto"/>
            <w:gridSpan w:val="3"/>
            <w:shd w:val="clear" w:color="auto" w:fill="auto"/>
            <w:tcMar>
              <w:top w:w="40" w:type="dxa"/>
              <w:left w:w="155" w:type="dxa"/>
              <w:bottom w:w="40" w:type="dxa"/>
              <w:right w:w="20" w:type="dxa"/>
            </w:tcMar>
            <w:vAlign w:val="bottom"/>
          </w:tcPr>
          <w:p w14:paraId="675372F8" w14:textId="77777777" w:rsidR="001B77DD" w:rsidRDefault="00BF0A28">
            <w:pPr>
              <w:textAlignment w:val="bottom"/>
            </w:pPr>
            <w:r>
              <w:rPr>
                <w:rFonts w:ascii="Arial" w:eastAsia="宋体" w:hAnsi="Arial" w:cs="Arial"/>
                <w:color w:val="262626"/>
                <w:sz w:val="18"/>
                <w:szCs w:val="18"/>
              </w:rPr>
              <w:t xml:space="preserve">3.10%, </w:t>
            </w:r>
            <w:r>
              <w:rPr>
                <w:rFonts w:ascii="Arial" w:eastAsia="宋体" w:hAnsi="Arial" w:cs="Arial"/>
                <w:color w:val="262626"/>
                <w:sz w:val="18"/>
                <w:szCs w:val="18"/>
              </w:rPr>
              <w:t>due February 2060</w:t>
            </w:r>
          </w:p>
        </w:tc>
        <w:tc>
          <w:tcPr>
            <w:tcW w:w="0" w:type="auto"/>
            <w:gridSpan w:val="3"/>
            <w:shd w:val="clear" w:color="auto" w:fill="auto"/>
            <w:tcMar>
              <w:top w:w="0" w:type="dxa"/>
              <w:left w:w="20" w:type="dxa"/>
              <w:bottom w:w="0" w:type="dxa"/>
              <w:right w:w="20" w:type="dxa"/>
            </w:tcMar>
            <w:vAlign w:val="bottom"/>
          </w:tcPr>
          <w:p w14:paraId="675372F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2FA" w14:textId="77777777" w:rsidR="001B77DD" w:rsidRDefault="00BF0A28">
            <w:pPr>
              <w:jc w:val="center"/>
              <w:textAlignment w:val="bottom"/>
            </w:pPr>
            <w:r>
              <w:rPr>
                <w:rFonts w:ascii="Arial" w:eastAsia="宋体" w:hAnsi="Arial" w:cs="Arial"/>
                <w:color w:val="0068B5"/>
                <w:sz w:val="18"/>
                <w:szCs w:val="18"/>
              </w:rPr>
              <w:t>3.11%</w:t>
            </w:r>
          </w:p>
        </w:tc>
        <w:tc>
          <w:tcPr>
            <w:tcW w:w="0" w:type="auto"/>
            <w:gridSpan w:val="3"/>
            <w:shd w:val="clear" w:color="auto" w:fill="auto"/>
            <w:tcMar>
              <w:top w:w="0" w:type="dxa"/>
              <w:left w:w="20" w:type="dxa"/>
              <w:bottom w:w="0" w:type="dxa"/>
              <w:right w:w="20" w:type="dxa"/>
            </w:tcMar>
            <w:vAlign w:val="bottom"/>
          </w:tcPr>
          <w:p w14:paraId="675372F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2FC" w14:textId="77777777" w:rsidR="001B77DD" w:rsidRDefault="00BF0A2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75372F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2FE" w14:textId="77777777" w:rsidR="001B77DD" w:rsidRDefault="001B77DD">
            <w:pPr>
              <w:rPr>
                <w:rFonts w:ascii="宋体"/>
              </w:rPr>
            </w:pPr>
          </w:p>
        </w:tc>
        <w:tc>
          <w:tcPr>
            <w:tcW w:w="0" w:type="auto"/>
            <w:shd w:val="clear" w:color="auto" w:fill="auto"/>
            <w:vAlign w:val="bottom"/>
          </w:tcPr>
          <w:p w14:paraId="675372FF" w14:textId="77777777" w:rsidR="001B77DD" w:rsidRDefault="001B77DD">
            <w:pPr>
              <w:rPr>
                <w:rFonts w:ascii="宋体"/>
                <w:vanish/>
              </w:rPr>
            </w:pPr>
          </w:p>
        </w:tc>
        <w:tc>
          <w:tcPr>
            <w:tcW w:w="0" w:type="auto"/>
            <w:shd w:val="clear" w:color="auto" w:fill="auto"/>
            <w:vAlign w:val="bottom"/>
          </w:tcPr>
          <w:p w14:paraId="6753730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301" w14:textId="77777777" w:rsidR="001B77DD" w:rsidRDefault="00BF0A28">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67537302" w14:textId="77777777" w:rsidR="001B77DD" w:rsidRDefault="001B77DD">
            <w:pPr>
              <w:jc w:val="right"/>
              <w:rPr>
                <w:rFonts w:ascii="宋体"/>
              </w:rPr>
            </w:pPr>
          </w:p>
        </w:tc>
        <w:tc>
          <w:tcPr>
            <w:tcW w:w="0" w:type="auto"/>
            <w:shd w:val="clear" w:color="auto" w:fill="auto"/>
            <w:vAlign w:val="bottom"/>
          </w:tcPr>
          <w:p w14:paraId="67537303" w14:textId="77777777" w:rsidR="001B77DD" w:rsidRDefault="001B77DD">
            <w:pPr>
              <w:rPr>
                <w:rFonts w:ascii="宋体"/>
                <w:vanish/>
              </w:rPr>
            </w:pPr>
          </w:p>
        </w:tc>
        <w:tc>
          <w:tcPr>
            <w:tcW w:w="0" w:type="auto"/>
            <w:shd w:val="clear" w:color="auto" w:fill="auto"/>
            <w:vAlign w:val="bottom"/>
          </w:tcPr>
          <w:p w14:paraId="67537304" w14:textId="77777777" w:rsidR="001B77DD" w:rsidRDefault="001B77DD">
            <w:pPr>
              <w:rPr>
                <w:rFonts w:ascii="宋体"/>
                <w:vanish/>
              </w:rPr>
            </w:pPr>
          </w:p>
        </w:tc>
        <w:tc>
          <w:tcPr>
            <w:tcW w:w="0" w:type="auto"/>
            <w:shd w:val="clear" w:color="auto" w:fill="auto"/>
            <w:vAlign w:val="bottom"/>
          </w:tcPr>
          <w:p w14:paraId="67537305" w14:textId="77777777" w:rsidR="001B77DD" w:rsidRDefault="001B77DD">
            <w:pPr>
              <w:rPr>
                <w:rFonts w:ascii="宋体"/>
                <w:vanish/>
              </w:rPr>
            </w:pPr>
          </w:p>
        </w:tc>
        <w:tc>
          <w:tcPr>
            <w:tcW w:w="0" w:type="auto"/>
            <w:shd w:val="clear" w:color="auto" w:fill="auto"/>
            <w:vAlign w:val="bottom"/>
          </w:tcPr>
          <w:p w14:paraId="67537306" w14:textId="77777777" w:rsidR="001B77DD" w:rsidRDefault="001B77DD">
            <w:pPr>
              <w:rPr>
                <w:rFonts w:ascii="宋体"/>
                <w:vanish/>
              </w:rPr>
            </w:pPr>
          </w:p>
        </w:tc>
      </w:tr>
      <w:tr w:rsidR="001B77DD" w14:paraId="67537317" w14:textId="77777777">
        <w:tc>
          <w:tcPr>
            <w:tcW w:w="0" w:type="auto"/>
            <w:gridSpan w:val="3"/>
            <w:shd w:val="clear" w:color="auto" w:fill="auto"/>
            <w:tcMar>
              <w:top w:w="40" w:type="dxa"/>
              <w:left w:w="155" w:type="dxa"/>
              <w:bottom w:w="40" w:type="dxa"/>
              <w:right w:w="20" w:type="dxa"/>
            </w:tcMar>
            <w:vAlign w:val="bottom"/>
          </w:tcPr>
          <w:p w14:paraId="67537308" w14:textId="77777777" w:rsidR="001B77DD" w:rsidRDefault="00BF0A28">
            <w:pPr>
              <w:textAlignment w:val="bottom"/>
            </w:pPr>
            <w:r>
              <w:rPr>
                <w:rFonts w:ascii="Arial" w:eastAsia="宋体" w:hAnsi="Arial" w:cs="Arial"/>
                <w:color w:val="262626"/>
                <w:sz w:val="18"/>
                <w:szCs w:val="18"/>
              </w:rPr>
              <w:t xml:space="preserve">4.95%, </w:t>
            </w:r>
            <w:r>
              <w:rPr>
                <w:rFonts w:ascii="Arial" w:eastAsia="宋体" w:hAnsi="Arial" w:cs="Arial"/>
                <w:color w:val="262626"/>
                <w:sz w:val="18"/>
                <w:szCs w:val="18"/>
              </w:rPr>
              <w:t>due March 2060</w:t>
            </w:r>
          </w:p>
        </w:tc>
        <w:tc>
          <w:tcPr>
            <w:tcW w:w="0" w:type="auto"/>
            <w:gridSpan w:val="3"/>
            <w:shd w:val="clear" w:color="auto" w:fill="auto"/>
            <w:tcMar>
              <w:top w:w="0" w:type="dxa"/>
              <w:left w:w="20" w:type="dxa"/>
              <w:bottom w:w="0" w:type="dxa"/>
              <w:right w:w="20" w:type="dxa"/>
            </w:tcMar>
            <w:vAlign w:val="bottom"/>
          </w:tcPr>
          <w:p w14:paraId="6753730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30A" w14:textId="77777777" w:rsidR="001B77DD" w:rsidRDefault="00BF0A28">
            <w:pPr>
              <w:jc w:val="center"/>
              <w:textAlignment w:val="bottom"/>
            </w:pPr>
            <w:r>
              <w:rPr>
                <w:rFonts w:ascii="Arial" w:eastAsia="宋体" w:hAnsi="Arial" w:cs="Arial"/>
                <w:color w:val="0068B5"/>
                <w:sz w:val="18"/>
                <w:szCs w:val="18"/>
              </w:rPr>
              <w:t>4.99%</w:t>
            </w:r>
          </w:p>
        </w:tc>
        <w:tc>
          <w:tcPr>
            <w:tcW w:w="0" w:type="auto"/>
            <w:gridSpan w:val="3"/>
            <w:shd w:val="clear" w:color="auto" w:fill="auto"/>
            <w:tcMar>
              <w:top w:w="0" w:type="dxa"/>
              <w:left w:w="20" w:type="dxa"/>
              <w:bottom w:w="0" w:type="dxa"/>
              <w:right w:w="20" w:type="dxa"/>
            </w:tcMar>
            <w:vAlign w:val="bottom"/>
          </w:tcPr>
          <w:p w14:paraId="6753730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30C" w14:textId="77777777" w:rsidR="001B77DD" w:rsidRDefault="00BF0A28">
            <w:pPr>
              <w:jc w:val="right"/>
              <w:textAlignment w:val="bottom"/>
            </w:pPr>
            <w:r>
              <w:rPr>
                <w:rFonts w:ascii="Arial" w:eastAsia="宋体" w:hAnsi="Arial" w:cs="Arial"/>
                <w:color w:val="0068B5"/>
                <w:sz w:val="18"/>
                <w:szCs w:val="18"/>
              </w:rPr>
              <w:t>1,000 </w:t>
            </w:r>
          </w:p>
        </w:tc>
        <w:tc>
          <w:tcPr>
            <w:tcW w:w="0" w:type="auto"/>
            <w:shd w:val="clear" w:color="auto" w:fill="auto"/>
            <w:tcMar>
              <w:top w:w="40" w:type="dxa"/>
              <w:left w:w="0" w:type="dxa"/>
              <w:bottom w:w="40" w:type="dxa"/>
              <w:right w:w="20" w:type="dxa"/>
            </w:tcMar>
            <w:vAlign w:val="bottom"/>
          </w:tcPr>
          <w:p w14:paraId="6753730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0E" w14:textId="77777777" w:rsidR="001B77DD" w:rsidRDefault="001B77DD">
            <w:pPr>
              <w:rPr>
                <w:rFonts w:ascii="宋体"/>
              </w:rPr>
            </w:pPr>
          </w:p>
        </w:tc>
        <w:tc>
          <w:tcPr>
            <w:tcW w:w="0" w:type="auto"/>
            <w:shd w:val="clear" w:color="auto" w:fill="auto"/>
            <w:vAlign w:val="bottom"/>
          </w:tcPr>
          <w:p w14:paraId="6753730F" w14:textId="77777777" w:rsidR="001B77DD" w:rsidRDefault="001B77DD">
            <w:pPr>
              <w:rPr>
                <w:rFonts w:ascii="宋体"/>
                <w:vanish/>
              </w:rPr>
            </w:pPr>
          </w:p>
        </w:tc>
        <w:tc>
          <w:tcPr>
            <w:tcW w:w="0" w:type="auto"/>
            <w:shd w:val="clear" w:color="auto" w:fill="auto"/>
            <w:vAlign w:val="bottom"/>
          </w:tcPr>
          <w:p w14:paraId="6753731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311" w14:textId="77777777" w:rsidR="001B77DD" w:rsidRDefault="00BF0A28">
            <w:pPr>
              <w:jc w:val="right"/>
              <w:textAlignment w:val="bottom"/>
            </w:pPr>
            <w:r>
              <w:rPr>
                <w:rFonts w:ascii="Arial" w:eastAsia="宋体" w:hAnsi="Arial" w:cs="Arial"/>
                <w:color w:val="000000"/>
                <w:sz w:val="18"/>
                <w:szCs w:val="18"/>
              </w:rPr>
              <w:t>1,000 </w:t>
            </w:r>
          </w:p>
        </w:tc>
        <w:tc>
          <w:tcPr>
            <w:tcW w:w="0" w:type="auto"/>
            <w:shd w:val="clear" w:color="auto" w:fill="auto"/>
            <w:tcMar>
              <w:top w:w="40" w:type="dxa"/>
              <w:left w:w="0" w:type="dxa"/>
              <w:bottom w:w="40" w:type="dxa"/>
              <w:right w:w="20" w:type="dxa"/>
            </w:tcMar>
            <w:vAlign w:val="bottom"/>
          </w:tcPr>
          <w:p w14:paraId="67537312" w14:textId="77777777" w:rsidR="001B77DD" w:rsidRDefault="001B77DD">
            <w:pPr>
              <w:jc w:val="right"/>
              <w:rPr>
                <w:rFonts w:ascii="宋体"/>
              </w:rPr>
            </w:pPr>
          </w:p>
        </w:tc>
        <w:tc>
          <w:tcPr>
            <w:tcW w:w="0" w:type="auto"/>
            <w:shd w:val="clear" w:color="auto" w:fill="auto"/>
            <w:vAlign w:val="bottom"/>
          </w:tcPr>
          <w:p w14:paraId="67537313" w14:textId="77777777" w:rsidR="001B77DD" w:rsidRDefault="001B77DD">
            <w:pPr>
              <w:rPr>
                <w:rFonts w:ascii="宋体"/>
                <w:vanish/>
              </w:rPr>
            </w:pPr>
          </w:p>
        </w:tc>
        <w:tc>
          <w:tcPr>
            <w:tcW w:w="0" w:type="auto"/>
            <w:shd w:val="clear" w:color="auto" w:fill="auto"/>
            <w:vAlign w:val="bottom"/>
          </w:tcPr>
          <w:p w14:paraId="67537314" w14:textId="77777777" w:rsidR="001B77DD" w:rsidRDefault="001B77DD">
            <w:pPr>
              <w:rPr>
                <w:rFonts w:ascii="宋体"/>
                <w:vanish/>
              </w:rPr>
            </w:pPr>
          </w:p>
        </w:tc>
        <w:tc>
          <w:tcPr>
            <w:tcW w:w="0" w:type="auto"/>
            <w:shd w:val="clear" w:color="auto" w:fill="auto"/>
            <w:vAlign w:val="bottom"/>
          </w:tcPr>
          <w:p w14:paraId="67537315" w14:textId="77777777" w:rsidR="001B77DD" w:rsidRDefault="001B77DD">
            <w:pPr>
              <w:rPr>
                <w:rFonts w:ascii="宋体"/>
                <w:vanish/>
              </w:rPr>
            </w:pPr>
          </w:p>
        </w:tc>
        <w:tc>
          <w:tcPr>
            <w:tcW w:w="0" w:type="auto"/>
            <w:shd w:val="clear" w:color="auto" w:fill="auto"/>
            <w:vAlign w:val="bottom"/>
          </w:tcPr>
          <w:p w14:paraId="67537316" w14:textId="77777777" w:rsidR="001B77DD" w:rsidRDefault="001B77DD">
            <w:pPr>
              <w:rPr>
                <w:rFonts w:ascii="宋体"/>
                <w:vanish/>
              </w:rPr>
            </w:pPr>
          </w:p>
        </w:tc>
      </w:tr>
      <w:tr w:rsidR="001B77DD" w14:paraId="67537327" w14:textId="77777777">
        <w:tc>
          <w:tcPr>
            <w:tcW w:w="0" w:type="auto"/>
            <w:gridSpan w:val="3"/>
            <w:shd w:val="clear" w:color="auto" w:fill="auto"/>
            <w:tcMar>
              <w:top w:w="40" w:type="dxa"/>
              <w:left w:w="155" w:type="dxa"/>
              <w:bottom w:w="40" w:type="dxa"/>
              <w:right w:w="20" w:type="dxa"/>
            </w:tcMar>
            <w:vAlign w:val="bottom"/>
          </w:tcPr>
          <w:p w14:paraId="67537318" w14:textId="77777777" w:rsidR="001B77DD" w:rsidRDefault="00BF0A28">
            <w:pPr>
              <w:textAlignment w:val="bottom"/>
            </w:pPr>
            <w:r>
              <w:rPr>
                <w:rFonts w:ascii="Arial" w:eastAsia="宋体" w:hAnsi="Arial" w:cs="Arial"/>
                <w:color w:val="262626"/>
                <w:sz w:val="18"/>
                <w:szCs w:val="18"/>
              </w:rPr>
              <w:t xml:space="preserve">3.20%, </w:t>
            </w:r>
            <w:r>
              <w:rPr>
                <w:rFonts w:ascii="Arial" w:eastAsia="宋体" w:hAnsi="Arial" w:cs="Arial"/>
                <w:color w:val="262626"/>
                <w:sz w:val="18"/>
                <w:szCs w:val="18"/>
              </w:rPr>
              <w:t>due August 2061</w:t>
            </w:r>
          </w:p>
        </w:tc>
        <w:tc>
          <w:tcPr>
            <w:tcW w:w="0" w:type="auto"/>
            <w:gridSpan w:val="3"/>
            <w:shd w:val="clear" w:color="auto" w:fill="auto"/>
            <w:tcMar>
              <w:top w:w="0" w:type="dxa"/>
              <w:left w:w="20" w:type="dxa"/>
              <w:bottom w:w="0" w:type="dxa"/>
              <w:right w:w="20" w:type="dxa"/>
            </w:tcMar>
            <w:vAlign w:val="bottom"/>
          </w:tcPr>
          <w:p w14:paraId="6753731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31A" w14:textId="77777777" w:rsidR="001B77DD" w:rsidRDefault="00BF0A28">
            <w:pPr>
              <w:jc w:val="center"/>
              <w:textAlignment w:val="bottom"/>
            </w:pPr>
            <w:r>
              <w:rPr>
                <w:rFonts w:ascii="Arial" w:eastAsia="宋体" w:hAnsi="Arial" w:cs="Arial"/>
                <w:color w:val="0068B5"/>
                <w:sz w:val="18"/>
                <w:szCs w:val="18"/>
              </w:rPr>
              <w:t>3.22%</w:t>
            </w:r>
          </w:p>
        </w:tc>
        <w:tc>
          <w:tcPr>
            <w:tcW w:w="0" w:type="auto"/>
            <w:gridSpan w:val="3"/>
            <w:shd w:val="clear" w:color="auto" w:fill="auto"/>
            <w:tcMar>
              <w:top w:w="0" w:type="dxa"/>
              <w:left w:w="20" w:type="dxa"/>
              <w:bottom w:w="0" w:type="dxa"/>
              <w:right w:w="20" w:type="dxa"/>
            </w:tcMar>
            <w:vAlign w:val="bottom"/>
          </w:tcPr>
          <w:p w14:paraId="6753731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31C" w14:textId="77777777" w:rsidR="001B77DD" w:rsidRDefault="00BF0A28">
            <w:pPr>
              <w:jc w:val="right"/>
              <w:textAlignment w:val="bottom"/>
            </w:pPr>
            <w:r>
              <w:rPr>
                <w:rFonts w:ascii="Arial" w:eastAsia="宋体" w:hAnsi="Arial" w:cs="Arial"/>
                <w:color w:val="0068B5"/>
                <w:sz w:val="18"/>
                <w:szCs w:val="18"/>
              </w:rPr>
              <w:t>750 </w:t>
            </w:r>
          </w:p>
        </w:tc>
        <w:tc>
          <w:tcPr>
            <w:tcW w:w="0" w:type="auto"/>
            <w:shd w:val="clear" w:color="auto" w:fill="auto"/>
            <w:tcMar>
              <w:top w:w="40" w:type="dxa"/>
              <w:left w:w="0" w:type="dxa"/>
              <w:bottom w:w="40" w:type="dxa"/>
              <w:right w:w="20" w:type="dxa"/>
            </w:tcMar>
            <w:vAlign w:val="bottom"/>
          </w:tcPr>
          <w:p w14:paraId="6753731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1E" w14:textId="77777777" w:rsidR="001B77DD" w:rsidRDefault="001B77DD">
            <w:pPr>
              <w:rPr>
                <w:rFonts w:ascii="宋体"/>
              </w:rPr>
            </w:pPr>
          </w:p>
        </w:tc>
        <w:tc>
          <w:tcPr>
            <w:tcW w:w="0" w:type="auto"/>
            <w:shd w:val="clear" w:color="auto" w:fill="auto"/>
            <w:vAlign w:val="bottom"/>
          </w:tcPr>
          <w:p w14:paraId="6753731F" w14:textId="77777777" w:rsidR="001B77DD" w:rsidRDefault="001B77DD">
            <w:pPr>
              <w:rPr>
                <w:rFonts w:ascii="宋体"/>
                <w:vanish/>
              </w:rPr>
            </w:pPr>
          </w:p>
        </w:tc>
        <w:tc>
          <w:tcPr>
            <w:tcW w:w="0" w:type="auto"/>
            <w:shd w:val="clear" w:color="auto" w:fill="auto"/>
            <w:vAlign w:val="bottom"/>
          </w:tcPr>
          <w:p w14:paraId="67537320"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321" w14:textId="77777777" w:rsidR="001B77DD" w:rsidRDefault="00BF0A28">
            <w:pPr>
              <w:jc w:val="right"/>
              <w:textAlignment w:val="bottom"/>
            </w:pPr>
            <w:r>
              <w:rPr>
                <w:rFonts w:ascii="Arial" w:eastAsia="宋体" w:hAnsi="Arial" w:cs="Arial"/>
                <w:color w:val="000000"/>
                <w:sz w:val="18"/>
                <w:szCs w:val="18"/>
              </w:rPr>
              <w:t>— </w:t>
            </w:r>
          </w:p>
        </w:tc>
        <w:tc>
          <w:tcPr>
            <w:tcW w:w="0" w:type="auto"/>
            <w:shd w:val="clear" w:color="auto" w:fill="auto"/>
            <w:tcMar>
              <w:top w:w="40" w:type="dxa"/>
              <w:left w:w="0" w:type="dxa"/>
              <w:bottom w:w="40" w:type="dxa"/>
              <w:right w:w="20" w:type="dxa"/>
            </w:tcMar>
            <w:vAlign w:val="bottom"/>
          </w:tcPr>
          <w:p w14:paraId="67537322" w14:textId="77777777" w:rsidR="001B77DD" w:rsidRDefault="001B77DD">
            <w:pPr>
              <w:jc w:val="right"/>
              <w:rPr>
                <w:rFonts w:ascii="宋体"/>
              </w:rPr>
            </w:pPr>
          </w:p>
        </w:tc>
        <w:tc>
          <w:tcPr>
            <w:tcW w:w="0" w:type="auto"/>
            <w:shd w:val="clear" w:color="auto" w:fill="auto"/>
            <w:vAlign w:val="bottom"/>
          </w:tcPr>
          <w:p w14:paraId="67537323" w14:textId="77777777" w:rsidR="001B77DD" w:rsidRDefault="001B77DD">
            <w:pPr>
              <w:rPr>
                <w:rFonts w:ascii="宋体"/>
                <w:vanish/>
              </w:rPr>
            </w:pPr>
          </w:p>
        </w:tc>
        <w:tc>
          <w:tcPr>
            <w:tcW w:w="0" w:type="auto"/>
            <w:shd w:val="clear" w:color="auto" w:fill="auto"/>
            <w:vAlign w:val="bottom"/>
          </w:tcPr>
          <w:p w14:paraId="67537324" w14:textId="77777777" w:rsidR="001B77DD" w:rsidRDefault="001B77DD">
            <w:pPr>
              <w:rPr>
                <w:rFonts w:ascii="宋体"/>
                <w:vanish/>
              </w:rPr>
            </w:pPr>
          </w:p>
        </w:tc>
        <w:tc>
          <w:tcPr>
            <w:tcW w:w="0" w:type="auto"/>
            <w:shd w:val="clear" w:color="auto" w:fill="auto"/>
            <w:vAlign w:val="bottom"/>
          </w:tcPr>
          <w:p w14:paraId="67537325" w14:textId="77777777" w:rsidR="001B77DD" w:rsidRDefault="001B77DD">
            <w:pPr>
              <w:rPr>
                <w:rFonts w:ascii="宋体"/>
                <w:vanish/>
              </w:rPr>
            </w:pPr>
          </w:p>
        </w:tc>
        <w:tc>
          <w:tcPr>
            <w:tcW w:w="0" w:type="auto"/>
            <w:shd w:val="clear" w:color="auto" w:fill="auto"/>
            <w:vAlign w:val="bottom"/>
          </w:tcPr>
          <w:p w14:paraId="67537326" w14:textId="77777777" w:rsidR="001B77DD" w:rsidRDefault="001B77DD">
            <w:pPr>
              <w:rPr>
                <w:rFonts w:ascii="宋体"/>
                <w:vanish/>
              </w:rPr>
            </w:pPr>
          </w:p>
        </w:tc>
      </w:tr>
      <w:tr w:rsidR="001B77DD" w14:paraId="67537335" w14:textId="77777777">
        <w:tc>
          <w:tcPr>
            <w:tcW w:w="0" w:type="auto"/>
            <w:gridSpan w:val="3"/>
            <w:shd w:val="clear" w:color="auto" w:fill="auto"/>
            <w:tcMar>
              <w:top w:w="40" w:type="dxa"/>
              <w:left w:w="20" w:type="dxa"/>
              <w:bottom w:w="40" w:type="dxa"/>
              <w:right w:w="20" w:type="dxa"/>
            </w:tcMar>
            <w:vAlign w:val="bottom"/>
          </w:tcPr>
          <w:p w14:paraId="67537328" w14:textId="77777777" w:rsidR="001B77DD" w:rsidRDefault="00BF0A28">
            <w:pPr>
              <w:textAlignment w:val="bottom"/>
            </w:pPr>
            <w:r>
              <w:rPr>
                <w:rFonts w:ascii="Arial" w:eastAsia="宋体" w:hAnsi="Arial" w:cs="Arial"/>
                <w:color w:val="262626"/>
                <w:sz w:val="18"/>
                <w:szCs w:val="18"/>
              </w:rPr>
              <w:t xml:space="preserve">Oregon </w:t>
            </w:r>
            <w:r>
              <w:rPr>
                <w:rFonts w:ascii="Arial" w:eastAsia="宋体" w:hAnsi="Arial" w:cs="Arial"/>
                <w:color w:val="262626"/>
                <w:sz w:val="18"/>
                <w:szCs w:val="18"/>
              </w:rPr>
              <w:t>and Arizona bonds:</w:t>
            </w:r>
          </w:p>
        </w:tc>
        <w:tc>
          <w:tcPr>
            <w:tcW w:w="0" w:type="auto"/>
            <w:gridSpan w:val="3"/>
            <w:shd w:val="clear" w:color="auto" w:fill="auto"/>
            <w:tcMar>
              <w:top w:w="0" w:type="dxa"/>
              <w:left w:w="20" w:type="dxa"/>
              <w:bottom w:w="0" w:type="dxa"/>
              <w:right w:w="20" w:type="dxa"/>
            </w:tcMar>
            <w:vAlign w:val="bottom"/>
          </w:tcPr>
          <w:p w14:paraId="6753732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2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2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2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2D" w14:textId="77777777" w:rsidR="001B77DD" w:rsidRDefault="001B77DD">
            <w:pPr>
              <w:rPr>
                <w:rFonts w:ascii="宋体"/>
              </w:rPr>
            </w:pPr>
          </w:p>
        </w:tc>
        <w:tc>
          <w:tcPr>
            <w:tcW w:w="0" w:type="auto"/>
            <w:shd w:val="clear" w:color="auto" w:fill="auto"/>
            <w:vAlign w:val="bottom"/>
          </w:tcPr>
          <w:p w14:paraId="6753732E" w14:textId="77777777" w:rsidR="001B77DD" w:rsidRDefault="001B77DD">
            <w:pPr>
              <w:rPr>
                <w:rFonts w:ascii="宋体"/>
                <w:vanish/>
              </w:rPr>
            </w:pPr>
          </w:p>
        </w:tc>
        <w:tc>
          <w:tcPr>
            <w:tcW w:w="0" w:type="auto"/>
            <w:shd w:val="clear" w:color="auto" w:fill="auto"/>
            <w:vAlign w:val="bottom"/>
          </w:tcPr>
          <w:p w14:paraId="6753732F" w14:textId="77777777" w:rsidR="001B77DD" w:rsidRDefault="001B77DD">
            <w:pPr>
              <w:rPr>
                <w:rFonts w:ascii="宋体"/>
                <w:vanish/>
              </w:rPr>
            </w:pPr>
          </w:p>
        </w:tc>
        <w:tc>
          <w:tcPr>
            <w:tcW w:w="0" w:type="auto"/>
            <w:gridSpan w:val="3"/>
            <w:shd w:val="clear" w:color="auto" w:fill="auto"/>
            <w:tcMar>
              <w:top w:w="0" w:type="dxa"/>
              <w:left w:w="20" w:type="dxa"/>
              <w:bottom w:w="0" w:type="dxa"/>
              <w:right w:w="20" w:type="dxa"/>
            </w:tcMar>
            <w:vAlign w:val="bottom"/>
          </w:tcPr>
          <w:p w14:paraId="67537330" w14:textId="77777777" w:rsidR="001B77DD" w:rsidRDefault="001B77DD">
            <w:pPr>
              <w:rPr>
                <w:rFonts w:ascii="宋体"/>
              </w:rPr>
            </w:pPr>
          </w:p>
        </w:tc>
        <w:tc>
          <w:tcPr>
            <w:tcW w:w="0" w:type="auto"/>
            <w:shd w:val="clear" w:color="auto" w:fill="auto"/>
            <w:vAlign w:val="bottom"/>
          </w:tcPr>
          <w:p w14:paraId="67537331" w14:textId="77777777" w:rsidR="001B77DD" w:rsidRDefault="001B77DD">
            <w:pPr>
              <w:rPr>
                <w:rFonts w:ascii="宋体"/>
                <w:vanish/>
              </w:rPr>
            </w:pPr>
          </w:p>
        </w:tc>
        <w:tc>
          <w:tcPr>
            <w:tcW w:w="0" w:type="auto"/>
            <w:shd w:val="clear" w:color="auto" w:fill="auto"/>
            <w:vAlign w:val="bottom"/>
          </w:tcPr>
          <w:p w14:paraId="67537332" w14:textId="77777777" w:rsidR="001B77DD" w:rsidRDefault="001B77DD">
            <w:pPr>
              <w:rPr>
                <w:rFonts w:ascii="宋体"/>
                <w:vanish/>
              </w:rPr>
            </w:pPr>
          </w:p>
        </w:tc>
        <w:tc>
          <w:tcPr>
            <w:tcW w:w="0" w:type="auto"/>
            <w:shd w:val="clear" w:color="auto" w:fill="auto"/>
            <w:vAlign w:val="bottom"/>
          </w:tcPr>
          <w:p w14:paraId="67537333" w14:textId="77777777" w:rsidR="001B77DD" w:rsidRDefault="001B77DD">
            <w:pPr>
              <w:rPr>
                <w:rFonts w:ascii="宋体"/>
                <w:vanish/>
              </w:rPr>
            </w:pPr>
          </w:p>
        </w:tc>
        <w:tc>
          <w:tcPr>
            <w:tcW w:w="0" w:type="auto"/>
            <w:shd w:val="clear" w:color="auto" w:fill="auto"/>
            <w:vAlign w:val="bottom"/>
          </w:tcPr>
          <w:p w14:paraId="67537334" w14:textId="77777777" w:rsidR="001B77DD" w:rsidRDefault="001B77DD">
            <w:pPr>
              <w:rPr>
                <w:rFonts w:ascii="宋体"/>
                <w:vanish/>
              </w:rPr>
            </w:pPr>
          </w:p>
        </w:tc>
      </w:tr>
      <w:tr w:rsidR="001B77DD" w14:paraId="67537345" w14:textId="77777777">
        <w:tc>
          <w:tcPr>
            <w:tcW w:w="0" w:type="auto"/>
            <w:gridSpan w:val="3"/>
            <w:shd w:val="clear" w:color="auto" w:fill="auto"/>
            <w:tcMar>
              <w:top w:w="40" w:type="dxa"/>
              <w:left w:w="155" w:type="dxa"/>
              <w:bottom w:w="40" w:type="dxa"/>
              <w:right w:w="20" w:type="dxa"/>
            </w:tcMar>
            <w:vAlign w:val="bottom"/>
          </w:tcPr>
          <w:p w14:paraId="67537336" w14:textId="77777777" w:rsidR="001B77DD" w:rsidRDefault="00BF0A28">
            <w:pPr>
              <w:textAlignment w:val="bottom"/>
            </w:pPr>
            <w:r>
              <w:rPr>
                <w:rFonts w:ascii="Arial" w:eastAsia="宋体" w:hAnsi="Arial" w:cs="Arial"/>
                <w:color w:val="262626"/>
                <w:sz w:val="18"/>
                <w:szCs w:val="18"/>
              </w:rPr>
              <w:t>2.40% - 2.70%, due December 2035 - 2040</w:t>
            </w:r>
          </w:p>
        </w:tc>
        <w:tc>
          <w:tcPr>
            <w:tcW w:w="0" w:type="auto"/>
            <w:gridSpan w:val="3"/>
            <w:shd w:val="clear" w:color="auto" w:fill="auto"/>
            <w:tcMar>
              <w:top w:w="0" w:type="dxa"/>
              <w:left w:w="20" w:type="dxa"/>
              <w:bottom w:w="0" w:type="dxa"/>
              <w:right w:w="20" w:type="dxa"/>
            </w:tcMar>
            <w:vAlign w:val="bottom"/>
          </w:tcPr>
          <w:p w14:paraId="6753733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338" w14:textId="77777777" w:rsidR="001B77DD" w:rsidRDefault="00BF0A28">
            <w:pPr>
              <w:jc w:val="center"/>
              <w:textAlignment w:val="bottom"/>
            </w:pPr>
            <w:r>
              <w:rPr>
                <w:rFonts w:ascii="Arial" w:eastAsia="宋体" w:hAnsi="Arial" w:cs="Arial"/>
                <w:color w:val="0068B5"/>
                <w:sz w:val="18"/>
                <w:szCs w:val="18"/>
              </w:rPr>
              <w:t>2.49%</w:t>
            </w:r>
          </w:p>
        </w:tc>
        <w:tc>
          <w:tcPr>
            <w:tcW w:w="0" w:type="auto"/>
            <w:gridSpan w:val="3"/>
            <w:shd w:val="clear" w:color="auto" w:fill="auto"/>
            <w:tcMar>
              <w:top w:w="0" w:type="dxa"/>
              <w:left w:w="20" w:type="dxa"/>
              <w:bottom w:w="0" w:type="dxa"/>
              <w:right w:w="20" w:type="dxa"/>
            </w:tcMar>
            <w:vAlign w:val="bottom"/>
          </w:tcPr>
          <w:p w14:paraId="6753733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33A" w14:textId="77777777" w:rsidR="001B77DD" w:rsidRDefault="00BF0A28">
            <w:pPr>
              <w:jc w:val="right"/>
              <w:textAlignment w:val="bottom"/>
            </w:pPr>
            <w:r>
              <w:rPr>
                <w:rFonts w:ascii="Arial" w:eastAsia="宋体" w:hAnsi="Arial" w:cs="Arial"/>
                <w:color w:val="0068B5"/>
                <w:sz w:val="18"/>
                <w:szCs w:val="18"/>
              </w:rPr>
              <w:t>423 </w:t>
            </w:r>
          </w:p>
        </w:tc>
        <w:tc>
          <w:tcPr>
            <w:tcW w:w="0" w:type="auto"/>
            <w:shd w:val="clear" w:color="auto" w:fill="auto"/>
            <w:tcMar>
              <w:top w:w="40" w:type="dxa"/>
              <w:left w:w="0" w:type="dxa"/>
              <w:bottom w:w="40" w:type="dxa"/>
              <w:right w:w="20" w:type="dxa"/>
            </w:tcMar>
            <w:vAlign w:val="bottom"/>
          </w:tcPr>
          <w:p w14:paraId="6753733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3C" w14:textId="77777777" w:rsidR="001B77DD" w:rsidRDefault="001B77DD">
            <w:pPr>
              <w:rPr>
                <w:rFonts w:ascii="宋体"/>
              </w:rPr>
            </w:pPr>
          </w:p>
        </w:tc>
        <w:tc>
          <w:tcPr>
            <w:tcW w:w="0" w:type="auto"/>
            <w:shd w:val="clear" w:color="auto" w:fill="auto"/>
            <w:vAlign w:val="bottom"/>
          </w:tcPr>
          <w:p w14:paraId="6753733D" w14:textId="77777777" w:rsidR="001B77DD" w:rsidRDefault="001B77DD">
            <w:pPr>
              <w:rPr>
                <w:rFonts w:ascii="宋体"/>
                <w:vanish/>
              </w:rPr>
            </w:pPr>
          </w:p>
        </w:tc>
        <w:tc>
          <w:tcPr>
            <w:tcW w:w="0" w:type="auto"/>
            <w:shd w:val="clear" w:color="auto" w:fill="auto"/>
            <w:vAlign w:val="bottom"/>
          </w:tcPr>
          <w:p w14:paraId="6753733E"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33F" w14:textId="77777777" w:rsidR="001B77DD" w:rsidRDefault="00BF0A28">
            <w:pPr>
              <w:jc w:val="right"/>
              <w:textAlignment w:val="bottom"/>
            </w:pPr>
            <w:r>
              <w:rPr>
                <w:rFonts w:ascii="Arial" w:eastAsia="宋体" w:hAnsi="Arial" w:cs="Arial"/>
                <w:color w:val="000000"/>
                <w:sz w:val="18"/>
                <w:szCs w:val="18"/>
              </w:rPr>
              <w:t>423 </w:t>
            </w:r>
          </w:p>
        </w:tc>
        <w:tc>
          <w:tcPr>
            <w:tcW w:w="0" w:type="auto"/>
            <w:shd w:val="clear" w:color="auto" w:fill="auto"/>
            <w:tcMar>
              <w:top w:w="40" w:type="dxa"/>
              <w:left w:w="0" w:type="dxa"/>
              <w:bottom w:w="40" w:type="dxa"/>
              <w:right w:w="20" w:type="dxa"/>
            </w:tcMar>
            <w:vAlign w:val="bottom"/>
          </w:tcPr>
          <w:p w14:paraId="67537340" w14:textId="77777777" w:rsidR="001B77DD" w:rsidRDefault="001B77DD">
            <w:pPr>
              <w:jc w:val="right"/>
              <w:rPr>
                <w:rFonts w:ascii="宋体"/>
              </w:rPr>
            </w:pPr>
          </w:p>
        </w:tc>
        <w:tc>
          <w:tcPr>
            <w:tcW w:w="0" w:type="auto"/>
            <w:shd w:val="clear" w:color="auto" w:fill="auto"/>
            <w:vAlign w:val="bottom"/>
          </w:tcPr>
          <w:p w14:paraId="67537341" w14:textId="77777777" w:rsidR="001B77DD" w:rsidRDefault="001B77DD">
            <w:pPr>
              <w:rPr>
                <w:rFonts w:ascii="宋体"/>
                <w:vanish/>
              </w:rPr>
            </w:pPr>
          </w:p>
        </w:tc>
        <w:tc>
          <w:tcPr>
            <w:tcW w:w="0" w:type="auto"/>
            <w:shd w:val="clear" w:color="auto" w:fill="auto"/>
            <w:vAlign w:val="bottom"/>
          </w:tcPr>
          <w:p w14:paraId="67537342" w14:textId="77777777" w:rsidR="001B77DD" w:rsidRDefault="001B77DD">
            <w:pPr>
              <w:rPr>
                <w:rFonts w:ascii="宋体"/>
                <w:vanish/>
              </w:rPr>
            </w:pPr>
          </w:p>
        </w:tc>
        <w:tc>
          <w:tcPr>
            <w:tcW w:w="0" w:type="auto"/>
            <w:shd w:val="clear" w:color="auto" w:fill="auto"/>
            <w:vAlign w:val="bottom"/>
          </w:tcPr>
          <w:p w14:paraId="67537343" w14:textId="77777777" w:rsidR="001B77DD" w:rsidRDefault="001B77DD">
            <w:pPr>
              <w:rPr>
                <w:rFonts w:ascii="宋体"/>
                <w:vanish/>
              </w:rPr>
            </w:pPr>
          </w:p>
        </w:tc>
        <w:tc>
          <w:tcPr>
            <w:tcW w:w="0" w:type="auto"/>
            <w:shd w:val="clear" w:color="auto" w:fill="auto"/>
            <w:vAlign w:val="bottom"/>
          </w:tcPr>
          <w:p w14:paraId="67537344" w14:textId="77777777" w:rsidR="001B77DD" w:rsidRDefault="001B77DD">
            <w:pPr>
              <w:rPr>
                <w:rFonts w:ascii="宋体"/>
                <w:vanish/>
              </w:rPr>
            </w:pPr>
          </w:p>
        </w:tc>
      </w:tr>
      <w:tr w:rsidR="001B77DD" w14:paraId="67537355" w14:textId="77777777">
        <w:tc>
          <w:tcPr>
            <w:tcW w:w="0" w:type="auto"/>
            <w:gridSpan w:val="3"/>
            <w:shd w:val="clear" w:color="auto" w:fill="auto"/>
            <w:tcMar>
              <w:top w:w="40" w:type="dxa"/>
              <w:left w:w="155" w:type="dxa"/>
              <w:bottom w:w="40" w:type="dxa"/>
              <w:right w:w="20" w:type="dxa"/>
            </w:tcMar>
            <w:vAlign w:val="bottom"/>
          </w:tcPr>
          <w:p w14:paraId="67537346" w14:textId="77777777" w:rsidR="001B77DD" w:rsidRDefault="00BF0A28">
            <w:pPr>
              <w:textAlignment w:val="bottom"/>
            </w:pPr>
            <w:r>
              <w:rPr>
                <w:rFonts w:ascii="Arial" w:eastAsia="宋体" w:hAnsi="Arial" w:cs="Arial"/>
                <w:color w:val="262626"/>
                <w:sz w:val="18"/>
                <w:szCs w:val="18"/>
              </w:rPr>
              <w:t xml:space="preserve">5.00%, </w:t>
            </w:r>
            <w:r>
              <w:rPr>
                <w:rFonts w:ascii="Arial" w:eastAsia="宋体" w:hAnsi="Arial" w:cs="Arial"/>
                <w:color w:val="262626"/>
                <w:sz w:val="18"/>
                <w:szCs w:val="18"/>
              </w:rPr>
              <w:t>due March 2049</w:t>
            </w:r>
          </w:p>
        </w:tc>
        <w:tc>
          <w:tcPr>
            <w:tcW w:w="0" w:type="auto"/>
            <w:gridSpan w:val="3"/>
            <w:shd w:val="clear" w:color="auto" w:fill="auto"/>
            <w:tcMar>
              <w:top w:w="0" w:type="dxa"/>
              <w:left w:w="20" w:type="dxa"/>
              <w:bottom w:w="0" w:type="dxa"/>
              <w:right w:w="20" w:type="dxa"/>
            </w:tcMar>
            <w:vAlign w:val="bottom"/>
          </w:tcPr>
          <w:p w14:paraId="6753734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348" w14:textId="77777777" w:rsidR="001B77DD" w:rsidRDefault="00BF0A28">
            <w:pPr>
              <w:jc w:val="center"/>
              <w:textAlignment w:val="bottom"/>
            </w:pPr>
            <w:r>
              <w:rPr>
                <w:rFonts w:ascii="Arial" w:eastAsia="宋体" w:hAnsi="Arial" w:cs="Arial"/>
                <w:color w:val="0068B5"/>
                <w:sz w:val="18"/>
                <w:szCs w:val="18"/>
              </w:rPr>
              <w:t>2.13%</w:t>
            </w:r>
          </w:p>
        </w:tc>
        <w:tc>
          <w:tcPr>
            <w:tcW w:w="0" w:type="auto"/>
            <w:gridSpan w:val="3"/>
            <w:shd w:val="clear" w:color="auto" w:fill="auto"/>
            <w:tcMar>
              <w:top w:w="0" w:type="dxa"/>
              <w:left w:w="20" w:type="dxa"/>
              <w:bottom w:w="0" w:type="dxa"/>
              <w:right w:w="20" w:type="dxa"/>
            </w:tcMar>
            <w:vAlign w:val="bottom"/>
          </w:tcPr>
          <w:p w14:paraId="6753734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34A" w14:textId="77777777" w:rsidR="001B77DD" w:rsidRDefault="00BF0A28">
            <w:pPr>
              <w:jc w:val="right"/>
              <w:textAlignment w:val="bottom"/>
            </w:pPr>
            <w:r>
              <w:rPr>
                <w:rFonts w:ascii="Arial" w:eastAsia="宋体" w:hAnsi="Arial" w:cs="Arial"/>
                <w:color w:val="0068B5"/>
                <w:sz w:val="18"/>
                <w:szCs w:val="18"/>
              </w:rPr>
              <w:t>138 </w:t>
            </w:r>
          </w:p>
        </w:tc>
        <w:tc>
          <w:tcPr>
            <w:tcW w:w="0" w:type="auto"/>
            <w:shd w:val="clear" w:color="auto" w:fill="auto"/>
            <w:tcMar>
              <w:top w:w="40" w:type="dxa"/>
              <w:left w:w="0" w:type="dxa"/>
              <w:bottom w:w="40" w:type="dxa"/>
              <w:right w:w="20" w:type="dxa"/>
            </w:tcMar>
            <w:vAlign w:val="bottom"/>
          </w:tcPr>
          <w:p w14:paraId="6753734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4C" w14:textId="77777777" w:rsidR="001B77DD" w:rsidRDefault="001B77DD">
            <w:pPr>
              <w:rPr>
                <w:rFonts w:ascii="宋体"/>
              </w:rPr>
            </w:pPr>
          </w:p>
        </w:tc>
        <w:tc>
          <w:tcPr>
            <w:tcW w:w="0" w:type="auto"/>
            <w:shd w:val="clear" w:color="auto" w:fill="auto"/>
            <w:vAlign w:val="bottom"/>
          </w:tcPr>
          <w:p w14:paraId="6753734D" w14:textId="77777777" w:rsidR="001B77DD" w:rsidRDefault="001B77DD">
            <w:pPr>
              <w:rPr>
                <w:rFonts w:ascii="宋体"/>
                <w:vanish/>
              </w:rPr>
            </w:pPr>
          </w:p>
        </w:tc>
        <w:tc>
          <w:tcPr>
            <w:tcW w:w="0" w:type="auto"/>
            <w:shd w:val="clear" w:color="auto" w:fill="auto"/>
            <w:vAlign w:val="bottom"/>
          </w:tcPr>
          <w:p w14:paraId="6753734E"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34F" w14:textId="77777777" w:rsidR="001B77DD" w:rsidRDefault="00BF0A28">
            <w:pPr>
              <w:jc w:val="right"/>
              <w:textAlignment w:val="bottom"/>
            </w:pPr>
            <w:r>
              <w:rPr>
                <w:rFonts w:ascii="Arial" w:eastAsia="宋体" w:hAnsi="Arial" w:cs="Arial"/>
                <w:color w:val="000000"/>
                <w:sz w:val="18"/>
                <w:szCs w:val="18"/>
              </w:rPr>
              <w:t>138 </w:t>
            </w:r>
          </w:p>
        </w:tc>
        <w:tc>
          <w:tcPr>
            <w:tcW w:w="0" w:type="auto"/>
            <w:shd w:val="clear" w:color="auto" w:fill="auto"/>
            <w:tcMar>
              <w:top w:w="40" w:type="dxa"/>
              <w:left w:w="0" w:type="dxa"/>
              <w:bottom w:w="40" w:type="dxa"/>
              <w:right w:w="20" w:type="dxa"/>
            </w:tcMar>
            <w:vAlign w:val="bottom"/>
          </w:tcPr>
          <w:p w14:paraId="67537350" w14:textId="77777777" w:rsidR="001B77DD" w:rsidRDefault="001B77DD">
            <w:pPr>
              <w:jc w:val="right"/>
              <w:rPr>
                <w:rFonts w:ascii="宋体"/>
              </w:rPr>
            </w:pPr>
          </w:p>
        </w:tc>
        <w:tc>
          <w:tcPr>
            <w:tcW w:w="0" w:type="auto"/>
            <w:shd w:val="clear" w:color="auto" w:fill="auto"/>
            <w:vAlign w:val="bottom"/>
          </w:tcPr>
          <w:p w14:paraId="67537351" w14:textId="77777777" w:rsidR="001B77DD" w:rsidRDefault="001B77DD">
            <w:pPr>
              <w:rPr>
                <w:rFonts w:ascii="宋体"/>
                <w:vanish/>
              </w:rPr>
            </w:pPr>
          </w:p>
        </w:tc>
        <w:tc>
          <w:tcPr>
            <w:tcW w:w="0" w:type="auto"/>
            <w:shd w:val="clear" w:color="auto" w:fill="auto"/>
            <w:vAlign w:val="bottom"/>
          </w:tcPr>
          <w:p w14:paraId="67537352" w14:textId="77777777" w:rsidR="001B77DD" w:rsidRDefault="001B77DD">
            <w:pPr>
              <w:rPr>
                <w:rFonts w:ascii="宋体"/>
                <w:vanish/>
              </w:rPr>
            </w:pPr>
          </w:p>
        </w:tc>
        <w:tc>
          <w:tcPr>
            <w:tcW w:w="0" w:type="auto"/>
            <w:shd w:val="clear" w:color="auto" w:fill="auto"/>
            <w:vAlign w:val="bottom"/>
          </w:tcPr>
          <w:p w14:paraId="67537353" w14:textId="77777777" w:rsidR="001B77DD" w:rsidRDefault="001B77DD">
            <w:pPr>
              <w:rPr>
                <w:rFonts w:ascii="宋体"/>
                <w:vanish/>
              </w:rPr>
            </w:pPr>
          </w:p>
        </w:tc>
        <w:tc>
          <w:tcPr>
            <w:tcW w:w="0" w:type="auto"/>
            <w:shd w:val="clear" w:color="auto" w:fill="auto"/>
            <w:vAlign w:val="bottom"/>
          </w:tcPr>
          <w:p w14:paraId="67537354" w14:textId="77777777" w:rsidR="001B77DD" w:rsidRDefault="001B77DD">
            <w:pPr>
              <w:rPr>
                <w:rFonts w:ascii="宋体"/>
                <w:vanish/>
              </w:rPr>
            </w:pPr>
          </w:p>
        </w:tc>
      </w:tr>
      <w:tr w:rsidR="001B77DD" w14:paraId="67537365" w14:textId="77777777">
        <w:tc>
          <w:tcPr>
            <w:tcW w:w="0" w:type="auto"/>
            <w:gridSpan w:val="3"/>
            <w:shd w:val="clear" w:color="auto" w:fill="auto"/>
            <w:tcMar>
              <w:top w:w="40" w:type="dxa"/>
              <w:left w:w="155" w:type="dxa"/>
              <w:bottom w:w="40" w:type="dxa"/>
              <w:right w:w="20" w:type="dxa"/>
            </w:tcMar>
            <w:vAlign w:val="bottom"/>
          </w:tcPr>
          <w:p w14:paraId="67537356" w14:textId="77777777" w:rsidR="001B77DD" w:rsidRDefault="00BF0A28">
            <w:pPr>
              <w:textAlignment w:val="bottom"/>
            </w:pPr>
            <w:r>
              <w:rPr>
                <w:rFonts w:ascii="Arial" w:eastAsia="宋体" w:hAnsi="Arial" w:cs="Arial"/>
                <w:color w:val="262626"/>
                <w:sz w:val="18"/>
                <w:szCs w:val="18"/>
              </w:rPr>
              <w:t xml:space="preserve">5.00%, </w:t>
            </w:r>
            <w:r>
              <w:rPr>
                <w:rFonts w:ascii="Arial" w:eastAsia="宋体" w:hAnsi="Arial" w:cs="Arial"/>
                <w:color w:val="262626"/>
                <w:sz w:val="18"/>
                <w:szCs w:val="18"/>
              </w:rPr>
              <w:t>due June 2049</w:t>
            </w:r>
          </w:p>
        </w:tc>
        <w:tc>
          <w:tcPr>
            <w:tcW w:w="0" w:type="auto"/>
            <w:gridSpan w:val="3"/>
            <w:shd w:val="clear" w:color="auto" w:fill="auto"/>
            <w:tcMar>
              <w:top w:w="0" w:type="dxa"/>
              <w:left w:w="20" w:type="dxa"/>
              <w:bottom w:w="0" w:type="dxa"/>
              <w:right w:w="20" w:type="dxa"/>
            </w:tcMar>
            <w:vAlign w:val="bottom"/>
          </w:tcPr>
          <w:p w14:paraId="6753735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358" w14:textId="77777777" w:rsidR="001B77DD" w:rsidRDefault="00BF0A28">
            <w:pPr>
              <w:jc w:val="center"/>
              <w:textAlignment w:val="bottom"/>
            </w:pPr>
            <w:r>
              <w:rPr>
                <w:rFonts w:ascii="Arial" w:eastAsia="宋体" w:hAnsi="Arial" w:cs="Arial"/>
                <w:color w:val="0068B5"/>
                <w:sz w:val="18"/>
                <w:szCs w:val="18"/>
              </w:rPr>
              <w:t>2.15%</w:t>
            </w:r>
          </w:p>
        </w:tc>
        <w:tc>
          <w:tcPr>
            <w:tcW w:w="0" w:type="auto"/>
            <w:gridSpan w:val="3"/>
            <w:shd w:val="clear" w:color="auto" w:fill="auto"/>
            <w:tcMar>
              <w:top w:w="0" w:type="dxa"/>
              <w:left w:w="20" w:type="dxa"/>
              <w:bottom w:w="0" w:type="dxa"/>
              <w:right w:w="20" w:type="dxa"/>
            </w:tcMar>
            <w:vAlign w:val="bottom"/>
          </w:tcPr>
          <w:p w14:paraId="6753735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35A" w14:textId="77777777" w:rsidR="001B77DD" w:rsidRDefault="00BF0A28">
            <w:pPr>
              <w:jc w:val="right"/>
              <w:textAlignment w:val="bottom"/>
            </w:pPr>
            <w:r>
              <w:rPr>
                <w:rFonts w:ascii="Arial" w:eastAsia="宋体" w:hAnsi="Arial" w:cs="Arial"/>
                <w:color w:val="0068B5"/>
                <w:sz w:val="18"/>
                <w:szCs w:val="18"/>
              </w:rPr>
              <w:t>438 </w:t>
            </w:r>
          </w:p>
        </w:tc>
        <w:tc>
          <w:tcPr>
            <w:tcW w:w="0" w:type="auto"/>
            <w:shd w:val="clear" w:color="auto" w:fill="auto"/>
            <w:tcMar>
              <w:top w:w="40" w:type="dxa"/>
              <w:left w:w="0" w:type="dxa"/>
              <w:bottom w:w="40" w:type="dxa"/>
              <w:right w:w="20" w:type="dxa"/>
            </w:tcMar>
            <w:vAlign w:val="bottom"/>
          </w:tcPr>
          <w:p w14:paraId="6753735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5C" w14:textId="77777777" w:rsidR="001B77DD" w:rsidRDefault="001B77DD">
            <w:pPr>
              <w:rPr>
                <w:rFonts w:ascii="宋体"/>
              </w:rPr>
            </w:pPr>
          </w:p>
        </w:tc>
        <w:tc>
          <w:tcPr>
            <w:tcW w:w="0" w:type="auto"/>
            <w:shd w:val="clear" w:color="auto" w:fill="auto"/>
            <w:vAlign w:val="bottom"/>
          </w:tcPr>
          <w:p w14:paraId="6753735D" w14:textId="77777777" w:rsidR="001B77DD" w:rsidRDefault="001B77DD">
            <w:pPr>
              <w:rPr>
                <w:rFonts w:ascii="宋体"/>
                <w:vanish/>
              </w:rPr>
            </w:pPr>
          </w:p>
        </w:tc>
        <w:tc>
          <w:tcPr>
            <w:tcW w:w="0" w:type="auto"/>
            <w:shd w:val="clear" w:color="auto" w:fill="auto"/>
            <w:vAlign w:val="bottom"/>
          </w:tcPr>
          <w:p w14:paraId="6753735E"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35F" w14:textId="77777777" w:rsidR="001B77DD" w:rsidRDefault="00BF0A28">
            <w:pPr>
              <w:jc w:val="right"/>
              <w:textAlignment w:val="bottom"/>
            </w:pPr>
            <w:r>
              <w:rPr>
                <w:rFonts w:ascii="Arial" w:eastAsia="宋体" w:hAnsi="Arial" w:cs="Arial"/>
                <w:color w:val="000000"/>
                <w:sz w:val="18"/>
                <w:szCs w:val="18"/>
              </w:rPr>
              <w:t>438 </w:t>
            </w:r>
          </w:p>
        </w:tc>
        <w:tc>
          <w:tcPr>
            <w:tcW w:w="0" w:type="auto"/>
            <w:shd w:val="clear" w:color="auto" w:fill="auto"/>
            <w:tcMar>
              <w:top w:w="40" w:type="dxa"/>
              <w:left w:w="0" w:type="dxa"/>
              <w:bottom w:w="40" w:type="dxa"/>
              <w:right w:w="20" w:type="dxa"/>
            </w:tcMar>
            <w:vAlign w:val="bottom"/>
          </w:tcPr>
          <w:p w14:paraId="67537360" w14:textId="77777777" w:rsidR="001B77DD" w:rsidRDefault="001B77DD">
            <w:pPr>
              <w:jc w:val="right"/>
              <w:rPr>
                <w:rFonts w:ascii="宋体"/>
              </w:rPr>
            </w:pPr>
          </w:p>
        </w:tc>
        <w:tc>
          <w:tcPr>
            <w:tcW w:w="0" w:type="auto"/>
            <w:shd w:val="clear" w:color="auto" w:fill="auto"/>
            <w:vAlign w:val="bottom"/>
          </w:tcPr>
          <w:p w14:paraId="67537361" w14:textId="77777777" w:rsidR="001B77DD" w:rsidRDefault="001B77DD">
            <w:pPr>
              <w:rPr>
                <w:rFonts w:ascii="宋体"/>
                <w:vanish/>
              </w:rPr>
            </w:pPr>
          </w:p>
        </w:tc>
        <w:tc>
          <w:tcPr>
            <w:tcW w:w="0" w:type="auto"/>
            <w:shd w:val="clear" w:color="auto" w:fill="auto"/>
            <w:vAlign w:val="bottom"/>
          </w:tcPr>
          <w:p w14:paraId="67537362" w14:textId="77777777" w:rsidR="001B77DD" w:rsidRDefault="001B77DD">
            <w:pPr>
              <w:rPr>
                <w:rFonts w:ascii="宋体"/>
                <w:vanish/>
              </w:rPr>
            </w:pPr>
          </w:p>
        </w:tc>
        <w:tc>
          <w:tcPr>
            <w:tcW w:w="0" w:type="auto"/>
            <w:shd w:val="clear" w:color="auto" w:fill="auto"/>
            <w:vAlign w:val="bottom"/>
          </w:tcPr>
          <w:p w14:paraId="67537363" w14:textId="77777777" w:rsidR="001B77DD" w:rsidRDefault="001B77DD">
            <w:pPr>
              <w:rPr>
                <w:rFonts w:ascii="宋体"/>
                <w:vanish/>
              </w:rPr>
            </w:pPr>
          </w:p>
        </w:tc>
        <w:tc>
          <w:tcPr>
            <w:tcW w:w="0" w:type="auto"/>
            <w:shd w:val="clear" w:color="auto" w:fill="auto"/>
            <w:vAlign w:val="bottom"/>
          </w:tcPr>
          <w:p w14:paraId="67537364" w14:textId="77777777" w:rsidR="001B77DD" w:rsidRDefault="001B77DD">
            <w:pPr>
              <w:rPr>
                <w:rFonts w:ascii="宋体"/>
                <w:vanish/>
              </w:rPr>
            </w:pPr>
          </w:p>
        </w:tc>
      </w:tr>
      <w:tr w:rsidR="001B77DD" w14:paraId="67537375" w14:textId="77777777">
        <w:tc>
          <w:tcPr>
            <w:tcW w:w="0" w:type="auto"/>
            <w:gridSpan w:val="3"/>
            <w:shd w:val="clear" w:color="auto" w:fill="auto"/>
            <w:tcMar>
              <w:top w:w="40" w:type="dxa"/>
              <w:left w:w="20" w:type="dxa"/>
              <w:bottom w:w="40" w:type="dxa"/>
              <w:right w:w="20" w:type="dxa"/>
            </w:tcMar>
            <w:vAlign w:val="bottom"/>
          </w:tcPr>
          <w:p w14:paraId="67537366" w14:textId="77777777" w:rsidR="001B77DD" w:rsidRDefault="00BF0A28">
            <w:pPr>
              <w:textAlignment w:val="bottom"/>
            </w:pPr>
            <w:r>
              <w:rPr>
                <w:rFonts w:ascii="Arial" w:eastAsia="宋体" w:hAnsi="Arial" w:cs="Arial"/>
                <w:b/>
                <w:bCs/>
                <w:color w:val="262626"/>
                <w:sz w:val="18"/>
                <w:szCs w:val="18"/>
              </w:rPr>
              <w:t>Total s</w:t>
            </w:r>
            <w:r>
              <w:rPr>
                <w:rFonts w:ascii="Arial" w:eastAsia="宋体" w:hAnsi="Arial" w:cs="Arial"/>
                <w:b/>
                <w:bCs/>
                <w:color w:val="262626"/>
                <w:sz w:val="18"/>
                <w:szCs w:val="18"/>
              </w:rPr>
              <w:t>enior notes and other borrowings</w:t>
            </w:r>
          </w:p>
        </w:tc>
        <w:tc>
          <w:tcPr>
            <w:tcW w:w="0" w:type="auto"/>
            <w:gridSpan w:val="3"/>
            <w:shd w:val="clear" w:color="auto" w:fill="auto"/>
            <w:tcMar>
              <w:top w:w="0" w:type="dxa"/>
              <w:left w:w="20" w:type="dxa"/>
              <w:bottom w:w="0" w:type="dxa"/>
              <w:right w:w="20" w:type="dxa"/>
            </w:tcMar>
            <w:vAlign w:val="bottom"/>
          </w:tcPr>
          <w:p w14:paraId="6753736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6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6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36A" w14:textId="77777777" w:rsidR="001B77DD" w:rsidRDefault="00BF0A28">
            <w:pPr>
              <w:jc w:val="right"/>
              <w:textAlignment w:val="bottom"/>
            </w:pPr>
            <w:r>
              <w:rPr>
                <w:rFonts w:ascii="Arial" w:eastAsia="宋体" w:hAnsi="Arial" w:cs="Arial"/>
                <w:b/>
                <w:bCs/>
                <w:color w:val="0068B5"/>
                <w:sz w:val="18"/>
                <w:szCs w:val="18"/>
              </w:rPr>
              <w:t>37,695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36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6C" w14:textId="77777777" w:rsidR="001B77DD" w:rsidRDefault="001B77DD">
            <w:pPr>
              <w:rPr>
                <w:rFonts w:ascii="宋体"/>
              </w:rPr>
            </w:pPr>
          </w:p>
        </w:tc>
        <w:tc>
          <w:tcPr>
            <w:tcW w:w="0" w:type="auto"/>
            <w:shd w:val="clear" w:color="auto" w:fill="auto"/>
            <w:vAlign w:val="bottom"/>
          </w:tcPr>
          <w:p w14:paraId="6753736D" w14:textId="77777777" w:rsidR="001B77DD" w:rsidRDefault="001B77DD">
            <w:pPr>
              <w:rPr>
                <w:rFonts w:ascii="宋体"/>
                <w:vanish/>
              </w:rPr>
            </w:pPr>
          </w:p>
        </w:tc>
        <w:tc>
          <w:tcPr>
            <w:tcW w:w="0" w:type="auto"/>
            <w:shd w:val="clear" w:color="auto" w:fill="auto"/>
            <w:vAlign w:val="bottom"/>
          </w:tcPr>
          <w:p w14:paraId="6753736E" w14:textId="77777777" w:rsidR="001B77DD" w:rsidRDefault="001B77DD">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36F" w14:textId="77777777" w:rsidR="001B77DD" w:rsidRDefault="00BF0A28">
            <w:pPr>
              <w:jc w:val="right"/>
              <w:textAlignment w:val="bottom"/>
            </w:pPr>
            <w:r>
              <w:rPr>
                <w:rFonts w:ascii="Arial" w:eastAsia="宋体" w:hAnsi="Arial" w:cs="Arial"/>
                <w:b/>
                <w:bCs/>
                <w:color w:val="000000"/>
                <w:sz w:val="18"/>
                <w:szCs w:val="18"/>
              </w:rPr>
              <w:t>35,214</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370" w14:textId="77777777" w:rsidR="001B77DD" w:rsidRDefault="001B77DD">
            <w:pPr>
              <w:jc w:val="right"/>
              <w:rPr>
                <w:rFonts w:ascii="宋体"/>
              </w:rPr>
            </w:pPr>
          </w:p>
        </w:tc>
        <w:tc>
          <w:tcPr>
            <w:tcW w:w="0" w:type="auto"/>
            <w:shd w:val="clear" w:color="auto" w:fill="auto"/>
            <w:vAlign w:val="bottom"/>
          </w:tcPr>
          <w:p w14:paraId="67537371" w14:textId="77777777" w:rsidR="001B77DD" w:rsidRDefault="001B77DD">
            <w:pPr>
              <w:rPr>
                <w:rFonts w:ascii="宋体"/>
                <w:vanish/>
              </w:rPr>
            </w:pPr>
          </w:p>
        </w:tc>
        <w:tc>
          <w:tcPr>
            <w:tcW w:w="0" w:type="auto"/>
            <w:shd w:val="clear" w:color="auto" w:fill="auto"/>
            <w:vAlign w:val="bottom"/>
          </w:tcPr>
          <w:p w14:paraId="67537372" w14:textId="77777777" w:rsidR="001B77DD" w:rsidRDefault="001B77DD">
            <w:pPr>
              <w:rPr>
                <w:rFonts w:ascii="宋体"/>
                <w:vanish/>
              </w:rPr>
            </w:pPr>
          </w:p>
        </w:tc>
        <w:tc>
          <w:tcPr>
            <w:tcW w:w="0" w:type="auto"/>
            <w:shd w:val="clear" w:color="auto" w:fill="auto"/>
            <w:vAlign w:val="bottom"/>
          </w:tcPr>
          <w:p w14:paraId="67537373" w14:textId="77777777" w:rsidR="001B77DD" w:rsidRDefault="001B77DD">
            <w:pPr>
              <w:rPr>
                <w:rFonts w:ascii="宋体"/>
                <w:vanish/>
              </w:rPr>
            </w:pPr>
          </w:p>
        </w:tc>
        <w:tc>
          <w:tcPr>
            <w:tcW w:w="0" w:type="auto"/>
            <w:shd w:val="clear" w:color="auto" w:fill="auto"/>
            <w:vAlign w:val="bottom"/>
          </w:tcPr>
          <w:p w14:paraId="67537374" w14:textId="77777777" w:rsidR="001B77DD" w:rsidRDefault="001B77DD">
            <w:pPr>
              <w:rPr>
                <w:rFonts w:ascii="宋体"/>
                <w:vanish/>
              </w:rPr>
            </w:pPr>
          </w:p>
        </w:tc>
      </w:tr>
      <w:tr w:rsidR="001B77DD" w14:paraId="67537385" w14:textId="77777777">
        <w:tc>
          <w:tcPr>
            <w:tcW w:w="0" w:type="auto"/>
            <w:gridSpan w:val="3"/>
            <w:shd w:val="clear" w:color="auto" w:fill="auto"/>
            <w:tcMar>
              <w:top w:w="40" w:type="dxa"/>
              <w:left w:w="155" w:type="dxa"/>
              <w:bottom w:w="40" w:type="dxa"/>
              <w:right w:w="20" w:type="dxa"/>
            </w:tcMar>
          </w:tcPr>
          <w:p w14:paraId="67537376" w14:textId="77777777" w:rsidR="001B77DD" w:rsidRDefault="00BF0A28">
            <w:pPr>
              <w:textAlignment w:val="top"/>
            </w:pPr>
            <w:r>
              <w:rPr>
                <w:rFonts w:ascii="Arial" w:eastAsia="宋体" w:hAnsi="Arial" w:cs="Arial"/>
                <w:color w:val="262626"/>
                <w:sz w:val="18"/>
                <w:szCs w:val="18"/>
              </w:rPr>
              <w:t>Unamortized premium/discount and issuance costs</w:t>
            </w:r>
          </w:p>
        </w:tc>
        <w:tc>
          <w:tcPr>
            <w:tcW w:w="0" w:type="auto"/>
            <w:gridSpan w:val="3"/>
            <w:shd w:val="clear" w:color="auto" w:fill="auto"/>
            <w:tcMar>
              <w:top w:w="0" w:type="dxa"/>
              <w:left w:w="20" w:type="dxa"/>
              <w:bottom w:w="0" w:type="dxa"/>
              <w:right w:w="20" w:type="dxa"/>
            </w:tcMar>
            <w:vAlign w:val="bottom"/>
          </w:tcPr>
          <w:p w14:paraId="6753737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7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7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37A" w14:textId="77777777" w:rsidR="001B77DD" w:rsidRDefault="00BF0A28">
            <w:pPr>
              <w:jc w:val="right"/>
              <w:textAlignment w:val="bottom"/>
            </w:pPr>
            <w:r>
              <w:rPr>
                <w:rFonts w:ascii="Arial" w:eastAsia="宋体" w:hAnsi="Arial" w:cs="Arial"/>
                <w:color w:val="0068B5"/>
                <w:sz w:val="18"/>
                <w:szCs w:val="18"/>
              </w:rPr>
              <w:t>(405)</w:t>
            </w:r>
          </w:p>
        </w:tc>
        <w:tc>
          <w:tcPr>
            <w:tcW w:w="0" w:type="auto"/>
            <w:tcBorders>
              <w:top w:val="single" w:sz="4" w:space="0" w:color="262626"/>
            </w:tcBorders>
            <w:shd w:val="clear" w:color="auto" w:fill="auto"/>
            <w:tcMar>
              <w:top w:w="40" w:type="dxa"/>
              <w:left w:w="0" w:type="dxa"/>
              <w:bottom w:w="40" w:type="dxa"/>
              <w:right w:w="20" w:type="dxa"/>
            </w:tcMar>
            <w:vAlign w:val="bottom"/>
          </w:tcPr>
          <w:p w14:paraId="6753737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7C" w14:textId="77777777" w:rsidR="001B77DD" w:rsidRDefault="001B77DD">
            <w:pPr>
              <w:rPr>
                <w:rFonts w:ascii="宋体"/>
              </w:rPr>
            </w:pPr>
          </w:p>
        </w:tc>
        <w:tc>
          <w:tcPr>
            <w:tcW w:w="0" w:type="auto"/>
            <w:shd w:val="clear" w:color="auto" w:fill="auto"/>
            <w:vAlign w:val="bottom"/>
          </w:tcPr>
          <w:p w14:paraId="6753737D" w14:textId="77777777" w:rsidR="001B77DD" w:rsidRDefault="001B77DD">
            <w:pPr>
              <w:rPr>
                <w:rFonts w:ascii="宋体"/>
                <w:vanish/>
              </w:rPr>
            </w:pPr>
          </w:p>
        </w:tc>
        <w:tc>
          <w:tcPr>
            <w:tcW w:w="0" w:type="auto"/>
            <w:shd w:val="clear" w:color="auto" w:fill="auto"/>
            <w:vAlign w:val="bottom"/>
          </w:tcPr>
          <w:p w14:paraId="6753737E" w14:textId="77777777" w:rsidR="001B77DD" w:rsidRDefault="001B77DD">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37F" w14:textId="77777777" w:rsidR="001B77DD" w:rsidRDefault="00BF0A28">
            <w:pPr>
              <w:jc w:val="right"/>
              <w:textAlignment w:val="bottom"/>
            </w:pPr>
            <w:r>
              <w:rPr>
                <w:rFonts w:ascii="Arial" w:eastAsia="宋体" w:hAnsi="Arial" w:cs="Arial"/>
                <w:color w:val="262626"/>
                <w:sz w:val="18"/>
                <w:szCs w:val="18"/>
              </w:rPr>
              <w:t>(378)</w:t>
            </w:r>
          </w:p>
        </w:tc>
        <w:tc>
          <w:tcPr>
            <w:tcW w:w="0" w:type="auto"/>
            <w:tcBorders>
              <w:top w:val="single" w:sz="4" w:space="0" w:color="262626"/>
            </w:tcBorders>
            <w:shd w:val="clear" w:color="auto" w:fill="auto"/>
            <w:tcMar>
              <w:top w:w="40" w:type="dxa"/>
              <w:left w:w="0" w:type="dxa"/>
              <w:bottom w:w="40" w:type="dxa"/>
              <w:right w:w="20" w:type="dxa"/>
            </w:tcMar>
            <w:vAlign w:val="bottom"/>
          </w:tcPr>
          <w:p w14:paraId="67537380" w14:textId="77777777" w:rsidR="001B77DD" w:rsidRDefault="001B77DD">
            <w:pPr>
              <w:jc w:val="right"/>
              <w:rPr>
                <w:rFonts w:ascii="宋体"/>
              </w:rPr>
            </w:pPr>
          </w:p>
        </w:tc>
        <w:tc>
          <w:tcPr>
            <w:tcW w:w="0" w:type="auto"/>
            <w:shd w:val="clear" w:color="auto" w:fill="auto"/>
            <w:vAlign w:val="bottom"/>
          </w:tcPr>
          <w:p w14:paraId="67537381" w14:textId="77777777" w:rsidR="001B77DD" w:rsidRDefault="001B77DD">
            <w:pPr>
              <w:rPr>
                <w:rFonts w:ascii="宋体"/>
                <w:vanish/>
              </w:rPr>
            </w:pPr>
          </w:p>
        </w:tc>
        <w:tc>
          <w:tcPr>
            <w:tcW w:w="0" w:type="auto"/>
            <w:shd w:val="clear" w:color="auto" w:fill="auto"/>
            <w:vAlign w:val="bottom"/>
          </w:tcPr>
          <w:p w14:paraId="67537382" w14:textId="77777777" w:rsidR="001B77DD" w:rsidRDefault="001B77DD">
            <w:pPr>
              <w:rPr>
                <w:rFonts w:ascii="宋体"/>
                <w:vanish/>
              </w:rPr>
            </w:pPr>
          </w:p>
        </w:tc>
        <w:tc>
          <w:tcPr>
            <w:tcW w:w="0" w:type="auto"/>
            <w:shd w:val="clear" w:color="auto" w:fill="auto"/>
            <w:vAlign w:val="bottom"/>
          </w:tcPr>
          <w:p w14:paraId="67537383" w14:textId="77777777" w:rsidR="001B77DD" w:rsidRDefault="001B77DD">
            <w:pPr>
              <w:rPr>
                <w:rFonts w:ascii="宋体"/>
                <w:vanish/>
              </w:rPr>
            </w:pPr>
          </w:p>
        </w:tc>
        <w:tc>
          <w:tcPr>
            <w:tcW w:w="0" w:type="auto"/>
            <w:shd w:val="clear" w:color="auto" w:fill="auto"/>
            <w:vAlign w:val="bottom"/>
          </w:tcPr>
          <w:p w14:paraId="67537384" w14:textId="77777777" w:rsidR="001B77DD" w:rsidRDefault="001B77DD">
            <w:pPr>
              <w:rPr>
                <w:rFonts w:ascii="宋体"/>
                <w:vanish/>
              </w:rPr>
            </w:pPr>
          </w:p>
        </w:tc>
      </w:tr>
      <w:tr w:rsidR="001B77DD" w14:paraId="67537395" w14:textId="77777777">
        <w:tc>
          <w:tcPr>
            <w:tcW w:w="0" w:type="auto"/>
            <w:gridSpan w:val="3"/>
            <w:shd w:val="clear" w:color="auto" w:fill="auto"/>
            <w:tcMar>
              <w:top w:w="40" w:type="dxa"/>
              <w:left w:w="155" w:type="dxa"/>
              <w:bottom w:w="40" w:type="dxa"/>
              <w:right w:w="20" w:type="dxa"/>
            </w:tcMar>
          </w:tcPr>
          <w:p w14:paraId="67537386" w14:textId="77777777" w:rsidR="001B77DD" w:rsidRDefault="00BF0A28">
            <w:pPr>
              <w:textAlignment w:val="top"/>
            </w:pPr>
            <w:r>
              <w:rPr>
                <w:rFonts w:ascii="Arial" w:eastAsia="宋体" w:hAnsi="Arial" w:cs="Arial"/>
                <w:color w:val="262626"/>
                <w:sz w:val="18"/>
                <w:szCs w:val="18"/>
              </w:rPr>
              <w:t>Hedge accounting fair value adjustments</w:t>
            </w:r>
          </w:p>
        </w:tc>
        <w:tc>
          <w:tcPr>
            <w:tcW w:w="0" w:type="auto"/>
            <w:gridSpan w:val="3"/>
            <w:shd w:val="clear" w:color="auto" w:fill="auto"/>
            <w:tcMar>
              <w:top w:w="0" w:type="dxa"/>
              <w:left w:w="20" w:type="dxa"/>
              <w:bottom w:w="0" w:type="dxa"/>
              <w:right w:w="20" w:type="dxa"/>
            </w:tcMar>
            <w:vAlign w:val="bottom"/>
          </w:tcPr>
          <w:p w14:paraId="6753738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8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8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38A" w14:textId="77777777" w:rsidR="001B77DD" w:rsidRDefault="00BF0A28">
            <w:pPr>
              <w:jc w:val="right"/>
              <w:textAlignment w:val="bottom"/>
            </w:pPr>
            <w:r>
              <w:rPr>
                <w:rFonts w:ascii="Arial" w:eastAsia="宋体" w:hAnsi="Arial" w:cs="Arial"/>
                <w:color w:val="0068B5"/>
                <w:sz w:val="18"/>
                <w:szCs w:val="18"/>
              </w:rPr>
              <w:t>811 </w:t>
            </w:r>
          </w:p>
        </w:tc>
        <w:tc>
          <w:tcPr>
            <w:tcW w:w="0" w:type="auto"/>
            <w:shd w:val="clear" w:color="auto" w:fill="auto"/>
            <w:tcMar>
              <w:top w:w="40" w:type="dxa"/>
              <w:left w:w="0" w:type="dxa"/>
              <w:bottom w:w="40" w:type="dxa"/>
              <w:right w:w="20" w:type="dxa"/>
            </w:tcMar>
            <w:vAlign w:val="bottom"/>
          </w:tcPr>
          <w:p w14:paraId="6753738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8C" w14:textId="77777777" w:rsidR="001B77DD" w:rsidRDefault="001B77DD">
            <w:pPr>
              <w:rPr>
                <w:rFonts w:ascii="宋体"/>
              </w:rPr>
            </w:pPr>
          </w:p>
        </w:tc>
        <w:tc>
          <w:tcPr>
            <w:tcW w:w="0" w:type="auto"/>
            <w:shd w:val="clear" w:color="auto" w:fill="auto"/>
            <w:vAlign w:val="bottom"/>
          </w:tcPr>
          <w:p w14:paraId="6753738D" w14:textId="77777777" w:rsidR="001B77DD" w:rsidRDefault="001B77DD">
            <w:pPr>
              <w:rPr>
                <w:rFonts w:ascii="宋体"/>
                <w:vanish/>
              </w:rPr>
            </w:pPr>
          </w:p>
        </w:tc>
        <w:tc>
          <w:tcPr>
            <w:tcW w:w="0" w:type="auto"/>
            <w:shd w:val="clear" w:color="auto" w:fill="auto"/>
            <w:vAlign w:val="bottom"/>
          </w:tcPr>
          <w:p w14:paraId="6753738E"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38F" w14:textId="77777777" w:rsidR="001B77DD" w:rsidRDefault="00BF0A28">
            <w:pPr>
              <w:jc w:val="right"/>
              <w:textAlignment w:val="bottom"/>
            </w:pPr>
            <w:r>
              <w:rPr>
                <w:rFonts w:ascii="Arial" w:eastAsia="宋体" w:hAnsi="Arial" w:cs="Arial"/>
                <w:color w:val="262626"/>
                <w:sz w:val="18"/>
                <w:szCs w:val="18"/>
              </w:rPr>
              <w:t>1,565 </w:t>
            </w:r>
          </w:p>
        </w:tc>
        <w:tc>
          <w:tcPr>
            <w:tcW w:w="0" w:type="auto"/>
            <w:shd w:val="clear" w:color="auto" w:fill="auto"/>
            <w:tcMar>
              <w:top w:w="40" w:type="dxa"/>
              <w:left w:w="0" w:type="dxa"/>
              <w:bottom w:w="40" w:type="dxa"/>
              <w:right w:w="20" w:type="dxa"/>
            </w:tcMar>
            <w:vAlign w:val="bottom"/>
          </w:tcPr>
          <w:p w14:paraId="67537390" w14:textId="77777777" w:rsidR="001B77DD" w:rsidRDefault="001B77DD">
            <w:pPr>
              <w:jc w:val="right"/>
              <w:rPr>
                <w:rFonts w:ascii="宋体"/>
              </w:rPr>
            </w:pPr>
          </w:p>
        </w:tc>
        <w:tc>
          <w:tcPr>
            <w:tcW w:w="0" w:type="auto"/>
            <w:shd w:val="clear" w:color="auto" w:fill="auto"/>
            <w:vAlign w:val="bottom"/>
          </w:tcPr>
          <w:p w14:paraId="67537391" w14:textId="77777777" w:rsidR="001B77DD" w:rsidRDefault="001B77DD">
            <w:pPr>
              <w:rPr>
                <w:rFonts w:ascii="宋体"/>
                <w:vanish/>
              </w:rPr>
            </w:pPr>
          </w:p>
        </w:tc>
        <w:tc>
          <w:tcPr>
            <w:tcW w:w="0" w:type="auto"/>
            <w:shd w:val="clear" w:color="auto" w:fill="auto"/>
            <w:vAlign w:val="bottom"/>
          </w:tcPr>
          <w:p w14:paraId="67537392" w14:textId="77777777" w:rsidR="001B77DD" w:rsidRDefault="001B77DD">
            <w:pPr>
              <w:rPr>
                <w:rFonts w:ascii="宋体"/>
                <w:vanish/>
              </w:rPr>
            </w:pPr>
          </w:p>
        </w:tc>
        <w:tc>
          <w:tcPr>
            <w:tcW w:w="0" w:type="auto"/>
            <w:shd w:val="clear" w:color="auto" w:fill="auto"/>
            <w:vAlign w:val="bottom"/>
          </w:tcPr>
          <w:p w14:paraId="67537393" w14:textId="77777777" w:rsidR="001B77DD" w:rsidRDefault="001B77DD">
            <w:pPr>
              <w:rPr>
                <w:rFonts w:ascii="宋体"/>
                <w:vanish/>
              </w:rPr>
            </w:pPr>
          </w:p>
        </w:tc>
        <w:tc>
          <w:tcPr>
            <w:tcW w:w="0" w:type="auto"/>
            <w:shd w:val="clear" w:color="auto" w:fill="auto"/>
            <w:vAlign w:val="bottom"/>
          </w:tcPr>
          <w:p w14:paraId="67537394" w14:textId="77777777" w:rsidR="001B77DD" w:rsidRDefault="001B77DD">
            <w:pPr>
              <w:rPr>
                <w:rFonts w:ascii="宋体"/>
                <w:vanish/>
              </w:rPr>
            </w:pPr>
          </w:p>
        </w:tc>
      </w:tr>
      <w:tr w:rsidR="001B77DD" w14:paraId="675373A5" w14:textId="77777777">
        <w:tc>
          <w:tcPr>
            <w:tcW w:w="0" w:type="auto"/>
            <w:gridSpan w:val="3"/>
            <w:shd w:val="clear" w:color="auto" w:fill="auto"/>
            <w:tcMar>
              <w:top w:w="40" w:type="dxa"/>
              <w:left w:w="20" w:type="dxa"/>
              <w:bottom w:w="40" w:type="dxa"/>
              <w:right w:w="20" w:type="dxa"/>
            </w:tcMar>
          </w:tcPr>
          <w:p w14:paraId="67537396" w14:textId="77777777" w:rsidR="001B77DD" w:rsidRDefault="00BF0A28">
            <w:pPr>
              <w:textAlignment w:val="top"/>
            </w:pPr>
            <w:r>
              <w:rPr>
                <w:rFonts w:ascii="Arial" w:eastAsia="宋体" w:hAnsi="Arial" w:cs="Arial"/>
                <w:b/>
                <w:bCs/>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6753739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9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99"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39A" w14:textId="77777777" w:rsidR="001B77DD" w:rsidRDefault="00BF0A28">
            <w:pPr>
              <w:jc w:val="right"/>
              <w:textAlignment w:val="bottom"/>
            </w:pPr>
            <w:r>
              <w:rPr>
                <w:rFonts w:ascii="Arial" w:eastAsia="宋体" w:hAnsi="Arial" w:cs="Arial"/>
                <w:b/>
                <w:bCs/>
                <w:color w:val="0068B5"/>
                <w:sz w:val="18"/>
                <w:szCs w:val="18"/>
              </w:rPr>
              <w:t>38,101</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39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9C" w14:textId="77777777" w:rsidR="001B77DD" w:rsidRDefault="001B77DD">
            <w:pPr>
              <w:rPr>
                <w:rFonts w:ascii="宋体"/>
              </w:rPr>
            </w:pPr>
          </w:p>
        </w:tc>
        <w:tc>
          <w:tcPr>
            <w:tcW w:w="0" w:type="auto"/>
            <w:shd w:val="clear" w:color="auto" w:fill="auto"/>
            <w:vAlign w:val="bottom"/>
          </w:tcPr>
          <w:p w14:paraId="6753739D" w14:textId="77777777" w:rsidR="001B77DD" w:rsidRDefault="001B77DD">
            <w:pPr>
              <w:rPr>
                <w:rFonts w:ascii="宋体"/>
                <w:vanish/>
              </w:rPr>
            </w:pPr>
          </w:p>
        </w:tc>
        <w:tc>
          <w:tcPr>
            <w:tcW w:w="0" w:type="auto"/>
            <w:shd w:val="clear" w:color="auto" w:fill="auto"/>
            <w:vAlign w:val="bottom"/>
          </w:tcPr>
          <w:p w14:paraId="6753739E" w14:textId="77777777" w:rsidR="001B77DD" w:rsidRDefault="001B77DD">
            <w:pPr>
              <w:rPr>
                <w:rFonts w:ascii="宋体"/>
                <w:vanish/>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39F" w14:textId="77777777" w:rsidR="001B77DD" w:rsidRDefault="00BF0A28">
            <w:pPr>
              <w:jc w:val="right"/>
              <w:textAlignment w:val="bottom"/>
            </w:pPr>
            <w:r>
              <w:rPr>
                <w:rFonts w:ascii="Arial" w:eastAsia="宋体" w:hAnsi="Arial" w:cs="Arial"/>
                <w:b/>
                <w:bCs/>
                <w:color w:val="262626"/>
                <w:sz w:val="18"/>
                <w:szCs w:val="18"/>
              </w:rPr>
              <w:t>36,401</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3A0" w14:textId="77777777" w:rsidR="001B77DD" w:rsidRDefault="001B77DD">
            <w:pPr>
              <w:jc w:val="right"/>
              <w:rPr>
                <w:rFonts w:ascii="宋体"/>
              </w:rPr>
            </w:pPr>
          </w:p>
        </w:tc>
        <w:tc>
          <w:tcPr>
            <w:tcW w:w="0" w:type="auto"/>
            <w:shd w:val="clear" w:color="auto" w:fill="auto"/>
            <w:vAlign w:val="bottom"/>
          </w:tcPr>
          <w:p w14:paraId="675373A1" w14:textId="77777777" w:rsidR="001B77DD" w:rsidRDefault="001B77DD">
            <w:pPr>
              <w:rPr>
                <w:rFonts w:ascii="宋体"/>
                <w:vanish/>
              </w:rPr>
            </w:pPr>
          </w:p>
        </w:tc>
        <w:tc>
          <w:tcPr>
            <w:tcW w:w="0" w:type="auto"/>
            <w:shd w:val="clear" w:color="auto" w:fill="auto"/>
            <w:vAlign w:val="bottom"/>
          </w:tcPr>
          <w:p w14:paraId="675373A2" w14:textId="77777777" w:rsidR="001B77DD" w:rsidRDefault="001B77DD">
            <w:pPr>
              <w:rPr>
                <w:rFonts w:ascii="宋体"/>
                <w:vanish/>
              </w:rPr>
            </w:pPr>
          </w:p>
        </w:tc>
        <w:tc>
          <w:tcPr>
            <w:tcW w:w="0" w:type="auto"/>
            <w:shd w:val="clear" w:color="auto" w:fill="auto"/>
            <w:vAlign w:val="bottom"/>
          </w:tcPr>
          <w:p w14:paraId="675373A3" w14:textId="77777777" w:rsidR="001B77DD" w:rsidRDefault="001B77DD">
            <w:pPr>
              <w:rPr>
                <w:rFonts w:ascii="宋体"/>
                <w:vanish/>
              </w:rPr>
            </w:pPr>
          </w:p>
        </w:tc>
        <w:tc>
          <w:tcPr>
            <w:tcW w:w="0" w:type="auto"/>
            <w:shd w:val="clear" w:color="auto" w:fill="auto"/>
            <w:vAlign w:val="bottom"/>
          </w:tcPr>
          <w:p w14:paraId="675373A4" w14:textId="77777777" w:rsidR="001B77DD" w:rsidRDefault="001B77DD">
            <w:pPr>
              <w:rPr>
                <w:rFonts w:ascii="宋体"/>
                <w:vanish/>
              </w:rPr>
            </w:pPr>
          </w:p>
        </w:tc>
      </w:tr>
      <w:tr w:rsidR="001B77DD" w14:paraId="675373B5" w14:textId="77777777">
        <w:tc>
          <w:tcPr>
            <w:tcW w:w="0" w:type="auto"/>
            <w:gridSpan w:val="3"/>
            <w:shd w:val="clear" w:color="auto" w:fill="auto"/>
            <w:tcMar>
              <w:top w:w="40" w:type="dxa"/>
              <w:left w:w="155" w:type="dxa"/>
              <w:bottom w:w="40" w:type="dxa"/>
              <w:right w:w="20" w:type="dxa"/>
            </w:tcMar>
          </w:tcPr>
          <w:p w14:paraId="675373A6" w14:textId="77777777" w:rsidR="001B77DD" w:rsidRDefault="00BF0A28">
            <w:pPr>
              <w:textAlignment w:val="top"/>
            </w:pPr>
            <w:r>
              <w:rPr>
                <w:rFonts w:ascii="Arial" w:eastAsia="宋体" w:hAnsi="Arial" w:cs="Arial"/>
                <w:color w:val="262626"/>
                <w:sz w:val="18"/>
                <w:szCs w:val="18"/>
              </w:rPr>
              <w:t>Current portion of long-term debt</w:t>
            </w:r>
          </w:p>
        </w:tc>
        <w:tc>
          <w:tcPr>
            <w:tcW w:w="0" w:type="auto"/>
            <w:gridSpan w:val="3"/>
            <w:shd w:val="clear" w:color="auto" w:fill="auto"/>
            <w:tcMar>
              <w:top w:w="0" w:type="dxa"/>
              <w:left w:w="20" w:type="dxa"/>
              <w:bottom w:w="0" w:type="dxa"/>
              <w:right w:w="20" w:type="dxa"/>
            </w:tcMar>
            <w:vAlign w:val="bottom"/>
          </w:tcPr>
          <w:p w14:paraId="675373A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A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A9"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3AA" w14:textId="77777777" w:rsidR="001B77DD" w:rsidRDefault="00BF0A28">
            <w:pPr>
              <w:jc w:val="right"/>
              <w:textAlignment w:val="bottom"/>
            </w:pPr>
            <w:r>
              <w:rPr>
                <w:rFonts w:ascii="Arial" w:eastAsia="宋体" w:hAnsi="Arial" w:cs="Arial"/>
                <w:color w:val="0068B5"/>
                <w:sz w:val="18"/>
                <w:szCs w:val="18"/>
              </w:rPr>
              <w:t>(4,591)</w:t>
            </w:r>
          </w:p>
        </w:tc>
        <w:tc>
          <w:tcPr>
            <w:tcW w:w="0" w:type="auto"/>
            <w:tcBorders>
              <w:top w:val="single" w:sz="4" w:space="0" w:color="333333"/>
            </w:tcBorders>
            <w:shd w:val="clear" w:color="auto" w:fill="auto"/>
            <w:tcMar>
              <w:top w:w="40" w:type="dxa"/>
              <w:left w:w="0" w:type="dxa"/>
              <w:bottom w:w="40" w:type="dxa"/>
              <w:right w:w="20" w:type="dxa"/>
            </w:tcMar>
            <w:vAlign w:val="bottom"/>
          </w:tcPr>
          <w:p w14:paraId="675373A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AC" w14:textId="77777777" w:rsidR="001B77DD" w:rsidRDefault="001B77DD">
            <w:pPr>
              <w:rPr>
                <w:rFonts w:ascii="宋体"/>
              </w:rPr>
            </w:pPr>
          </w:p>
        </w:tc>
        <w:tc>
          <w:tcPr>
            <w:tcW w:w="0" w:type="auto"/>
            <w:shd w:val="clear" w:color="auto" w:fill="auto"/>
            <w:vAlign w:val="bottom"/>
          </w:tcPr>
          <w:p w14:paraId="675373AD" w14:textId="77777777" w:rsidR="001B77DD" w:rsidRDefault="001B77DD">
            <w:pPr>
              <w:rPr>
                <w:rFonts w:ascii="宋体"/>
                <w:vanish/>
              </w:rPr>
            </w:pPr>
          </w:p>
        </w:tc>
        <w:tc>
          <w:tcPr>
            <w:tcW w:w="0" w:type="auto"/>
            <w:shd w:val="clear" w:color="auto" w:fill="auto"/>
            <w:vAlign w:val="bottom"/>
          </w:tcPr>
          <w:p w14:paraId="675373AE" w14:textId="77777777" w:rsidR="001B77DD" w:rsidRDefault="001B77DD">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3AF" w14:textId="77777777" w:rsidR="001B77DD" w:rsidRDefault="00BF0A28">
            <w:pPr>
              <w:jc w:val="right"/>
              <w:textAlignment w:val="bottom"/>
            </w:pPr>
            <w:r>
              <w:rPr>
                <w:rFonts w:ascii="Arial" w:eastAsia="宋体" w:hAnsi="Arial" w:cs="Arial"/>
                <w:color w:val="262626"/>
                <w:sz w:val="18"/>
                <w:szCs w:val="18"/>
              </w:rPr>
              <w:t>(2,504)</w:t>
            </w:r>
          </w:p>
        </w:tc>
        <w:tc>
          <w:tcPr>
            <w:tcW w:w="0" w:type="auto"/>
            <w:tcBorders>
              <w:top w:val="single" w:sz="4" w:space="0" w:color="262626"/>
            </w:tcBorders>
            <w:shd w:val="clear" w:color="auto" w:fill="auto"/>
            <w:tcMar>
              <w:top w:w="40" w:type="dxa"/>
              <w:left w:w="0" w:type="dxa"/>
              <w:bottom w:w="40" w:type="dxa"/>
              <w:right w:w="20" w:type="dxa"/>
            </w:tcMar>
            <w:vAlign w:val="bottom"/>
          </w:tcPr>
          <w:p w14:paraId="675373B0" w14:textId="77777777" w:rsidR="001B77DD" w:rsidRDefault="001B77DD">
            <w:pPr>
              <w:jc w:val="right"/>
              <w:rPr>
                <w:rFonts w:ascii="宋体"/>
              </w:rPr>
            </w:pPr>
          </w:p>
        </w:tc>
        <w:tc>
          <w:tcPr>
            <w:tcW w:w="0" w:type="auto"/>
            <w:shd w:val="clear" w:color="auto" w:fill="auto"/>
            <w:vAlign w:val="bottom"/>
          </w:tcPr>
          <w:p w14:paraId="675373B1" w14:textId="77777777" w:rsidR="001B77DD" w:rsidRDefault="001B77DD">
            <w:pPr>
              <w:rPr>
                <w:rFonts w:ascii="宋体"/>
                <w:vanish/>
              </w:rPr>
            </w:pPr>
          </w:p>
        </w:tc>
        <w:tc>
          <w:tcPr>
            <w:tcW w:w="0" w:type="auto"/>
            <w:shd w:val="clear" w:color="auto" w:fill="auto"/>
            <w:vAlign w:val="bottom"/>
          </w:tcPr>
          <w:p w14:paraId="675373B2" w14:textId="77777777" w:rsidR="001B77DD" w:rsidRDefault="001B77DD">
            <w:pPr>
              <w:rPr>
                <w:rFonts w:ascii="宋体"/>
                <w:vanish/>
              </w:rPr>
            </w:pPr>
          </w:p>
        </w:tc>
        <w:tc>
          <w:tcPr>
            <w:tcW w:w="0" w:type="auto"/>
            <w:shd w:val="clear" w:color="auto" w:fill="auto"/>
            <w:vAlign w:val="bottom"/>
          </w:tcPr>
          <w:p w14:paraId="675373B3" w14:textId="77777777" w:rsidR="001B77DD" w:rsidRDefault="001B77DD">
            <w:pPr>
              <w:rPr>
                <w:rFonts w:ascii="宋体"/>
                <w:vanish/>
              </w:rPr>
            </w:pPr>
          </w:p>
        </w:tc>
        <w:tc>
          <w:tcPr>
            <w:tcW w:w="0" w:type="auto"/>
            <w:shd w:val="clear" w:color="auto" w:fill="auto"/>
            <w:vAlign w:val="bottom"/>
          </w:tcPr>
          <w:p w14:paraId="675373B4" w14:textId="77777777" w:rsidR="001B77DD" w:rsidRDefault="001B77DD">
            <w:pPr>
              <w:rPr>
                <w:rFonts w:ascii="宋体"/>
                <w:vanish/>
              </w:rPr>
            </w:pPr>
          </w:p>
        </w:tc>
      </w:tr>
      <w:tr w:rsidR="001B77DD" w14:paraId="675373C7" w14:textId="77777777">
        <w:tc>
          <w:tcPr>
            <w:tcW w:w="0" w:type="auto"/>
            <w:gridSpan w:val="3"/>
            <w:shd w:val="clear" w:color="auto" w:fill="auto"/>
            <w:tcMar>
              <w:top w:w="40" w:type="dxa"/>
              <w:left w:w="20" w:type="dxa"/>
              <w:bottom w:w="40" w:type="dxa"/>
              <w:right w:w="20" w:type="dxa"/>
            </w:tcMar>
          </w:tcPr>
          <w:p w14:paraId="675373B6" w14:textId="77777777" w:rsidR="001B77DD" w:rsidRDefault="00BF0A28">
            <w:pPr>
              <w:textAlignment w:val="top"/>
            </w:pPr>
            <w:r>
              <w:rPr>
                <w:rFonts w:ascii="Arial" w:eastAsia="宋体" w:hAnsi="Arial" w:cs="Arial"/>
                <w:b/>
                <w:bCs/>
                <w:color w:val="262626"/>
                <w:sz w:val="18"/>
                <w:szCs w:val="18"/>
              </w:rPr>
              <w:t>Total long-term debt</w:t>
            </w:r>
          </w:p>
        </w:tc>
        <w:tc>
          <w:tcPr>
            <w:tcW w:w="0" w:type="auto"/>
            <w:gridSpan w:val="3"/>
            <w:shd w:val="clear" w:color="auto" w:fill="auto"/>
            <w:tcMar>
              <w:top w:w="0" w:type="dxa"/>
              <w:left w:w="20" w:type="dxa"/>
              <w:bottom w:w="0" w:type="dxa"/>
              <w:right w:w="20" w:type="dxa"/>
            </w:tcMar>
            <w:vAlign w:val="bottom"/>
          </w:tcPr>
          <w:p w14:paraId="675373B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B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3B9"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3BA"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3BB" w14:textId="77777777" w:rsidR="001B77DD" w:rsidRDefault="00BF0A28">
            <w:pPr>
              <w:jc w:val="right"/>
              <w:textAlignment w:val="bottom"/>
            </w:pPr>
            <w:r>
              <w:rPr>
                <w:rFonts w:ascii="Arial" w:eastAsia="宋体" w:hAnsi="Arial" w:cs="Arial"/>
                <w:b/>
                <w:bCs/>
                <w:color w:val="0068B5"/>
                <w:sz w:val="18"/>
                <w:szCs w:val="18"/>
              </w:rPr>
              <w:t>33,510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3B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3BD" w14:textId="77777777" w:rsidR="001B77DD" w:rsidRDefault="001B77DD">
            <w:pPr>
              <w:rPr>
                <w:rFonts w:ascii="宋体"/>
              </w:rPr>
            </w:pPr>
          </w:p>
        </w:tc>
        <w:tc>
          <w:tcPr>
            <w:tcW w:w="0" w:type="auto"/>
            <w:shd w:val="clear" w:color="auto" w:fill="auto"/>
            <w:vAlign w:val="bottom"/>
          </w:tcPr>
          <w:p w14:paraId="675373BE" w14:textId="77777777" w:rsidR="001B77DD" w:rsidRDefault="001B77DD">
            <w:pPr>
              <w:rPr>
                <w:rFonts w:ascii="宋体"/>
                <w:vanish/>
              </w:rPr>
            </w:pPr>
          </w:p>
        </w:tc>
        <w:tc>
          <w:tcPr>
            <w:tcW w:w="0" w:type="auto"/>
            <w:shd w:val="clear" w:color="auto" w:fill="auto"/>
            <w:vAlign w:val="bottom"/>
          </w:tcPr>
          <w:p w14:paraId="675373BF" w14:textId="77777777" w:rsidR="001B77DD" w:rsidRDefault="001B77DD">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3C0" w14:textId="77777777" w:rsidR="001B77DD" w:rsidRDefault="00BF0A28">
            <w:pPr>
              <w:textAlignment w:val="bottom"/>
            </w:pPr>
            <w:r>
              <w:rPr>
                <w:rFonts w:ascii="Arial" w:eastAsia="宋体" w:hAnsi="Arial" w:cs="Arial"/>
                <w:b/>
                <w:bCs/>
                <w:color w:val="000000"/>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3C1" w14:textId="77777777" w:rsidR="001B77DD" w:rsidRDefault="00BF0A28">
            <w:pPr>
              <w:jc w:val="right"/>
              <w:textAlignment w:val="bottom"/>
            </w:pPr>
            <w:r>
              <w:rPr>
                <w:rFonts w:ascii="Arial" w:eastAsia="宋体" w:hAnsi="Arial" w:cs="Arial"/>
                <w:b/>
                <w:bCs/>
                <w:color w:val="000000"/>
                <w:sz w:val="18"/>
                <w:szCs w:val="18"/>
              </w:rPr>
              <w:t>33,897</w:t>
            </w:r>
            <w:r>
              <w:rPr>
                <w:rFonts w:ascii="Arial" w:eastAsia="宋体" w:hAnsi="Arial" w:cs="Arial"/>
                <w:color w:val="000000"/>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3C2" w14:textId="77777777" w:rsidR="001B77DD" w:rsidRDefault="001B77DD">
            <w:pPr>
              <w:jc w:val="right"/>
              <w:rPr>
                <w:rFonts w:ascii="宋体"/>
              </w:rPr>
            </w:pPr>
          </w:p>
        </w:tc>
        <w:tc>
          <w:tcPr>
            <w:tcW w:w="0" w:type="auto"/>
            <w:shd w:val="clear" w:color="auto" w:fill="auto"/>
            <w:vAlign w:val="bottom"/>
          </w:tcPr>
          <w:p w14:paraId="675373C3" w14:textId="77777777" w:rsidR="001B77DD" w:rsidRDefault="001B77DD">
            <w:pPr>
              <w:rPr>
                <w:rFonts w:ascii="宋体"/>
                <w:vanish/>
              </w:rPr>
            </w:pPr>
          </w:p>
        </w:tc>
        <w:tc>
          <w:tcPr>
            <w:tcW w:w="0" w:type="auto"/>
            <w:shd w:val="clear" w:color="auto" w:fill="auto"/>
            <w:vAlign w:val="bottom"/>
          </w:tcPr>
          <w:p w14:paraId="675373C4" w14:textId="77777777" w:rsidR="001B77DD" w:rsidRDefault="001B77DD">
            <w:pPr>
              <w:rPr>
                <w:rFonts w:ascii="宋体"/>
                <w:vanish/>
              </w:rPr>
            </w:pPr>
          </w:p>
        </w:tc>
        <w:tc>
          <w:tcPr>
            <w:tcW w:w="0" w:type="auto"/>
            <w:shd w:val="clear" w:color="auto" w:fill="auto"/>
            <w:vAlign w:val="bottom"/>
          </w:tcPr>
          <w:p w14:paraId="675373C5" w14:textId="77777777" w:rsidR="001B77DD" w:rsidRDefault="001B77DD">
            <w:pPr>
              <w:rPr>
                <w:rFonts w:ascii="宋体"/>
                <w:vanish/>
              </w:rPr>
            </w:pPr>
          </w:p>
        </w:tc>
        <w:tc>
          <w:tcPr>
            <w:tcW w:w="0" w:type="auto"/>
            <w:shd w:val="clear" w:color="auto" w:fill="auto"/>
            <w:vAlign w:val="bottom"/>
          </w:tcPr>
          <w:p w14:paraId="675373C6" w14:textId="77777777" w:rsidR="001B77DD" w:rsidRDefault="001B77DD">
            <w:pPr>
              <w:rPr>
                <w:rFonts w:ascii="宋体"/>
                <w:vanish/>
              </w:rPr>
            </w:pPr>
          </w:p>
        </w:tc>
      </w:tr>
    </w:tbl>
    <w:p w14:paraId="675373C8" w14:textId="77777777" w:rsidR="001B77DD" w:rsidRDefault="00BF0A28">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To manage foreign currency risk associated with the Australian-dollar-denominated notes issued in 2015, we entered into currency interest rate swaps with an aggregate notional amount of $396 million at December 25, 2021, wh</w:t>
      </w:r>
      <w:r>
        <w:rPr>
          <w:rFonts w:ascii="Arial" w:eastAsia="宋体" w:hAnsi="Arial" w:cs="Arial"/>
          <w:i/>
          <w:iCs/>
          <w:color w:val="262626"/>
          <w:sz w:val="16"/>
          <w:szCs w:val="16"/>
        </w:rPr>
        <w:t>ich effectively converted these notes to US-dollar-denominated notes. For further discussion on derivatives in cash flow hedging relationships, see "Note 16: Derivative Financial Instruments." Principal and unamortized discount/issuance costs for the Austr</w:t>
      </w:r>
      <w:r>
        <w:rPr>
          <w:rFonts w:ascii="Arial" w:eastAsia="宋体" w:hAnsi="Arial" w:cs="Arial"/>
          <w:i/>
          <w:iCs/>
          <w:color w:val="262626"/>
          <w:sz w:val="16"/>
          <w:szCs w:val="16"/>
        </w:rPr>
        <w:t>alian-dollar-denominated notes in the table above were calculated using foreign currency exchange rates as of December 25, 2021 and December 26, 2020.</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3D5" w14:textId="77777777">
        <w:tc>
          <w:tcPr>
            <w:tcW w:w="50" w:type="pct"/>
            <w:shd w:val="clear" w:color="auto" w:fill="auto"/>
            <w:vAlign w:val="bottom"/>
          </w:tcPr>
          <w:p w14:paraId="675373C9" w14:textId="77777777" w:rsidR="001B77DD" w:rsidRDefault="001B77DD">
            <w:pPr>
              <w:rPr>
                <w:rFonts w:ascii="宋体"/>
              </w:rPr>
            </w:pPr>
          </w:p>
        </w:tc>
        <w:tc>
          <w:tcPr>
            <w:tcW w:w="276" w:type="pct"/>
            <w:shd w:val="clear" w:color="auto" w:fill="auto"/>
            <w:vAlign w:val="bottom"/>
          </w:tcPr>
          <w:p w14:paraId="675373CA" w14:textId="77777777" w:rsidR="001B77DD" w:rsidRDefault="001B77DD">
            <w:pPr>
              <w:rPr>
                <w:rFonts w:ascii="宋体"/>
              </w:rPr>
            </w:pPr>
          </w:p>
        </w:tc>
        <w:tc>
          <w:tcPr>
            <w:tcW w:w="5" w:type="pct"/>
            <w:shd w:val="clear" w:color="auto" w:fill="auto"/>
            <w:vAlign w:val="bottom"/>
          </w:tcPr>
          <w:p w14:paraId="675373CB" w14:textId="77777777" w:rsidR="001B77DD" w:rsidRDefault="001B77DD">
            <w:pPr>
              <w:rPr>
                <w:rFonts w:ascii="宋体"/>
              </w:rPr>
            </w:pPr>
          </w:p>
        </w:tc>
        <w:tc>
          <w:tcPr>
            <w:tcW w:w="50" w:type="pct"/>
            <w:shd w:val="clear" w:color="auto" w:fill="auto"/>
            <w:vAlign w:val="bottom"/>
          </w:tcPr>
          <w:p w14:paraId="675373CC" w14:textId="77777777" w:rsidR="001B77DD" w:rsidRDefault="001B77DD">
            <w:pPr>
              <w:rPr>
                <w:rFonts w:ascii="宋体"/>
              </w:rPr>
            </w:pPr>
          </w:p>
        </w:tc>
        <w:tc>
          <w:tcPr>
            <w:tcW w:w="940" w:type="pct"/>
            <w:shd w:val="clear" w:color="auto" w:fill="auto"/>
            <w:vAlign w:val="bottom"/>
          </w:tcPr>
          <w:p w14:paraId="675373CD" w14:textId="77777777" w:rsidR="001B77DD" w:rsidRDefault="001B77DD">
            <w:pPr>
              <w:rPr>
                <w:rFonts w:ascii="宋体"/>
              </w:rPr>
            </w:pPr>
          </w:p>
        </w:tc>
        <w:tc>
          <w:tcPr>
            <w:tcW w:w="5" w:type="pct"/>
            <w:shd w:val="clear" w:color="auto" w:fill="auto"/>
            <w:vAlign w:val="bottom"/>
          </w:tcPr>
          <w:p w14:paraId="675373CE" w14:textId="77777777" w:rsidR="001B77DD" w:rsidRDefault="001B77DD">
            <w:pPr>
              <w:rPr>
                <w:rFonts w:ascii="宋体"/>
              </w:rPr>
            </w:pPr>
          </w:p>
        </w:tc>
        <w:tc>
          <w:tcPr>
            <w:tcW w:w="50" w:type="pct"/>
            <w:shd w:val="clear" w:color="auto" w:fill="auto"/>
            <w:vAlign w:val="bottom"/>
          </w:tcPr>
          <w:p w14:paraId="675373CF" w14:textId="77777777" w:rsidR="001B77DD" w:rsidRDefault="001B77DD">
            <w:pPr>
              <w:rPr>
                <w:rFonts w:ascii="宋体"/>
              </w:rPr>
            </w:pPr>
          </w:p>
        </w:tc>
        <w:tc>
          <w:tcPr>
            <w:tcW w:w="1837" w:type="pct"/>
            <w:shd w:val="clear" w:color="auto" w:fill="auto"/>
            <w:vAlign w:val="bottom"/>
          </w:tcPr>
          <w:p w14:paraId="675373D0" w14:textId="77777777" w:rsidR="001B77DD" w:rsidRDefault="001B77DD">
            <w:pPr>
              <w:rPr>
                <w:rFonts w:ascii="宋体"/>
              </w:rPr>
            </w:pPr>
          </w:p>
        </w:tc>
        <w:tc>
          <w:tcPr>
            <w:tcW w:w="5" w:type="pct"/>
            <w:shd w:val="clear" w:color="auto" w:fill="auto"/>
            <w:vAlign w:val="bottom"/>
          </w:tcPr>
          <w:p w14:paraId="675373D1" w14:textId="77777777" w:rsidR="001B77DD" w:rsidRDefault="001B77DD">
            <w:pPr>
              <w:rPr>
                <w:rFonts w:ascii="宋体"/>
              </w:rPr>
            </w:pPr>
          </w:p>
        </w:tc>
        <w:tc>
          <w:tcPr>
            <w:tcW w:w="50" w:type="pct"/>
            <w:shd w:val="clear" w:color="auto" w:fill="auto"/>
            <w:vAlign w:val="bottom"/>
          </w:tcPr>
          <w:p w14:paraId="675373D2" w14:textId="77777777" w:rsidR="001B77DD" w:rsidRDefault="001B77DD">
            <w:pPr>
              <w:rPr>
                <w:rFonts w:ascii="宋体"/>
              </w:rPr>
            </w:pPr>
          </w:p>
        </w:tc>
        <w:tc>
          <w:tcPr>
            <w:tcW w:w="1724" w:type="pct"/>
            <w:shd w:val="clear" w:color="auto" w:fill="auto"/>
            <w:vAlign w:val="bottom"/>
          </w:tcPr>
          <w:p w14:paraId="675373D3" w14:textId="77777777" w:rsidR="001B77DD" w:rsidRDefault="001B77DD">
            <w:pPr>
              <w:rPr>
                <w:rFonts w:ascii="宋体"/>
              </w:rPr>
            </w:pPr>
          </w:p>
        </w:tc>
        <w:tc>
          <w:tcPr>
            <w:tcW w:w="5" w:type="pct"/>
            <w:shd w:val="clear" w:color="auto" w:fill="auto"/>
            <w:vAlign w:val="bottom"/>
          </w:tcPr>
          <w:p w14:paraId="675373D4" w14:textId="77777777" w:rsidR="001B77DD" w:rsidRDefault="001B77DD">
            <w:pPr>
              <w:rPr>
                <w:rFonts w:ascii="宋体"/>
              </w:rPr>
            </w:pPr>
          </w:p>
        </w:tc>
      </w:tr>
      <w:tr w:rsidR="001B77DD" w14:paraId="675373D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3D6"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5D" wp14:editId="67538F5E">
                  <wp:extent cx="304800" cy="304800"/>
                  <wp:effectExtent l="0" t="0" r="0" b="0"/>
                  <wp:docPr id="101" name="图片 31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1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3D7"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3D8"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3D9" w14:textId="77777777" w:rsidR="001B77DD" w:rsidRDefault="00BF0A28">
            <w:pPr>
              <w:jc w:val="right"/>
              <w:textAlignment w:val="center"/>
            </w:pPr>
            <w:r>
              <w:rPr>
                <w:rFonts w:ascii="Arial" w:eastAsia="宋体" w:hAnsi="Arial" w:cs="Arial"/>
                <w:color w:val="262626"/>
                <w:sz w:val="16"/>
                <w:szCs w:val="16"/>
              </w:rPr>
              <w:t>95</w:t>
            </w:r>
          </w:p>
        </w:tc>
      </w:tr>
    </w:tbl>
    <w:p w14:paraId="675373DB" w14:textId="77777777" w:rsidR="001B77DD" w:rsidRDefault="00BF0A28">
      <w:r>
        <w:pict w14:anchorId="67538F5F">
          <v:rect id="_x0000_i1121" style="width:415.3pt;height:1.5pt" o:hralign="center" o:hrstd="t" o:hr="t" fillcolor="#a0a0a0" stroked="f"/>
        </w:pict>
      </w:r>
    </w:p>
    <w:p w14:paraId="675373DC" w14:textId="77777777" w:rsidR="001B77DD" w:rsidRDefault="00BF0A28">
      <w:pPr>
        <w:jc w:val="right"/>
      </w:pPr>
      <w:hyperlink r:id="rId183" w:anchor="i6c9ced68f6b24d58a3dcf326e8c3c699_16" w:history="1">
        <w:r>
          <w:rPr>
            <w:rStyle w:val="a5"/>
            <w:rFonts w:ascii="Arial" w:eastAsia="宋体" w:hAnsi="Arial" w:cs="Arial"/>
            <w:b/>
            <w:bCs/>
            <w:sz w:val="16"/>
            <w:szCs w:val="16"/>
          </w:rPr>
          <w:t>Table of Contents</w:t>
        </w:r>
      </w:hyperlink>
    </w:p>
    <w:p w14:paraId="675373DD" w14:textId="77777777" w:rsidR="001B77DD" w:rsidRDefault="001B77DD">
      <w:pPr>
        <w:jc w:val="right"/>
      </w:pPr>
    </w:p>
    <w:p w14:paraId="675373DE" w14:textId="77777777" w:rsidR="001B77DD" w:rsidRDefault="00BF0A28">
      <w:pPr>
        <w:spacing w:after="120"/>
      </w:pPr>
      <w:r>
        <w:rPr>
          <w:rFonts w:ascii="Arial" w:eastAsia="宋体" w:hAnsi="Arial" w:cs="Arial"/>
          <w:color w:val="0068B5"/>
          <w:sz w:val="20"/>
          <w:szCs w:val="20"/>
        </w:rPr>
        <w:t>Senior Notes</w:t>
      </w:r>
    </w:p>
    <w:p w14:paraId="675373DF" w14:textId="77777777" w:rsidR="001B77DD" w:rsidRDefault="00BF0A28">
      <w:pPr>
        <w:spacing w:after="180"/>
      </w:pPr>
      <w:r>
        <w:rPr>
          <w:rFonts w:ascii="Arial" w:eastAsia="宋体" w:hAnsi="Arial" w:cs="Arial"/>
          <w:color w:val="262626"/>
          <w:sz w:val="18"/>
          <w:szCs w:val="18"/>
        </w:rPr>
        <w:t xml:space="preserve">In 2021, we issued a total of $5.0 billion aggregate principal amount </w:t>
      </w:r>
      <w:r>
        <w:rPr>
          <w:rFonts w:ascii="Arial" w:eastAsia="宋体" w:hAnsi="Arial" w:cs="Arial"/>
          <w:color w:val="262626"/>
          <w:sz w:val="18"/>
          <w:szCs w:val="18"/>
        </w:rPr>
        <w:t>of senior notes. Net proceeds from the offerings are being used for general corporate purposes, which may include refinancing outstanding debt, funding for working capital, and capital expenditures. During 2021, we repaid $500 million of our 1.70% senior n</w:t>
      </w:r>
      <w:r>
        <w:rPr>
          <w:rFonts w:ascii="Arial" w:eastAsia="宋体" w:hAnsi="Arial" w:cs="Arial"/>
          <w:color w:val="262626"/>
          <w:sz w:val="18"/>
          <w:szCs w:val="18"/>
        </w:rPr>
        <w:t xml:space="preserve">otes that matured in May 2021 and $2.0 billion of our 3.30% senior notes that matured in October 2021. </w:t>
      </w:r>
    </w:p>
    <w:p w14:paraId="675373E0" w14:textId="77777777" w:rsidR="001B77DD" w:rsidRDefault="00BF0A28">
      <w:pPr>
        <w:spacing w:after="180"/>
      </w:pPr>
      <w:r>
        <w:rPr>
          <w:rFonts w:ascii="Arial" w:eastAsia="宋体" w:hAnsi="Arial" w:cs="Arial"/>
          <w:color w:val="262626"/>
          <w:sz w:val="18"/>
          <w:szCs w:val="18"/>
        </w:rPr>
        <w:t>In 2020, we issued a total of $10.3 billion aggregate principal amount of senior notes and repaid $1.0 billion of our 1.85% senior notes that matured in</w:t>
      </w:r>
      <w:r>
        <w:rPr>
          <w:rFonts w:ascii="Arial" w:eastAsia="宋体" w:hAnsi="Arial" w:cs="Arial"/>
          <w:color w:val="262626"/>
          <w:sz w:val="18"/>
          <w:szCs w:val="18"/>
        </w:rPr>
        <w:t xml:space="preserve"> May 2020 and $1.8 billion of our 2.45% senior notes that matured in July 2020. We also repaid $700 million in floating-rate senior notes that matured in May 2020. </w:t>
      </w:r>
    </w:p>
    <w:p w14:paraId="675373E1" w14:textId="77777777" w:rsidR="001B77DD" w:rsidRDefault="00BF0A28">
      <w:pPr>
        <w:spacing w:after="180"/>
      </w:pPr>
      <w:r>
        <w:rPr>
          <w:rFonts w:ascii="Arial" w:eastAsia="宋体" w:hAnsi="Arial" w:cs="Arial"/>
          <w:color w:val="262626"/>
          <w:sz w:val="18"/>
          <w:szCs w:val="18"/>
        </w:rPr>
        <w:t>Our floating-rate senior note pays interest quarterly and our fixed-rate senior notes pay i</w:t>
      </w:r>
      <w:r>
        <w:rPr>
          <w:rFonts w:ascii="Arial" w:eastAsia="宋体" w:hAnsi="Arial" w:cs="Arial"/>
          <w:color w:val="262626"/>
          <w:sz w:val="18"/>
          <w:szCs w:val="18"/>
        </w:rPr>
        <w:t>nterest semiannually. We may redeem the fixed-rate notes prior to their maturity at our option at specified redemption prices and subject to certain restrictions. The obligations under the notes rank equally in right of payment with all of our other existi</w:t>
      </w:r>
      <w:r>
        <w:rPr>
          <w:rFonts w:ascii="Arial" w:eastAsia="宋体" w:hAnsi="Arial" w:cs="Arial"/>
          <w:color w:val="262626"/>
          <w:sz w:val="18"/>
          <w:szCs w:val="18"/>
        </w:rPr>
        <w:t>ng and future senior unsecured indebtedness and will effectively rank junior to all liabilities of our subsidiaries.</w:t>
      </w:r>
    </w:p>
    <w:p w14:paraId="675373E2" w14:textId="77777777" w:rsidR="001B77DD" w:rsidRDefault="00BF0A28">
      <w:pPr>
        <w:spacing w:after="120"/>
      </w:pPr>
      <w:r>
        <w:rPr>
          <w:rFonts w:ascii="Arial" w:eastAsia="宋体" w:hAnsi="Arial" w:cs="Arial"/>
          <w:color w:val="0068B5"/>
          <w:sz w:val="20"/>
          <w:szCs w:val="20"/>
        </w:rPr>
        <w:t>Revolving Credit Facility</w:t>
      </w:r>
    </w:p>
    <w:p w14:paraId="675373E3" w14:textId="77777777" w:rsidR="001B77DD" w:rsidRDefault="00BF0A28">
      <w:pPr>
        <w:spacing w:after="180"/>
      </w:pPr>
      <w:r>
        <w:rPr>
          <w:rFonts w:ascii="Arial" w:eastAsia="宋体" w:hAnsi="Arial" w:cs="Arial"/>
          <w:color w:val="262626"/>
          <w:sz w:val="18"/>
          <w:szCs w:val="18"/>
        </w:rPr>
        <w:t>In 2021, we entered into a $5.0 billion variable-rate revolving credit facility that, if drawn, is expected to be</w:t>
      </w:r>
      <w:r>
        <w:rPr>
          <w:rFonts w:ascii="Arial" w:eastAsia="宋体" w:hAnsi="Arial" w:cs="Arial"/>
          <w:color w:val="262626"/>
          <w:sz w:val="18"/>
          <w:szCs w:val="18"/>
        </w:rPr>
        <w:t xml:space="preserve"> used for general corporate purposes. The revolving credit facility matures in March 2026 and had no borrowings outstanding as of December 25, 2021.</w:t>
      </w:r>
    </w:p>
    <w:p w14:paraId="675373E4" w14:textId="77777777" w:rsidR="001B77DD" w:rsidRDefault="00BF0A28">
      <w:pPr>
        <w:spacing w:after="120"/>
      </w:pPr>
      <w:r>
        <w:rPr>
          <w:rFonts w:ascii="Arial" w:eastAsia="宋体" w:hAnsi="Arial" w:cs="Arial"/>
          <w:color w:val="0068B5"/>
          <w:sz w:val="20"/>
          <w:szCs w:val="20"/>
        </w:rPr>
        <w:t>Convertible Debentures</w:t>
      </w:r>
    </w:p>
    <w:p w14:paraId="675373E5" w14:textId="77777777" w:rsidR="001B77DD" w:rsidRDefault="00BF0A28">
      <w:pPr>
        <w:spacing w:after="180"/>
      </w:pPr>
      <w:r>
        <w:rPr>
          <w:rFonts w:ascii="Arial" w:eastAsia="宋体" w:hAnsi="Arial" w:cs="Arial"/>
          <w:color w:val="262626"/>
          <w:sz w:val="18"/>
          <w:szCs w:val="18"/>
        </w:rPr>
        <w:t>In 2009, we issued the 2009 Debentures, which were convertible, subject to certain c</w:t>
      </w:r>
      <w:r>
        <w:rPr>
          <w:rFonts w:ascii="Arial" w:eastAsia="宋体" w:hAnsi="Arial" w:cs="Arial"/>
          <w:color w:val="262626"/>
          <w:sz w:val="18"/>
          <w:szCs w:val="18"/>
        </w:rPr>
        <w:t>onditions, into shares of our common stock and paid a fixed rate of interest semiannually. In 2020, we paid $1.1 billion in cash to settle our remaining $372 million in principal, resulting in a loss of $109 million in interest and other, net and $750 mill</w:t>
      </w:r>
      <w:r>
        <w:rPr>
          <w:rFonts w:ascii="Arial" w:eastAsia="宋体" w:hAnsi="Arial" w:cs="Arial"/>
          <w:color w:val="262626"/>
          <w:sz w:val="18"/>
          <w:szCs w:val="18"/>
        </w:rPr>
        <w:t xml:space="preserve">ion as a reduction in stockholders' equity related to the conversion feature. </w:t>
      </w:r>
    </w:p>
    <w:p w14:paraId="675373E6" w14:textId="77777777" w:rsidR="001B77DD" w:rsidRDefault="00BF0A28">
      <w:pPr>
        <w:spacing w:after="120"/>
      </w:pPr>
      <w:r>
        <w:rPr>
          <w:rFonts w:ascii="Arial" w:eastAsia="宋体" w:hAnsi="Arial" w:cs="Arial"/>
          <w:color w:val="0068B5"/>
          <w:sz w:val="20"/>
          <w:szCs w:val="20"/>
        </w:rPr>
        <w:t>Debt Maturities</w:t>
      </w:r>
    </w:p>
    <w:p w14:paraId="675373E7" w14:textId="77777777" w:rsidR="001B77DD" w:rsidRDefault="00BF0A28">
      <w:pPr>
        <w:spacing w:after="120"/>
      </w:pPr>
      <w:r>
        <w:rPr>
          <w:rFonts w:ascii="Arial" w:eastAsia="宋体" w:hAnsi="Arial" w:cs="Arial"/>
          <w:color w:val="262626"/>
          <w:sz w:val="18"/>
          <w:szCs w:val="18"/>
        </w:rPr>
        <w:t>Our aggregate debt maturities, excluding commercial paper and drafts payable, based on outstanding principal as of December 25, 2021, by year payable, are as fol</w:t>
      </w:r>
      <w:r>
        <w:rPr>
          <w:rFonts w:ascii="Arial" w:eastAsia="宋体" w:hAnsi="Arial" w:cs="Arial"/>
          <w:color w:val="262626"/>
          <w:sz w:val="18"/>
          <w:szCs w:val="18"/>
        </w:rPr>
        <w:t>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974"/>
        <w:gridCol w:w="36"/>
        <w:gridCol w:w="36"/>
        <w:gridCol w:w="36"/>
        <w:gridCol w:w="36"/>
        <w:gridCol w:w="121"/>
        <w:gridCol w:w="501"/>
        <w:gridCol w:w="36"/>
        <w:gridCol w:w="36"/>
        <w:gridCol w:w="36"/>
        <w:gridCol w:w="36"/>
        <w:gridCol w:w="121"/>
        <w:gridCol w:w="489"/>
        <w:gridCol w:w="36"/>
        <w:gridCol w:w="36"/>
        <w:gridCol w:w="36"/>
        <w:gridCol w:w="36"/>
        <w:gridCol w:w="121"/>
        <w:gridCol w:w="501"/>
        <w:gridCol w:w="36"/>
        <w:gridCol w:w="36"/>
        <w:gridCol w:w="36"/>
        <w:gridCol w:w="36"/>
        <w:gridCol w:w="121"/>
        <w:gridCol w:w="501"/>
        <w:gridCol w:w="36"/>
        <w:gridCol w:w="36"/>
        <w:gridCol w:w="36"/>
        <w:gridCol w:w="36"/>
        <w:gridCol w:w="121"/>
        <w:gridCol w:w="501"/>
        <w:gridCol w:w="36"/>
        <w:gridCol w:w="36"/>
        <w:gridCol w:w="36"/>
        <w:gridCol w:w="36"/>
        <w:gridCol w:w="122"/>
        <w:gridCol w:w="1339"/>
        <w:gridCol w:w="36"/>
        <w:gridCol w:w="36"/>
        <w:gridCol w:w="36"/>
        <w:gridCol w:w="36"/>
        <w:gridCol w:w="121"/>
        <w:gridCol w:w="601"/>
        <w:gridCol w:w="36"/>
      </w:tblGrid>
      <w:tr w:rsidR="001B77DD" w14:paraId="67537415" w14:textId="77777777">
        <w:tc>
          <w:tcPr>
            <w:tcW w:w="50" w:type="pct"/>
            <w:shd w:val="clear" w:color="auto" w:fill="auto"/>
            <w:vAlign w:val="bottom"/>
          </w:tcPr>
          <w:p w14:paraId="675373E8" w14:textId="77777777" w:rsidR="001B77DD" w:rsidRDefault="001B77DD">
            <w:pPr>
              <w:rPr>
                <w:rFonts w:ascii="宋体"/>
              </w:rPr>
            </w:pPr>
          </w:p>
        </w:tc>
        <w:tc>
          <w:tcPr>
            <w:tcW w:w="1229" w:type="pct"/>
            <w:shd w:val="clear" w:color="auto" w:fill="auto"/>
            <w:vAlign w:val="bottom"/>
          </w:tcPr>
          <w:p w14:paraId="675373E9" w14:textId="77777777" w:rsidR="001B77DD" w:rsidRDefault="001B77DD">
            <w:pPr>
              <w:rPr>
                <w:rFonts w:ascii="宋体"/>
              </w:rPr>
            </w:pPr>
          </w:p>
        </w:tc>
        <w:tc>
          <w:tcPr>
            <w:tcW w:w="5" w:type="pct"/>
            <w:shd w:val="clear" w:color="auto" w:fill="auto"/>
            <w:vAlign w:val="bottom"/>
          </w:tcPr>
          <w:p w14:paraId="675373EA" w14:textId="77777777" w:rsidR="001B77DD" w:rsidRDefault="001B77DD">
            <w:pPr>
              <w:rPr>
                <w:rFonts w:ascii="宋体"/>
              </w:rPr>
            </w:pPr>
          </w:p>
        </w:tc>
        <w:tc>
          <w:tcPr>
            <w:tcW w:w="5" w:type="pct"/>
            <w:shd w:val="clear" w:color="auto" w:fill="auto"/>
            <w:vAlign w:val="bottom"/>
          </w:tcPr>
          <w:p w14:paraId="675373EB" w14:textId="77777777" w:rsidR="001B77DD" w:rsidRDefault="001B77DD">
            <w:pPr>
              <w:rPr>
                <w:rFonts w:ascii="宋体"/>
              </w:rPr>
            </w:pPr>
          </w:p>
        </w:tc>
        <w:tc>
          <w:tcPr>
            <w:tcW w:w="24" w:type="pct"/>
            <w:shd w:val="clear" w:color="auto" w:fill="auto"/>
            <w:vAlign w:val="bottom"/>
          </w:tcPr>
          <w:p w14:paraId="675373EC" w14:textId="77777777" w:rsidR="001B77DD" w:rsidRDefault="001B77DD">
            <w:pPr>
              <w:rPr>
                <w:rFonts w:ascii="宋体"/>
              </w:rPr>
            </w:pPr>
          </w:p>
        </w:tc>
        <w:tc>
          <w:tcPr>
            <w:tcW w:w="5" w:type="pct"/>
            <w:shd w:val="clear" w:color="auto" w:fill="auto"/>
            <w:vAlign w:val="bottom"/>
          </w:tcPr>
          <w:p w14:paraId="675373ED" w14:textId="77777777" w:rsidR="001B77DD" w:rsidRDefault="001B77DD">
            <w:pPr>
              <w:rPr>
                <w:rFonts w:ascii="宋体"/>
              </w:rPr>
            </w:pPr>
          </w:p>
        </w:tc>
        <w:tc>
          <w:tcPr>
            <w:tcW w:w="50" w:type="pct"/>
            <w:shd w:val="clear" w:color="auto" w:fill="auto"/>
            <w:vAlign w:val="bottom"/>
          </w:tcPr>
          <w:p w14:paraId="675373EE" w14:textId="77777777" w:rsidR="001B77DD" w:rsidRDefault="001B77DD">
            <w:pPr>
              <w:rPr>
                <w:rFonts w:ascii="宋体"/>
              </w:rPr>
            </w:pPr>
          </w:p>
        </w:tc>
        <w:tc>
          <w:tcPr>
            <w:tcW w:w="368" w:type="pct"/>
            <w:shd w:val="clear" w:color="auto" w:fill="auto"/>
            <w:vAlign w:val="bottom"/>
          </w:tcPr>
          <w:p w14:paraId="675373EF" w14:textId="77777777" w:rsidR="001B77DD" w:rsidRDefault="001B77DD">
            <w:pPr>
              <w:rPr>
                <w:rFonts w:ascii="宋体"/>
              </w:rPr>
            </w:pPr>
          </w:p>
        </w:tc>
        <w:tc>
          <w:tcPr>
            <w:tcW w:w="5" w:type="pct"/>
            <w:shd w:val="clear" w:color="auto" w:fill="auto"/>
            <w:vAlign w:val="bottom"/>
          </w:tcPr>
          <w:p w14:paraId="675373F0" w14:textId="77777777" w:rsidR="001B77DD" w:rsidRDefault="001B77DD">
            <w:pPr>
              <w:rPr>
                <w:rFonts w:ascii="宋体"/>
              </w:rPr>
            </w:pPr>
          </w:p>
        </w:tc>
        <w:tc>
          <w:tcPr>
            <w:tcW w:w="5" w:type="pct"/>
            <w:shd w:val="clear" w:color="auto" w:fill="auto"/>
            <w:vAlign w:val="bottom"/>
          </w:tcPr>
          <w:p w14:paraId="675373F1" w14:textId="77777777" w:rsidR="001B77DD" w:rsidRDefault="001B77DD">
            <w:pPr>
              <w:rPr>
                <w:rFonts w:ascii="宋体"/>
              </w:rPr>
            </w:pPr>
          </w:p>
        </w:tc>
        <w:tc>
          <w:tcPr>
            <w:tcW w:w="24" w:type="pct"/>
            <w:shd w:val="clear" w:color="auto" w:fill="auto"/>
            <w:vAlign w:val="bottom"/>
          </w:tcPr>
          <w:p w14:paraId="675373F2" w14:textId="77777777" w:rsidR="001B77DD" w:rsidRDefault="001B77DD">
            <w:pPr>
              <w:rPr>
                <w:rFonts w:ascii="宋体"/>
              </w:rPr>
            </w:pPr>
          </w:p>
        </w:tc>
        <w:tc>
          <w:tcPr>
            <w:tcW w:w="5" w:type="pct"/>
            <w:shd w:val="clear" w:color="auto" w:fill="auto"/>
            <w:vAlign w:val="bottom"/>
          </w:tcPr>
          <w:p w14:paraId="675373F3" w14:textId="77777777" w:rsidR="001B77DD" w:rsidRDefault="001B77DD">
            <w:pPr>
              <w:rPr>
                <w:rFonts w:ascii="宋体"/>
              </w:rPr>
            </w:pPr>
          </w:p>
        </w:tc>
        <w:tc>
          <w:tcPr>
            <w:tcW w:w="50" w:type="pct"/>
            <w:shd w:val="clear" w:color="auto" w:fill="auto"/>
            <w:vAlign w:val="bottom"/>
          </w:tcPr>
          <w:p w14:paraId="675373F4" w14:textId="77777777" w:rsidR="001B77DD" w:rsidRDefault="001B77DD">
            <w:pPr>
              <w:rPr>
                <w:rFonts w:ascii="宋体"/>
              </w:rPr>
            </w:pPr>
          </w:p>
        </w:tc>
        <w:tc>
          <w:tcPr>
            <w:tcW w:w="368" w:type="pct"/>
            <w:shd w:val="clear" w:color="auto" w:fill="auto"/>
            <w:vAlign w:val="bottom"/>
          </w:tcPr>
          <w:p w14:paraId="675373F5" w14:textId="77777777" w:rsidR="001B77DD" w:rsidRDefault="001B77DD">
            <w:pPr>
              <w:rPr>
                <w:rFonts w:ascii="宋体"/>
              </w:rPr>
            </w:pPr>
          </w:p>
        </w:tc>
        <w:tc>
          <w:tcPr>
            <w:tcW w:w="5" w:type="pct"/>
            <w:shd w:val="clear" w:color="auto" w:fill="auto"/>
            <w:vAlign w:val="bottom"/>
          </w:tcPr>
          <w:p w14:paraId="675373F6" w14:textId="77777777" w:rsidR="001B77DD" w:rsidRDefault="001B77DD">
            <w:pPr>
              <w:rPr>
                <w:rFonts w:ascii="宋体"/>
              </w:rPr>
            </w:pPr>
          </w:p>
        </w:tc>
        <w:tc>
          <w:tcPr>
            <w:tcW w:w="5" w:type="pct"/>
            <w:shd w:val="clear" w:color="auto" w:fill="auto"/>
            <w:vAlign w:val="bottom"/>
          </w:tcPr>
          <w:p w14:paraId="675373F7" w14:textId="77777777" w:rsidR="001B77DD" w:rsidRDefault="001B77DD">
            <w:pPr>
              <w:rPr>
                <w:rFonts w:ascii="宋体"/>
              </w:rPr>
            </w:pPr>
          </w:p>
        </w:tc>
        <w:tc>
          <w:tcPr>
            <w:tcW w:w="24" w:type="pct"/>
            <w:shd w:val="clear" w:color="auto" w:fill="auto"/>
            <w:vAlign w:val="bottom"/>
          </w:tcPr>
          <w:p w14:paraId="675373F8" w14:textId="77777777" w:rsidR="001B77DD" w:rsidRDefault="001B77DD">
            <w:pPr>
              <w:rPr>
                <w:rFonts w:ascii="宋体"/>
              </w:rPr>
            </w:pPr>
          </w:p>
        </w:tc>
        <w:tc>
          <w:tcPr>
            <w:tcW w:w="5" w:type="pct"/>
            <w:shd w:val="clear" w:color="auto" w:fill="auto"/>
            <w:vAlign w:val="bottom"/>
          </w:tcPr>
          <w:p w14:paraId="675373F9" w14:textId="77777777" w:rsidR="001B77DD" w:rsidRDefault="001B77DD">
            <w:pPr>
              <w:rPr>
                <w:rFonts w:ascii="宋体"/>
              </w:rPr>
            </w:pPr>
          </w:p>
        </w:tc>
        <w:tc>
          <w:tcPr>
            <w:tcW w:w="50" w:type="pct"/>
            <w:shd w:val="clear" w:color="auto" w:fill="auto"/>
            <w:vAlign w:val="bottom"/>
          </w:tcPr>
          <w:p w14:paraId="675373FA" w14:textId="77777777" w:rsidR="001B77DD" w:rsidRDefault="001B77DD">
            <w:pPr>
              <w:rPr>
                <w:rFonts w:ascii="宋体"/>
              </w:rPr>
            </w:pPr>
          </w:p>
        </w:tc>
        <w:tc>
          <w:tcPr>
            <w:tcW w:w="368" w:type="pct"/>
            <w:shd w:val="clear" w:color="auto" w:fill="auto"/>
            <w:vAlign w:val="bottom"/>
          </w:tcPr>
          <w:p w14:paraId="675373FB" w14:textId="77777777" w:rsidR="001B77DD" w:rsidRDefault="001B77DD">
            <w:pPr>
              <w:rPr>
                <w:rFonts w:ascii="宋体"/>
              </w:rPr>
            </w:pPr>
          </w:p>
        </w:tc>
        <w:tc>
          <w:tcPr>
            <w:tcW w:w="5" w:type="pct"/>
            <w:shd w:val="clear" w:color="auto" w:fill="auto"/>
            <w:vAlign w:val="bottom"/>
          </w:tcPr>
          <w:p w14:paraId="675373FC" w14:textId="77777777" w:rsidR="001B77DD" w:rsidRDefault="001B77DD">
            <w:pPr>
              <w:rPr>
                <w:rFonts w:ascii="宋体"/>
              </w:rPr>
            </w:pPr>
          </w:p>
        </w:tc>
        <w:tc>
          <w:tcPr>
            <w:tcW w:w="5" w:type="pct"/>
            <w:shd w:val="clear" w:color="auto" w:fill="auto"/>
            <w:vAlign w:val="bottom"/>
          </w:tcPr>
          <w:p w14:paraId="675373FD" w14:textId="77777777" w:rsidR="001B77DD" w:rsidRDefault="001B77DD">
            <w:pPr>
              <w:rPr>
                <w:rFonts w:ascii="宋体"/>
              </w:rPr>
            </w:pPr>
          </w:p>
        </w:tc>
        <w:tc>
          <w:tcPr>
            <w:tcW w:w="24" w:type="pct"/>
            <w:shd w:val="clear" w:color="auto" w:fill="auto"/>
            <w:vAlign w:val="bottom"/>
          </w:tcPr>
          <w:p w14:paraId="675373FE" w14:textId="77777777" w:rsidR="001B77DD" w:rsidRDefault="001B77DD">
            <w:pPr>
              <w:rPr>
                <w:rFonts w:ascii="宋体"/>
              </w:rPr>
            </w:pPr>
          </w:p>
        </w:tc>
        <w:tc>
          <w:tcPr>
            <w:tcW w:w="5" w:type="pct"/>
            <w:shd w:val="clear" w:color="auto" w:fill="auto"/>
            <w:vAlign w:val="bottom"/>
          </w:tcPr>
          <w:p w14:paraId="675373FF" w14:textId="77777777" w:rsidR="001B77DD" w:rsidRDefault="001B77DD">
            <w:pPr>
              <w:rPr>
                <w:rFonts w:ascii="宋体"/>
              </w:rPr>
            </w:pPr>
          </w:p>
        </w:tc>
        <w:tc>
          <w:tcPr>
            <w:tcW w:w="50" w:type="pct"/>
            <w:shd w:val="clear" w:color="auto" w:fill="auto"/>
            <w:vAlign w:val="bottom"/>
          </w:tcPr>
          <w:p w14:paraId="67537400" w14:textId="77777777" w:rsidR="001B77DD" w:rsidRDefault="001B77DD">
            <w:pPr>
              <w:rPr>
                <w:rFonts w:ascii="宋体"/>
              </w:rPr>
            </w:pPr>
          </w:p>
        </w:tc>
        <w:tc>
          <w:tcPr>
            <w:tcW w:w="368" w:type="pct"/>
            <w:shd w:val="clear" w:color="auto" w:fill="auto"/>
            <w:vAlign w:val="bottom"/>
          </w:tcPr>
          <w:p w14:paraId="67537401" w14:textId="77777777" w:rsidR="001B77DD" w:rsidRDefault="001B77DD">
            <w:pPr>
              <w:rPr>
                <w:rFonts w:ascii="宋体"/>
              </w:rPr>
            </w:pPr>
          </w:p>
        </w:tc>
        <w:tc>
          <w:tcPr>
            <w:tcW w:w="5" w:type="pct"/>
            <w:shd w:val="clear" w:color="auto" w:fill="auto"/>
            <w:vAlign w:val="bottom"/>
          </w:tcPr>
          <w:p w14:paraId="67537402" w14:textId="77777777" w:rsidR="001B77DD" w:rsidRDefault="001B77DD">
            <w:pPr>
              <w:rPr>
                <w:rFonts w:ascii="宋体"/>
              </w:rPr>
            </w:pPr>
          </w:p>
        </w:tc>
        <w:tc>
          <w:tcPr>
            <w:tcW w:w="5" w:type="pct"/>
            <w:shd w:val="clear" w:color="auto" w:fill="auto"/>
            <w:vAlign w:val="bottom"/>
          </w:tcPr>
          <w:p w14:paraId="67537403" w14:textId="77777777" w:rsidR="001B77DD" w:rsidRDefault="001B77DD">
            <w:pPr>
              <w:rPr>
                <w:rFonts w:ascii="宋体"/>
              </w:rPr>
            </w:pPr>
          </w:p>
        </w:tc>
        <w:tc>
          <w:tcPr>
            <w:tcW w:w="24" w:type="pct"/>
            <w:shd w:val="clear" w:color="auto" w:fill="auto"/>
            <w:vAlign w:val="bottom"/>
          </w:tcPr>
          <w:p w14:paraId="67537404" w14:textId="77777777" w:rsidR="001B77DD" w:rsidRDefault="001B77DD">
            <w:pPr>
              <w:rPr>
                <w:rFonts w:ascii="宋体"/>
              </w:rPr>
            </w:pPr>
          </w:p>
        </w:tc>
        <w:tc>
          <w:tcPr>
            <w:tcW w:w="5" w:type="pct"/>
            <w:shd w:val="clear" w:color="auto" w:fill="auto"/>
            <w:vAlign w:val="bottom"/>
          </w:tcPr>
          <w:p w14:paraId="67537405" w14:textId="77777777" w:rsidR="001B77DD" w:rsidRDefault="001B77DD">
            <w:pPr>
              <w:rPr>
                <w:rFonts w:ascii="宋体"/>
              </w:rPr>
            </w:pPr>
          </w:p>
        </w:tc>
        <w:tc>
          <w:tcPr>
            <w:tcW w:w="50" w:type="pct"/>
            <w:shd w:val="clear" w:color="auto" w:fill="auto"/>
            <w:vAlign w:val="bottom"/>
          </w:tcPr>
          <w:p w14:paraId="67537406" w14:textId="77777777" w:rsidR="001B77DD" w:rsidRDefault="001B77DD">
            <w:pPr>
              <w:rPr>
                <w:rFonts w:ascii="宋体"/>
              </w:rPr>
            </w:pPr>
          </w:p>
        </w:tc>
        <w:tc>
          <w:tcPr>
            <w:tcW w:w="368" w:type="pct"/>
            <w:shd w:val="clear" w:color="auto" w:fill="auto"/>
            <w:vAlign w:val="bottom"/>
          </w:tcPr>
          <w:p w14:paraId="67537407" w14:textId="77777777" w:rsidR="001B77DD" w:rsidRDefault="001B77DD">
            <w:pPr>
              <w:rPr>
                <w:rFonts w:ascii="宋体"/>
              </w:rPr>
            </w:pPr>
          </w:p>
        </w:tc>
        <w:tc>
          <w:tcPr>
            <w:tcW w:w="5" w:type="pct"/>
            <w:shd w:val="clear" w:color="auto" w:fill="auto"/>
            <w:vAlign w:val="bottom"/>
          </w:tcPr>
          <w:p w14:paraId="67537408" w14:textId="77777777" w:rsidR="001B77DD" w:rsidRDefault="001B77DD">
            <w:pPr>
              <w:rPr>
                <w:rFonts w:ascii="宋体"/>
              </w:rPr>
            </w:pPr>
          </w:p>
        </w:tc>
        <w:tc>
          <w:tcPr>
            <w:tcW w:w="5" w:type="pct"/>
            <w:shd w:val="clear" w:color="auto" w:fill="auto"/>
            <w:vAlign w:val="bottom"/>
          </w:tcPr>
          <w:p w14:paraId="67537409" w14:textId="77777777" w:rsidR="001B77DD" w:rsidRDefault="001B77DD">
            <w:pPr>
              <w:rPr>
                <w:rFonts w:ascii="宋体"/>
              </w:rPr>
            </w:pPr>
          </w:p>
        </w:tc>
        <w:tc>
          <w:tcPr>
            <w:tcW w:w="24" w:type="pct"/>
            <w:shd w:val="clear" w:color="auto" w:fill="auto"/>
            <w:vAlign w:val="bottom"/>
          </w:tcPr>
          <w:p w14:paraId="6753740A" w14:textId="77777777" w:rsidR="001B77DD" w:rsidRDefault="001B77DD">
            <w:pPr>
              <w:rPr>
                <w:rFonts w:ascii="宋体"/>
              </w:rPr>
            </w:pPr>
          </w:p>
        </w:tc>
        <w:tc>
          <w:tcPr>
            <w:tcW w:w="5" w:type="pct"/>
            <w:shd w:val="clear" w:color="auto" w:fill="auto"/>
            <w:vAlign w:val="bottom"/>
          </w:tcPr>
          <w:p w14:paraId="6753740B" w14:textId="77777777" w:rsidR="001B77DD" w:rsidRDefault="001B77DD">
            <w:pPr>
              <w:rPr>
                <w:rFonts w:ascii="宋体"/>
              </w:rPr>
            </w:pPr>
          </w:p>
        </w:tc>
        <w:tc>
          <w:tcPr>
            <w:tcW w:w="50" w:type="pct"/>
            <w:shd w:val="clear" w:color="auto" w:fill="auto"/>
            <w:vAlign w:val="bottom"/>
          </w:tcPr>
          <w:p w14:paraId="6753740C" w14:textId="77777777" w:rsidR="001B77DD" w:rsidRDefault="001B77DD">
            <w:pPr>
              <w:rPr>
                <w:rFonts w:ascii="宋体"/>
              </w:rPr>
            </w:pPr>
          </w:p>
        </w:tc>
        <w:tc>
          <w:tcPr>
            <w:tcW w:w="880" w:type="pct"/>
            <w:shd w:val="clear" w:color="auto" w:fill="auto"/>
            <w:vAlign w:val="bottom"/>
          </w:tcPr>
          <w:p w14:paraId="6753740D" w14:textId="77777777" w:rsidR="001B77DD" w:rsidRDefault="001B77DD">
            <w:pPr>
              <w:rPr>
                <w:rFonts w:ascii="宋体"/>
              </w:rPr>
            </w:pPr>
          </w:p>
        </w:tc>
        <w:tc>
          <w:tcPr>
            <w:tcW w:w="5" w:type="pct"/>
            <w:shd w:val="clear" w:color="auto" w:fill="auto"/>
            <w:vAlign w:val="bottom"/>
          </w:tcPr>
          <w:p w14:paraId="6753740E" w14:textId="77777777" w:rsidR="001B77DD" w:rsidRDefault="001B77DD">
            <w:pPr>
              <w:rPr>
                <w:rFonts w:ascii="宋体"/>
              </w:rPr>
            </w:pPr>
          </w:p>
        </w:tc>
        <w:tc>
          <w:tcPr>
            <w:tcW w:w="5" w:type="pct"/>
            <w:shd w:val="clear" w:color="auto" w:fill="auto"/>
            <w:vAlign w:val="bottom"/>
          </w:tcPr>
          <w:p w14:paraId="6753740F" w14:textId="77777777" w:rsidR="001B77DD" w:rsidRDefault="001B77DD">
            <w:pPr>
              <w:rPr>
                <w:rFonts w:ascii="宋体"/>
              </w:rPr>
            </w:pPr>
          </w:p>
        </w:tc>
        <w:tc>
          <w:tcPr>
            <w:tcW w:w="24" w:type="pct"/>
            <w:shd w:val="clear" w:color="auto" w:fill="auto"/>
            <w:vAlign w:val="bottom"/>
          </w:tcPr>
          <w:p w14:paraId="67537410" w14:textId="77777777" w:rsidR="001B77DD" w:rsidRDefault="001B77DD">
            <w:pPr>
              <w:rPr>
                <w:rFonts w:ascii="宋体"/>
              </w:rPr>
            </w:pPr>
          </w:p>
        </w:tc>
        <w:tc>
          <w:tcPr>
            <w:tcW w:w="5" w:type="pct"/>
            <w:shd w:val="clear" w:color="auto" w:fill="auto"/>
            <w:vAlign w:val="bottom"/>
          </w:tcPr>
          <w:p w14:paraId="67537411" w14:textId="77777777" w:rsidR="001B77DD" w:rsidRDefault="001B77DD">
            <w:pPr>
              <w:rPr>
                <w:rFonts w:ascii="宋体"/>
              </w:rPr>
            </w:pPr>
          </w:p>
        </w:tc>
        <w:tc>
          <w:tcPr>
            <w:tcW w:w="50" w:type="pct"/>
            <w:shd w:val="clear" w:color="auto" w:fill="auto"/>
            <w:vAlign w:val="bottom"/>
          </w:tcPr>
          <w:p w14:paraId="67537412" w14:textId="77777777" w:rsidR="001B77DD" w:rsidRDefault="001B77DD">
            <w:pPr>
              <w:rPr>
                <w:rFonts w:ascii="宋体"/>
              </w:rPr>
            </w:pPr>
          </w:p>
        </w:tc>
        <w:tc>
          <w:tcPr>
            <w:tcW w:w="368" w:type="pct"/>
            <w:shd w:val="clear" w:color="auto" w:fill="auto"/>
            <w:vAlign w:val="bottom"/>
          </w:tcPr>
          <w:p w14:paraId="67537413" w14:textId="77777777" w:rsidR="001B77DD" w:rsidRDefault="001B77DD">
            <w:pPr>
              <w:rPr>
                <w:rFonts w:ascii="宋体"/>
              </w:rPr>
            </w:pPr>
          </w:p>
        </w:tc>
        <w:tc>
          <w:tcPr>
            <w:tcW w:w="5" w:type="pct"/>
            <w:shd w:val="clear" w:color="auto" w:fill="auto"/>
            <w:vAlign w:val="bottom"/>
          </w:tcPr>
          <w:p w14:paraId="67537414" w14:textId="77777777" w:rsidR="001B77DD" w:rsidRDefault="001B77DD">
            <w:pPr>
              <w:rPr>
                <w:rFonts w:ascii="宋体"/>
              </w:rPr>
            </w:pPr>
          </w:p>
        </w:tc>
      </w:tr>
      <w:tr w:rsidR="001B77DD" w14:paraId="67537425" w14:textId="77777777">
        <w:tc>
          <w:tcPr>
            <w:tcW w:w="0" w:type="auto"/>
            <w:gridSpan w:val="3"/>
            <w:shd w:val="clear" w:color="auto" w:fill="auto"/>
            <w:tcMar>
              <w:top w:w="40" w:type="dxa"/>
              <w:left w:w="20" w:type="dxa"/>
              <w:bottom w:w="40" w:type="dxa"/>
              <w:right w:w="20" w:type="dxa"/>
            </w:tcMar>
            <w:vAlign w:val="bottom"/>
          </w:tcPr>
          <w:p w14:paraId="67537416"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741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7418" w14:textId="77777777" w:rsidR="001B77DD" w:rsidRDefault="00BF0A28">
            <w:pPr>
              <w:jc w:val="center"/>
              <w:textAlignment w:val="top"/>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vAlign w:val="bottom"/>
          </w:tcPr>
          <w:p w14:paraId="6753741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741A" w14:textId="77777777" w:rsidR="001B77DD" w:rsidRDefault="00BF0A28">
            <w:pPr>
              <w:jc w:val="center"/>
              <w:textAlignment w:val="top"/>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6753741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741C" w14:textId="77777777" w:rsidR="001B77DD" w:rsidRDefault="00BF0A28">
            <w:pPr>
              <w:jc w:val="center"/>
              <w:textAlignment w:val="top"/>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6753741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741E" w14:textId="77777777" w:rsidR="001B77DD" w:rsidRDefault="00BF0A28">
            <w:pPr>
              <w:jc w:val="center"/>
              <w:textAlignment w:val="top"/>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6753741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7420" w14:textId="77777777" w:rsidR="001B77DD" w:rsidRDefault="00BF0A28">
            <w:pPr>
              <w:jc w:val="center"/>
              <w:textAlignment w:val="top"/>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6753742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7422" w14:textId="77777777" w:rsidR="001B77DD" w:rsidRDefault="00BF0A28">
            <w:pPr>
              <w:jc w:val="center"/>
              <w:textAlignment w:val="top"/>
            </w:pPr>
            <w:r>
              <w:rPr>
                <w:rFonts w:ascii="Arial" w:eastAsia="宋体" w:hAnsi="Arial" w:cs="Arial"/>
                <w:b/>
                <w:bCs/>
                <w:color w:val="262626"/>
                <w:sz w:val="18"/>
                <w:szCs w:val="18"/>
              </w:rPr>
              <w:t>2027 and thereafter</w:t>
            </w:r>
          </w:p>
        </w:tc>
        <w:tc>
          <w:tcPr>
            <w:tcW w:w="0" w:type="auto"/>
            <w:gridSpan w:val="3"/>
            <w:shd w:val="clear" w:color="auto" w:fill="auto"/>
            <w:tcMar>
              <w:top w:w="0" w:type="dxa"/>
              <w:left w:w="20" w:type="dxa"/>
              <w:bottom w:w="0" w:type="dxa"/>
              <w:right w:w="20" w:type="dxa"/>
            </w:tcMar>
            <w:vAlign w:val="bottom"/>
          </w:tcPr>
          <w:p w14:paraId="6753742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7424" w14:textId="77777777" w:rsidR="001B77DD" w:rsidRDefault="00BF0A28">
            <w:pPr>
              <w:jc w:val="center"/>
              <w:textAlignment w:val="top"/>
            </w:pPr>
            <w:r>
              <w:rPr>
                <w:rFonts w:ascii="Arial" w:eastAsia="宋体" w:hAnsi="Arial" w:cs="Arial"/>
                <w:b/>
                <w:bCs/>
                <w:color w:val="262626"/>
                <w:sz w:val="18"/>
                <w:szCs w:val="18"/>
              </w:rPr>
              <w:t>Total</w:t>
            </w:r>
          </w:p>
        </w:tc>
      </w:tr>
      <w:tr w:rsidR="001B77DD" w14:paraId="67537443"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2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2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428"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429" w14:textId="77777777" w:rsidR="001B77DD" w:rsidRDefault="00BF0A28">
            <w:pPr>
              <w:jc w:val="right"/>
              <w:textAlignment w:val="bottom"/>
            </w:pPr>
            <w:r>
              <w:rPr>
                <w:rFonts w:ascii="Arial" w:eastAsia="宋体" w:hAnsi="Arial" w:cs="Arial"/>
                <w:color w:val="0068B5"/>
                <w:sz w:val="18"/>
                <w:szCs w:val="18"/>
              </w:rPr>
              <w:t>4,586 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42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2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42C"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42D" w14:textId="77777777" w:rsidR="001B77DD" w:rsidRDefault="00BF0A28">
            <w:pPr>
              <w:jc w:val="right"/>
              <w:textAlignment w:val="bottom"/>
            </w:pPr>
            <w:r>
              <w:rPr>
                <w:rFonts w:ascii="Arial" w:eastAsia="宋体" w:hAnsi="Arial" w:cs="Arial"/>
                <w:color w:val="0068B5"/>
                <w:sz w:val="18"/>
                <w:szCs w:val="18"/>
              </w:rPr>
              <w:t>400 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42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2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430"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431" w14:textId="77777777" w:rsidR="001B77DD" w:rsidRDefault="00BF0A28">
            <w:pPr>
              <w:jc w:val="right"/>
              <w:textAlignment w:val="bottom"/>
            </w:pPr>
            <w:r>
              <w:rPr>
                <w:rFonts w:ascii="Arial" w:eastAsia="宋体" w:hAnsi="Arial" w:cs="Arial"/>
                <w:color w:val="0068B5"/>
                <w:sz w:val="18"/>
                <w:szCs w:val="18"/>
              </w:rPr>
              <w:t>1,850 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43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33"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434"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435" w14:textId="77777777" w:rsidR="001B77DD" w:rsidRDefault="00BF0A28">
            <w:pPr>
              <w:jc w:val="right"/>
              <w:textAlignment w:val="bottom"/>
            </w:pPr>
            <w:r>
              <w:rPr>
                <w:rFonts w:ascii="Arial" w:eastAsia="宋体" w:hAnsi="Arial" w:cs="Arial"/>
                <w:color w:val="0068B5"/>
                <w:sz w:val="18"/>
                <w:szCs w:val="18"/>
              </w:rPr>
              <w:t>3,750 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43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3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438"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439" w14:textId="77777777" w:rsidR="001B77DD" w:rsidRDefault="00BF0A28">
            <w:pPr>
              <w:jc w:val="right"/>
              <w:textAlignment w:val="bottom"/>
            </w:pPr>
            <w:r>
              <w:rPr>
                <w:rFonts w:ascii="Arial" w:eastAsia="宋体" w:hAnsi="Arial" w:cs="Arial"/>
                <w:color w:val="0068B5"/>
                <w:sz w:val="18"/>
                <w:szCs w:val="18"/>
              </w:rPr>
              <w:t>1,000 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43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3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43C"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43D" w14:textId="77777777" w:rsidR="001B77DD" w:rsidRDefault="00BF0A28">
            <w:pPr>
              <w:jc w:val="right"/>
              <w:textAlignment w:val="bottom"/>
            </w:pPr>
            <w:r>
              <w:rPr>
                <w:rFonts w:ascii="Arial" w:eastAsia="宋体" w:hAnsi="Arial" w:cs="Arial"/>
                <w:color w:val="0068B5"/>
                <w:sz w:val="18"/>
                <w:szCs w:val="18"/>
              </w:rPr>
              <w:t>26,109 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4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3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440"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441" w14:textId="77777777" w:rsidR="001B77DD" w:rsidRDefault="00BF0A28">
            <w:pPr>
              <w:jc w:val="right"/>
              <w:textAlignment w:val="bottom"/>
            </w:pPr>
            <w:r>
              <w:rPr>
                <w:rFonts w:ascii="Arial" w:eastAsia="宋体" w:hAnsi="Arial" w:cs="Arial"/>
                <w:b/>
                <w:bCs/>
                <w:color w:val="0068B5"/>
                <w:sz w:val="18"/>
                <w:szCs w:val="18"/>
              </w:rPr>
              <w:t>37,695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442" w14:textId="77777777" w:rsidR="001B77DD" w:rsidRDefault="001B77DD">
            <w:pPr>
              <w:jc w:val="right"/>
              <w:rPr>
                <w:rFonts w:ascii="宋体"/>
              </w:rPr>
            </w:pPr>
          </w:p>
        </w:tc>
      </w:tr>
    </w:tbl>
    <w:p w14:paraId="67537444" w14:textId="77777777" w:rsidR="001B77DD" w:rsidRDefault="001B77DD">
      <w:pPr>
        <w:spacing w:after="180"/>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451" w14:textId="77777777">
        <w:tc>
          <w:tcPr>
            <w:tcW w:w="50" w:type="pct"/>
            <w:shd w:val="clear" w:color="auto" w:fill="auto"/>
            <w:vAlign w:val="bottom"/>
          </w:tcPr>
          <w:p w14:paraId="67537445" w14:textId="77777777" w:rsidR="001B77DD" w:rsidRDefault="001B77DD">
            <w:pPr>
              <w:rPr>
                <w:rFonts w:ascii="宋体"/>
              </w:rPr>
            </w:pPr>
          </w:p>
        </w:tc>
        <w:tc>
          <w:tcPr>
            <w:tcW w:w="276" w:type="pct"/>
            <w:shd w:val="clear" w:color="auto" w:fill="auto"/>
            <w:vAlign w:val="bottom"/>
          </w:tcPr>
          <w:p w14:paraId="67537446" w14:textId="77777777" w:rsidR="001B77DD" w:rsidRDefault="001B77DD">
            <w:pPr>
              <w:rPr>
                <w:rFonts w:ascii="宋体"/>
              </w:rPr>
            </w:pPr>
          </w:p>
        </w:tc>
        <w:tc>
          <w:tcPr>
            <w:tcW w:w="5" w:type="pct"/>
            <w:shd w:val="clear" w:color="auto" w:fill="auto"/>
            <w:vAlign w:val="bottom"/>
          </w:tcPr>
          <w:p w14:paraId="67537447" w14:textId="77777777" w:rsidR="001B77DD" w:rsidRDefault="001B77DD">
            <w:pPr>
              <w:rPr>
                <w:rFonts w:ascii="宋体"/>
              </w:rPr>
            </w:pPr>
          </w:p>
        </w:tc>
        <w:tc>
          <w:tcPr>
            <w:tcW w:w="50" w:type="pct"/>
            <w:shd w:val="clear" w:color="auto" w:fill="auto"/>
            <w:vAlign w:val="bottom"/>
          </w:tcPr>
          <w:p w14:paraId="67537448" w14:textId="77777777" w:rsidR="001B77DD" w:rsidRDefault="001B77DD">
            <w:pPr>
              <w:rPr>
                <w:rFonts w:ascii="宋体"/>
              </w:rPr>
            </w:pPr>
          </w:p>
        </w:tc>
        <w:tc>
          <w:tcPr>
            <w:tcW w:w="940" w:type="pct"/>
            <w:shd w:val="clear" w:color="auto" w:fill="auto"/>
            <w:vAlign w:val="bottom"/>
          </w:tcPr>
          <w:p w14:paraId="67537449" w14:textId="77777777" w:rsidR="001B77DD" w:rsidRDefault="001B77DD">
            <w:pPr>
              <w:rPr>
                <w:rFonts w:ascii="宋体"/>
              </w:rPr>
            </w:pPr>
          </w:p>
        </w:tc>
        <w:tc>
          <w:tcPr>
            <w:tcW w:w="5" w:type="pct"/>
            <w:shd w:val="clear" w:color="auto" w:fill="auto"/>
            <w:vAlign w:val="bottom"/>
          </w:tcPr>
          <w:p w14:paraId="6753744A" w14:textId="77777777" w:rsidR="001B77DD" w:rsidRDefault="001B77DD">
            <w:pPr>
              <w:rPr>
                <w:rFonts w:ascii="宋体"/>
              </w:rPr>
            </w:pPr>
          </w:p>
        </w:tc>
        <w:tc>
          <w:tcPr>
            <w:tcW w:w="50" w:type="pct"/>
            <w:shd w:val="clear" w:color="auto" w:fill="auto"/>
            <w:vAlign w:val="bottom"/>
          </w:tcPr>
          <w:p w14:paraId="6753744B" w14:textId="77777777" w:rsidR="001B77DD" w:rsidRDefault="001B77DD">
            <w:pPr>
              <w:rPr>
                <w:rFonts w:ascii="宋体"/>
              </w:rPr>
            </w:pPr>
          </w:p>
        </w:tc>
        <w:tc>
          <w:tcPr>
            <w:tcW w:w="1837" w:type="pct"/>
            <w:shd w:val="clear" w:color="auto" w:fill="auto"/>
            <w:vAlign w:val="bottom"/>
          </w:tcPr>
          <w:p w14:paraId="6753744C" w14:textId="77777777" w:rsidR="001B77DD" w:rsidRDefault="001B77DD">
            <w:pPr>
              <w:rPr>
                <w:rFonts w:ascii="宋体"/>
              </w:rPr>
            </w:pPr>
          </w:p>
        </w:tc>
        <w:tc>
          <w:tcPr>
            <w:tcW w:w="5" w:type="pct"/>
            <w:shd w:val="clear" w:color="auto" w:fill="auto"/>
            <w:vAlign w:val="bottom"/>
          </w:tcPr>
          <w:p w14:paraId="6753744D" w14:textId="77777777" w:rsidR="001B77DD" w:rsidRDefault="001B77DD">
            <w:pPr>
              <w:rPr>
                <w:rFonts w:ascii="宋体"/>
              </w:rPr>
            </w:pPr>
          </w:p>
        </w:tc>
        <w:tc>
          <w:tcPr>
            <w:tcW w:w="50" w:type="pct"/>
            <w:shd w:val="clear" w:color="auto" w:fill="auto"/>
            <w:vAlign w:val="bottom"/>
          </w:tcPr>
          <w:p w14:paraId="6753744E" w14:textId="77777777" w:rsidR="001B77DD" w:rsidRDefault="001B77DD">
            <w:pPr>
              <w:rPr>
                <w:rFonts w:ascii="宋体"/>
              </w:rPr>
            </w:pPr>
          </w:p>
        </w:tc>
        <w:tc>
          <w:tcPr>
            <w:tcW w:w="1724" w:type="pct"/>
            <w:shd w:val="clear" w:color="auto" w:fill="auto"/>
            <w:vAlign w:val="bottom"/>
          </w:tcPr>
          <w:p w14:paraId="6753744F" w14:textId="77777777" w:rsidR="001B77DD" w:rsidRDefault="001B77DD">
            <w:pPr>
              <w:rPr>
                <w:rFonts w:ascii="宋体"/>
              </w:rPr>
            </w:pPr>
          </w:p>
        </w:tc>
        <w:tc>
          <w:tcPr>
            <w:tcW w:w="5" w:type="pct"/>
            <w:shd w:val="clear" w:color="auto" w:fill="auto"/>
            <w:vAlign w:val="bottom"/>
          </w:tcPr>
          <w:p w14:paraId="67537450" w14:textId="77777777" w:rsidR="001B77DD" w:rsidRDefault="001B77DD">
            <w:pPr>
              <w:rPr>
                <w:rFonts w:ascii="宋体"/>
              </w:rPr>
            </w:pPr>
          </w:p>
        </w:tc>
      </w:tr>
      <w:tr w:rsidR="001B77DD" w14:paraId="67537456"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452"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60" wp14:editId="67538F61">
                  <wp:extent cx="304800" cy="304800"/>
                  <wp:effectExtent l="0" t="0" r="0" b="0"/>
                  <wp:docPr id="96" name="图片 32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2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453"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454"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455" w14:textId="77777777" w:rsidR="001B77DD" w:rsidRDefault="00BF0A28">
            <w:pPr>
              <w:jc w:val="right"/>
              <w:textAlignment w:val="center"/>
            </w:pPr>
            <w:r>
              <w:rPr>
                <w:rFonts w:ascii="Arial" w:eastAsia="宋体" w:hAnsi="Arial" w:cs="Arial"/>
                <w:color w:val="262626"/>
                <w:sz w:val="16"/>
                <w:szCs w:val="16"/>
              </w:rPr>
              <w:t>96</w:t>
            </w:r>
          </w:p>
        </w:tc>
      </w:tr>
    </w:tbl>
    <w:p w14:paraId="67537457" w14:textId="77777777" w:rsidR="001B77DD" w:rsidRDefault="00BF0A28">
      <w:r>
        <w:pict w14:anchorId="67538F62">
          <v:rect id="_x0000_i1122" style="width:415.3pt;height:1.5pt" o:hralign="center" o:hrstd="t" o:hr="t" fillcolor="#a0a0a0" stroked="f"/>
        </w:pict>
      </w:r>
    </w:p>
    <w:p w14:paraId="67537458" w14:textId="77777777" w:rsidR="001B77DD" w:rsidRDefault="00BF0A28">
      <w:pPr>
        <w:jc w:val="right"/>
      </w:pPr>
      <w:hyperlink r:id="rId184" w:anchor="i6c9ced68f6b24d58a3dcf326e8c3c699_16" w:history="1">
        <w:r>
          <w:rPr>
            <w:rStyle w:val="a5"/>
            <w:rFonts w:ascii="Arial" w:eastAsia="宋体" w:hAnsi="Arial" w:cs="Arial"/>
            <w:b/>
            <w:bCs/>
            <w:sz w:val="16"/>
            <w:szCs w:val="16"/>
          </w:rPr>
          <w:t>Table of Contents</w:t>
        </w:r>
      </w:hyperlink>
    </w:p>
    <w:p w14:paraId="67537459"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7460" w14:textId="77777777">
        <w:tc>
          <w:tcPr>
            <w:tcW w:w="50" w:type="pct"/>
            <w:shd w:val="clear" w:color="auto" w:fill="auto"/>
            <w:vAlign w:val="bottom"/>
          </w:tcPr>
          <w:p w14:paraId="6753745A" w14:textId="77777777" w:rsidR="001B77DD" w:rsidRDefault="001B77DD">
            <w:pPr>
              <w:rPr>
                <w:rFonts w:ascii="宋体"/>
              </w:rPr>
            </w:pPr>
          </w:p>
        </w:tc>
        <w:tc>
          <w:tcPr>
            <w:tcW w:w="539" w:type="pct"/>
            <w:shd w:val="clear" w:color="auto" w:fill="auto"/>
            <w:vAlign w:val="bottom"/>
          </w:tcPr>
          <w:p w14:paraId="6753745B" w14:textId="77777777" w:rsidR="001B77DD" w:rsidRDefault="001B77DD">
            <w:pPr>
              <w:rPr>
                <w:rFonts w:ascii="宋体"/>
              </w:rPr>
            </w:pPr>
          </w:p>
        </w:tc>
        <w:tc>
          <w:tcPr>
            <w:tcW w:w="5" w:type="pct"/>
            <w:shd w:val="clear" w:color="auto" w:fill="auto"/>
            <w:vAlign w:val="bottom"/>
          </w:tcPr>
          <w:p w14:paraId="6753745C" w14:textId="77777777" w:rsidR="001B77DD" w:rsidRDefault="001B77DD">
            <w:pPr>
              <w:rPr>
                <w:rFonts w:ascii="宋体"/>
              </w:rPr>
            </w:pPr>
          </w:p>
        </w:tc>
        <w:tc>
          <w:tcPr>
            <w:tcW w:w="50" w:type="pct"/>
            <w:shd w:val="clear" w:color="auto" w:fill="auto"/>
            <w:vAlign w:val="bottom"/>
          </w:tcPr>
          <w:p w14:paraId="6753745D" w14:textId="77777777" w:rsidR="001B77DD" w:rsidRDefault="001B77DD">
            <w:pPr>
              <w:rPr>
                <w:rFonts w:ascii="宋体"/>
              </w:rPr>
            </w:pPr>
          </w:p>
        </w:tc>
        <w:tc>
          <w:tcPr>
            <w:tcW w:w="4350" w:type="pct"/>
            <w:shd w:val="clear" w:color="auto" w:fill="auto"/>
            <w:vAlign w:val="bottom"/>
          </w:tcPr>
          <w:p w14:paraId="6753745E" w14:textId="77777777" w:rsidR="001B77DD" w:rsidRDefault="001B77DD">
            <w:pPr>
              <w:rPr>
                <w:rFonts w:ascii="宋体"/>
              </w:rPr>
            </w:pPr>
          </w:p>
        </w:tc>
        <w:tc>
          <w:tcPr>
            <w:tcW w:w="5" w:type="pct"/>
            <w:shd w:val="clear" w:color="auto" w:fill="auto"/>
            <w:vAlign w:val="bottom"/>
          </w:tcPr>
          <w:p w14:paraId="6753745F" w14:textId="77777777" w:rsidR="001B77DD" w:rsidRDefault="001B77DD">
            <w:pPr>
              <w:rPr>
                <w:rFonts w:ascii="宋体"/>
              </w:rPr>
            </w:pPr>
          </w:p>
        </w:tc>
      </w:tr>
      <w:tr w:rsidR="001B77DD" w14:paraId="67537463"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7461" w14:textId="77777777" w:rsidR="001B77DD" w:rsidRDefault="00BF0A28">
            <w:pPr>
              <w:textAlignment w:val="bottom"/>
            </w:pPr>
            <w:r>
              <w:rPr>
                <w:rFonts w:ascii="Arial" w:eastAsia="宋体" w:hAnsi="Arial" w:cs="Arial"/>
                <w:color w:val="FFFFFF"/>
                <w:sz w:val="28"/>
                <w:szCs w:val="28"/>
              </w:rPr>
              <w:t xml:space="preserve">Note 14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7462" w14:textId="77777777" w:rsidR="001B77DD" w:rsidRDefault="00BF0A28">
            <w:pPr>
              <w:textAlignment w:val="bottom"/>
            </w:pPr>
            <w:r>
              <w:rPr>
                <w:rFonts w:ascii="Arial" w:eastAsia="宋体" w:hAnsi="Arial" w:cs="Arial"/>
                <w:color w:val="0068B5"/>
                <w:sz w:val="28"/>
                <w:szCs w:val="28"/>
              </w:rPr>
              <w:t>Fair Value</w:t>
            </w:r>
          </w:p>
        </w:tc>
      </w:tr>
    </w:tbl>
    <w:p w14:paraId="67537464" w14:textId="77777777" w:rsidR="001B77DD" w:rsidRDefault="00BF0A28">
      <w:pPr>
        <w:spacing w:after="12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4993" w:type="pct"/>
        <w:tblCellMar>
          <w:top w:w="15" w:type="dxa"/>
          <w:left w:w="15" w:type="dxa"/>
          <w:bottom w:w="15" w:type="dxa"/>
          <w:right w:w="15" w:type="dxa"/>
        </w:tblCellMar>
        <w:tblLook w:val="04A0" w:firstRow="1" w:lastRow="0" w:firstColumn="1" w:lastColumn="0" w:noHBand="0" w:noVBand="1"/>
      </w:tblPr>
      <w:tblGrid>
        <w:gridCol w:w="58"/>
        <w:gridCol w:w="1821"/>
        <w:gridCol w:w="39"/>
        <w:gridCol w:w="36"/>
        <w:gridCol w:w="36"/>
        <w:gridCol w:w="36"/>
        <w:gridCol w:w="121"/>
        <w:gridCol w:w="501"/>
        <w:gridCol w:w="36"/>
        <w:gridCol w:w="36"/>
        <w:gridCol w:w="36"/>
        <w:gridCol w:w="36"/>
        <w:gridCol w:w="121"/>
        <w:gridCol w:w="601"/>
        <w:gridCol w:w="36"/>
        <w:gridCol w:w="36"/>
        <w:gridCol w:w="36"/>
        <w:gridCol w:w="36"/>
        <w:gridCol w:w="122"/>
        <w:gridCol w:w="438"/>
        <w:gridCol w:w="37"/>
        <w:gridCol w:w="36"/>
        <w:gridCol w:w="36"/>
        <w:gridCol w:w="36"/>
        <w:gridCol w:w="121"/>
        <w:gridCol w:w="601"/>
        <w:gridCol w:w="36"/>
        <w:gridCol w:w="36"/>
        <w:gridCol w:w="36"/>
        <w:gridCol w:w="36"/>
        <w:gridCol w:w="121"/>
        <w:gridCol w:w="501"/>
        <w:gridCol w:w="36"/>
        <w:gridCol w:w="36"/>
        <w:gridCol w:w="36"/>
        <w:gridCol w:w="36"/>
        <w:gridCol w:w="121"/>
        <w:gridCol w:w="601"/>
        <w:gridCol w:w="36"/>
        <w:gridCol w:w="36"/>
        <w:gridCol w:w="36"/>
        <w:gridCol w:w="36"/>
        <w:gridCol w:w="122"/>
        <w:gridCol w:w="438"/>
        <w:gridCol w:w="37"/>
        <w:gridCol w:w="36"/>
        <w:gridCol w:w="36"/>
        <w:gridCol w:w="36"/>
        <w:gridCol w:w="121"/>
        <w:gridCol w:w="601"/>
        <w:gridCol w:w="36"/>
      </w:tblGrid>
      <w:tr w:rsidR="001B77DD" w14:paraId="67537498" w14:textId="77777777">
        <w:tc>
          <w:tcPr>
            <w:tcW w:w="50" w:type="pct"/>
            <w:shd w:val="clear" w:color="auto" w:fill="auto"/>
            <w:vAlign w:val="bottom"/>
          </w:tcPr>
          <w:p w14:paraId="67537465" w14:textId="77777777" w:rsidR="001B77DD" w:rsidRDefault="001B77DD">
            <w:pPr>
              <w:rPr>
                <w:rFonts w:ascii="宋体"/>
              </w:rPr>
            </w:pPr>
          </w:p>
        </w:tc>
        <w:tc>
          <w:tcPr>
            <w:tcW w:w="1196" w:type="pct"/>
            <w:shd w:val="clear" w:color="auto" w:fill="auto"/>
            <w:vAlign w:val="bottom"/>
          </w:tcPr>
          <w:p w14:paraId="67537466" w14:textId="77777777" w:rsidR="001B77DD" w:rsidRDefault="001B77DD">
            <w:pPr>
              <w:rPr>
                <w:rFonts w:ascii="宋体"/>
              </w:rPr>
            </w:pPr>
          </w:p>
        </w:tc>
        <w:tc>
          <w:tcPr>
            <w:tcW w:w="5" w:type="pct"/>
            <w:shd w:val="clear" w:color="auto" w:fill="auto"/>
            <w:vAlign w:val="bottom"/>
          </w:tcPr>
          <w:p w14:paraId="67537467" w14:textId="77777777" w:rsidR="001B77DD" w:rsidRDefault="001B77DD">
            <w:pPr>
              <w:rPr>
                <w:rFonts w:ascii="宋体"/>
              </w:rPr>
            </w:pPr>
          </w:p>
        </w:tc>
        <w:tc>
          <w:tcPr>
            <w:tcW w:w="5" w:type="pct"/>
            <w:shd w:val="clear" w:color="auto" w:fill="auto"/>
            <w:vAlign w:val="bottom"/>
          </w:tcPr>
          <w:p w14:paraId="67537468" w14:textId="77777777" w:rsidR="001B77DD" w:rsidRDefault="001B77DD">
            <w:pPr>
              <w:rPr>
                <w:rFonts w:ascii="宋体"/>
              </w:rPr>
            </w:pPr>
          </w:p>
        </w:tc>
        <w:tc>
          <w:tcPr>
            <w:tcW w:w="24" w:type="pct"/>
            <w:shd w:val="clear" w:color="auto" w:fill="auto"/>
            <w:vAlign w:val="bottom"/>
          </w:tcPr>
          <w:p w14:paraId="67537469" w14:textId="77777777" w:rsidR="001B77DD" w:rsidRDefault="001B77DD">
            <w:pPr>
              <w:rPr>
                <w:rFonts w:ascii="宋体"/>
              </w:rPr>
            </w:pPr>
          </w:p>
        </w:tc>
        <w:tc>
          <w:tcPr>
            <w:tcW w:w="5" w:type="pct"/>
            <w:shd w:val="clear" w:color="auto" w:fill="auto"/>
            <w:vAlign w:val="bottom"/>
          </w:tcPr>
          <w:p w14:paraId="6753746A" w14:textId="77777777" w:rsidR="001B77DD" w:rsidRDefault="001B77DD">
            <w:pPr>
              <w:rPr>
                <w:rFonts w:ascii="宋体"/>
              </w:rPr>
            </w:pPr>
          </w:p>
        </w:tc>
        <w:tc>
          <w:tcPr>
            <w:tcW w:w="50" w:type="pct"/>
            <w:shd w:val="clear" w:color="auto" w:fill="auto"/>
            <w:vAlign w:val="bottom"/>
          </w:tcPr>
          <w:p w14:paraId="6753746B" w14:textId="77777777" w:rsidR="001B77DD" w:rsidRDefault="001B77DD">
            <w:pPr>
              <w:rPr>
                <w:rFonts w:ascii="宋体"/>
              </w:rPr>
            </w:pPr>
          </w:p>
        </w:tc>
        <w:tc>
          <w:tcPr>
            <w:tcW w:w="389" w:type="pct"/>
            <w:shd w:val="clear" w:color="auto" w:fill="auto"/>
            <w:vAlign w:val="bottom"/>
          </w:tcPr>
          <w:p w14:paraId="6753746C" w14:textId="77777777" w:rsidR="001B77DD" w:rsidRDefault="001B77DD">
            <w:pPr>
              <w:rPr>
                <w:rFonts w:ascii="宋体"/>
              </w:rPr>
            </w:pPr>
          </w:p>
        </w:tc>
        <w:tc>
          <w:tcPr>
            <w:tcW w:w="5" w:type="pct"/>
            <w:shd w:val="clear" w:color="auto" w:fill="auto"/>
            <w:vAlign w:val="bottom"/>
          </w:tcPr>
          <w:p w14:paraId="6753746D" w14:textId="77777777" w:rsidR="001B77DD" w:rsidRDefault="001B77DD">
            <w:pPr>
              <w:rPr>
                <w:rFonts w:ascii="宋体"/>
              </w:rPr>
            </w:pPr>
          </w:p>
        </w:tc>
        <w:tc>
          <w:tcPr>
            <w:tcW w:w="5" w:type="pct"/>
            <w:shd w:val="clear" w:color="auto" w:fill="auto"/>
            <w:vAlign w:val="bottom"/>
          </w:tcPr>
          <w:p w14:paraId="6753746E" w14:textId="77777777" w:rsidR="001B77DD" w:rsidRDefault="001B77DD">
            <w:pPr>
              <w:rPr>
                <w:rFonts w:ascii="宋体"/>
              </w:rPr>
            </w:pPr>
          </w:p>
        </w:tc>
        <w:tc>
          <w:tcPr>
            <w:tcW w:w="24" w:type="pct"/>
            <w:shd w:val="clear" w:color="auto" w:fill="auto"/>
            <w:vAlign w:val="bottom"/>
          </w:tcPr>
          <w:p w14:paraId="6753746F" w14:textId="77777777" w:rsidR="001B77DD" w:rsidRDefault="001B77DD">
            <w:pPr>
              <w:rPr>
                <w:rFonts w:ascii="宋体"/>
              </w:rPr>
            </w:pPr>
          </w:p>
        </w:tc>
        <w:tc>
          <w:tcPr>
            <w:tcW w:w="5" w:type="pct"/>
            <w:shd w:val="clear" w:color="auto" w:fill="auto"/>
            <w:vAlign w:val="bottom"/>
          </w:tcPr>
          <w:p w14:paraId="67537470" w14:textId="77777777" w:rsidR="001B77DD" w:rsidRDefault="001B77DD">
            <w:pPr>
              <w:rPr>
                <w:rFonts w:ascii="宋体"/>
              </w:rPr>
            </w:pPr>
          </w:p>
        </w:tc>
        <w:tc>
          <w:tcPr>
            <w:tcW w:w="50" w:type="pct"/>
            <w:shd w:val="clear" w:color="auto" w:fill="auto"/>
            <w:vAlign w:val="bottom"/>
          </w:tcPr>
          <w:p w14:paraId="67537471" w14:textId="77777777" w:rsidR="001B77DD" w:rsidRDefault="001B77DD">
            <w:pPr>
              <w:rPr>
                <w:rFonts w:ascii="宋体"/>
              </w:rPr>
            </w:pPr>
          </w:p>
        </w:tc>
        <w:tc>
          <w:tcPr>
            <w:tcW w:w="389" w:type="pct"/>
            <w:shd w:val="clear" w:color="auto" w:fill="auto"/>
            <w:vAlign w:val="bottom"/>
          </w:tcPr>
          <w:p w14:paraId="67537472" w14:textId="77777777" w:rsidR="001B77DD" w:rsidRDefault="001B77DD">
            <w:pPr>
              <w:rPr>
                <w:rFonts w:ascii="宋体"/>
              </w:rPr>
            </w:pPr>
          </w:p>
        </w:tc>
        <w:tc>
          <w:tcPr>
            <w:tcW w:w="5" w:type="pct"/>
            <w:shd w:val="clear" w:color="auto" w:fill="auto"/>
            <w:vAlign w:val="bottom"/>
          </w:tcPr>
          <w:p w14:paraId="67537473" w14:textId="77777777" w:rsidR="001B77DD" w:rsidRDefault="001B77DD">
            <w:pPr>
              <w:rPr>
                <w:rFonts w:ascii="宋体"/>
              </w:rPr>
            </w:pPr>
          </w:p>
        </w:tc>
        <w:tc>
          <w:tcPr>
            <w:tcW w:w="5" w:type="pct"/>
            <w:shd w:val="clear" w:color="auto" w:fill="auto"/>
            <w:vAlign w:val="bottom"/>
          </w:tcPr>
          <w:p w14:paraId="67537474" w14:textId="77777777" w:rsidR="001B77DD" w:rsidRDefault="001B77DD">
            <w:pPr>
              <w:rPr>
                <w:rFonts w:ascii="宋体"/>
              </w:rPr>
            </w:pPr>
          </w:p>
        </w:tc>
        <w:tc>
          <w:tcPr>
            <w:tcW w:w="24" w:type="pct"/>
            <w:shd w:val="clear" w:color="auto" w:fill="auto"/>
            <w:vAlign w:val="bottom"/>
          </w:tcPr>
          <w:p w14:paraId="67537475" w14:textId="77777777" w:rsidR="001B77DD" w:rsidRDefault="001B77DD">
            <w:pPr>
              <w:rPr>
                <w:rFonts w:ascii="宋体"/>
              </w:rPr>
            </w:pPr>
          </w:p>
        </w:tc>
        <w:tc>
          <w:tcPr>
            <w:tcW w:w="5" w:type="pct"/>
            <w:shd w:val="clear" w:color="auto" w:fill="auto"/>
            <w:vAlign w:val="bottom"/>
          </w:tcPr>
          <w:p w14:paraId="67537476" w14:textId="77777777" w:rsidR="001B77DD" w:rsidRDefault="001B77DD">
            <w:pPr>
              <w:rPr>
                <w:rFonts w:ascii="宋体"/>
              </w:rPr>
            </w:pPr>
          </w:p>
        </w:tc>
        <w:tc>
          <w:tcPr>
            <w:tcW w:w="50" w:type="pct"/>
            <w:shd w:val="clear" w:color="auto" w:fill="auto"/>
            <w:vAlign w:val="bottom"/>
          </w:tcPr>
          <w:p w14:paraId="67537477" w14:textId="77777777" w:rsidR="001B77DD" w:rsidRDefault="001B77DD">
            <w:pPr>
              <w:rPr>
                <w:rFonts w:ascii="宋体"/>
              </w:rPr>
            </w:pPr>
          </w:p>
        </w:tc>
        <w:tc>
          <w:tcPr>
            <w:tcW w:w="389" w:type="pct"/>
            <w:shd w:val="clear" w:color="auto" w:fill="auto"/>
            <w:vAlign w:val="bottom"/>
          </w:tcPr>
          <w:p w14:paraId="67537478" w14:textId="77777777" w:rsidR="001B77DD" w:rsidRDefault="001B77DD">
            <w:pPr>
              <w:rPr>
                <w:rFonts w:ascii="宋体"/>
              </w:rPr>
            </w:pPr>
          </w:p>
        </w:tc>
        <w:tc>
          <w:tcPr>
            <w:tcW w:w="5" w:type="pct"/>
            <w:shd w:val="clear" w:color="auto" w:fill="auto"/>
            <w:vAlign w:val="bottom"/>
          </w:tcPr>
          <w:p w14:paraId="67537479" w14:textId="77777777" w:rsidR="001B77DD" w:rsidRDefault="001B77DD">
            <w:pPr>
              <w:rPr>
                <w:rFonts w:ascii="宋体"/>
              </w:rPr>
            </w:pPr>
          </w:p>
        </w:tc>
        <w:tc>
          <w:tcPr>
            <w:tcW w:w="5" w:type="pct"/>
            <w:shd w:val="clear" w:color="auto" w:fill="auto"/>
            <w:vAlign w:val="bottom"/>
          </w:tcPr>
          <w:p w14:paraId="6753747A" w14:textId="77777777" w:rsidR="001B77DD" w:rsidRDefault="001B77DD">
            <w:pPr>
              <w:rPr>
                <w:rFonts w:ascii="宋体"/>
              </w:rPr>
            </w:pPr>
          </w:p>
        </w:tc>
        <w:tc>
          <w:tcPr>
            <w:tcW w:w="24" w:type="pct"/>
            <w:shd w:val="clear" w:color="auto" w:fill="auto"/>
            <w:vAlign w:val="bottom"/>
          </w:tcPr>
          <w:p w14:paraId="6753747B" w14:textId="77777777" w:rsidR="001B77DD" w:rsidRDefault="001B77DD">
            <w:pPr>
              <w:rPr>
                <w:rFonts w:ascii="宋体"/>
              </w:rPr>
            </w:pPr>
          </w:p>
        </w:tc>
        <w:tc>
          <w:tcPr>
            <w:tcW w:w="5" w:type="pct"/>
            <w:shd w:val="clear" w:color="auto" w:fill="auto"/>
            <w:vAlign w:val="bottom"/>
          </w:tcPr>
          <w:p w14:paraId="6753747C" w14:textId="77777777" w:rsidR="001B77DD" w:rsidRDefault="001B77DD">
            <w:pPr>
              <w:rPr>
                <w:rFonts w:ascii="宋体"/>
              </w:rPr>
            </w:pPr>
          </w:p>
        </w:tc>
        <w:tc>
          <w:tcPr>
            <w:tcW w:w="50" w:type="pct"/>
            <w:shd w:val="clear" w:color="auto" w:fill="auto"/>
            <w:vAlign w:val="bottom"/>
          </w:tcPr>
          <w:p w14:paraId="6753747D" w14:textId="77777777" w:rsidR="001B77DD" w:rsidRDefault="001B77DD">
            <w:pPr>
              <w:rPr>
                <w:rFonts w:ascii="宋体"/>
              </w:rPr>
            </w:pPr>
          </w:p>
        </w:tc>
        <w:tc>
          <w:tcPr>
            <w:tcW w:w="348" w:type="pct"/>
            <w:shd w:val="clear" w:color="auto" w:fill="auto"/>
            <w:vAlign w:val="bottom"/>
          </w:tcPr>
          <w:p w14:paraId="6753747E" w14:textId="77777777" w:rsidR="001B77DD" w:rsidRDefault="001B77DD">
            <w:pPr>
              <w:rPr>
                <w:rFonts w:ascii="宋体"/>
              </w:rPr>
            </w:pPr>
          </w:p>
        </w:tc>
        <w:tc>
          <w:tcPr>
            <w:tcW w:w="5" w:type="pct"/>
            <w:shd w:val="clear" w:color="auto" w:fill="auto"/>
            <w:vAlign w:val="bottom"/>
          </w:tcPr>
          <w:p w14:paraId="6753747F" w14:textId="77777777" w:rsidR="001B77DD" w:rsidRDefault="001B77DD">
            <w:pPr>
              <w:rPr>
                <w:rFonts w:ascii="宋体"/>
              </w:rPr>
            </w:pPr>
          </w:p>
        </w:tc>
        <w:tc>
          <w:tcPr>
            <w:tcW w:w="5" w:type="pct"/>
            <w:shd w:val="clear" w:color="auto" w:fill="auto"/>
            <w:vAlign w:val="bottom"/>
          </w:tcPr>
          <w:p w14:paraId="67537480" w14:textId="77777777" w:rsidR="001B77DD" w:rsidRDefault="001B77DD">
            <w:pPr>
              <w:rPr>
                <w:rFonts w:ascii="宋体"/>
              </w:rPr>
            </w:pPr>
          </w:p>
        </w:tc>
        <w:tc>
          <w:tcPr>
            <w:tcW w:w="24" w:type="pct"/>
            <w:shd w:val="clear" w:color="auto" w:fill="auto"/>
            <w:vAlign w:val="bottom"/>
          </w:tcPr>
          <w:p w14:paraId="67537481" w14:textId="77777777" w:rsidR="001B77DD" w:rsidRDefault="001B77DD">
            <w:pPr>
              <w:rPr>
                <w:rFonts w:ascii="宋体"/>
              </w:rPr>
            </w:pPr>
          </w:p>
        </w:tc>
        <w:tc>
          <w:tcPr>
            <w:tcW w:w="5" w:type="pct"/>
            <w:shd w:val="clear" w:color="auto" w:fill="auto"/>
            <w:vAlign w:val="bottom"/>
          </w:tcPr>
          <w:p w14:paraId="67537482" w14:textId="77777777" w:rsidR="001B77DD" w:rsidRDefault="001B77DD">
            <w:pPr>
              <w:rPr>
                <w:rFonts w:ascii="宋体"/>
              </w:rPr>
            </w:pPr>
          </w:p>
        </w:tc>
        <w:tc>
          <w:tcPr>
            <w:tcW w:w="50" w:type="pct"/>
            <w:shd w:val="clear" w:color="auto" w:fill="auto"/>
            <w:vAlign w:val="bottom"/>
          </w:tcPr>
          <w:p w14:paraId="67537483" w14:textId="77777777" w:rsidR="001B77DD" w:rsidRDefault="001B77DD">
            <w:pPr>
              <w:rPr>
                <w:rFonts w:ascii="宋体"/>
              </w:rPr>
            </w:pPr>
          </w:p>
        </w:tc>
        <w:tc>
          <w:tcPr>
            <w:tcW w:w="389" w:type="pct"/>
            <w:shd w:val="clear" w:color="auto" w:fill="auto"/>
            <w:vAlign w:val="bottom"/>
          </w:tcPr>
          <w:p w14:paraId="67537484" w14:textId="77777777" w:rsidR="001B77DD" w:rsidRDefault="001B77DD">
            <w:pPr>
              <w:rPr>
                <w:rFonts w:ascii="宋体"/>
              </w:rPr>
            </w:pPr>
          </w:p>
        </w:tc>
        <w:tc>
          <w:tcPr>
            <w:tcW w:w="5" w:type="pct"/>
            <w:shd w:val="clear" w:color="auto" w:fill="auto"/>
            <w:vAlign w:val="bottom"/>
          </w:tcPr>
          <w:p w14:paraId="67537485" w14:textId="77777777" w:rsidR="001B77DD" w:rsidRDefault="001B77DD">
            <w:pPr>
              <w:rPr>
                <w:rFonts w:ascii="宋体"/>
              </w:rPr>
            </w:pPr>
          </w:p>
        </w:tc>
        <w:tc>
          <w:tcPr>
            <w:tcW w:w="5" w:type="pct"/>
            <w:shd w:val="clear" w:color="auto" w:fill="auto"/>
            <w:vAlign w:val="bottom"/>
          </w:tcPr>
          <w:p w14:paraId="67537486" w14:textId="77777777" w:rsidR="001B77DD" w:rsidRDefault="001B77DD">
            <w:pPr>
              <w:rPr>
                <w:rFonts w:ascii="宋体"/>
              </w:rPr>
            </w:pPr>
          </w:p>
        </w:tc>
        <w:tc>
          <w:tcPr>
            <w:tcW w:w="24" w:type="pct"/>
            <w:shd w:val="clear" w:color="auto" w:fill="auto"/>
            <w:vAlign w:val="bottom"/>
          </w:tcPr>
          <w:p w14:paraId="67537487" w14:textId="77777777" w:rsidR="001B77DD" w:rsidRDefault="001B77DD">
            <w:pPr>
              <w:rPr>
                <w:rFonts w:ascii="宋体"/>
              </w:rPr>
            </w:pPr>
          </w:p>
        </w:tc>
        <w:tc>
          <w:tcPr>
            <w:tcW w:w="5" w:type="pct"/>
            <w:shd w:val="clear" w:color="auto" w:fill="auto"/>
            <w:vAlign w:val="bottom"/>
          </w:tcPr>
          <w:p w14:paraId="67537488" w14:textId="77777777" w:rsidR="001B77DD" w:rsidRDefault="001B77DD">
            <w:pPr>
              <w:rPr>
                <w:rFonts w:ascii="宋体"/>
              </w:rPr>
            </w:pPr>
          </w:p>
        </w:tc>
        <w:tc>
          <w:tcPr>
            <w:tcW w:w="50" w:type="pct"/>
            <w:shd w:val="clear" w:color="auto" w:fill="auto"/>
            <w:vAlign w:val="bottom"/>
          </w:tcPr>
          <w:p w14:paraId="67537489" w14:textId="77777777" w:rsidR="001B77DD" w:rsidRDefault="001B77DD">
            <w:pPr>
              <w:rPr>
                <w:rFonts w:ascii="宋体"/>
              </w:rPr>
            </w:pPr>
          </w:p>
        </w:tc>
        <w:tc>
          <w:tcPr>
            <w:tcW w:w="389" w:type="pct"/>
            <w:shd w:val="clear" w:color="auto" w:fill="auto"/>
            <w:vAlign w:val="bottom"/>
          </w:tcPr>
          <w:p w14:paraId="6753748A" w14:textId="77777777" w:rsidR="001B77DD" w:rsidRDefault="001B77DD">
            <w:pPr>
              <w:rPr>
                <w:rFonts w:ascii="宋体"/>
              </w:rPr>
            </w:pPr>
          </w:p>
        </w:tc>
        <w:tc>
          <w:tcPr>
            <w:tcW w:w="5" w:type="pct"/>
            <w:shd w:val="clear" w:color="auto" w:fill="auto"/>
            <w:vAlign w:val="bottom"/>
          </w:tcPr>
          <w:p w14:paraId="6753748B" w14:textId="77777777" w:rsidR="001B77DD" w:rsidRDefault="001B77DD">
            <w:pPr>
              <w:rPr>
                <w:rFonts w:ascii="宋体"/>
              </w:rPr>
            </w:pPr>
          </w:p>
        </w:tc>
        <w:tc>
          <w:tcPr>
            <w:tcW w:w="5" w:type="pct"/>
            <w:shd w:val="clear" w:color="auto" w:fill="auto"/>
            <w:vAlign w:val="bottom"/>
          </w:tcPr>
          <w:p w14:paraId="6753748C" w14:textId="77777777" w:rsidR="001B77DD" w:rsidRDefault="001B77DD">
            <w:pPr>
              <w:rPr>
                <w:rFonts w:ascii="宋体"/>
              </w:rPr>
            </w:pPr>
          </w:p>
        </w:tc>
        <w:tc>
          <w:tcPr>
            <w:tcW w:w="24" w:type="pct"/>
            <w:shd w:val="clear" w:color="auto" w:fill="auto"/>
            <w:vAlign w:val="bottom"/>
          </w:tcPr>
          <w:p w14:paraId="6753748D" w14:textId="77777777" w:rsidR="001B77DD" w:rsidRDefault="001B77DD">
            <w:pPr>
              <w:rPr>
                <w:rFonts w:ascii="宋体"/>
              </w:rPr>
            </w:pPr>
          </w:p>
        </w:tc>
        <w:tc>
          <w:tcPr>
            <w:tcW w:w="5" w:type="pct"/>
            <w:shd w:val="clear" w:color="auto" w:fill="auto"/>
            <w:vAlign w:val="bottom"/>
          </w:tcPr>
          <w:p w14:paraId="6753748E" w14:textId="77777777" w:rsidR="001B77DD" w:rsidRDefault="001B77DD">
            <w:pPr>
              <w:rPr>
                <w:rFonts w:ascii="宋体"/>
              </w:rPr>
            </w:pPr>
          </w:p>
        </w:tc>
        <w:tc>
          <w:tcPr>
            <w:tcW w:w="50" w:type="pct"/>
            <w:shd w:val="clear" w:color="auto" w:fill="auto"/>
            <w:vAlign w:val="bottom"/>
          </w:tcPr>
          <w:p w14:paraId="6753748F" w14:textId="77777777" w:rsidR="001B77DD" w:rsidRDefault="001B77DD">
            <w:pPr>
              <w:rPr>
                <w:rFonts w:ascii="宋体"/>
              </w:rPr>
            </w:pPr>
          </w:p>
        </w:tc>
        <w:tc>
          <w:tcPr>
            <w:tcW w:w="389" w:type="pct"/>
            <w:shd w:val="clear" w:color="auto" w:fill="auto"/>
            <w:vAlign w:val="bottom"/>
          </w:tcPr>
          <w:p w14:paraId="67537490" w14:textId="77777777" w:rsidR="001B77DD" w:rsidRDefault="001B77DD">
            <w:pPr>
              <w:rPr>
                <w:rFonts w:ascii="宋体"/>
              </w:rPr>
            </w:pPr>
          </w:p>
        </w:tc>
        <w:tc>
          <w:tcPr>
            <w:tcW w:w="5" w:type="pct"/>
            <w:shd w:val="clear" w:color="auto" w:fill="auto"/>
            <w:vAlign w:val="bottom"/>
          </w:tcPr>
          <w:p w14:paraId="67537491" w14:textId="77777777" w:rsidR="001B77DD" w:rsidRDefault="001B77DD">
            <w:pPr>
              <w:rPr>
                <w:rFonts w:ascii="宋体"/>
              </w:rPr>
            </w:pPr>
          </w:p>
        </w:tc>
        <w:tc>
          <w:tcPr>
            <w:tcW w:w="5" w:type="pct"/>
            <w:shd w:val="clear" w:color="auto" w:fill="auto"/>
            <w:vAlign w:val="bottom"/>
          </w:tcPr>
          <w:p w14:paraId="67537492" w14:textId="77777777" w:rsidR="001B77DD" w:rsidRDefault="001B77DD">
            <w:pPr>
              <w:rPr>
                <w:rFonts w:ascii="宋体"/>
              </w:rPr>
            </w:pPr>
          </w:p>
        </w:tc>
        <w:tc>
          <w:tcPr>
            <w:tcW w:w="24" w:type="pct"/>
            <w:shd w:val="clear" w:color="auto" w:fill="auto"/>
            <w:vAlign w:val="bottom"/>
          </w:tcPr>
          <w:p w14:paraId="67537493" w14:textId="77777777" w:rsidR="001B77DD" w:rsidRDefault="001B77DD">
            <w:pPr>
              <w:rPr>
                <w:rFonts w:ascii="宋体"/>
              </w:rPr>
            </w:pPr>
          </w:p>
        </w:tc>
        <w:tc>
          <w:tcPr>
            <w:tcW w:w="5" w:type="pct"/>
            <w:shd w:val="clear" w:color="auto" w:fill="auto"/>
            <w:vAlign w:val="bottom"/>
          </w:tcPr>
          <w:p w14:paraId="67537494" w14:textId="77777777" w:rsidR="001B77DD" w:rsidRDefault="001B77DD">
            <w:pPr>
              <w:rPr>
                <w:rFonts w:ascii="宋体"/>
              </w:rPr>
            </w:pPr>
          </w:p>
        </w:tc>
        <w:tc>
          <w:tcPr>
            <w:tcW w:w="50" w:type="pct"/>
            <w:shd w:val="clear" w:color="auto" w:fill="auto"/>
            <w:vAlign w:val="bottom"/>
          </w:tcPr>
          <w:p w14:paraId="67537495" w14:textId="77777777" w:rsidR="001B77DD" w:rsidRDefault="001B77DD">
            <w:pPr>
              <w:rPr>
                <w:rFonts w:ascii="宋体"/>
              </w:rPr>
            </w:pPr>
          </w:p>
        </w:tc>
        <w:tc>
          <w:tcPr>
            <w:tcW w:w="349" w:type="pct"/>
            <w:shd w:val="clear" w:color="auto" w:fill="auto"/>
            <w:vAlign w:val="bottom"/>
          </w:tcPr>
          <w:p w14:paraId="67537496" w14:textId="77777777" w:rsidR="001B77DD" w:rsidRDefault="001B77DD">
            <w:pPr>
              <w:rPr>
                <w:rFonts w:ascii="宋体"/>
              </w:rPr>
            </w:pPr>
          </w:p>
        </w:tc>
        <w:tc>
          <w:tcPr>
            <w:tcW w:w="5" w:type="pct"/>
            <w:shd w:val="clear" w:color="auto" w:fill="auto"/>
            <w:vAlign w:val="bottom"/>
          </w:tcPr>
          <w:p w14:paraId="67537497" w14:textId="77777777" w:rsidR="001B77DD" w:rsidRDefault="001B77DD">
            <w:pPr>
              <w:rPr>
                <w:rFonts w:ascii="宋体"/>
              </w:rPr>
            </w:pPr>
          </w:p>
        </w:tc>
      </w:tr>
      <w:tr w:rsidR="001B77DD" w14:paraId="6753749E" w14:textId="77777777">
        <w:tc>
          <w:tcPr>
            <w:tcW w:w="0" w:type="auto"/>
            <w:gridSpan w:val="3"/>
            <w:shd w:val="clear" w:color="auto" w:fill="auto"/>
            <w:tcMar>
              <w:top w:w="0" w:type="dxa"/>
              <w:left w:w="20" w:type="dxa"/>
              <w:bottom w:w="0" w:type="dxa"/>
              <w:right w:w="20" w:type="dxa"/>
            </w:tcMar>
            <w:vAlign w:val="bottom"/>
          </w:tcPr>
          <w:p w14:paraId="6753749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9A" w14:textId="77777777" w:rsidR="001B77DD" w:rsidRDefault="001B77DD">
            <w:pPr>
              <w:rPr>
                <w:rFonts w:ascii="宋体"/>
              </w:rPr>
            </w:pPr>
          </w:p>
        </w:tc>
        <w:tc>
          <w:tcPr>
            <w:tcW w:w="0" w:type="auto"/>
            <w:gridSpan w:val="21"/>
            <w:shd w:val="clear" w:color="auto" w:fill="auto"/>
            <w:tcMar>
              <w:top w:w="40" w:type="dxa"/>
              <w:left w:w="20" w:type="dxa"/>
              <w:bottom w:w="40" w:type="dxa"/>
              <w:right w:w="20" w:type="dxa"/>
            </w:tcMar>
            <w:vAlign w:val="bottom"/>
          </w:tcPr>
          <w:p w14:paraId="6753749B" w14:textId="77777777" w:rsidR="001B77DD" w:rsidRDefault="00BF0A28">
            <w:pPr>
              <w:jc w:val="cente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6753749C" w14:textId="77777777" w:rsidR="001B77DD" w:rsidRDefault="001B77DD">
            <w:pPr>
              <w:rPr>
                <w:rFonts w:ascii="宋体"/>
              </w:rPr>
            </w:pPr>
          </w:p>
        </w:tc>
        <w:tc>
          <w:tcPr>
            <w:tcW w:w="0" w:type="auto"/>
            <w:gridSpan w:val="21"/>
            <w:shd w:val="clear" w:color="auto" w:fill="auto"/>
            <w:tcMar>
              <w:top w:w="40" w:type="dxa"/>
              <w:left w:w="20" w:type="dxa"/>
              <w:bottom w:w="40" w:type="dxa"/>
              <w:right w:w="20" w:type="dxa"/>
            </w:tcMar>
            <w:vAlign w:val="bottom"/>
          </w:tcPr>
          <w:p w14:paraId="6753749D" w14:textId="77777777" w:rsidR="001B77DD" w:rsidRDefault="00BF0A28">
            <w:pPr>
              <w:jc w:val="center"/>
              <w:textAlignment w:val="bottom"/>
            </w:pPr>
            <w:r>
              <w:rPr>
                <w:rFonts w:ascii="Arial" w:eastAsia="宋体" w:hAnsi="Arial" w:cs="Arial"/>
                <w:b/>
                <w:bCs/>
                <w:color w:val="262626"/>
                <w:sz w:val="18"/>
                <w:szCs w:val="18"/>
              </w:rPr>
              <w:t>December 26, 2020</w:t>
            </w:r>
          </w:p>
        </w:tc>
      </w:tr>
      <w:tr w:rsidR="001B77DD" w14:paraId="675374A9" w14:textId="77777777">
        <w:trPr>
          <w:trHeight w:val="460"/>
        </w:trPr>
        <w:tc>
          <w:tcPr>
            <w:tcW w:w="0" w:type="auto"/>
            <w:gridSpan w:val="3"/>
            <w:shd w:val="clear" w:color="auto" w:fill="auto"/>
            <w:tcMar>
              <w:top w:w="0" w:type="dxa"/>
              <w:left w:w="20" w:type="dxa"/>
              <w:bottom w:w="0" w:type="dxa"/>
              <w:right w:w="20" w:type="dxa"/>
            </w:tcMar>
            <w:vAlign w:val="bottom"/>
          </w:tcPr>
          <w:p w14:paraId="6753749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A0" w14:textId="77777777" w:rsidR="001B77DD" w:rsidRDefault="001B77DD">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675374A1" w14:textId="77777777" w:rsidR="001B77DD" w:rsidRDefault="00BF0A28">
            <w:pPr>
              <w:jc w:val="center"/>
              <w:textAlignment w:val="bottom"/>
            </w:pPr>
            <w:r>
              <w:rPr>
                <w:rFonts w:ascii="Arial" w:eastAsia="宋体" w:hAnsi="Arial" w:cs="Arial"/>
                <w:b/>
                <w:bCs/>
                <w:color w:val="262626"/>
                <w:sz w:val="18"/>
                <w:szCs w:val="18"/>
              </w:rPr>
              <w:t>Fair Value Measured and</w:t>
            </w:r>
          </w:p>
          <w:p w14:paraId="675374A2" w14:textId="77777777" w:rsidR="001B77DD" w:rsidRDefault="00BF0A28">
            <w:pPr>
              <w:jc w:val="center"/>
              <w:textAlignment w:val="bottom"/>
            </w:pPr>
            <w:r>
              <w:rPr>
                <w:rFonts w:ascii="Arial" w:eastAsia="宋体" w:hAnsi="Arial" w:cs="Arial"/>
                <w:b/>
                <w:bCs/>
                <w:color w:val="262626"/>
                <w:sz w:val="18"/>
                <w:szCs w:val="18"/>
              </w:rPr>
              <w:t>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4A3" w14:textId="77777777" w:rsidR="001B77DD" w:rsidRDefault="001B77DD">
            <w:pPr>
              <w:rPr>
                <w:rFonts w:ascii="宋体"/>
              </w:rPr>
            </w:pPr>
          </w:p>
        </w:tc>
        <w:tc>
          <w:tcPr>
            <w:tcW w:w="0" w:type="auto"/>
            <w:gridSpan w:val="3"/>
            <w:vMerge w:val="restart"/>
            <w:tcBorders>
              <w:top w:val="single" w:sz="4" w:space="0" w:color="0068B5"/>
            </w:tcBorders>
            <w:shd w:val="clear" w:color="auto" w:fill="auto"/>
            <w:tcMar>
              <w:top w:w="40" w:type="dxa"/>
              <w:left w:w="20" w:type="dxa"/>
              <w:bottom w:w="40" w:type="dxa"/>
              <w:right w:w="20" w:type="dxa"/>
            </w:tcMar>
            <w:vAlign w:val="bottom"/>
          </w:tcPr>
          <w:p w14:paraId="675374A4" w14:textId="77777777" w:rsidR="001B77DD" w:rsidRDefault="00BF0A28">
            <w:pPr>
              <w:jc w:val="center"/>
              <w:textAlignment w:val="bottom"/>
            </w:pPr>
            <w:r>
              <w:rPr>
                <w:rFonts w:ascii="Arial" w:eastAsia="宋体" w:hAnsi="Arial" w:cs="Arial"/>
                <w:b/>
                <w:bCs/>
                <w:color w:val="262626"/>
                <w:sz w:val="18"/>
                <w:szCs w:val="18"/>
              </w:rPr>
              <w:t>Total</w:t>
            </w:r>
          </w:p>
        </w:tc>
        <w:tc>
          <w:tcPr>
            <w:tcW w:w="0" w:type="auto"/>
            <w:gridSpan w:val="3"/>
            <w:vMerge w:val="restart"/>
            <w:shd w:val="clear" w:color="auto" w:fill="auto"/>
            <w:tcMar>
              <w:top w:w="0" w:type="dxa"/>
              <w:left w:w="20" w:type="dxa"/>
              <w:bottom w:w="0" w:type="dxa"/>
              <w:right w:w="20" w:type="dxa"/>
            </w:tcMar>
            <w:vAlign w:val="bottom"/>
          </w:tcPr>
          <w:p w14:paraId="675374A5" w14:textId="77777777" w:rsidR="001B77DD" w:rsidRDefault="001B77DD">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675374A6" w14:textId="77777777" w:rsidR="001B77DD" w:rsidRDefault="00BF0A28">
            <w:pPr>
              <w:jc w:val="center"/>
              <w:textAlignment w:val="bottom"/>
            </w:pPr>
            <w:r>
              <w:rPr>
                <w:rFonts w:ascii="Arial" w:eastAsia="宋体" w:hAnsi="Arial" w:cs="Arial"/>
                <w:b/>
                <w:bCs/>
                <w:color w:val="262626"/>
                <w:sz w:val="18"/>
                <w:szCs w:val="18"/>
              </w:rPr>
              <w:t>Fair Value Measured and</w:t>
            </w:r>
            <w:r>
              <w:rPr>
                <w:rFonts w:ascii="Arial" w:eastAsia="宋体" w:hAnsi="Arial" w:cs="Arial"/>
                <w:b/>
                <w:bCs/>
                <w:color w:val="262626"/>
                <w:sz w:val="18"/>
                <w:szCs w:val="18"/>
              </w:rPr>
              <w:br/>
              <w:t>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4A7" w14:textId="77777777" w:rsidR="001B77DD" w:rsidRDefault="001B77DD">
            <w:pPr>
              <w:rPr>
                <w:rFonts w:ascii="宋体"/>
              </w:rPr>
            </w:pPr>
          </w:p>
        </w:tc>
        <w:tc>
          <w:tcPr>
            <w:tcW w:w="0" w:type="auto"/>
            <w:gridSpan w:val="3"/>
            <w:vMerge w:val="restart"/>
            <w:tcBorders>
              <w:top w:val="single" w:sz="4" w:space="0" w:color="0068B5"/>
            </w:tcBorders>
            <w:shd w:val="clear" w:color="auto" w:fill="auto"/>
            <w:tcMar>
              <w:top w:w="40" w:type="dxa"/>
              <w:left w:w="20" w:type="dxa"/>
              <w:bottom w:w="40" w:type="dxa"/>
              <w:right w:w="20" w:type="dxa"/>
            </w:tcMar>
            <w:vAlign w:val="bottom"/>
          </w:tcPr>
          <w:p w14:paraId="675374A8" w14:textId="77777777" w:rsidR="001B77DD" w:rsidRDefault="00BF0A28">
            <w:pPr>
              <w:jc w:val="center"/>
              <w:textAlignment w:val="bottom"/>
            </w:pPr>
            <w:r>
              <w:rPr>
                <w:rFonts w:ascii="Arial" w:eastAsia="宋体" w:hAnsi="Arial" w:cs="Arial"/>
                <w:b/>
                <w:bCs/>
                <w:color w:val="262626"/>
                <w:sz w:val="18"/>
                <w:szCs w:val="18"/>
              </w:rPr>
              <w:t>Total</w:t>
            </w:r>
          </w:p>
        </w:tc>
      </w:tr>
      <w:tr w:rsidR="001B77DD" w14:paraId="675374BB" w14:textId="77777777">
        <w:trPr>
          <w:trHeight w:val="280"/>
        </w:trPr>
        <w:tc>
          <w:tcPr>
            <w:tcW w:w="0" w:type="auto"/>
            <w:gridSpan w:val="3"/>
            <w:shd w:val="clear" w:color="auto" w:fill="auto"/>
            <w:tcMar>
              <w:top w:w="40" w:type="dxa"/>
              <w:left w:w="20" w:type="dxa"/>
              <w:bottom w:w="40" w:type="dxa"/>
              <w:right w:w="20" w:type="dxa"/>
            </w:tcMar>
            <w:vAlign w:val="bottom"/>
          </w:tcPr>
          <w:p w14:paraId="675374AA"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74AB"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4AC" w14:textId="77777777" w:rsidR="001B77DD" w:rsidRDefault="00BF0A28">
            <w:pPr>
              <w:jc w:val="center"/>
              <w:textAlignment w:val="bottom"/>
            </w:pPr>
            <w:r>
              <w:rPr>
                <w:rFonts w:ascii="Arial" w:eastAsia="宋体" w:hAnsi="Arial" w:cs="Arial"/>
                <w:b/>
                <w:bCs/>
                <w:color w:val="262626"/>
                <w:sz w:val="18"/>
                <w:szCs w:val="18"/>
              </w:rPr>
              <w:t>Level 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4AD"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4AE" w14:textId="77777777" w:rsidR="001B77DD" w:rsidRDefault="00BF0A28">
            <w:pPr>
              <w:jc w:val="center"/>
              <w:textAlignment w:val="bottom"/>
            </w:pPr>
            <w:r>
              <w:rPr>
                <w:rFonts w:ascii="Arial" w:eastAsia="宋体" w:hAnsi="Arial" w:cs="Arial"/>
                <w:b/>
                <w:bCs/>
                <w:color w:val="262626"/>
                <w:sz w:val="18"/>
                <w:szCs w:val="18"/>
              </w:rPr>
              <w:t>Level 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4AF"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4B0" w14:textId="77777777" w:rsidR="001B77DD" w:rsidRDefault="00BF0A2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675374B1" w14:textId="77777777" w:rsidR="001B77DD" w:rsidRDefault="001B77DD">
            <w:pPr>
              <w:rPr>
                <w:rFonts w:ascii="宋体"/>
              </w:rPr>
            </w:pPr>
          </w:p>
        </w:tc>
        <w:tc>
          <w:tcPr>
            <w:tcW w:w="0" w:type="auto"/>
            <w:gridSpan w:val="3"/>
            <w:vMerge/>
            <w:tcBorders>
              <w:top w:val="single" w:sz="4" w:space="0" w:color="0068B5"/>
            </w:tcBorders>
            <w:shd w:val="clear" w:color="auto" w:fill="auto"/>
            <w:tcMar>
              <w:top w:w="40" w:type="dxa"/>
              <w:left w:w="20" w:type="dxa"/>
              <w:bottom w:w="40" w:type="dxa"/>
              <w:right w:w="20" w:type="dxa"/>
            </w:tcMar>
            <w:vAlign w:val="bottom"/>
          </w:tcPr>
          <w:p w14:paraId="675374B2"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74B3"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4B4" w14:textId="77777777" w:rsidR="001B77DD" w:rsidRDefault="00BF0A28">
            <w:pPr>
              <w:jc w:val="center"/>
              <w:textAlignment w:val="bottom"/>
            </w:pPr>
            <w:r>
              <w:rPr>
                <w:rFonts w:ascii="Arial" w:eastAsia="宋体" w:hAnsi="Arial" w:cs="Arial"/>
                <w:b/>
                <w:bCs/>
                <w:color w:val="262626"/>
                <w:sz w:val="18"/>
                <w:szCs w:val="18"/>
              </w:rPr>
              <w:t>Level 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4B5"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4B6" w14:textId="77777777" w:rsidR="001B77DD" w:rsidRDefault="00BF0A28">
            <w:pPr>
              <w:jc w:val="center"/>
              <w:textAlignment w:val="bottom"/>
            </w:pPr>
            <w:r>
              <w:rPr>
                <w:rFonts w:ascii="Arial" w:eastAsia="宋体" w:hAnsi="Arial" w:cs="Arial"/>
                <w:b/>
                <w:bCs/>
                <w:color w:val="262626"/>
                <w:sz w:val="18"/>
                <w:szCs w:val="18"/>
              </w:rPr>
              <w:t>Level 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4B7"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4B8" w14:textId="77777777" w:rsidR="001B77DD" w:rsidRDefault="00BF0A2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675374B9" w14:textId="77777777" w:rsidR="001B77DD" w:rsidRDefault="001B77DD">
            <w:pPr>
              <w:rPr>
                <w:rFonts w:ascii="宋体"/>
              </w:rPr>
            </w:pPr>
          </w:p>
        </w:tc>
        <w:tc>
          <w:tcPr>
            <w:tcW w:w="0" w:type="auto"/>
            <w:gridSpan w:val="3"/>
            <w:vMerge/>
            <w:tcBorders>
              <w:top w:val="single" w:sz="4" w:space="0" w:color="0068B5"/>
            </w:tcBorders>
            <w:shd w:val="clear" w:color="auto" w:fill="auto"/>
            <w:tcMar>
              <w:top w:w="40" w:type="dxa"/>
              <w:left w:w="20" w:type="dxa"/>
              <w:bottom w:w="40" w:type="dxa"/>
              <w:right w:w="20" w:type="dxa"/>
            </w:tcMar>
            <w:vAlign w:val="bottom"/>
          </w:tcPr>
          <w:p w14:paraId="675374BA" w14:textId="77777777" w:rsidR="001B77DD" w:rsidRDefault="001B77DD">
            <w:pPr>
              <w:jc w:val="center"/>
              <w:rPr>
                <w:rFonts w:ascii="宋体"/>
              </w:rPr>
            </w:pPr>
          </w:p>
        </w:tc>
      </w:tr>
      <w:tr w:rsidR="001B77DD" w14:paraId="675374CD"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4BC" w14:textId="77777777" w:rsidR="001B77DD" w:rsidRDefault="00BF0A28">
            <w:pPr>
              <w:textAlignment w:val="bottom"/>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75374BD"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B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BF"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C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C1"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C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C3"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C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C5"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C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C7"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C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C9"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C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CB"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4CC" w14:textId="77777777" w:rsidR="001B77DD" w:rsidRDefault="001B77DD">
            <w:pPr>
              <w:rPr>
                <w:rFonts w:ascii="宋体"/>
              </w:rPr>
            </w:pPr>
          </w:p>
        </w:tc>
      </w:tr>
      <w:tr w:rsidR="001B77DD" w14:paraId="675374DF" w14:textId="77777777">
        <w:tc>
          <w:tcPr>
            <w:tcW w:w="0" w:type="auto"/>
            <w:gridSpan w:val="3"/>
            <w:shd w:val="clear" w:color="auto" w:fill="auto"/>
            <w:tcMar>
              <w:top w:w="40" w:type="dxa"/>
              <w:left w:w="20" w:type="dxa"/>
              <w:bottom w:w="40" w:type="dxa"/>
              <w:right w:w="20" w:type="dxa"/>
            </w:tcMar>
            <w:vAlign w:val="bottom"/>
          </w:tcPr>
          <w:p w14:paraId="675374CE" w14:textId="77777777" w:rsidR="001B77DD" w:rsidRDefault="00BF0A28">
            <w:pPr>
              <w:textAlignment w:val="bottom"/>
            </w:pPr>
            <w:r>
              <w:rPr>
                <w:rFonts w:ascii="Arial" w:eastAsia="宋体" w:hAnsi="Arial" w:cs="Arial"/>
                <w:color w:val="262626"/>
                <w:sz w:val="18"/>
                <w:szCs w:val="18"/>
              </w:rPr>
              <w:t>Ca</w:t>
            </w:r>
            <w:r>
              <w:rPr>
                <w:rFonts w:ascii="Arial" w:eastAsia="宋体" w:hAnsi="Arial" w:cs="Arial"/>
                <w:color w:val="262626"/>
                <w:sz w:val="18"/>
                <w:szCs w:val="18"/>
              </w:rPr>
              <w:t>sh equivalents:</w:t>
            </w:r>
          </w:p>
        </w:tc>
        <w:tc>
          <w:tcPr>
            <w:tcW w:w="0" w:type="auto"/>
            <w:gridSpan w:val="3"/>
            <w:shd w:val="clear" w:color="auto" w:fill="auto"/>
            <w:tcMar>
              <w:top w:w="0" w:type="dxa"/>
              <w:left w:w="20" w:type="dxa"/>
              <w:bottom w:w="0" w:type="dxa"/>
              <w:right w:w="20" w:type="dxa"/>
            </w:tcMar>
            <w:vAlign w:val="bottom"/>
          </w:tcPr>
          <w:p w14:paraId="675374C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4DE" w14:textId="77777777" w:rsidR="001B77DD" w:rsidRDefault="001B77DD">
            <w:pPr>
              <w:rPr>
                <w:rFonts w:ascii="宋体"/>
              </w:rPr>
            </w:pPr>
          </w:p>
        </w:tc>
      </w:tr>
      <w:tr w:rsidR="001B77DD" w14:paraId="675374FF" w14:textId="77777777">
        <w:tc>
          <w:tcPr>
            <w:tcW w:w="0" w:type="auto"/>
            <w:gridSpan w:val="3"/>
            <w:shd w:val="clear" w:color="auto" w:fill="auto"/>
            <w:tcMar>
              <w:top w:w="40" w:type="dxa"/>
              <w:left w:w="260" w:type="dxa"/>
              <w:bottom w:w="40" w:type="dxa"/>
              <w:right w:w="20" w:type="dxa"/>
            </w:tcMar>
            <w:vAlign w:val="center"/>
          </w:tcPr>
          <w:p w14:paraId="675374E0" w14:textId="77777777" w:rsidR="001B77DD" w:rsidRDefault="00BF0A28">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675374E1"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4E2"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4E3"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4E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E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4E6"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4E7" w14:textId="77777777" w:rsidR="001B77DD" w:rsidRDefault="00BF0A28">
            <w:pPr>
              <w:jc w:val="right"/>
              <w:textAlignment w:val="bottom"/>
            </w:pPr>
            <w:r>
              <w:rPr>
                <w:rFonts w:ascii="Arial" w:eastAsia="宋体" w:hAnsi="Arial" w:cs="Arial"/>
                <w:color w:val="0068B5"/>
                <w:sz w:val="18"/>
                <w:szCs w:val="18"/>
              </w:rPr>
              <w:t>65 </w:t>
            </w:r>
          </w:p>
        </w:tc>
        <w:tc>
          <w:tcPr>
            <w:tcW w:w="0" w:type="auto"/>
            <w:shd w:val="clear" w:color="auto" w:fill="auto"/>
            <w:tcMar>
              <w:top w:w="40" w:type="dxa"/>
              <w:left w:w="0" w:type="dxa"/>
              <w:bottom w:w="40" w:type="dxa"/>
              <w:right w:w="20" w:type="dxa"/>
            </w:tcMar>
            <w:vAlign w:val="bottom"/>
          </w:tcPr>
          <w:p w14:paraId="675374E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E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4EA"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4EB"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4E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ED"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4EE"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4EF" w14:textId="77777777" w:rsidR="001B77DD" w:rsidRDefault="00BF0A28">
            <w:pPr>
              <w:jc w:val="right"/>
              <w:textAlignment w:val="bottom"/>
            </w:pPr>
            <w:r>
              <w:rPr>
                <w:rFonts w:ascii="Arial" w:eastAsia="宋体" w:hAnsi="Arial" w:cs="Arial"/>
                <w:color w:val="0068B5"/>
                <w:sz w:val="18"/>
                <w:szCs w:val="18"/>
              </w:rPr>
              <w:t>65 </w:t>
            </w:r>
          </w:p>
        </w:tc>
        <w:tc>
          <w:tcPr>
            <w:tcW w:w="0" w:type="auto"/>
            <w:shd w:val="clear" w:color="auto" w:fill="auto"/>
            <w:tcMar>
              <w:top w:w="40" w:type="dxa"/>
              <w:left w:w="0" w:type="dxa"/>
              <w:bottom w:w="40" w:type="dxa"/>
              <w:right w:w="20" w:type="dxa"/>
            </w:tcMar>
            <w:vAlign w:val="bottom"/>
          </w:tcPr>
          <w:p w14:paraId="675374F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F1"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4F2" w14:textId="77777777" w:rsidR="001B77DD" w:rsidRDefault="00BF0A28">
            <w:pPr>
              <w:textAlignment w:val="bottom"/>
            </w:pPr>
            <w:r>
              <w:rPr>
                <w:rFonts w:ascii="Arial" w:eastAsia="宋体" w:hAnsi="Arial" w:cs="Arial"/>
                <w:color w:val="262626"/>
                <w:sz w:val="18"/>
                <w:szCs w:val="18"/>
              </w:rPr>
              <w:t>$</w:t>
            </w:r>
          </w:p>
        </w:tc>
        <w:tc>
          <w:tcPr>
            <w:tcW w:w="0" w:type="auto"/>
            <w:gridSpan w:val="2"/>
            <w:shd w:val="clear" w:color="auto" w:fill="auto"/>
            <w:tcMar>
              <w:top w:w="40" w:type="dxa"/>
              <w:left w:w="0" w:type="dxa"/>
              <w:bottom w:w="40" w:type="dxa"/>
              <w:right w:w="140" w:type="dxa"/>
            </w:tcMar>
            <w:vAlign w:val="bottom"/>
          </w:tcPr>
          <w:p w14:paraId="675374F3"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4F4"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4F5"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4F6" w14:textId="77777777" w:rsidR="001B77DD" w:rsidRDefault="00BF0A28">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675374F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4F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4F9" w14:textId="77777777" w:rsidR="001B77DD" w:rsidRDefault="00BF0A28">
            <w:pPr>
              <w:textAlignment w:val="bottom"/>
            </w:pPr>
            <w:r>
              <w:rPr>
                <w:rFonts w:ascii="Arial" w:eastAsia="宋体" w:hAnsi="Arial" w:cs="Arial"/>
                <w:color w:val="262626"/>
                <w:sz w:val="18"/>
                <w:szCs w:val="18"/>
              </w:rPr>
              <w:t>$</w:t>
            </w:r>
          </w:p>
        </w:tc>
        <w:tc>
          <w:tcPr>
            <w:tcW w:w="0" w:type="auto"/>
            <w:gridSpan w:val="2"/>
            <w:shd w:val="clear" w:color="auto" w:fill="auto"/>
            <w:tcMar>
              <w:top w:w="40" w:type="dxa"/>
              <w:left w:w="0" w:type="dxa"/>
              <w:bottom w:w="40" w:type="dxa"/>
              <w:right w:w="140" w:type="dxa"/>
            </w:tcMar>
            <w:vAlign w:val="bottom"/>
          </w:tcPr>
          <w:p w14:paraId="675374FA"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4F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4FC"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4FD" w14:textId="77777777" w:rsidR="001B77DD" w:rsidRDefault="00BF0A28">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675374FE" w14:textId="77777777" w:rsidR="001B77DD" w:rsidRDefault="001B77DD">
            <w:pPr>
              <w:jc w:val="right"/>
              <w:rPr>
                <w:rFonts w:ascii="宋体"/>
              </w:rPr>
            </w:pPr>
          </w:p>
        </w:tc>
      </w:tr>
      <w:tr w:rsidR="001B77DD" w14:paraId="67537518" w14:textId="77777777">
        <w:tc>
          <w:tcPr>
            <w:tcW w:w="0" w:type="auto"/>
            <w:gridSpan w:val="3"/>
            <w:shd w:val="clear" w:color="auto" w:fill="auto"/>
            <w:tcMar>
              <w:top w:w="40" w:type="dxa"/>
              <w:left w:w="20" w:type="dxa"/>
              <w:bottom w:w="40" w:type="dxa"/>
              <w:right w:w="20" w:type="dxa"/>
            </w:tcMar>
            <w:vAlign w:val="center"/>
          </w:tcPr>
          <w:p w14:paraId="67537500" w14:textId="77777777" w:rsidR="001B77DD" w:rsidRDefault="00BF0A28">
            <w:pPr>
              <w:ind w:hanging="180"/>
              <w:textAlignment w:val="center"/>
            </w:pPr>
            <w:r>
              <w:rPr>
                <w:rFonts w:ascii="Arial" w:eastAsia="宋体" w:hAnsi="Arial" w:cs="Arial"/>
                <w:color w:val="262626"/>
                <w:sz w:val="18"/>
                <w:szCs w:val="18"/>
              </w:rPr>
              <w:t>Financial institution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6753750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02" w14:textId="77777777" w:rsidR="001B77DD" w:rsidRDefault="00BF0A28">
            <w:pPr>
              <w:jc w:val="right"/>
              <w:textAlignment w:val="bottom"/>
            </w:pPr>
            <w:r>
              <w:rPr>
                <w:rFonts w:ascii="Arial" w:eastAsia="宋体" w:hAnsi="Arial" w:cs="Arial"/>
                <w:color w:val="0068B5"/>
                <w:sz w:val="18"/>
                <w:szCs w:val="18"/>
              </w:rPr>
              <w:t>1,216 </w:t>
            </w:r>
          </w:p>
        </w:tc>
        <w:tc>
          <w:tcPr>
            <w:tcW w:w="0" w:type="auto"/>
            <w:shd w:val="clear" w:color="auto" w:fill="auto"/>
            <w:tcMar>
              <w:top w:w="40" w:type="dxa"/>
              <w:left w:w="0" w:type="dxa"/>
              <w:bottom w:w="40" w:type="dxa"/>
              <w:right w:w="20" w:type="dxa"/>
            </w:tcMar>
            <w:vAlign w:val="bottom"/>
          </w:tcPr>
          <w:p w14:paraId="6753750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0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05" w14:textId="77777777" w:rsidR="001B77DD" w:rsidRDefault="00BF0A28">
            <w:pPr>
              <w:jc w:val="right"/>
              <w:textAlignment w:val="bottom"/>
            </w:pPr>
            <w:r>
              <w:rPr>
                <w:rFonts w:ascii="Arial" w:eastAsia="宋体" w:hAnsi="Arial" w:cs="Arial"/>
                <w:color w:val="0068B5"/>
                <w:sz w:val="18"/>
                <w:szCs w:val="18"/>
              </w:rPr>
              <w:t>763 </w:t>
            </w:r>
          </w:p>
        </w:tc>
        <w:tc>
          <w:tcPr>
            <w:tcW w:w="0" w:type="auto"/>
            <w:shd w:val="clear" w:color="auto" w:fill="auto"/>
            <w:tcMar>
              <w:top w:w="40" w:type="dxa"/>
              <w:left w:w="0" w:type="dxa"/>
              <w:bottom w:w="40" w:type="dxa"/>
              <w:right w:w="20" w:type="dxa"/>
            </w:tcMar>
            <w:vAlign w:val="bottom"/>
          </w:tcPr>
          <w:p w14:paraId="6753750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0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08"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0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0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0B" w14:textId="77777777" w:rsidR="001B77DD" w:rsidRDefault="00BF0A28">
            <w:pPr>
              <w:jc w:val="right"/>
              <w:textAlignment w:val="bottom"/>
            </w:pPr>
            <w:r>
              <w:rPr>
                <w:rFonts w:ascii="Arial" w:eastAsia="宋体" w:hAnsi="Arial" w:cs="Arial"/>
                <w:color w:val="0068B5"/>
                <w:sz w:val="18"/>
                <w:szCs w:val="18"/>
              </w:rPr>
              <w:t>1,979 </w:t>
            </w:r>
          </w:p>
        </w:tc>
        <w:tc>
          <w:tcPr>
            <w:tcW w:w="0" w:type="auto"/>
            <w:shd w:val="clear" w:color="auto" w:fill="auto"/>
            <w:tcMar>
              <w:top w:w="40" w:type="dxa"/>
              <w:left w:w="0" w:type="dxa"/>
              <w:bottom w:w="40" w:type="dxa"/>
              <w:right w:w="20" w:type="dxa"/>
            </w:tcMar>
            <w:vAlign w:val="bottom"/>
          </w:tcPr>
          <w:p w14:paraId="6753750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0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0E" w14:textId="77777777" w:rsidR="001B77DD" w:rsidRDefault="00BF0A28">
            <w:pPr>
              <w:jc w:val="right"/>
              <w:textAlignment w:val="bottom"/>
            </w:pPr>
            <w:r>
              <w:rPr>
                <w:rFonts w:ascii="Arial" w:eastAsia="宋体" w:hAnsi="Arial" w:cs="Arial"/>
                <w:color w:val="262626"/>
                <w:sz w:val="18"/>
                <w:szCs w:val="18"/>
              </w:rPr>
              <w:t>2,781 </w:t>
            </w:r>
          </w:p>
        </w:tc>
        <w:tc>
          <w:tcPr>
            <w:tcW w:w="0" w:type="auto"/>
            <w:shd w:val="clear" w:color="auto" w:fill="auto"/>
            <w:tcMar>
              <w:top w:w="40" w:type="dxa"/>
              <w:left w:w="0" w:type="dxa"/>
              <w:bottom w:w="40" w:type="dxa"/>
              <w:right w:w="20" w:type="dxa"/>
            </w:tcMar>
            <w:vAlign w:val="bottom"/>
          </w:tcPr>
          <w:p w14:paraId="6753750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1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11" w14:textId="77777777" w:rsidR="001B77DD" w:rsidRDefault="00BF0A28">
            <w:pPr>
              <w:jc w:val="right"/>
              <w:textAlignment w:val="bottom"/>
            </w:pPr>
            <w:r>
              <w:rPr>
                <w:rFonts w:ascii="Arial" w:eastAsia="宋体" w:hAnsi="Arial" w:cs="Arial"/>
                <w:color w:val="262626"/>
                <w:sz w:val="18"/>
                <w:szCs w:val="18"/>
              </w:rPr>
              <w:t>636 </w:t>
            </w:r>
          </w:p>
        </w:tc>
        <w:tc>
          <w:tcPr>
            <w:tcW w:w="0" w:type="auto"/>
            <w:shd w:val="clear" w:color="auto" w:fill="auto"/>
            <w:tcMar>
              <w:top w:w="40" w:type="dxa"/>
              <w:left w:w="0" w:type="dxa"/>
              <w:bottom w:w="40" w:type="dxa"/>
              <w:right w:w="20" w:type="dxa"/>
            </w:tcMar>
            <w:vAlign w:val="bottom"/>
          </w:tcPr>
          <w:p w14:paraId="6753751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13"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14" w14:textId="77777777" w:rsidR="001B77DD" w:rsidRDefault="00BF0A2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753751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16" w14:textId="77777777" w:rsidR="001B77DD" w:rsidRDefault="00BF0A28">
            <w:pPr>
              <w:jc w:val="right"/>
              <w:textAlignment w:val="bottom"/>
            </w:pPr>
            <w:r>
              <w:rPr>
                <w:rFonts w:ascii="Arial" w:eastAsia="宋体" w:hAnsi="Arial" w:cs="Arial"/>
                <w:color w:val="262626"/>
                <w:sz w:val="18"/>
                <w:szCs w:val="18"/>
              </w:rPr>
              <w:t>3,417 </w:t>
            </w:r>
          </w:p>
        </w:tc>
        <w:tc>
          <w:tcPr>
            <w:tcW w:w="0" w:type="auto"/>
            <w:shd w:val="clear" w:color="auto" w:fill="auto"/>
            <w:tcMar>
              <w:top w:w="40" w:type="dxa"/>
              <w:left w:w="0" w:type="dxa"/>
              <w:bottom w:w="40" w:type="dxa"/>
              <w:right w:w="20" w:type="dxa"/>
            </w:tcMar>
            <w:vAlign w:val="bottom"/>
          </w:tcPr>
          <w:p w14:paraId="67537517" w14:textId="77777777" w:rsidR="001B77DD" w:rsidRDefault="001B77DD">
            <w:pPr>
              <w:jc w:val="right"/>
              <w:rPr>
                <w:rFonts w:ascii="宋体"/>
              </w:rPr>
            </w:pPr>
          </w:p>
        </w:tc>
      </w:tr>
      <w:tr w:rsidR="001B77DD" w14:paraId="6753752A" w14:textId="77777777">
        <w:trPr>
          <w:hidden/>
        </w:trPr>
        <w:tc>
          <w:tcPr>
            <w:tcW w:w="0" w:type="auto"/>
            <w:gridSpan w:val="3"/>
            <w:shd w:val="clear" w:color="auto" w:fill="auto"/>
            <w:vAlign w:val="bottom"/>
          </w:tcPr>
          <w:p w14:paraId="67537519" w14:textId="77777777" w:rsidR="001B77DD" w:rsidRDefault="001B77DD">
            <w:pPr>
              <w:rPr>
                <w:rFonts w:ascii="宋体"/>
                <w:vanish/>
              </w:rPr>
            </w:pPr>
          </w:p>
        </w:tc>
        <w:tc>
          <w:tcPr>
            <w:tcW w:w="0" w:type="auto"/>
            <w:gridSpan w:val="3"/>
            <w:shd w:val="clear" w:color="auto" w:fill="auto"/>
            <w:vAlign w:val="bottom"/>
          </w:tcPr>
          <w:p w14:paraId="6753751A" w14:textId="77777777" w:rsidR="001B77DD" w:rsidRDefault="001B77DD">
            <w:pPr>
              <w:rPr>
                <w:rFonts w:ascii="宋体"/>
                <w:vanish/>
              </w:rPr>
            </w:pPr>
          </w:p>
        </w:tc>
        <w:tc>
          <w:tcPr>
            <w:tcW w:w="0" w:type="auto"/>
            <w:gridSpan w:val="3"/>
            <w:shd w:val="clear" w:color="auto" w:fill="auto"/>
            <w:vAlign w:val="bottom"/>
          </w:tcPr>
          <w:p w14:paraId="6753751B" w14:textId="77777777" w:rsidR="001B77DD" w:rsidRDefault="001B77DD">
            <w:pPr>
              <w:rPr>
                <w:rFonts w:ascii="宋体"/>
                <w:vanish/>
              </w:rPr>
            </w:pPr>
          </w:p>
        </w:tc>
        <w:tc>
          <w:tcPr>
            <w:tcW w:w="0" w:type="auto"/>
            <w:gridSpan w:val="3"/>
            <w:shd w:val="clear" w:color="auto" w:fill="auto"/>
            <w:vAlign w:val="bottom"/>
          </w:tcPr>
          <w:p w14:paraId="6753751C" w14:textId="77777777" w:rsidR="001B77DD" w:rsidRDefault="001B77DD">
            <w:pPr>
              <w:rPr>
                <w:rFonts w:ascii="宋体"/>
                <w:vanish/>
              </w:rPr>
            </w:pPr>
          </w:p>
        </w:tc>
        <w:tc>
          <w:tcPr>
            <w:tcW w:w="0" w:type="auto"/>
            <w:gridSpan w:val="3"/>
            <w:shd w:val="clear" w:color="auto" w:fill="auto"/>
            <w:vAlign w:val="bottom"/>
          </w:tcPr>
          <w:p w14:paraId="6753751D" w14:textId="77777777" w:rsidR="001B77DD" w:rsidRDefault="001B77DD">
            <w:pPr>
              <w:rPr>
                <w:rFonts w:ascii="宋体"/>
                <w:vanish/>
              </w:rPr>
            </w:pPr>
          </w:p>
        </w:tc>
        <w:tc>
          <w:tcPr>
            <w:tcW w:w="0" w:type="auto"/>
            <w:gridSpan w:val="3"/>
            <w:shd w:val="clear" w:color="auto" w:fill="auto"/>
            <w:vAlign w:val="bottom"/>
          </w:tcPr>
          <w:p w14:paraId="6753751E" w14:textId="77777777" w:rsidR="001B77DD" w:rsidRDefault="001B77DD">
            <w:pPr>
              <w:rPr>
                <w:rFonts w:ascii="宋体"/>
                <w:vanish/>
              </w:rPr>
            </w:pPr>
          </w:p>
        </w:tc>
        <w:tc>
          <w:tcPr>
            <w:tcW w:w="0" w:type="auto"/>
            <w:gridSpan w:val="3"/>
            <w:shd w:val="clear" w:color="auto" w:fill="auto"/>
            <w:vAlign w:val="bottom"/>
          </w:tcPr>
          <w:p w14:paraId="6753751F" w14:textId="77777777" w:rsidR="001B77DD" w:rsidRDefault="001B77DD">
            <w:pPr>
              <w:rPr>
                <w:rFonts w:ascii="宋体"/>
                <w:vanish/>
              </w:rPr>
            </w:pPr>
          </w:p>
        </w:tc>
        <w:tc>
          <w:tcPr>
            <w:tcW w:w="0" w:type="auto"/>
            <w:gridSpan w:val="3"/>
            <w:shd w:val="clear" w:color="auto" w:fill="auto"/>
            <w:vAlign w:val="bottom"/>
          </w:tcPr>
          <w:p w14:paraId="67537520" w14:textId="77777777" w:rsidR="001B77DD" w:rsidRDefault="001B77DD">
            <w:pPr>
              <w:rPr>
                <w:rFonts w:ascii="宋体"/>
                <w:vanish/>
              </w:rPr>
            </w:pPr>
          </w:p>
        </w:tc>
        <w:tc>
          <w:tcPr>
            <w:tcW w:w="0" w:type="auto"/>
            <w:gridSpan w:val="3"/>
            <w:shd w:val="clear" w:color="auto" w:fill="auto"/>
            <w:vAlign w:val="bottom"/>
          </w:tcPr>
          <w:p w14:paraId="67537521" w14:textId="77777777" w:rsidR="001B77DD" w:rsidRDefault="001B77DD">
            <w:pPr>
              <w:rPr>
                <w:rFonts w:ascii="宋体"/>
                <w:vanish/>
              </w:rPr>
            </w:pPr>
          </w:p>
        </w:tc>
        <w:tc>
          <w:tcPr>
            <w:tcW w:w="0" w:type="auto"/>
            <w:gridSpan w:val="3"/>
            <w:shd w:val="clear" w:color="auto" w:fill="auto"/>
            <w:vAlign w:val="bottom"/>
          </w:tcPr>
          <w:p w14:paraId="67537522" w14:textId="77777777" w:rsidR="001B77DD" w:rsidRDefault="001B77DD">
            <w:pPr>
              <w:rPr>
                <w:rFonts w:ascii="宋体"/>
                <w:vanish/>
              </w:rPr>
            </w:pPr>
          </w:p>
        </w:tc>
        <w:tc>
          <w:tcPr>
            <w:tcW w:w="0" w:type="auto"/>
            <w:gridSpan w:val="3"/>
            <w:shd w:val="clear" w:color="auto" w:fill="auto"/>
            <w:vAlign w:val="bottom"/>
          </w:tcPr>
          <w:p w14:paraId="67537523" w14:textId="77777777" w:rsidR="001B77DD" w:rsidRDefault="001B77DD">
            <w:pPr>
              <w:rPr>
                <w:rFonts w:ascii="宋体"/>
                <w:vanish/>
              </w:rPr>
            </w:pPr>
          </w:p>
        </w:tc>
        <w:tc>
          <w:tcPr>
            <w:tcW w:w="0" w:type="auto"/>
            <w:gridSpan w:val="3"/>
            <w:shd w:val="clear" w:color="auto" w:fill="auto"/>
            <w:vAlign w:val="bottom"/>
          </w:tcPr>
          <w:p w14:paraId="67537524" w14:textId="77777777" w:rsidR="001B77DD" w:rsidRDefault="001B77DD">
            <w:pPr>
              <w:rPr>
                <w:rFonts w:ascii="宋体"/>
                <w:vanish/>
              </w:rPr>
            </w:pPr>
          </w:p>
        </w:tc>
        <w:tc>
          <w:tcPr>
            <w:tcW w:w="0" w:type="auto"/>
            <w:gridSpan w:val="3"/>
            <w:shd w:val="clear" w:color="auto" w:fill="auto"/>
            <w:vAlign w:val="bottom"/>
          </w:tcPr>
          <w:p w14:paraId="67537525" w14:textId="77777777" w:rsidR="001B77DD" w:rsidRDefault="001B77DD">
            <w:pPr>
              <w:rPr>
                <w:rFonts w:ascii="宋体"/>
                <w:vanish/>
              </w:rPr>
            </w:pPr>
          </w:p>
        </w:tc>
        <w:tc>
          <w:tcPr>
            <w:tcW w:w="0" w:type="auto"/>
            <w:gridSpan w:val="3"/>
            <w:shd w:val="clear" w:color="auto" w:fill="auto"/>
            <w:vAlign w:val="bottom"/>
          </w:tcPr>
          <w:p w14:paraId="67537526" w14:textId="77777777" w:rsidR="001B77DD" w:rsidRDefault="001B77DD">
            <w:pPr>
              <w:rPr>
                <w:rFonts w:ascii="宋体"/>
                <w:vanish/>
              </w:rPr>
            </w:pPr>
          </w:p>
        </w:tc>
        <w:tc>
          <w:tcPr>
            <w:tcW w:w="0" w:type="auto"/>
            <w:gridSpan w:val="3"/>
            <w:shd w:val="clear" w:color="auto" w:fill="auto"/>
            <w:vAlign w:val="bottom"/>
          </w:tcPr>
          <w:p w14:paraId="67537527" w14:textId="77777777" w:rsidR="001B77DD" w:rsidRDefault="001B77DD">
            <w:pPr>
              <w:rPr>
                <w:rFonts w:ascii="宋体"/>
                <w:vanish/>
              </w:rPr>
            </w:pPr>
          </w:p>
        </w:tc>
        <w:tc>
          <w:tcPr>
            <w:tcW w:w="0" w:type="auto"/>
            <w:gridSpan w:val="3"/>
            <w:shd w:val="clear" w:color="auto" w:fill="auto"/>
            <w:vAlign w:val="bottom"/>
          </w:tcPr>
          <w:p w14:paraId="67537528" w14:textId="77777777" w:rsidR="001B77DD" w:rsidRDefault="001B77DD">
            <w:pPr>
              <w:rPr>
                <w:rFonts w:ascii="宋体"/>
                <w:vanish/>
              </w:rPr>
            </w:pPr>
          </w:p>
        </w:tc>
        <w:tc>
          <w:tcPr>
            <w:tcW w:w="0" w:type="auto"/>
            <w:gridSpan w:val="3"/>
            <w:shd w:val="clear" w:color="auto" w:fill="auto"/>
            <w:vAlign w:val="bottom"/>
          </w:tcPr>
          <w:p w14:paraId="67537529" w14:textId="77777777" w:rsidR="001B77DD" w:rsidRDefault="001B77DD">
            <w:pPr>
              <w:rPr>
                <w:rFonts w:ascii="宋体"/>
                <w:vanish/>
              </w:rPr>
            </w:pPr>
          </w:p>
        </w:tc>
      </w:tr>
      <w:tr w:rsidR="001B77DD" w14:paraId="67537542" w14:textId="77777777">
        <w:tc>
          <w:tcPr>
            <w:tcW w:w="0" w:type="auto"/>
            <w:gridSpan w:val="3"/>
            <w:shd w:val="clear" w:color="auto" w:fill="auto"/>
            <w:tcMar>
              <w:top w:w="40" w:type="dxa"/>
              <w:left w:w="260" w:type="dxa"/>
              <w:bottom w:w="40" w:type="dxa"/>
              <w:right w:w="20" w:type="dxa"/>
            </w:tcMar>
            <w:vAlign w:val="center"/>
          </w:tcPr>
          <w:p w14:paraId="6753752B" w14:textId="77777777" w:rsidR="001B77DD" w:rsidRDefault="00BF0A28">
            <w:pPr>
              <w:textAlignment w:val="center"/>
            </w:pPr>
            <w:r>
              <w:rPr>
                <w:rFonts w:ascii="Arial" w:eastAsia="宋体" w:hAnsi="Arial" w:cs="Arial"/>
                <w:color w:val="262626"/>
                <w:sz w:val="18"/>
                <w:szCs w:val="18"/>
              </w:rPr>
              <w:t>Reverse repurchase</w:t>
            </w:r>
            <w:r>
              <w:rPr>
                <w:rFonts w:ascii="Arial" w:eastAsia="宋体" w:hAnsi="Arial" w:cs="Arial"/>
                <w:color w:val="262626"/>
                <w:sz w:val="18"/>
                <w:szCs w:val="18"/>
              </w:rPr>
              <w:br/>
              <w:t>    agreements</w:t>
            </w:r>
          </w:p>
        </w:tc>
        <w:tc>
          <w:tcPr>
            <w:tcW w:w="0" w:type="auto"/>
            <w:gridSpan w:val="3"/>
            <w:shd w:val="clear" w:color="auto" w:fill="auto"/>
            <w:tcMar>
              <w:top w:w="0" w:type="dxa"/>
              <w:left w:w="20" w:type="dxa"/>
              <w:bottom w:w="0" w:type="dxa"/>
              <w:right w:w="20" w:type="dxa"/>
            </w:tcMar>
            <w:vAlign w:val="bottom"/>
          </w:tcPr>
          <w:p w14:paraId="6753752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2D"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2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2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30" w14:textId="77777777" w:rsidR="001B77DD" w:rsidRDefault="00BF0A28">
            <w:pPr>
              <w:jc w:val="right"/>
              <w:textAlignment w:val="bottom"/>
            </w:pPr>
            <w:r>
              <w:rPr>
                <w:rFonts w:ascii="Arial" w:eastAsia="宋体" w:hAnsi="Arial" w:cs="Arial"/>
                <w:color w:val="0068B5"/>
                <w:sz w:val="18"/>
                <w:szCs w:val="18"/>
              </w:rPr>
              <w:t>1,595 </w:t>
            </w:r>
          </w:p>
        </w:tc>
        <w:tc>
          <w:tcPr>
            <w:tcW w:w="0" w:type="auto"/>
            <w:shd w:val="clear" w:color="auto" w:fill="auto"/>
            <w:tcMar>
              <w:top w:w="40" w:type="dxa"/>
              <w:left w:w="0" w:type="dxa"/>
              <w:bottom w:w="40" w:type="dxa"/>
              <w:right w:w="20" w:type="dxa"/>
            </w:tcMar>
            <w:vAlign w:val="bottom"/>
          </w:tcPr>
          <w:p w14:paraId="6753753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3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33"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3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3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36" w14:textId="77777777" w:rsidR="001B77DD" w:rsidRDefault="00BF0A28">
            <w:pPr>
              <w:jc w:val="right"/>
              <w:textAlignment w:val="bottom"/>
            </w:pPr>
            <w:r>
              <w:rPr>
                <w:rFonts w:ascii="Arial" w:eastAsia="宋体" w:hAnsi="Arial" w:cs="Arial"/>
                <w:color w:val="0068B5"/>
                <w:sz w:val="18"/>
                <w:szCs w:val="18"/>
              </w:rPr>
              <w:t>1,595 </w:t>
            </w:r>
          </w:p>
        </w:tc>
        <w:tc>
          <w:tcPr>
            <w:tcW w:w="0" w:type="auto"/>
            <w:shd w:val="clear" w:color="auto" w:fill="auto"/>
            <w:tcMar>
              <w:top w:w="40" w:type="dxa"/>
              <w:left w:w="0" w:type="dxa"/>
              <w:bottom w:w="40" w:type="dxa"/>
              <w:right w:w="20" w:type="dxa"/>
            </w:tcMar>
            <w:vAlign w:val="bottom"/>
          </w:tcPr>
          <w:p w14:paraId="6753753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38"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39"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53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3B" w14:textId="77777777" w:rsidR="001B77DD" w:rsidRDefault="00BF0A28">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6753753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3D"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3E"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53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40" w14:textId="77777777" w:rsidR="001B77DD" w:rsidRDefault="00BF0A28">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67537541" w14:textId="77777777" w:rsidR="001B77DD" w:rsidRDefault="001B77DD">
            <w:pPr>
              <w:jc w:val="right"/>
              <w:rPr>
                <w:rFonts w:ascii="宋体"/>
              </w:rPr>
            </w:pPr>
          </w:p>
        </w:tc>
      </w:tr>
      <w:tr w:rsidR="001B77DD" w14:paraId="67537554" w14:textId="77777777">
        <w:tc>
          <w:tcPr>
            <w:tcW w:w="0" w:type="auto"/>
            <w:gridSpan w:val="3"/>
            <w:shd w:val="clear" w:color="auto" w:fill="auto"/>
            <w:tcMar>
              <w:top w:w="40" w:type="dxa"/>
              <w:left w:w="20" w:type="dxa"/>
              <w:bottom w:w="40" w:type="dxa"/>
              <w:right w:w="20" w:type="dxa"/>
            </w:tcMar>
            <w:vAlign w:val="center"/>
          </w:tcPr>
          <w:p w14:paraId="67537543" w14:textId="77777777" w:rsidR="001B77DD" w:rsidRDefault="00BF0A28">
            <w:pPr>
              <w:textAlignment w:val="center"/>
            </w:pPr>
            <w:r>
              <w:rPr>
                <w:rFonts w:ascii="Arial" w:eastAsia="宋体" w:hAnsi="Arial" w:cs="Arial"/>
                <w:color w:val="262626"/>
                <w:sz w:val="18"/>
                <w:szCs w:val="18"/>
              </w:rPr>
              <w:t>Short-term i</w:t>
            </w:r>
            <w:r>
              <w:rPr>
                <w:rFonts w:ascii="Arial" w:eastAsia="宋体" w:hAnsi="Arial" w:cs="Arial"/>
                <w:color w:val="262626"/>
                <w:sz w:val="18"/>
                <w:szCs w:val="18"/>
              </w:rPr>
              <w:t>nvestments:</w:t>
            </w:r>
          </w:p>
        </w:tc>
        <w:tc>
          <w:tcPr>
            <w:tcW w:w="0" w:type="auto"/>
            <w:gridSpan w:val="3"/>
            <w:shd w:val="clear" w:color="auto" w:fill="auto"/>
            <w:tcMar>
              <w:top w:w="0" w:type="dxa"/>
              <w:left w:w="20" w:type="dxa"/>
              <w:bottom w:w="0" w:type="dxa"/>
              <w:right w:w="20" w:type="dxa"/>
            </w:tcMar>
            <w:vAlign w:val="bottom"/>
          </w:tcPr>
          <w:p w14:paraId="6753754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4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5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5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5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53" w14:textId="77777777" w:rsidR="001B77DD" w:rsidRDefault="001B77DD">
            <w:pPr>
              <w:rPr>
                <w:rFonts w:ascii="宋体"/>
              </w:rPr>
            </w:pPr>
          </w:p>
        </w:tc>
      </w:tr>
      <w:tr w:rsidR="001B77DD" w14:paraId="6753756C" w14:textId="77777777">
        <w:tc>
          <w:tcPr>
            <w:tcW w:w="0" w:type="auto"/>
            <w:gridSpan w:val="3"/>
            <w:shd w:val="clear" w:color="auto" w:fill="auto"/>
            <w:tcMar>
              <w:top w:w="40" w:type="dxa"/>
              <w:left w:w="260" w:type="dxa"/>
              <w:bottom w:w="40" w:type="dxa"/>
              <w:right w:w="20" w:type="dxa"/>
            </w:tcMar>
            <w:vAlign w:val="center"/>
          </w:tcPr>
          <w:p w14:paraId="67537555" w14:textId="77777777" w:rsidR="001B77DD" w:rsidRDefault="00BF0A28">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6753755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57"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5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5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5A" w14:textId="77777777" w:rsidR="001B77DD" w:rsidRDefault="00BF0A28">
            <w:pPr>
              <w:jc w:val="right"/>
              <w:textAlignment w:val="bottom"/>
            </w:pPr>
            <w:r>
              <w:rPr>
                <w:rFonts w:ascii="Arial" w:eastAsia="宋体" w:hAnsi="Arial" w:cs="Arial"/>
                <w:color w:val="0068B5"/>
                <w:sz w:val="18"/>
                <w:szCs w:val="18"/>
              </w:rPr>
              <w:t>648 </w:t>
            </w:r>
          </w:p>
        </w:tc>
        <w:tc>
          <w:tcPr>
            <w:tcW w:w="0" w:type="auto"/>
            <w:shd w:val="clear" w:color="auto" w:fill="auto"/>
            <w:tcMar>
              <w:top w:w="40" w:type="dxa"/>
              <w:left w:w="0" w:type="dxa"/>
              <w:bottom w:w="40" w:type="dxa"/>
              <w:right w:w="20" w:type="dxa"/>
            </w:tcMar>
            <w:vAlign w:val="bottom"/>
          </w:tcPr>
          <w:p w14:paraId="6753755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5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5D"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5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5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60" w14:textId="77777777" w:rsidR="001B77DD" w:rsidRDefault="00BF0A28">
            <w:pPr>
              <w:jc w:val="right"/>
              <w:textAlignment w:val="bottom"/>
            </w:pPr>
            <w:r>
              <w:rPr>
                <w:rFonts w:ascii="Arial" w:eastAsia="宋体" w:hAnsi="Arial" w:cs="Arial"/>
                <w:color w:val="0068B5"/>
                <w:sz w:val="18"/>
                <w:szCs w:val="18"/>
              </w:rPr>
              <w:t>648 </w:t>
            </w:r>
          </w:p>
        </w:tc>
        <w:tc>
          <w:tcPr>
            <w:tcW w:w="0" w:type="auto"/>
            <w:shd w:val="clear" w:color="auto" w:fill="auto"/>
            <w:tcMar>
              <w:top w:w="40" w:type="dxa"/>
              <w:left w:w="0" w:type="dxa"/>
              <w:bottom w:w="40" w:type="dxa"/>
              <w:right w:w="20" w:type="dxa"/>
            </w:tcMar>
            <w:vAlign w:val="bottom"/>
          </w:tcPr>
          <w:p w14:paraId="6753756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62"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63" w14:textId="77777777" w:rsidR="001B77DD" w:rsidRDefault="00BF0A2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753756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65" w14:textId="77777777" w:rsidR="001B77DD" w:rsidRDefault="00BF0A28">
            <w:pPr>
              <w:jc w:val="right"/>
              <w:textAlignment w:val="bottom"/>
            </w:pPr>
            <w:r>
              <w:rPr>
                <w:rFonts w:ascii="Arial" w:eastAsia="宋体" w:hAnsi="Arial" w:cs="Arial"/>
                <w:color w:val="262626"/>
                <w:sz w:val="18"/>
                <w:szCs w:val="18"/>
              </w:rPr>
              <w:t>428 </w:t>
            </w:r>
          </w:p>
        </w:tc>
        <w:tc>
          <w:tcPr>
            <w:tcW w:w="0" w:type="auto"/>
            <w:shd w:val="clear" w:color="auto" w:fill="auto"/>
            <w:tcMar>
              <w:top w:w="40" w:type="dxa"/>
              <w:left w:w="0" w:type="dxa"/>
              <w:bottom w:w="40" w:type="dxa"/>
              <w:right w:w="20" w:type="dxa"/>
            </w:tcMar>
            <w:vAlign w:val="bottom"/>
          </w:tcPr>
          <w:p w14:paraId="6753756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67"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68"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56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6A" w14:textId="77777777" w:rsidR="001B77DD" w:rsidRDefault="00BF0A28">
            <w:pPr>
              <w:jc w:val="right"/>
              <w:textAlignment w:val="bottom"/>
            </w:pPr>
            <w:r>
              <w:rPr>
                <w:rFonts w:ascii="Arial" w:eastAsia="宋体" w:hAnsi="Arial" w:cs="Arial"/>
                <w:color w:val="262626"/>
                <w:sz w:val="18"/>
                <w:szCs w:val="18"/>
              </w:rPr>
              <w:t>428 </w:t>
            </w:r>
          </w:p>
        </w:tc>
        <w:tc>
          <w:tcPr>
            <w:tcW w:w="0" w:type="auto"/>
            <w:shd w:val="clear" w:color="auto" w:fill="auto"/>
            <w:tcMar>
              <w:top w:w="40" w:type="dxa"/>
              <w:left w:w="0" w:type="dxa"/>
              <w:bottom w:w="40" w:type="dxa"/>
              <w:right w:w="20" w:type="dxa"/>
            </w:tcMar>
            <w:vAlign w:val="bottom"/>
          </w:tcPr>
          <w:p w14:paraId="6753756B" w14:textId="77777777" w:rsidR="001B77DD" w:rsidRDefault="001B77DD">
            <w:pPr>
              <w:jc w:val="right"/>
              <w:rPr>
                <w:rFonts w:ascii="宋体"/>
              </w:rPr>
            </w:pPr>
          </w:p>
        </w:tc>
      </w:tr>
      <w:tr w:rsidR="001B77DD" w14:paraId="67537584" w14:textId="77777777">
        <w:tc>
          <w:tcPr>
            <w:tcW w:w="0" w:type="auto"/>
            <w:gridSpan w:val="3"/>
            <w:shd w:val="clear" w:color="auto" w:fill="auto"/>
            <w:tcMar>
              <w:top w:w="40" w:type="dxa"/>
              <w:left w:w="20" w:type="dxa"/>
              <w:bottom w:w="40" w:type="dxa"/>
              <w:right w:w="20" w:type="dxa"/>
            </w:tcMar>
            <w:vAlign w:val="center"/>
          </w:tcPr>
          <w:p w14:paraId="6753756D" w14:textId="77777777" w:rsidR="001B77DD" w:rsidRDefault="00BF0A28">
            <w:pPr>
              <w:ind w:hanging="180"/>
              <w:textAlignment w:val="center"/>
            </w:pPr>
            <w:r>
              <w:rPr>
                <w:rFonts w:ascii="Arial" w:eastAsia="宋体" w:hAnsi="Arial" w:cs="Arial"/>
                <w:color w:val="262626"/>
                <w:sz w:val="18"/>
                <w:szCs w:val="18"/>
              </w:rPr>
              <w:t>Financial institution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6753756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6F"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7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7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72" w14:textId="77777777" w:rsidR="001B77DD" w:rsidRDefault="00BF0A28">
            <w:pPr>
              <w:jc w:val="right"/>
              <w:textAlignment w:val="bottom"/>
            </w:pPr>
            <w:r>
              <w:rPr>
                <w:rFonts w:ascii="Arial" w:eastAsia="宋体" w:hAnsi="Arial" w:cs="Arial"/>
                <w:color w:val="0068B5"/>
                <w:sz w:val="18"/>
                <w:szCs w:val="18"/>
              </w:rPr>
              <w:t>1,243 </w:t>
            </w:r>
          </w:p>
        </w:tc>
        <w:tc>
          <w:tcPr>
            <w:tcW w:w="0" w:type="auto"/>
            <w:shd w:val="clear" w:color="auto" w:fill="auto"/>
            <w:tcMar>
              <w:top w:w="40" w:type="dxa"/>
              <w:left w:w="0" w:type="dxa"/>
              <w:bottom w:w="40" w:type="dxa"/>
              <w:right w:w="20" w:type="dxa"/>
            </w:tcMar>
            <w:vAlign w:val="bottom"/>
          </w:tcPr>
          <w:p w14:paraId="6753757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7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75"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7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7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78" w14:textId="77777777" w:rsidR="001B77DD" w:rsidRDefault="00BF0A28">
            <w:pPr>
              <w:jc w:val="right"/>
              <w:textAlignment w:val="bottom"/>
            </w:pPr>
            <w:r>
              <w:rPr>
                <w:rFonts w:ascii="Arial" w:eastAsia="宋体" w:hAnsi="Arial" w:cs="Arial"/>
                <w:color w:val="0068B5"/>
                <w:sz w:val="18"/>
                <w:szCs w:val="18"/>
              </w:rPr>
              <w:t>1,243 </w:t>
            </w:r>
          </w:p>
        </w:tc>
        <w:tc>
          <w:tcPr>
            <w:tcW w:w="0" w:type="auto"/>
            <w:shd w:val="clear" w:color="auto" w:fill="auto"/>
            <w:tcMar>
              <w:top w:w="40" w:type="dxa"/>
              <w:left w:w="0" w:type="dxa"/>
              <w:bottom w:w="40" w:type="dxa"/>
              <w:right w:w="20" w:type="dxa"/>
            </w:tcMar>
            <w:vAlign w:val="bottom"/>
          </w:tcPr>
          <w:p w14:paraId="6753757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7A"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7B" w14:textId="77777777" w:rsidR="001B77DD" w:rsidRDefault="00BF0A2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753757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7D" w14:textId="77777777" w:rsidR="001B77DD" w:rsidRDefault="00BF0A28">
            <w:pPr>
              <w:jc w:val="right"/>
              <w:textAlignment w:val="bottom"/>
            </w:pPr>
            <w:r>
              <w:rPr>
                <w:rFonts w:ascii="Arial" w:eastAsia="宋体" w:hAnsi="Arial" w:cs="Arial"/>
                <w:color w:val="262626"/>
                <w:sz w:val="18"/>
                <w:szCs w:val="18"/>
              </w:rPr>
              <w:t>1,179 </w:t>
            </w:r>
          </w:p>
        </w:tc>
        <w:tc>
          <w:tcPr>
            <w:tcW w:w="0" w:type="auto"/>
            <w:shd w:val="clear" w:color="auto" w:fill="auto"/>
            <w:tcMar>
              <w:top w:w="40" w:type="dxa"/>
              <w:left w:w="0" w:type="dxa"/>
              <w:bottom w:w="40" w:type="dxa"/>
              <w:right w:w="20" w:type="dxa"/>
            </w:tcMar>
            <w:vAlign w:val="bottom"/>
          </w:tcPr>
          <w:p w14:paraId="675375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7F"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8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58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82" w14:textId="77777777" w:rsidR="001B77DD" w:rsidRDefault="00BF0A28">
            <w:pPr>
              <w:jc w:val="right"/>
              <w:textAlignment w:val="bottom"/>
            </w:pPr>
            <w:r>
              <w:rPr>
                <w:rFonts w:ascii="Arial" w:eastAsia="宋体" w:hAnsi="Arial" w:cs="Arial"/>
                <w:color w:val="262626"/>
                <w:sz w:val="18"/>
                <w:szCs w:val="18"/>
              </w:rPr>
              <w:t>1,179 </w:t>
            </w:r>
          </w:p>
        </w:tc>
        <w:tc>
          <w:tcPr>
            <w:tcW w:w="0" w:type="auto"/>
            <w:shd w:val="clear" w:color="auto" w:fill="auto"/>
            <w:tcMar>
              <w:top w:w="40" w:type="dxa"/>
              <w:left w:w="0" w:type="dxa"/>
              <w:bottom w:w="40" w:type="dxa"/>
              <w:right w:w="20" w:type="dxa"/>
            </w:tcMar>
            <w:vAlign w:val="bottom"/>
          </w:tcPr>
          <w:p w14:paraId="67537583" w14:textId="77777777" w:rsidR="001B77DD" w:rsidRDefault="001B77DD">
            <w:pPr>
              <w:jc w:val="right"/>
              <w:rPr>
                <w:rFonts w:ascii="宋体"/>
              </w:rPr>
            </w:pPr>
          </w:p>
        </w:tc>
      </w:tr>
      <w:tr w:rsidR="001B77DD" w14:paraId="6753759C" w14:textId="77777777">
        <w:tc>
          <w:tcPr>
            <w:tcW w:w="0" w:type="auto"/>
            <w:gridSpan w:val="3"/>
            <w:shd w:val="clear" w:color="auto" w:fill="auto"/>
            <w:tcMar>
              <w:top w:w="40" w:type="dxa"/>
              <w:left w:w="20" w:type="dxa"/>
              <w:bottom w:w="40" w:type="dxa"/>
              <w:right w:w="20" w:type="dxa"/>
            </w:tcMar>
            <w:vAlign w:val="center"/>
          </w:tcPr>
          <w:p w14:paraId="67537585" w14:textId="77777777" w:rsidR="001B77DD" w:rsidRDefault="00BF0A28">
            <w:pPr>
              <w:ind w:hanging="180"/>
              <w:textAlignment w:val="center"/>
            </w:pPr>
            <w:r>
              <w:rPr>
                <w:rFonts w:ascii="Arial" w:eastAsia="宋体" w:hAnsi="Arial" w:cs="Arial"/>
                <w:color w:val="262626"/>
                <w:sz w:val="18"/>
                <w:szCs w:val="18"/>
              </w:rPr>
              <w:t>Government debt</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vAlign w:val="bottom"/>
          </w:tcPr>
          <w:p w14:paraId="6753758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87"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8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8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8A" w14:textId="77777777" w:rsidR="001B77DD" w:rsidRDefault="00BF0A28">
            <w:pPr>
              <w:jc w:val="right"/>
              <w:textAlignment w:val="bottom"/>
            </w:pPr>
            <w:r>
              <w:rPr>
                <w:rFonts w:ascii="Arial" w:eastAsia="宋体" w:hAnsi="Arial" w:cs="Arial"/>
                <w:color w:val="0068B5"/>
                <w:sz w:val="18"/>
                <w:szCs w:val="18"/>
              </w:rPr>
              <w:t>212 </w:t>
            </w:r>
          </w:p>
        </w:tc>
        <w:tc>
          <w:tcPr>
            <w:tcW w:w="0" w:type="auto"/>
            <w:shd w:val="clear" w:color="auto" w:fill="auto"/>
            <w:tcMar>
              <w:top w:w="40" w:type="dxa"/>
              <w:left w:w="0" w:type="dxa"/>
              <w:bottom w:w="40" w:type="dxa"/>
              <w:right w:w="20" w:type="dxa"/>
            </w:tcMar>
            <w:vAlign w:val="bottom"/>
          </w:tcPr>
          <w:p w14:paraId="6753758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8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8D"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8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8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90" w14:textId="77777777" w:rsidR="001B77DD" w:rsidRDefault="00BF0A28">
            <w:pPr>
              <w:jc w:val="right"/>
              <w:textAlignment w:val="bottom"/>
            </w:pPr>
            <w:r>
              <w:rPr>
                <w:rFonts w:ascii="Arial" w:eastAsia="宋体" w:hAnsi="Arial" w:cs="Arial"/>
                <w:color w:val="0068B5"/>
                <w:sz w:val="18"/>
                <w:szCs w:val="18"/>
              </w:rPr>
              <w:t>212 </w:t>
            </w:r>
          </w:p>
        </w:tc>
        <w:tc>
          <w:tcPr>
            <w:tcW w:w="0" w:type="auto"/>
            <w:shd w:val="clear" w:color="auto" w:fill="auto"/>
            <w:tcMar>
              <w:top w:w="40" w:type="dxa"/>
              <w:left w:w="0" w:type="dxa"/>
              <w:bottom w:w="40" w:type="dxa"/>
              <w:right w:w="20" w:type="dxa"/>
            </w:tcMar>
            <w:vAlign w:val="bottom"/>
          </w:tcPr>
          <w:p w14:paraId="6753759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92"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93" w14:textId="77777777" w:rsidR="001B77DD" w:rsidRDefault="00BF0A2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753759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95" w14:textId="77777777" w:rsidR="001B77DD" w:rsidRDefault="00BF0A28">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6753759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97"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98"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59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9A" w14:textId="77777777" w:rsidR="001B77DD" w:rsidRDefault="00BF0A28">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6753759B" w14:textId="77777777" w:rsidR="001B77DD" w:rsidRDefault="001B77DD">
            <w:pPr>
              <w:jc w:val="right"/>
              <w:rPr>
                <w:rFonts w:ascii="宋体"/>
              </w:rPr>
            </w:pPr>
          </w:p>
        </w:tc>
      </w:tr>
      <w:tr w:rsidR="001B77DD" w14:paraId="675375AE" w14:textId="77777777">
        <w:tc>
          <w:tcPr>
            <w:tcW w:w="0" w:type="auto"/>
            <w:gridSpan w:val="3"/>
            <w:shd w:val="clear" w:color="auto" w:fill="auto"/>
            <w:tcMar>
              <w:top w:w="40" w:type="dxa"/>
              <w:left w:w="20" w:type="dxa"/>
              <w:bottom w:w="40" w:type="dxa"/>
              <w:right w:w="20" w:type="dxa"/>
            </w:tcMar>
            <w:vAlign w:val="center"/>
          </w:tcPr>
          <w:p w14:paraId="6753759D" w14:textId="77777777" w:rsidR="001B77DD" w:rsidRDefault="00BF0A28">
            <w:pPr>
              <w:textAlignment w:val="center"/>
            </w:pPr>
            <w:r>
              <w:rPr>
                <w:rFonts w:ascii="Arial" w:eastAsia="宋体" w:hAnsi="Arial" w:cs="Arial"/>
                <w:color w:val="262626"/>
                <w:sz w:val="18"/>
                <w:szCs w:val="18"/>
              </w:rPr>
              <w:t>Trading assets:</w:t>
            </w:r>
          </w:p>
        </w:tc>
        <w:tc>
          <w:tcPr>
            <w:tcW w:w="0" w:type="auto"/>
            <w:gridSpan w:val="3"/>
            <w:shd w:val="clear" w:color="auto" w:fill="auto"/>
            <w:tcMar>
              <w:top w:w="0" w:type="dxa"/>
              <w:left w:w="20" w:type="dxa"/>
              <w:bottom w:w="0" w:type="dxa"/>
              <w:right w:w="20" w:type="dxa"/>
            </w:tcMar>
            <w:vAlign w:val="bottom"/>
          </w:tcPr>
          <w:p w14:paraId="6753759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9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5AD" w14:textId="77777777" w:rsidR="001B77DD" w:rsidRDefault="001B77DD">
            <w:pPr>
              <w:rPr>
                <w:rFonts w:ascii="宋体"/>
              </w:rPr>
            </w:pPr>
          </w:p>
        </w:tc>
      </w:tr>
      <w:tr w:rsidR="001B77DD" w14:paraId="675375C0" w14:textId="77777777">
        <w:trPr>
          <w:hidden/>
        </w:trPr>
        <w:tc>
          <w:tcPr>
            <w:tcW w:w="0" w:type="auto"/>
            <w:gridSpan w:val="3"/>
            <w:shd w:val="clear" w:color="auto" w:fill="auto"/>
            <w:vAlign w:val="bottom"/>
          </w:tcPr>
          <w:p w14:paraId="675375AF" w14:textId="77777777" w:rsidR="001B77DD" w:rsidRDefault="001B77DD">
            <w:pPr>
              <w:rPr>
                <w:rFonts w:ascii="宋体"/>
                <w:vanish/>
              </w:rPr>
            </w:pPr>
          </w:p>
        </w:tc>
        <w:tc>
          <w:tcPr>
            <w:tcW w:w="0" w:type="auto"/>
            <w:gridSpan w:val="3"/>
            <w:shd w:val="clear" w:color="auto" w:fill="auto"/>
            <w:vAlign w:val="bottom"/>
          </w:tcPr>
          <w:p w14:paraId="675375B0" w14:textId="77777777" w:rsidR="001B77DD" w:rsidRDefault="001B77DD">
            <w:pPr>
              <w:rPr>
                <w:rFonts w:ascii="宋体"/>
                <w:vanish/>
              </w:rPr>
            </w:pPr>
          </w:p>
        </w:tc>
        <w:tc>
          <w:tcPr>
            <w:tcW w:w="0" w:type="auto"/>
            <w:gridSpan w:val="3"/>
            <w:shd w:val="clear" w:color="auto" w:fill="auto"/>
            <w:vAlign w:val="bottom"/>
          </w:tcPr>
          <w:p w14:paraId="675375B1" w14:textId="77777777" w:rsidR="001B77DD" w:rsidRDefault="001B77DD">
            <w:pPr>
              <w:rPr>
                <w:rFonts w:ascii="宋体"/>
                <w:vanish/>
              </w:rPr>
            </w:pPr>
          </w:p>
        </w:tc>
        <w:tc>
          <w:tcPr>
            <w:tcW w:w="0" w:type="auto"/>
            <w:gridSpan w:val="3"/>
            <w:shd w:val="clear" w:color="auto" w:fill="auto"/>
            <w:vAlign w:val="bottom"/>
          </w:tcPr>
          <w:p w14:paraId="675375B2" w14:textId="77777777" w:rsidR="001B77DD" w:rsidRDefault="001B77DD">
            <w:pPr>
              <w:rPr>
                <w:rFonts w:ascii="宋体"/>
                <w:vanish/>
              </w:rPr>
            </w:pPr>
          </w:p>
        </w:tc>
        <w:tc>
          <w:tcPr>
            <w:tcW w:w="0" w:type="auto"/>
            <w:gridSpan w:val="3"/>
            <w:shd w:val="clear" w:color="auto" w:fill="auto"/>
            <w:vAlign w:val="bottom"/>
          </w:tcPr>
          <w:p w14:paraId="675375B3" w14:textId="77777777" w:rsidR="001B77DD" w:rsidRDefault="001B77DD">
            <w:pPr>
              <w:rPr>
                <w:rFonts w:ascii="宋体"/>
                <w:vanish/>
              </w:rPr>
            </w:pPr>
          </w:p>
        </w:tc>
        <w:tc>
          <w:tcPr>
            <w:tcW w:w="0" w:type="auto"/>
            <w:gridSpan w:val="3"/>
            <w:shd w:val="clear" w:color="auto" w:fill="auto"/>
            <w:vAlign w:val="bottom"/>
          </w:tcPr>
          <w:p w14:paraId="675375B4" w14:textId="77777777" w:rsidR="001B77DD" w:rsidRDefault="001B77DD">
            <w:pPr>
              <w:rPr>
                <w:rFonts w:ascii="宋体"/>
                <w:vanish/>
              </w:rPr>
            </w:pPr>
          </w:p>
        </w:tc>
        <w:tc>
          <w:tcPr>
            <w:tcW w:w="0" w:type="auto"/>
            <w:gridSpan w:val="3"/>
            <w:shd w:val="clear" w:color="auto" w:fill="auto"/>
            <w:vAlign w:val="bottom"/>
          </w:tcPr>
          <w:p w14:paraId="675375B5" w14:textId="77777777" w:rsidR="001B77DD" w:rsidRDefault="001B77DD">
            <w:pPr>
              <w:rPr>
                <w:rFonts w:ascii="宋体"/>
                <w:vanish/>
              </w:rPr>
            </w:pPr>
          </w:p>
        </w:tc>
        <w:tc>
          <w:tcPr>
            <w:tcW w:w="0" w:type="auto"/>
            <w:gridSpan w:val="3"/>
            <w:shd w:val="clear" w:color="auto" w:fill="auto"/>
            <w:vAlign w:val="bottom"/>
          </w:tcPr>
          <w:p w14:paraId="675375B6" w14:textId="77777777" w:rsidR="001B77DD" w:rsidRDefault="001B77DD">
            <w:pPr>
              <w:rPr>
                <w:rFonts w:ascii="宋体"/>
                <w:vanish/>
              </w:rPr>
            </w:pPr>
          </w:p>
        </w:tc>
        <w:tc>
          <w:tcPr>
            <w:tcW w:w="0" w:type="auto"/>
            <w:gridSpan w:val="3"/>
            <w:shd w:val="clear" w:color="auto" w:fill="auto"/>
            <w:vAlign w:val="bottom"/>
          </w:tcPr>
          <w:p w14:paraId="675375B7" w14:textId="77777777" w:rsidR="001B77DD" w:rsidRDefault="001B77DD">
            <w:pPr>
              <w:rPr>
                <w:rFonts w:ascii="宋体"/>
                <w:vanish/>
              </w:rPr>
            </w:pPr>
          </w:p>
        </w:tc>
        <w:tc>
          <w:tcPr>
            <w:tcW w:w="0" w:type="auto"/>
            <w:gridSpan w:val="3"/>
            <w:shd w:val="clear" w:color="auto" w:fill="auto"/>
            <w:vAlign w:val="bottom"/>
          </w:tcPr>
          <w:p w14:paraId="675375B8" w14:textId="77777777" w:rsidR="001B77DD" w:rsidRDefault="001B77DD">
            <w:pPr>
              <w:rPr>
                <w:rFonts w:ascii="宋体"/>
                <w:vanish/>
              </w:rPr>
            </w:pPr>
          </w:p>
        </w:tc>
        <w:tc>
          <w:tcPr>
            <w:tcW w:w="0" w:type="auto"/>
            <w:gridSpan w:val="3"/>
            <w:shd w:val="clear" w:color="auto" w:fill="auto"/>
            <w:vAlign w:val="bottom"/>
          </w:tcPr>
          <w:p w14:paraId="675375B9" w14:textId="77777777" w:rsidR="001B77DD" w:rsidRDefault="001B77DD">
            <w:pPr>
              <w:rPr>
                <w:rFonts w:ascii="宋体"/>
                <w:vanish/>
              </w:rPr>
            </w:pPr>
          </w:p>
        </w:tc>
        <w:tc>
          <w:tcPr>
            <w:tcW w:w="0" w:type="auto"/>
            <w:gridSpan w:val="3"/>
            <w:shd w:val="clear" w:color="auto" w:fill="auto"/>
            <w:vAlign w:val="bottom"/>
          </w:tcPr>
          <w:p w14:paraId="675375BA" w14:textId="77777777" w:rsidR="001B77DD" w:rsidRDefault="001B77DD">
            <w:pPr>
              <w:rPr>
                <w:rFonts w:ascii="宋体"/>
                <w:vanish/>
              </w:rPr>
            </w:pPr>
          </w:p>
        </w:tc>
        <w:tc>
          <w:tcPr>
            <w:tcW w:w="0" w:type="auto"/>
            <w:gridSpan w:val="3"/>
            <w:shd w:val="clear" w:color="auto" w:fill="auto"/>
            <w:vAlign w:val="bottom"/>
          </w:tcPr>
          <w:p w14:paraId="675375BB" w14:textId="77777777" w:rsidR="001B77DD" w:rsidRDefault="001B77DD">
            <w:pPr>
              <w:rPr>
                <w:rFonts w:ascii="宋体"/>
                <w:vanish/>
              </w:rPr>
            </w:pPr>
          </w:p>
        </w:tc>
        <w:tc>
          <w:tcPr>
            <w:tcW w:w="0" w:type="auto"/>
            <w:gridSpan w:val="3"/>
            <w:shd w:val="clear" w:color="auto" w:fill="auto"/>
            <w:vAlign w:val="bottom"/>
          </w:tcPr>
          <w:p w14:paraId="675375BC" w14:textId="77777777" w:rsidR="001B77DD" w:rsidRDefault="001B77DD">
            <w:pPr>
              <w:rPr>
                <w:rFonts w:ascii="宋体"/>
                <w:vanish/>
              </w:rPr>
            </w:pPr>
          </w:p>
        </w:tc>
        <w:tc>
          <w:tcPr>
            <w:tcW w:w="0" w:type="auto"/>
            <w:gridSpan w:val="3"/>
            <w:shd w:val="clear" w:color="auto" w:fill="auto"/>
            <w:vAlign w:val="bottom"/>
          </w:tcPr>
          <w:p w14:paraId="675375BD" w14:textId="77777777" w:rsidR="001B77DD" w:rsidRDefault="001B77DD">
            <w:pPr>
              <w:rPr>
                <w:rFonts w:ascii="宋体"/>
                <w:vanish/>
              </w:rPr>
            </w:pPr>
          </w:p>
        </w:tc>
        <w:tc>
          <w:tcPr>
            <w:tcW w:w="0" w:type="auto"/>
            <w:gridSpan w:val="3"/>
            <w:shd w:val="clear" w:color="auto" w:fill="auto"/>
            <w:vAlign w:val="bottom"/>
          </w:tcPr>
          <w:p w14:paraId="675375BE" w14:textId="77777777" w:rsidR="001B77DD" w:rsidRDefault="001B77DD">
            <w:pPr>
              <w:rPr>
                <w:rFonts w:ascii="宋体"/>
                <w:vanish/>
              </w:rPr>
            </w:pPr>
          </w:p>
        </w:tc>
        <w:tc>
          <w:tcPr>
            <w:tcW w:w="0" w:type="auto"/>
            <w:gridSpan w:val="3"/>
            <w:shd w:val="clear" w:color="auto" w:fill="auto"/>
            <w:vAlign w:val="bottom"/>
          </w:tcPr>
          <w:p w14:paraId="675375BF" w14:textId="77777777" w:rsidR="001B77DD" w:rsidRDefault="001B77DD">
            <w:pPr>
              <w:rPr>
                <w:rFonts w:ascii="宋体"/>
                <w:vanish/>
              </w:rPr>
            </w:pPr>
          </w:p>
        </w:tc>
      </w:tr>
      <w:tr w:rsidR="001B77DD" w14:paraId="675375D8" w14:textId="77777777">
        <w:tc>
          <w:tcPr>
            <w:tcW w:w="0" w:type="auto"/>
            <w:gridSpan w:val="3"/>
            <w:shd w:val="clear" w:color="auto" w:fill="auto"/>
            <w:tcMar>
              <w:top w:w="40" w:type="dxa"/>
              <w:left w:w="260" w:type="dxa"/>
              <w:bottom w:w="40" w:type="dxa"/>
              <w:right w:w="20" w:type="dxa"/>
            </w:tcMar>
            <w:vAlign w:val="center"/>
          </w:tcPr>
          <w:p w14:paraId="675375C1" w14:textId="77777777" w:rsidR="001B77DD" w:rsidRDefault="00BF0A28">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675375C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C3"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C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C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C6" w14:textId="77777777" w:rsidR="001B77DD" w:rsidRDefault="00BF0A28">
            <w:pPr>
              <w:jc w:val="right"/>
              <w:textAlignment w:val="bottom"/>
            </w:pPr>
            <w:r>
              <w:rPr>
                <w:rFonts w:ascii="Arial" w:eastAsia="宋体" w:hAnsi="Arial" w:cs="Arial"/>
                <w:color w:val="0068B5"/>
                <w:sz w:val="18"/>
                <w:szCs w:val="18"/>
              </w:rPr>
              <w:t>5,143 </w:t>
            </w:r>
          </w:p>
        </w:tc>
        <w:tc>
          <w:tcPr>
            <w:tcW w:w="0" w:type="auto"/>
            <w:shd w:val="clear" w:color="auto" w:fill="auto"/>
            <w:tcMar>
              <w:top w:w="40" w:type="dxa"/>
              <w:left w:w="0" w:type="dxa"/>
              <w:bottom w:w="40" w:type="dxa"/>
              <w:right w:w="20" w:type="dxa"/>
            </w:tcMar>
            <w:vAlign w:val="bottom"/>
          </w:tcPr>
          <w:p w14:paraId="675375C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C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C9"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C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CC" w14:textId="77777777" w:rsidR="001B77DD" w:rsidRDefault="00BF0A28">
            <w:pPr>
              <w:jc w:val="right"/>
              <w:textAlignment w:val="bottom"/>
            </w:pPr>
            <w:r>
              <w:rPr>
                <w:rFonts w:ascii="Arial" w:eastAsia="宋体" w:hAnsi="Arial" w:cs="Arial"/>
                <w:color w:val="0068B5"/>
                <w:sz w:val="18"/>
                <w:szCs w:val="18"/>
              </w:rPr>
              <w:t>5,143 </w:t>
            </w:r>
          </w:p>
        </w:tc>
        <w:tc>
          <w:tcPr>
            <w:tcW w:w="0" w:type="auto"/>
            <w:shd w:val="clear" w:color="auto" w:fill="auto"/>
            <w:tcMar>
              <w:top w:w="40" w:type="dxa"/>
              <w:left w:w="0" w:type="dxa"/>
              <w:bottom w:w="40" w:type="dxa"/>
              <w:right w:w="20" w:type="dxa"/>
            </w:tcMar>
            <w:vAlign w:val="bottom"/>
          </w:tcPr>
          <w:p w14:paraId="675375C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CE"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CF"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5D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D1" w14:textId="77777777" w:rsidR="001B77DD" w:rsidRDefault="00BF0A28">
            <w:pPr>
              <w:jc w:val="right"/>
              <w:textAlignment w:val="bottom"/>
            </w:pPr>
            <w:r>
              <w:rPr>
                <w:rFonts w:ascii="Arial" w:eastAsia="宋体" w:hAnsi="Arial" w:cs="Arial"/>
                <w:color w:val="262626"/>
                <w:sz w:val="18"/>
                <w:szCs w:val="18"/>
              </w:rPr>
              <w:t>3,815 </w:t>
            </w:r>
          </w:p>
        </w:tc>
        <w:tc>
          <w:tcPr>
            <w:tcW w:w="0" w:type="auto"/>
            <w:shd w:val="clear" w:color="auto" w:fill="auto"/>
            <w:tcMar>
              <w:top w:w="40" w:type="dxa"/>
              <w:left w:w="0" w:type="dxa"/>
              <w:bottom w:w="40" w:type="dxa"/>
              <w:right w:w="20" w:type="dxa"/>
            </w:tcMar>
            <w:vAlign w:val="bottom"/>
          </w:tcPr>
          <w:p w14:paraId="675375D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D3"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D4"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5D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D6" w14:textId="77777777" w:rsidR="001B77DD" w:rsidRDefault="00BF0A28">
            <w:pPr>
              <w:jc w:val="right"/>
              <w:textAlignment w:val="bottom"/>
            </w:pPr>
            <w:r>
              <w:rPr>
                <w:rFonts w:ascii="Arial" w:eastAsia="宋体" w:hAnsi="Arial" w:cs="Arial"/>
                <w:color w:val="262626"/>
                <w:sz w:val="18"/>
                <w:szCs w:val="18"/>
              </w:rPr>
              <w:t>3,815 </w:t>
            </w:r>
          </w:p>
        </w:tc>
        <w:tc>
          <w:tcPr>
            <w:tcW w:w="0" w:type="auto"/>
            <w:shd w:val="clear" w:color="auto" w:fill="auto"/>
            <w:tcMar>
              <w:top w:w="40" w:type="dxa"/>
              <w:left w:w="0" w:type="dxa"/>
              <w:bottom w:w="40" w:type="dxa"/>
              <w:right w:w="20" w:type="dxa"/>
            </w:tcMar>
            <w:vAlign w:val="bottom"/>
          </w:tcPr>
          <w:p w14:paraId="675375D7" w14:textId="77777777" w:rsidR="001B77DD" w:rsidRDefault="001B77DD">
            <w:pPr>
              <w:jc w:val="right"/>
              <w:rPr>
                <w:rFonts w:ascii="宋体"/>
              </w:rPr>
            </w:pPr>
          </w:p>
        </w:tc>
      </w:tr>
      <w:tr w:rsidR="001B77DD" w14:paraId="675375F1" w14:textId="77777777">
        <w:tc>
          <w:tcPr>
            <w:tcW w:w="0" w:type="auto"/>
            <w:gridSpan w:val="3"/>
            <w:shd w:val="clear" w:color="auto" w:fill="auto"/>
            <w:tcMar>
              <w:top w:w="40" w:type="dxa"/>
              <w:left w:w="20" w:type="dxa"/>
              <w:bottom w:w="40" w:type="dxa"/>
              <w:right w:w="20" w:type="dxa"/>
            </w:tcMar>
            <w:vAlign w:val="center"/>
          </w:tcPr>
          <w:p w14:paraId="675375D9" w14:textId="77777777" w:rsidR="001B77DD" w:rsidRDefault="00BF0A28">
            <w:pPr>
              <w:ind w:hanging="180"/>
              <w:textAlignment w:val="center"/>
            </w:pPr>
            <w:r>
              <w:rPr>
                <w:rFonts w:ascii="Arial" w:eastAsia="宋体" w:hAnsi="Arial" w:cs="Arial"/>
                <w:color w:val="262626"/>
                <w:sz w:val="18"/>
                <w:szCs w:val="18"/>
              </w:rPr>
              <w:t>Financial in</w:t>
            </w:r>
            <w:r>
              <w:rPr>
                <w:rFonts w:ascii="Arial" w:eastAsia="宋体" w:hAnsi="Arial" w:cs="Arial"/>
                <w:color w:val="262626"/>
                <w:sz w:val="18"/>
                <w:szCs w:val="18"/>
              </w:rPr>
              <w:t>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675375D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DB" w14:textId="77777777" w:rsidR="001B77DD" w:rsidRDefault="00BF0A28">
            <w:pPr>
              <w:jc w:val="right"/>
              <w:textAlignment w:val="bottom"/>
            </w:pPr>
            <w:r>
              <w:rPr>
                <w:rFonts w:ascii="Arial" w:eastAsia="宋体" w:hAnsi="Arial" w:cs="Arial"/>
                <w:color w:val="0068B5"/>
                <w:sz w:val="18"/>
                <w:szCs w:val="18"/>
              </w:rPr>
              <w:t>154 </w:t>
            </w:r>
          </w:p>
        </w:tc>
        <w:tc>
          <w:tcPr>
            <w:tcW w:w="0" w:type="auto"/>
            <w:shd w:val="clear" w:color="auto" w:fill="auto"/>
            <w:tcMar>
              <w:top w:w="40" w:type="dxa"/>
              <w:left w:w="0" w:type="dxa"/>
              <w:bottom w:w="40" w:type="dxa"/>
              <w:right w:w="20" w:type="dxa"/>
            </w:tcMar>
            <w:vAlign w:val="bottom"/>
          </w:tcPr>
          <w:p w14:paraId="675375D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D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DE" w14:textId="77777777" w:rsidR="001B77DD" w:rsidRDefault="00BF0A28">
            <w:pPr>
              <w:jc w:val="right"/>
              <w:textAlignment w:val="bottom"/>
            </w:pPr>
            <w:r>
              <w:rPr>
                <w:rFonts w:ascii="Arial" w:eastAsia="宋体" w:hAnsi="Arial" w:cs="Arial"/>
                <w:color w:val="0068B5"/>
                <w:sz w:val="18"/>
                <w:szCs w:val="18"/>
              </w:rPr>
              <w:t>3,729 </w:t>
            </w:r>
          </w:p>
        </w:tc>
        <w:tc>
          <w:tcPr>
            <w:tcW w:w="0" w:type="auto"/>
            <w:shd w:val="clear" w:color="auto" w:fill="auto"/>
            <w:tcMar>
              <w:top w:w="40" w:type="dxa"/>
              <w:left w:w="0" w:type="dxa"/>
              <w:bottom w:w="40" w:type="dxa"/>
              <w:right w:w="20" w:type="dxa"/>
            </w:tcMar>
            <w:vAlign w:val="bottom"/>
          </w:tcPr>
          <w:p w14:paraId="675375D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E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E1"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E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E4" w14:textId="77777777" w:rsidR="001B77DD" w:rsidRDefault="00BF0A28">
            <w:pPr>
              <w:jc w:val="right"/>
              <w:textAlignment w:val="bottom"/>
            </w:pPr>
            <w:r>
              <w:rPr>
                <w:rFonts w:ascii="Arial" w:eastAsia="宋体" w:hAnsi="Arial" w:cs="Arial"/>
                <w:color w:val="0068B5"/>
                <w:sz w:val="18"/>
                <w:szCs w:val="18"/>
              </w:rPr>
              <w:t>3,883 </w:t>
            </w:r>
          </w:p>
        </w:tc>
        <w:tc>
          <w:tcPr>
            <w:tcW w:w="0" w:type="auto"/>
            <w:shd w:val="clear" w:color="auto" w:fill="auto"/>
            <w:tcMar>
              <w:top w:w="40" w:type="dxa"/>
              <w:left w:w="0" w:type="dxa"/>
              <w:bottom w:w="40" w:type="dxa"/>
              <w:right w:w="20" w:type="dxa"/>
            </w:tcMar>
            <w:vAlign w:val="bottom"/>
          </w:tcPr>
          <w:p w14:paraId="675375E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E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E7" w14:textId="77777777" w:rsidR="001B77DD" w:rsidRDefault="00BF0A28">
            <w:pPr>
              <w:jc w:val="right"/>
              <w:textAlignment w:val="bottom"/>
            </w:pPr>
            <w:r>
              <w:rPr>
                <w:rFonts w:ascii="Arial" w:eastAsia="宋体" w:hAnsi="Arial" w:cs="Arial"/>
                <w:color w:val="262626"/>
                <w:sz w:val="18"/>
                <w:szCs w:val="18"/>
              </w:rPr>
              <w:t>131 </w:t>
            </w:r>
          </w:p>
        </w:tc>
        <w:tc>
          <w:tcPr>
            <w:tcW w:w="0" w:type="auto"/>
            <w:shd w:val="clear" w:color="auto" w:fill="auto"/>
            <w:tcMar>
              <w:top w:w="40" w:type="dxa"/>
              <w:left w:w="0" w:type="dxa"/>
              <w:bottom w:w="40" w:type="dxa"/>
              <w:right w:w="20" w:type="dxa"/>
            </w:tcMar>
            <w:vAlign w:val="bottom"/>
          </w:tcPr>
          <w:p w14:paraId="675375E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E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EA" w14:textId="77777777" w:rsidR="001B77DD" w:rsidRDefault="00BF0A28">
            <w:pPr>
              <w:jc w:val="right"/>
              <w:textAlignment w:val="bottom"/>
            </w:pPr>
            <w:r>
              <w:rPr>
                <w:rFonts w:ascii="Arial" w:eastAsia="宋体" w:hAnsi="Arial" w:cs="Arial"/>
                <w:color w:val="262626"/>
                <w:sz w:val="18"/>
                <w:szCs w:val="18"/>
              </w:rPr>
              <w:t>2,847 </w:t>
            </w:r>
          </w:p>
        </w:tc>
        <w:tc>
          <w:tcPr>
            <w:tcW w:w="0" w:type="auto"/>
            <w:shd w:val="clear" w:color="auto" w:fill="auto"/>
            <w:tcMar>
              <w:top w:w="40" w:type="dxa"/>
              <w:left w:w="0" w:type="dxa"/>
              <w:bottom w:w="40" w:type="dxa"/>
              <w:right w:w="20" w:type="dxa"/>
            </w:tcMar>
            <w:vAlign w:val="bottom"/>
          </w:tcPr>
          <w:p w14:paraId="675375E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EC"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5ED"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5E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EF" w14:textId="77777777" w:rsidR="001B77DD" w:rsidRDefault="00BF0A28">
            <w:pPr>
              <w:jc w:val="right"/>
              <w:textAlignment w:val="bottom"/>
            </w:pPr>
            <w:r>
              <w:rPr>
                <w:rFonts w:ascii="Arial" w:eastAsia="宋体" w:hAnsi="Arial" w:cs="Arial"/>
                <w:color w:val="262626"/>
                <w:sz w:val="18"/>
                <w:szCs w:val="18"/>
              </w:rPr>
              <w:t>2,978 </w:t>
            </w:r>
          </w:p>
        </w:tc>
        <w:tc>
          <w:tcPr>
            <w:tcW w:w="0" w:type="auto"/>
            <w:shd w:val="clear" w:color="auto" w:fill="auto"/>
            <w:tcMar>
              <w:top w:w="40" w:type="dxa"/>
              <w:left w:w="0" w:type="dxa"/>
              <w:bottom w:w="40" w:type="dxa"/>
              <w:right w:w="20" w:type="dxa"/>
            </w:tcMar>
            <w:vAlign w:val="bottom"/>
          </w:tcPr>
          <w:p w14:paraId="675375F0" w14:textId="77777777" w:rsidR="001B77DD" w:rsidRDefault="001B77DD">
            <w:pPr>
              <w:jc w:val="right"/>
              <w:rPr>
                <w:rFonts w:ascii="宋体"/>
              </w:rPr>
            </w:pPr>
          </w:p>
        </w:tc>
      </w:tr>
      <w:tr w:rsidR="001B77DD" w14:paraId="67537609" w14:textId="77777777">
        <w:tc>
          <w:tcPr>
            <w:tcW w:w="0" w:type="auto"/>
            <w:gridSpan w:val="3"/>
            <w:shd w:val="clear" w:color="auto" w:fill="auto"/>
            <w:tcMar>
              <w:top w:w="40" w:type="dxa"/>
              <w:left w:w="20" w:type="dxa"/>
              <w:bottom w:w="40" w:type="dxa"/>
              <w:right w:w="20" w:type="dxa"/>
            </w:tcMar>
            <w:vAlign w:val="center"/>
          </w:tcPr>
          <w:p w14:paraId="675375F2" w14:textId="77777777" w:rsidR="001B77DD" w:rsidRDefault="00BF0A28">
            <w:pPr>
              <w:ind w:hanging="180"/>
              <w:textAlignment w:val="center"/>
            </w:pPr>
            <w:r>
              <w:rPr>
                <w:rFonts w:ascii="Arial" w:eastAsia="宋体" w:hAnsi="Arial" w:cs="Arial"/>
                <w:color w:val="262626"/>
                <w:sz w:val="18"/>
                <w:szCs w:val="18"/>
              </w:rPr>
              <w:t>Government debt</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vAlign w:val="bottom"/>
          </w:tcPr>
          <w:p w14:paraId="675375F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F4"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F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F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F7" w14:textId="77777777" w:rsidR="001B77DD" w:rsidRDefault="00BF0A28">
            <w:pPr>
              <w:jc w:val="right"/>
              <w:textAlignment w:val="bottom"/>
            </w:pPr>
            <w:r>
              <w:rPr>
                <w:rFonts w:ascii="Arial" w:eastAsia="宋体" w:hAnsi="Arial" w:cs="Arial"/>
                <w:color w:val="0068B5"/>
                <w:sz w:val="18"/>
                <w:szCs w:val="18"/>
              </w:rPr>
              <w:t>12,457 </w:t>
            </w:r>
          </w:p>
        </w:tc>
        <w:tc>
          <w:tcPr>
            <w:tcW w:w="0" w:type="auto"/>
            <w:shd w:val="clear" w:color="auto" w:fill="auto"/>
            <w:tcMar>
              <w:top w:w="40" w:type="dxa"/>
              <w:left w:w="0" w:type="dxa"/>
              <w:bottom w:w="40" w:type="dxa"/>
              <w:right w:w="20" w:type="dxa"/>
            </w:tcMar>
            <w:vAlign w:val="bottom"/>
          </w:tcPr>
          <w:p w14:paraId="675375F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F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FA"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5F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F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5FD" w14:textId="77777777" w:rsidR="001B77DD" w:rsidRDefault="00BF0A28">
            <w:pPr>
              <w:jc w:val="right"/>
              <w:textAlignment w:val="bottom"/>
            </w:pPr>
            <w:r>
              <w:rPr>
                <w:rFonts w:ascii="Arial" w:eastAsia="宋体" w:hAnsi="Arial" w:cs="Arial"/>
                <w:color w:val="0068B5"/>
                <w:sz w:val="18"/>
                <w:szCs w:val="18"/>
              </w:rPr>
              <w:t>12,457 </w:t>
            </w:r>
          </w:p>
        </w:tc>
        <w:tc>
          <w:tcPr>
            <w:tcW w:w="0" w:type="auto"/>
            <w:shd w:val="clear" w:color="auto" w:fill="auto"/>
            <w:tcMar>
              <w:top w:w="40" w:type="dxa"/>
              <w:left w:w="0" w:type="dxa"/>
              <w:bottom w:w="40" w:type="dxa"/>
              <w:right w:w="20" w:type="dxa"/>
            </w:tcMar>
            <w:vAlign w:val="bottom"/>
          </w:tcPr>
          <w:p w14:paraId="675375F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5FF"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0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0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02" w14:textId="77777777" w:rsidR="001B77DD" w:rsidRDefault="00BF0A28">
            <w:pPr>
              <w:jc w:val="right"/>
              <w:textAlignment w:val="bottom"/>
            </w:pPr>
            <w:r>
              <w:rPr>
                <w:rFonts w:ascii="Arial" w:eastAsia="宋体" w:hAnsi="Arial" w:cs="Arial"/>
                <w:color w:val="262626"/>
                <w:sz w:val="18"/>
                <w:szCs w:val="18"/>
              </w:rPr>
              <w:t>8,945 </w:t>
            </w:r>
          </w:p>
        </w:tc>
        <w:tc>
          <w:tcPr>
            <w:tcW w:w="0" w:type="auto"/>
            <w:shd w:val="clear" w:color="auto" w:fill="auto"/>
            <w:tcMar>
              <w:top w:w="40" w:type="dxa"/>
              <w:left w:w="0" w:type="dxa"/>
              <w:bottom w:w="40" w:type="dxa"/>
              <w:right w:w="20" w:type="dxa"/>
            </w:tcMar>
            <w:vAlign w:val="bottom"/>
          </w:tcPr>
          <w:p w14:paraId="6753760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04"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05"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0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07" w14:textId="77777777" w:rsidR="001B77DD" w:rsidRDefault="00BF0A28">
            <w:pPr>
              <w:jc w:val="right"/>
              <w:textAlignment w:val="bottom"/>
            </w:pPr>
            <w:r>
              <w:rPr>
                <w:rFonts w:ascii="Arial" w:eastAsia="宋体" w:hAnsi="Arial" w:cs="Arial"/>
                <w:color w:val="262626"/>
                <w:sz w:val="18"/>
                <w:szCs w:val="18"/>
              </w:rPr>
              <w:t>8,945 </w:t>
            </w:r>
          </w:p>
        </w:tc>
        <w:tc>
          <w:tcPr>
            <w:tcW w:w="0" w:type="auto"/>
            <w:shd w:val="clear" w:color="auto" w:fill="auto"/>
            <w:tcMar>
              <w:top w:w="40" w:type="dxa"/>
              <w:left w:w="0" w:type="dxa"/>
              <w:bottom w:w="40" w:type="dxa"/>
              <w:right w:w="20" w:type="dxa"/>
            </w:tcMar>
            <w:vAlign w:val="bottom"/>
          </w:tcPr>
          <w:p w14:paraId="67537608" w14:textId="77777777" w:rsidR="001B77DD" w:rsidRDefault="001B77DD">
            <w:pPr>
              <w:jc w:val="right"/>
              <w:rPr>
                <w:rFonts w:ascii="宋体"/>
              </w:rPr>
            </w:pPr>
          </w:p>
        </w:tc>
      </w:tr>
      <w:tr w:rsidR="001B77DD" w14:paraId="6753761B" w14:textId="77777777">
        <w:tc>
          <w:tcPr>
            <w:tcW w:w="0" w:type="auto"/>
            <w:gridSpan w:val="3"/>
            <w:shd w:val="clear" w:color="auto" w:fill="auto"/>
            <w:tcMar>
              <w:top w:w="40" w:type="dxa"/>
              <w:left w:w="20" w:type="dxa"/>
              <w:bottom w:w="40" w:type="dxa"/>
              <w:right w:w="20" w:type="dxa"/>
            </w:tcMar>
            <w:vAlign w:val="center"/>
          </w:tcPr>
          <w:p w14:paraId="6753760A" w14:textId="77777777" w:rsidR="001B77DD" w:rsidRDefault="00BF0A28">
            <w:pPr>
              <w:textAlignment w:val="center"/>
            </w:pPr>
            <w:r>
              <w:rPr>
                <w:rFonts w:ascii="Arial" w:eastAsia="宋体" w:hAnsi="Arial" w:cs="Arial"/>
                <w:color w:val="262626"/>
                <w:sz w:val="18"/>
                <w:szCs w:val="18"/>
              </w:rPr>
              <w:t>Other current as</w:t>
            </w:r>
            <w:r>
              <w:rPr>
                <w:rFonts w:ascii="Arial" w:eastAsia="宋体" w:hAnsi="Arial" w:cs="Arial"/>
                <w:color w:val="262626"/>
                <w:sz w:val="18"/>
                <w:szCs w:val="18"/>
              </w:rPr>
              <w:t>sets:</w:t>
            </w:r>
          </w:p>
        </w:tc>
        <w:tc>
          <w:tcPr>
            <w:tcW w:w="0" w:type="auto"/>
            <w:gridSpan w:val="3"/>
            <w:shd w:val="clear" w:color="auto" w:fill="auto"/>
            <w:tcMar>
              <w:top w:w="0" w:type="dxa"/>
              <w:left w:w="20" w:type="dxa"/>
              <w:bottom w:w="0" w:type="dxa"/>
              <w:right w:w="20" w:type="dxa"/>
            </w:tcMar>
            <w:vAlign w:val="bottom"/>
          </w:tcPr>
          <w:p w14:paraId="6753760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0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0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0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0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1A" w14:textId="77777777" w:rsidR="001B77DD" w:rsidRDefault="001B77DD">
            <w:pPr>
              <w:rPr>
                <w:rFonts w:ascii="宋体"/>
              </w:rPr>
            </w:pPr>
          </w:p>
        </w:tc>
      </w:tr>
      <w:tr w:rsidR="001B77DD" w14:paraId="67537634" w14:textId="77777777">
        <w:tc>
          <w:tcPr>
            <w:tcW w:w="0" w:type="auto"/>
            <w:gridSpan w:val="3"/>
            <w:shd w:val="clear" w:color="auto" w:fill="auto"/>
            <w:tcMar>
              <w:top w:w="40" w:type="dxa"/>
              <w:left w:w="260" w:type="dxa"/>
              <w:bottom w:w="40" w:type="dxa"/>
              <w:right w:w="20" w:type="dxa"/>
            </w:tcMar>
            <w:vAlign w:val="center"/>
          </w:tcPr>
          <w:p w14:paraId="6753761C" w14:textId="77777777" w:rsidR="001B77DD" w:rsidRDefault="00BF0A28">
            <w:pPr>
              <w:textAlignment w:val="center"/>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6753761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1E" w14:textId="77777777" w:rsidR="001B77DD" w:rsidRDefault="00BF0A28">
            <w:pPr>
              <w:jc w:val="right"/>
              <w:textAlignment w:val="bottom"/>
            </w:pPr>
            <w:r>
              <w:rPr>
                <w:rFonts w:ascii="Arial" w:eastAsia="宋体" w:hAnsi="Arial" w:cs="Arial"/>
                <w:color w:val="0068B5"/>
                <w:sz w:val="18"/>
                <w:szCs w:val="18"/>
              </w:rPr>
              <w:t>80 </w:t>
            </w:r>
          </w:p>
        </w:tc>
        <w:tc>
          <w:tcPr>
            <w:tcW w:w="0" w:type="auto"/>
            <w:shd w:val="clear" w:color="auto" w:fill="auto"/>
            <w:tcMar>
              <w:top w:w="40" w:type="dxa"/>
              <w:left w:w="0" w:type="dxa"/>
              <w:bottom w:w="40" w:type="dxa"/>
              <w:right w:w="20" w:type="dxa"/>
            </w:tcMar>
            <w:vAlign w:val="bottom"/>
          </w:tcPr>
          <w:p w14:paraId="6753761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2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21" w14:textId="77777777" w:rsidR="001B77DD" w:rsidRDefault="00BF0A28">
            <w:pPr>
              <w:jc w:val="right"/>
              <w:textAlignment w:val="bottom"/>
            </w:pPr>
            <w:r>
              <w:rPr>
                <w:rFonts w:ascii="Arial" w:eastAsia="宋体" w:hAnsi="Arial" w:cs="Arial"/>
                <w:color w:val="0068B5"/>
                <w:sz w:val="18"/>
                <w:szCs w:val="18"/>
              </w:rPr>
              <w:t>576 </w:t>
            </w:r>
          </w:p>
        </w:tc>
        <w:tc>
          <w:tcPr>
            <w:tcW w:w="0" w:type="auto"/>
            <w:shd w:val="clear" w:color="auto" w:fill="auto"/>
            <w:tcMar>
              <w:top w:w="40" w:type="dxa"/>
              <w:left w:w="0" w:type="dxa"/>
              <w:bottom w:w="40" w:type="dxa"/>
              <w:right w:w="20" w:type="dxa"/>
            </w:tcMar>
            <w:vAlign w:val="bottom"/>
          </w:tcPr>
          <w:p w14:paraId="6753762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2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24"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2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2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27" w14:textId="77777777" w:rsidR="001B77DD" w:rsidRDefault="00BF0A28">
            <w:pPr>
              <w:jc w:val="right"/>
              <w:textAlignment w:val="bottom"/>
            </w:pPr>
            <w:r>
              <w:rPr>
                <w:rFonts w:ascii="Arial" w:eastAsia="宋体" w:hAnsi="Arial" w:cs="Arial"/>
                <w:color w:val="0068B5"/>
                <w:sz w:val="18"/>
                <w:szCs w:val="18"/>
              </w:rPr>
              <w:t>656 </w:t>
            </w:r>
          </w:p>
        </w:tc>
        <w:tc>
          <w:tcPr>
            <w:tcW w:w="0" w:type="auto"/>
            <w:shd w:val="clear" w:color="auto" w:fill="auto"/>
            <w:tcMar>
              <w:top w:w="40" w:type="dxa"/>
              <w:left w:w="0" w:type="dxa"/>
              <w:bottom w:w="40" w:type="dxa"/>
              <w:right w:w="20" w:type="dxa"/>
            </w:tcMar>
            <w:vAlign w:val="bottom"/>
          </w:tcPr>
          <w:p w14:paraId="6753762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2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2A" w14:textId="77777777" w:rsidR="001B77DD" w:rsidRDefault="00BF0A28">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6753762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2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2D" w14:textId="77777777" w:rsidR="001B77DD" w:rsidRDefault="00BF0A28">
            <w:pPr>
              <w:jc w:val="right"/>
              <w:textAlignment w:val="bottom"/>
            </w:pPr>
            <w:r>
              <w:rPr>
                <w:rFonts w:ascii="Arial" w:eastAsia="宋体" w:hAnsi="Arial" w:cs="Arial"/>
                <w:color w:val="262626"/>
                <w:sz w:val="18"/>
                <w:szCs w:val="18"/>
              </w:rPr>
              <w:t>644 </w:t>
            </w:r>
          </w:p>
        </w:tc>
        <w:tc>
          <w:tcPr>
            <w:tcW w:w="0" w:type="auto"/>
            <w:shd w:val="clear" w:color="auto" w:fill="auto"/>
            <w:tcMar>
              <w:top w:w="40" w:type="dxa"/>
              <w:left w:w="0" w:type="dxa"/>
              <w:bottom w:w="40" w:type="dxa"/>
              <w:right w:w="20" w:type="dxa"/>
            </w:tcMar>
            <w:vAlign w:val="bottom"/>
          </w:tcPr>
          <w:p w14:paraId="6753762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2F"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3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3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32" w14:textId="77777777" w:rsidR="001B77DD" w:rsidRDefault="00BF0A28">
            <w:pPr>
              <w:jc w:val="right"/>
              <w:textAlignment w:val="bottom"/>
            </w:pPr>
            <w:r>
              <w:rPr>
                <w:rFonts w:ascii="Arial" w:eastAsia="宋体" w:hAnsi="Arial" w:cs="Arial"/>
                <w:color w:val="262626"/>
                <w:sz w:val="18"/>
                <w:szCs w:val="18"/>
              </w:rPr>
              <w:t>692 </w:t>
            </w:r>
          </w:p>
        </w:tc>
        <w:tc>
          <w:tcPr>
            <w:tcW w:w="0" w:type="auto"/>
            <w:shd w:val="clear" w:color="auto" w:fill="auto"/>
            <w:tcMar>
              <w:top w:w="40" w:type="dxa"/>
              <w:left w:w="0" w:type="dxa"/>
              <w:bottom w:w="40" w:type="dxa"/>
              <w:right w:w="20" w:type="dxa"/>
            </w:tcMar>
            <w:vAlign w:val="bottom"/>
          </w:tcPr>
          <w:p w14:paraId="67537633" w14:textId="77777777" w:rsidR="001B77DD" w:rsidRDefault="001B77DD">
            <w:pPr>
              <w:jc w:val="right"/>
              <w:rPr>
                <w:rFonts w:ascii="宋体"/>
              </w:rPr>
            </w:pPr>
          </w:p>
        </w:tc>
      </w:tr>
      <w:tr w:rsidR="001B77DD" w14:paraId="6753764C" w14:textId="77777777">
        <w:tc>
          <w:tcPr>
            <w:tcW w:w="0" w:type="auto"/>
            <w:gridSpan w:val="3"/>
            <w:shd w:val="clear" w:color="auto" w:fill="auto"/>
            <w:tcMar>
              <w:top w:w="40" w:type="dxa"/>
              <w:left w:w="20" w:type="dxa"/>
              <w:bottom w:w="40" w:type="dxa"/>
              <w:right w:w="20" w:type="dxa"/>
            </w:tcMar>
            <w:vAlign w:val="center"/>
          </w:tcPr>
          <w:p w14:paraId="67537635" w14:textId="77777777" w:rsidR="001B77DD" w:rsidRDefault="00BF0A28">
            <w:pPr>
              <w:ind w:hanging="180"/>
              <w:textAlignment w:val="center"/>
            </w:pPr>
            <w:r>
              <w:rPr>
                <w:rFonts w:ascii="Arial" w:eastAsia="宋体" w:hAnsi="Arial" w:cs="Arial"/>
                <w:color w:val="262626"/>
                <w:sz w:val="18"/>
                <w:szCs w:val="18"/>
              </w:rPr>
              <w:t>Loans receivable</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753763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37"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3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3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3A" w14:textId="77777777" w:rsidR="001B77DD" w:rsidRDefault="00BF0A28">
            <w:pPr>
              <w:jc w:val="right"/>
              <w:textAlignment w:val="bottom"/>
            </w:pPr>
            <w:r>
              <w:rPr>
                <w:rFonts w:ascii="Arial" w:eastAsia="宋体" w:hAnsi="Arial" w:cs="Arial"/>
                <w:color w:val="0068B5"/>
                <w:sz w:val="18"/>
                <w:szCs w:val="18"/>
              </w:rPr>
              <w:t>152 </w:t>
            </w:r>
          </w:p>
        </w:tc>
        <w:tc>
          <w:tcPr>
            <w:tcW w:w="0" w:type="auto"/>
            <w:shd w:val="clear" w:color="auto" w:fill="auto"/>
            <w:tcMar>
              <w:top w:w="40" w:type="dxa"/>
              <w:left w:w="0" w:type="dxa"/>
              <w:bottom w:w="40" w:type="dxa"/>
              <w:right w:w="20" w:type="dxa"/>
            </w:tcMar>
            <w:vAlign w:val="bottom"/>
          </w:tcPr>
          <w:p w14:paraId="6753763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3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3D"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3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40" w14:textId="77777777" w:rsidR="001B77DD" w:rsidRDefault="00BF0A28">
            <w:pPr>
              <w:jc w:val="right"/>
              <w:textAlignment w:val="bottom"/>
            </w:pPr>
            <w:r>
              <w:rPr>
                <w:rFonts w:ascii="Arial" w:eastAsia="宋体" w:hAnsi="Arial" w:cs="Arial"/>
                <w:color w:val="0068B5"/>
                <w:sz w:val="18"/>
                <w:szCs w:val="18"/>
              </w:rPr>
              <w:t>152 </w:t>
            </w:r>
          </w:p>
        </w:tc>
        <w:tc>
          <w:tcPr>
            <w:tcW w:w="0" w:type="auto"/>
            <w:shd w:val="clear" w:color="auto" w:fill="auto"/>
            <w:tcMar>
              <w:top w:w="40" w:type="dxa"/>
              <w:left w:w="0" w:type="dxa"/>
              <w:bottom w:w="40" w:type="dxa"/>
              <w:right w:w="20" w:type="dxa"/>
            </w:tcMar>
            <w:vAlign w:val="bottom"/>
          </w:tcPr>
          <w:p w14:paraId="6753764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42"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43"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4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45" w14:textId="77777777" w:rsidR="001B77DD" w:rsidRDefault="00BF0A28">
            <w:pPr>
              <w:jc w:val="right"/>
              <w:textAlignment w:val="bottom"/>
            </w:pPr>
            <w:r>
              <w:rPr>
                <w:rFonts w:ascii="Arial" w:eastAsia="宋体" w:hAnsi="Arial" w:cs="Arial"/>
                <w:color w:val="262626"/>
                <w:sz w:val="18"/>
                <w:szCs w:val="18"/>
              </w:rPr>
              <w:t>439 </w:t>
            </w:r>
          </w:p>
        </w:tc>
        <w:tc>
          <w:tcPr>
            <w:tcW w:w="0" w:type="auto"/>
            <w:shd w:val="clear" w:color="auto" w:fill="auto"/>
            <w:tcMar>
              <w:top w:w="40" w:type="dxa"/>
              <w:left w:w="0" w:type="dxa"/>
              <w:bottom w:w="40" w:type="dxa"/>
              <w:right w:w="20" w:type="dxa"/>
            </w:tcMar>
            <w:vAlign w:val="bottom"/>
          </w:tcPr>
          <w:p w14:paraId="6753764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47"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48"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4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4A" w14:textId="77777777" w:rsidR="001B77DD" w:rsidRDefault="00BF0A28">
            <w:pPr>
              <w:jc w:val="right"/>
              <w:textAlignment w:val="bottom"/>
            </w:pPr>
            <w:r>
              <w:rPr>
                <w:rFonts w:ascii="Arial" w:eastAsia="宋体" w:hAnsi="Arial" w:cs="Arial"/>
                <w:color w:val="262626"/>
                <w:sz w:val="18"/>
                <w:szCs w:val="18"/>
              </w:rPr>
              <w:t>439 </w:t>
            </w:r>
          </w:p>
        </w:tc>
        <w:tc>
          <w:tcPr>
            <w:tcW w:w="0" w:type="auto"/>
            <w:shd w:val="clear" w:color="auto" w:fill="auto"/>
            <w:tcMar>
              <w:top w:w="40" w:type="dxa"/>
              <w:left w:w="0" w:type="dxa"/>
              <w:bottom w:w="40" w:type="dxa"/>
              <w:right w:w="20" w:type="dxa"/>
            </w:tcMar>
            <w:vAlign w:val="bottom"/>
          </w:tcPr>
          <w:p w14:paraId="6753764B" w14:textId="77777777" w:rsidR="001B77DD" w:rsidRDefault="001B77DD">
            <w:pPr>
              <w:jc w:val="right"/>
              <w:rPr>
                <w:rFonts w:ascii="宋体"/>
              </w:rPr>
            </w:pPr>
          </w:p>
        </w:tc>
      </w:tr>
      <w:tr w:rsidR="001B77DD" w14:paraId="67537665" w14:textId="77777777">
        <w:tc>
          <w:tcPr>
            <w:tcW w:w="0" w:type="auto"/>
            <w:gridSpan w:val="3"/>
            <w:shd w:val="clear" w:color="auto" w:fill="auto"/>
            <w:tcMar>
              <w:top w:w="40" w:type="dxa"/>
              <w:left w:w="20" w:type="dxa"/>
              <w:bottom w:w="40" w:type="dxa"/>
              <w:right w:w="20" w:type="dxa"/>
            </w:tcMar>
            <w:vAlign w:val="center"/>
          </w:tcPr>
          <w:p w14:paraId="6753764D" w14:textId="77777777" w:rsidR="001B77DD" w:rsidRDefault="00BF0A28">
            <w:pPr>
              <w:textAlignment w:val="center"/>
            </w:pPr>
            <w:r>
              <w:rPr>
                <w:rFonts w:ascii="Arial" w:eastAsia="宋体" w:hAnsi="Arial" w:cs="Arial"/>
                <w:color w:val="262626"/>
                <w:sz w:val="18"/>
                <w:szCs w:val="18"/>
              </w:rPr>
              <w:t>Marketable equit</w:t>
            </w:r>
            <w:r>
              <w:rPr>
                <w:rFonts w:ascii="Arial" w:eastAsia="宋体" w:hAnsi="Arial" w:cs="Arial"/>
                <w:color w:val="262626"/>
                <w:sz w:val="18"/>
                <w:szCs w:val="18"/>
              </w:rPr>
              <w:t>y securities</w:t>
            </w:r>
          </w:p>
        </w:tc>
        <w:tc>
          <w:tcPr>
            <w:tcW w:w="0" w:type="auto"/>
            <w:gridSpan w:val="3"/>
            <w:shd w:val="clear" w:color="auto" w:fill="auto"/>
            <w:tcMar>
              <w:top w:w="0" w:type="dxa"/>
              <w:left w:w="20" w:type="dxa"/>
              <w:bottom w:w="0" w:type="dxa"/>
              <w:right w:w="20" w:type="dxa"/>
            </w:tcMar>
            <w:vAlign w:val="bottom"/>
          </w:tcPr>
          <w:p w14:paraId="6753764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4F" w14:textId="77777777" w:rsidR="001B77DD" w:rsidRDefault="00BF0A28">
            <w:pPr>
              <w:jc w:val="right"/>
              <w:textAlignment w:val="bottom"/>
            </w:pPr>
            <w:r>
              <w:rPr>
                <w:rFonts w:ascii="Arial" w:eastAsia="宋体" w:hAnsi="Arial" w:cs="Arial"/>
                <w:color w:val="0068B5"/>
                <w:sz w:val="18"/>
                <w:szCs w:val="18"/>
              </w:rPr>
              <w:t>1,854 </w:t>
            </w:r>
          </w:p>
        </w:tc>
        <w:tc>
          <w:tcPr>
            <w:tcW w:w="0" w:type="auto"/>
            <w:shd w:val="clear" w:color="auto" w:fill="auto"/>
            <w:tcMar>
              <w:top w:w="40" w:type="dxa"/>
              <w:left w:w="0" w:type="dxa"/>
              <w:bottom w:w="40" w:type="dxa"/>
              <w:right w:w="20" w:type="dxa"/>
            </w:tcMar>
            <w:vAlign w:val="bottom"/>
          </w:tcPr>
          <w:p w14:paraId="6753765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5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52" w14:textId="77777777" w:rsidR="001B77DD" w:rsidRDefault="00BF0A28">
            <w:pPr>
              <w:jc w:val="right"/>
              <w:textAlignment w:val="bottom"/>
            </w:pPr>
            <w:r>
              <w:rPr>
                <w:rFonts w:ascii="Arial" w:eastAsia="宋体" w:hAnsi="Arial" w:cs="Arial"/>
                <w:color w:val="0068B5"/>
                <w:sz w:val="18"/>
                <w:szCs w:val="18"/>
              </w:rPr>
              <w:t>317 </w:t>
            </w:r>
          </w:p>
        </w:tc>
        <w:tc>
          <w:tcPr>
            <w:tcW w:w="0" w:type="auto"/>
            <w:shd w:val="clear" w:color="auto" w:fill="auto"/>
            <w:tcMar>
              <w:top w:w="40" w:type="dxa"/>
              <w:left w:w="0" w:type="dxa"/>
              <w:bottom w:w="40" w:type="dxa"/>
              <w:right w:w="20" w:type="dxa"/>
            </w:tcMar>
            <w:vAlign w:val="bottom"/>
          </w:tcPr>
          <w:p w14:paraId="6753765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5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55"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5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5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58" w14:textId="77777777" w:rsidR="001B77DD" w:rsidRDefault="00BF0A28">
            <w:pPr>
              <w:jc w:val="right"/>
              <w:textAlignment w:val="bottom"/>
            </w:pPr>
            <w:r>
              <w:rPr>
                <w:rFonts w:ascii="Arial" w:eastAsia="宋体" w:hAnsi="Arial" w:cs="Arial"/>
                <w:color w:val="0068B5"/>
                <w:sz w:val="18"/>
                <w:szCs w:val="18"/>
              </w:rPr>
              <w:t>2,171 </w:t>
            </w:r>
          </w:p>
        </w:tc>
        <w:tc>
          <w:tcPr>
            <w:tcW w:w="0" w:type="auto"/>
            <w:shd w:val="clear" w:color="auto" w:fill="auto"/>
            <w:tcMar>
              <w:top w:w="40" w:type="dxa"/>
              <w:left w:w="0" w:type="dxa"/>
              <w:bottom w:w="40" w:type="dxa"/>
              <w:right w:w="20" w:type="dxa"/>
            </w:tcMar>
            <w:vAlign w:val="bottom"/>
          </w:tcPr>
          <w:p w14:paraId="6753765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5B" w14:textId="77777777" w:rsidR="001B77DD" w:rsidRDefault="00BF0A28">
            <w:pPr>
              <w:jc w:val="right"/>
              <w:textAlignment w:val="bottom"/>
            </w:pPr>
            <w:r>
              <w:rPr>
                <w:rFonts w:ascii="Arial" w:eastAsia="宋体" w:hAnsi="Arial" w:cs="Arial"/>
                <w:color w:val="262626"/>
                <w:sz w:val="18"/>
                <w:szCs w:val="18"/>
              </w:rPr>
              <w:t>136 </w:t>
            </w:r>
          </w:p>
        </w:tc>
        <w:tc>
          <w:tcPr>
            <w:tcW w:w="0" w:type="auto"/>
            <w:shd w:val="clear" w:color="auto" w:fill="auto"/>
            <w:tcMar>
              <w:top w:w="40" w:type="dxa"/>
              <w:left w:w="0" w:type="dxa"/>
              <w:bottom w:w="40" w:type="dxa"/>
              <w:right w:w="20" w:type="dxa"/>
            </w:tcMar>
            <w:vAlign w:val="bottom"/>
          </w:tcPr>
          <w:p w14:paraId="675376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5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5E" w14:textId="77777777" w:rsidR="001B77DD" w:rsidRDefault="00BF0A28">
            <w:pPr>
              <w:jc w:val="right"/>
              <w:textAlignment w:val="bottom"/>
            </w:pPr>
            <w:r>
              <w:rPr>
                <w:rFonts w:ascii="Arial" w:eastAsia="宋体" w:hAnsi="Arial" w:cs="Arial"/>
                <w:color w:val="262626"/>
                <w:sz w:val="18"/>
                <w:szCs w:val="18"/>
              </w:rPr>
              <w:t>1,694 </w:t>
            </w:r>
          </w:p>
        </w:tc>
        <w:tc>
          <w:tcPr>
            <w:tcW w:w="0" w:type="auto"/>
            <w:shd w:val="clear" w:color="auto" w:fill="auto"/>
            <w:tcMar>
              <w:top w:w="40" w:type="dxa"/>
              <w:left w:w="0" w:type="dxa"/>
              <w:bottom w:w="40" w:type="dxa"/>
              <w:right w:w="20" w:type="dxa"/>
            </w:tcMar>
            <w:vAlign w:val="bottom"/>
          </w:tcPr>
          <w:p w14:paraId="6753765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60"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61"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6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63" w14:textId="77777777" w:rsidR="001B77DD" w:rsidRDefault="00BF0A28">
            <w:pPr>
              <w:jc w:val="right"/>
              <w:textAlignment w:val="bottom"/>
            </w:pPr>
            <w:r>
              <w:rPr>
                <w:rFonts w:ascii="Arial" w:eastAsia="宋体" w:hAnsi="Arial" w:cs="Arial"/>
                <w:color w:val="262626"/>
                <w:sz w:val="18"/>
                <w:szCs w:val="18"/>
              </w:rPr>
              <w:t>1,830 </w:t>
            </w:r>
          </w:p>
        </w:tc>
        <w:tc>
          <w:tcPr>
            <w:tcW w:w="0" w:type="auto"/>
            <w:shd w:val="clear" w:color="auto" w:fill="auto"/>
            <w:tcMar>
              <w:top w:w="40" w:type="dxa"/>
              <w:left w:w="0" w:type="dxa"/>
              <w:bottom w:w="40" w:type="dxa"/>
              <w:right w:w="20" w:type="dxa"/>
            </w:tcMar>
            <w:vAlign w:val="bottom"/>
          </w:tcPr>
          <w:p w14:paraId="67537664" w14:textId="77777777" w:rsidR="001B77DD" w:rsidRDefault="001B77DD">
            <w:pPr>
              <w:jc w:val="right"/>
              <w:rPr>
                <w:rFonts w:ascii="宋体"/>
              </w:rPr>
            </w:pPr>
          </w:p>
        </w:tc>
      </w:tr>
      <w:tr w:rsidR="001B77DD" w14:paraId="67537677" w14:textId="77777777">
        <w:tc>
          <w:tcPr>
            <w:tcW w:w="0" w:type="auto"/>
            <w:gridSpan w:val="3"/>
            <w:shd w:val="clear" w:color="auto" w:fill="auto"/>
            <w:tcMar>
              <w:top w:w="40" w:type="dxa"/>
              <w:left w:w="20" w:type="dxa"/>
              <w:bottom w:w="40" w:type="dxa"/>
              <w:right w:w="20" w:type="dxa"/>
            </w:tcMar>
            <w:vAlign w:val="center"/>
          </w:tcPr>
          <w:p w14:paraId="67537666" w14:textId="77777777" w:rsidR="001B77DD" w:rsidRDefault="00BF0A28">
            <w:pPr>
              <w:textAlignment w:val="center"/>
            </w:pPr>
            <w:r>
              <w:rPr>
                <w:rFonts w:ascii="Arial" w:eastAsia="宋体" w:hAnsi="Arial" w:cs="Arial"/>
                <w:color w:val="262626"/>
                <w:sz w:val="18"/>
                <w:szCs w:val="18"/>
              </w:rPr>
              <w:t>Other long-term investments:</w:t>
            </w:r>
          </w:p>
        </w:tc>
        <w:tc>
          <w:tcPr>
            <w:tcW w:w="0" w:type="auto"/>
            <w:gridSpan w:val="3"/>
            <w:shd w:val="clear" w:color="auto" w:fill="auto"/>
            <w:tcMar>
              <w:top w:w="0" w:type="dxa"/>
              <w:left w:w="20" w:type="dxa"/>
              <w:bottom w:w="0" w:type="dxa"/>
              <w:right w:w="20" w:type="dxa"/>
            </w:tcMar>
            <w:vAlign w:val="bottom"/>
          </w:tcPr>
          <w:p w14:paraId="6753766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6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6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6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6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6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6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6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6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7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7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7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7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7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7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76" w14:textId="77777777" w:rsidR="001B77DD" w:rsidRDefault="001B77DD">
            <w:pPr>
              <w:rPr>
                <w:rFonts w:ascii="宋体"/>
              </w:rPr>
            </w:pPr>
          </w:p>
        </w:tc>
      </w:tr>
      <w:tr w:rsidR="001B77DD" w14:paraId="67537689" w14:textId="77777777">
        <w:trPr>
          <w:hidden/>
        </w:trPr>
        <w:tc>
          <w:tcPr>
            <w:tcW w:w="0" w:type="auto"/>
            <w:gridSpan w:val="3"/>
            <w:shd w:val="clear" w:color="auto" w:fill="auto"/>
            <w:vAlign w:val="bottom"/>
          </w:tcPr>
          <w:p w14:paraId="67537678" w14:textId="77777777" w:rsidR="001B77DD" w:rsidRDefault="001B77DD">
            <w:pPr>
              <w:rPr>
                <w:rFonts w:ascii="宋体"/>
                <w:vanish/>
              </w:rPr>
            </w:pPr>
          </w:p>
        </w:tc>
        <w:tc>
          <w:tcPr>
            <w:tcW w:w="0" w:type="auto"/>
            <w:gridSpan w:val="3"/>
            <w:shd w:val="clear" w:color="auto" w:fill="auto"/>
            <w:vAlign w:val="bottom"/>
          </w:tcPr>
          <w:p w14:paraId="67537679" w14:textId="77777777" w:rsidR="001B77DD" w:rsidRDefault="001B77DD">
            <w:pPr>
              <w:rPr>
                <w:rFonts w:ascii="宋体"/>
                <w:vanish/>
              </w:rPr>
            </w:pPr>
          </w:p>
        </w:tc>
        <w:tc>
          <w:tcPr>
            <w:tcW w:w="0" w:type="auto"/>
            <w:gridSpan w:val="3"/>
            <w:shd w:val="clear" w:color="auto" w:fill="auto"/>
            <w:vAlign w:val="bottom"/>
          </w:tcPr>
          <w:p w14:paraId="6753767A" w14:textId="77777777" w:rsidR="001B77DD" w:rsidRDefault="001B77DD">
            <w:pPr>
              <w:rPr>
                <w:rFonts w:ascii="宋体"/>
                <w:vanish/>
              </w:rPr>
            </w:pPr>
          </w:p>
        </w:tc>
        <w:tc>
          <w:tcPr>
            <w:tcW w:w="0" w:type="auto"/>
            <w:gridSpan w:val="3"/>
            <w:shd w:val="clear" w:color="auto" w:fill="auto"/>
            <w:vAlign w:val="bottom"/>
          </w:tcPr>
          <w:p w14:paraId="6753767B" w14:textId="77777777" w:rsidR="001B77DD" w:rsidRDefault="001B77DD">
            <w:pPr>
              <w:rPr>
                <w:rFonts w:ascii="宋体"/>
                <w:vanish/>
              </w:rPr>
            </w:pPr>
          </w:p>
        </w:tc>
        <w:tc>
          <w:tcPr>
            <w:tcW w:w="0" w:type="auto"/>
            <w:gridSpan w:val="3"/>
            <w:shd w:val="clear" w:color="auto" w:fill="auto"/>
            <w:vAlign w:val="bottom"/>
          </w:tcPr>
          <w:p w14:paraId="6753767C" w14:textId="77777777" w:rsidR="001B77DD" w:rsidRDefault="001B77DD">
            <w:pPr>
              <w:rPr>
                <w:rFonts w:ascii="宋体"/>
                <w:vanish/>
              </w:rPr>
            </w:pPr>
          </w:p>
        </w:tc>
        <w:tc>
          <w:tcPr>
            <w:tcW w:w="0" w:type="auto"/>
            <w:gridSpan w:val="3"/>
            <w:shd w:val="clear" w:color="auto" w:fill="auto"/>
            <w:vAlign w:val="bottom"/>
          </w:tcPr>
          <w:p w14:paraId="6753767D" w14:textId="77777777" w:rsidR="001B77DD" w:rsidRDefault="001B77DD">
            <w:pPr>
              <w:rPr>
                <w:rFonts w:ascii="宋体"/>
                <w:vanish/>
              </w:rPr>
            </w:pPr>
          </w:p>
        </w:tc>
        <w:tc>
          <w:tcPr>
            <w:tcW w:w="0" w:type="auto"/>
            <w:gridSpan w:val="3"/>
            <w:shd w:val="clear" w:color="auto" w:fill="auto"/>
            <w:vAlign w:val="bottom"/>
          </w:tcPr>
          <w:p w14:paraId="6753767E" w14:textId="77777777" w:rsidR="001B77DD" w:rsidRDefault="001B77DD">
            <w:pPr>
              <w:rPr>
                <w:rFonts w:ascii="宋体"/>
                <w:vanish/>
              </w:rPr>
            </w:pPr>
          </w:p>
        </w:tc>
        <w:tc>
          <w:tcPr>
            <w:tcW w:w="0" w:type="auto"/>
            <w:gridSpan w:val="3"/>
            <w:shd w:val="clear" w:color="auto" w:fill="auto"/>
            <w:vAlign w:val="bottom"/>
          </w:tcPr>
          <w:p w14:paraId="6753767F" w14:textId="77777777" w:rsidR="001B77DD" w:rsidRDefault="001B77DD">
            <w:pPr>
              <w:rPr>
                <w:rFonts w:ascii="宋体"/>
                <w:vanish/>
              </w:rPr>
            </w:pPr>
          </w:p>
        </w:tc>
        <w:tc>
          <w:tcPr>
            <w:tcW w:w="0" w:type="auto"/>
            <w:gridSpan w:val="3"/>
            <w:shd w:val="clear" w:color="auto" w:fill="auto"/>
            <w:vAlign w:val="bottom"/>
          </w:tcPr>
          <w:p w14:paraId="67537680" w14:textId="77777777" w:rsidR="001B77DD" w:rsidRDefault="001B77DD">
            <w:pPr>
              <w:rPr>
                <w:rFonts w:ascii="宋体"/>
                <w:vanish/>
              </w:rPr>
            </w:pPr>
          </w:p>
        </w:tc>
        <w:tc>
          <w:tcPr>
            <w:tcW w:w="0" w:type="auto"/>
            <w:gridSpan w:val="3"/>
            <w:shd w:val="clear" w:color="auto" w:fill="auto"/>
            <w:vAlign w:val="bottom"/>
          </w:tcPr>
          <w:p w14:paraId="67537681" w14:textId="77777777" w:rsidR="001B77DD" w:rsidRDefault="001B77DD">
            <w:pPr>
              <w:rPr>
                <w:rFonts w:ascii="宋体"/>
                <w:vanish/>
              </w:rPr>
            </w:pPr>
          </w:p>
        </w:tc>
        <w:tc>
          <w:tcPr>
            <w:tcW w:w="0" w:type="auto"/>
            <w:gridSpan w:val="3"/>
            <w:shd w:val="clear" w:color="auto" w:fill="auto"/>
            <w:vAlign w:val="bottom"/>
          </w:tcPr>
          <w:p w14:paraId="67537682" w14:textId="77777777" w:rsidR="001B77DD" w:rsidRDefault="001B77DD">
            <w:pPr>
              <w:rPr>
                <w:rFonts w:ascii="宋体"/>
                <w:vanish/>
              </w:rPr>
            </w:pPr>
          </w:p>
        </w:tc>
        <w:tc>
          <w:tcPr>
            <w:tcW w:w="0" w:type="auto"/>
            <w:gridSpan w:val="3"/>
            <w:shd w:val="clear" w:color="auto" w:fill="auto"/>
            <w:vAlign w:val="bottom"/>
          </w:tcPr>
          <w:p w14:paraId="67537683" w14:textId="77777777" w:rsidR="001B77DD" w:rsidRDefault="001B77DD">
            <w:pPr>
              <w:rPr>
                <w:rFonts w:ascii="宋体"/>
                <w:vanish/>
              </w:rPr>
            </w:pPr>
          </w:p>
        </w:tc>
        <w:tc>
          <w:tcPr>
            <w:tcW w:w="0" w:type="auto"/>
            <w:gridSpan w:val="3"/>
            <w:shd w:val="clear" w:color="auto" w:fill="auto"/>
            <w:vAlign w:val="bottom"/>
          </w:tcPr>
          <w:p w14:paraId="67537684" w14:textId="77777777" w:rsidR="001B77DD" w:rsidRDefault="001B77DD">
            <w:pPr>
              <w:rPr>
                <w:rFonts w:ascii="宋体"/>
                <w:vanish/>
              </w:rPr>
            </w:pPr>
          </w:p>
        </w:tc>
        <w:tc>
          <w:tcPr>
            <w:tcW w:w="0" w:type="auto"/>
            <w:gridSpan w:val="3"/>
            <w:shd w:val="clear" w:color="auto" w:fill="auto"/>
            <w:vAlign w:val="bottom"/>
          </w:tcPr>
          <w:p w14:paraId="67537685" w14:textId="77777777" w:rsidR="001B77DD" w:rsidRDefault="001B77DD">
            <w:pPr>
              <w:rPr>
                <w:rFonts w:ascii="宋体"/>
                <w:vanish/>
              </w:rPr>
            </w:pPr>
          </w:p>
        </w:tc>
        <w:tc>
          <w:tcPr>
            <w:tcW w:w="0" w:type="auto"/>
            <w:gridSpan w:val="3"/>
            <w:shd w:val="clear" w:color="auto" w:fill="auto"/>
            <w:vAlign w:val="bottom"/>
          </w:tcPr>
          <w:p w14:paraId="67537686" w14:textId="77777777" w:rsidR="001B77DD" w:rsidRDefault="001B77DD">
            <w:pPr>
              <w:rPr>
                <w:rFonts w:ascii="宋体"/>
                <w:vanish/>
              </w:rPr>
            </w:pPr>
          </w:p>
        </w:tc>
        <w:tc>
          <w:tcPr>
            <w:tcW w:w="0" w:type="auto"/>
            <w:gridSpan w:val="3"/>
            <w:shd w:val="clear" w:color="auto" w:fill="auto"/>
            <w:vAlign w:val="bottom"/>
          </w:tcPr>
          <w:p w14:paraId="67537687" w14:textId="77777777" w:rsidR="001B77DD" w:rsidRDefault="001B77DD">
            <w:pPr>
              <w:rPr>
                <w:rFonts w:ascii="宋体"/>
                <w:vanish/>
              </w:rPr>
            </w:pPr>
          </w:p>
        </w:tc>
        <w:tc>
          <w:tcPr>
            <w:tcW w:w="0" w:type="auto"/>
            <w:gridSpan w:val="3"/>
            <w:shd w:val="clear" w:color="auto" w:fill="auto"/>
            <w:vAlign w:val="bottom"/>
          </w:tcPr>
          <w:p w14:paraId="67537688" w14:textId="77777777" w:rsidR="001B77DD" w:rsidRDefault="001B77DD">
            <w:pPr>
              <w:rPr>
                <w:rFonts w:ascii="宋体"/>
                <w:vanish/>
              </w:rPr>
            </w:pPr>
          </w:p>
        </w:tc>
      </w:tr>
      <w:tr w:rsidR="001B77DD" w14:paraId="675376A1" w14:textId="77777777">
        <w:tc>
          <w:tcPr>
            <w:tcW w:w="0" w:type="auto"/>
            <w:gridSpan w:val="3"/>
            <w:shd w:val="clear" w:color="auto" w:fill="auto"/>
            <w:tcMar>
              <w:top w:w="40" w:type="dxa"/>
              <w:left w:w="260" w:type="dxa"/>
              <w:bottom w:w="40" w:type="dxa"/>
              <w:right w:w="20" w:type="dxa"/>
            </w:tcMar>
            <w:vAlign w:val="center"/>
          </w:tcPr>
          <w:p w14:paraId="6753768A" w14:textId="77777777" w:rsidR="001B77DD" w:rsidRDefault="00BF0A28">
            <w:pPr>
              <w:textAlignment w:val="center"/>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6753768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8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8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8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8F" w14:textId="77777777" w:rsidR="001B77DD" w:rsidRDefault="00BF0A28">
            <w:pPr>
              <w:jc w:val="right"/>
              <w:textAlignment w:val="bottom"/>
            </w:pPr>
            <w:r>
              <w:rPr>
                <w:rFonts w:ascii="Arial" w:eastAsia="宋体" w:hAnsi="Arial" w:cs="Arial"/>
                <w:color w:val="0068B5"/>
                <w:sz w:val="18"/>
                <w:szCs w:val="18"/>
              </w:rPr>
              <w:t>576 </w:t>
            </w:r>
          </w:p>
        </w:tc>
        <w:tc>
          <w:tcPr>
            <w:tcW w:w="0" w:type="auto"/>
            <w:shd w:val="clear" w:color="auto" w:fill="auto"/>
            <w:tcMar>
              <w:top w:w="40" w:type="dxa"/>
              <w:left w:w="0" w:type="dxa"/>
              <w:bottom w:w="40" w:type="dxa"/>
              <w:right w:w="20" w:type="dxa"/>
            </w:tcMar>
            <w:vAlign w:val="bottom"/>
          </w:tcPr>
          <w:p w14:paraId="6753769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9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92"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9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9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95" w14:textId="77777777" w:rsidR="001B77DD" w:rsidRDefault="00BF0A28">
            <w:pPr>
              <w:jc w:val="right"/>
              <w:textAlignment w:val="bottom"/>
            </w:pPr>
            <w:r>
              <w:rPr>
                <w:rFonts w:ascii="Arial" w:eastAsia="宋体" w:hAnsi="Arial" w:cs="Arial"/>
                <w:color w:val="0068B5"/>
                <w:sz w:val="18"/>
                <w:szCs w:val="18"/>
              </w:rPr>
              <w:t>576 </w:t>
            </w:r>
          </w:p>
        </w:tc>
        <w:tc>
          <w:tcPr>
            <w:tcW w:w="0" w:type="auto"/>
            <w:shd w:val="clear" w:color="auto" w:fill="auto"/>
            <w:tcMar>
              <w:top w:w="40" w:type="dxa"/>
              <w:left w:w="0" w:type="dxa"/>
              <w:bottom w:w="40" w:type="dxa"/>
              <w:right w:w="20" w:type="dxa"/>
            </w:tcMar>
            <w:vAlign w:val="bottom"/>
          </w:tcPr>
          <w:p w14:paraId="6753769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97"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98"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9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9A" w14:textId="77777777" w:rsidR="001B77DD" w:rsidRDefault="00BF0A28">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6753769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9C"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9D"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9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9F" w14:textId="77777777" w:rsidR="001B77DD" w:rsidRDefault="00BF0A28">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675376A0" w14:textId="77777777" w:rsidR="001B77DD" w:rsidRDefault="001B77DD">
            <w:pPr>
              <w:jc w:val="right"/>
              <w:rPr>
                <w:rFonts w:ascii="宋体"/>
              </w:rPr>
            </w:pPr>
          </w:p>
        </w:tc>
      </w:tr>
      <w:tr w:rsidR="001B77DD" w14:paraId="675376B9" w14:textId="77777777">
        <w:tc>
          <w:tcPr>
            <w:tcW w:w="0" w:type="auto"/>
            <w:gridSpan w:val="3"/>
            <w:shd w:val="clear" w:color="auto" w:fill="auto"/>
            <w:tcMar>
              <w:top w:w="40" w:type="dxa"/>
              <w:left w:w="20" w:type="dxa"/>
              <w:bottom w:w="40" w:type="dxa"/>
              <w:right w:w="20" w:type="dxa"/>
            </w:tcMar>
            <w:vAlign w:val="center"/>
          </w:tcPr>
          <w:p w14:paraId="675376A2" w14:textId="77777777" w:rsidR="001B77DD" w:rsidRDefault="00BF0A28">
            <w:pPr>
              <w:ind w:hanging="180"/>
              <w:textAlignment w:val="center"/>
            </w:pPr>
            <w:r>
              <w:rPr>
                <w:rFonts w:ascii="Arial" w:eastAsia="宋体" w:hAnsi="Arial" w:cs="Arial"/>
                <w:color w:val="262626"/>
                <w:sz w:val="18"/>
                <w:szCs w:val="18"/>
              </w:rPr>
              <w:t>Financial in</w:t>
            </w:r>
            <w:r>
              <w:rPr>
                <w:rFonts w:ascii="Arial" w:eastAsia="宋体" w:hAnsi="Arial" w:cs="Arial"/>
                <w:color w:val="262626"/>
                <w:sz w:val="18"/>
                <w:szCs w:val="18"/>
              </w:rPr>
              <w:t>stitution instruments</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675376A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A4"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A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A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A7" w14:textId="77777777" w:rsidR="001B77DD" w:rsidRDefault="00BF0A28">
            <w:pPr>
              <w:jc w:val="right"/>
              <w:textAlignment w:val="bottom"/>
            </w:pPr>
            <w:r>
              <w:rPr>
                <w:rFonts w:ascii="Arial" w:eastAsia="宋体" w:hAnsi="Arial" w:cs="Arial"/>
                <w:color w:val="0068B5"/>
                <w:sz w:val="18"/>
                <w:szCs w:val="18"/>
              </w:rPr>
              <w:t>190 </w:t>
            </w:r>
          </w:p>
        </w:tc>
        <w:tc>
          <w:tcPr>
            <w:tcW w:w="0" w:type="auto"/>
            <w:shd w:val="clear" w:color="auto" w:fill="auto"/>
            <w:tcMar>
              <w:top w:w="40" w:type="dxa"/>
              <w:left w:w="0" w:type="dxa"/>
              <w:bottom w:w="40" w:type="dxa"/>
              <w:right w:w="20" w:type="dxa"/>
            </w:tcMar>
            <w:vAlign w:val="bottom"/>
          </w:tcPr>
          <w:p w14:paraId="675376A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A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AA"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A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A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AD" w14:textId="77777777" w:rsidR="001B77DD" w:rsidRDefault="00BF0A28">
            <w:pPr>
              <w:jc w:val="right"/>
              <w:textAlignment w:val="bottom"/>
            </w:pPr>
            <w:r>
              <w:rPr>
                <w:rFonts w:ascii="Arial" w:eastAsia="宋体" w:hAnsi="Arial" w:cs="Arial"/>
                <w:color w:val="0068B5"/>
                <w:sz w:val="18"/>
                <w:szCs w:val="18"/>
              </w:rPr>
              <w:t>190 </w:t>
            </w:r>
          </w:p>
        </w:tc>
        <w:tc>
          <w:tcPr>
            <w:tcW w:w="0" w:type="auto"/>
            <w:shd w:val="clear" w:color="auto" w:fill="auto"/>
            <w:tcMar>
              <w:top w:w="40" w:type="dxa"/>
              <w:left w:w="0" w:type="dxa"/>
              <w:bottom w:w="40" w:type="dxa"/>
              <w:right w:w="20" w:type="dxa"/>
            </w:tcMar>
            <w:vAlign w:val="bottom"/>
          </w:tcPr>
          <w:p w14:paraId="675376A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AF"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B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B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B2" w14:textId="77777777" w:rsidR="001B77DD" w:rsidRDefault="00BF0A28">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675376B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B4"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B5"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B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B7" w14:textId="77777777" w:rsidR="001B77DD" w:rsidRDefault="00BF0A28">
            <w:pPr>
              <w:jc w:val="right"/>
              <w:textAlignment w:val="bottom"/>
            </w:pPr>
            <w:r>
              <w:rPr>
                <w:rFonts w:ascii="Arial" w:eastAsia="宋体" w:hAnsi="Arial" w:cs="Arial"/>
                <w:color w:val="262626"/>
                <w:sz w:val="18"/>
                <w:szCs w:val="18"/>
              </w:rPr>
              <w:t>257 </w:t>
            </w:r>
          </w:p>
        </w:tc>
        <w:tc>
          <w:tcPr>
            <w:tcW w:w="0" w:type="auto"/>
            <w:shd w:val="clear" w:color="auto" w:fill="auto"/>
            <w:tcMar>
              <w:top w:w="40" w:type="dxa"/>
              <w:left w:w="0" w:type="dxa"/>
              <w:bottom w:w="40" w:type="dxa"/>
              <w:right w:w="20" w:type="dxa"/>
            </w:tcMar>
            <w:vAlign w:val="bottom"/>
          </w:tcPr>
          <w:p w14:paraId="675376B8" w14:textId="77777777" w:rsidR="001B77DD" w:rsidRDefault="001B77DD">
            <w:pPr>
              <w:jc w:val="right"/>
              <w:rPr>
                <w:rFonts w:ascii="宋体"/>
              </w:rPr>
            </w:pPr>
          </w:p>
        </w:tc>
      </w:tr>
      <w:tr w:rsidR="001B77DD" w14:paraId="675376D1" w14:textId="77777777">
        <w:tc>
          <w:tcPr>
            <w:tcW w:w="0" w:type="auto"/>
            <w:gridSpan w:val="3"/>
            <w:shd w:val="clear" w:color="auto" w:fill="auto"/>
            <w:tcMar>
              <w:top w:w="40" w:type="dxa"/>
              <w:left w:w="20" w:type="dxa"/>
              <w:bottom w:w="40" w:type="dxa"/>
              <w:right w:w="20" w:type="dxa"/>
            </w:tcMar>
            <w:vAlign w:val="center"/>
          </w:tcPr>
          <w:p w14:paraId="675376BA" w14:textId="77777777" w:rsidR="001B77DD" w:rsidRDefault="00BF0A28">
            <w:pPr>
              <w:ind w:hanging="180"/>
              <w:textAlignment w:val="center"/>
            </w:pPr>
            <w:r>
              <w:rPr>
                <w:rFonts w:ascii="Arial" w:eastAsia="宋体" w:hAnsi="Arial" w:cs="Arial"/>
                <w:color w:val="262626"/>
                <w:sz w:val="18"/>
                <w:szCs w:val="18"/>
              </w:rPr>
              <w:t>Government debt</w:t>
            </w:r>
            <w:r>
              <w:rPr>
                <w:rFonts w:ascii="Arial" w:eastAsia="宋体" w:hAnsi="Arial" w:cs="Arial"/>
                <w:color w:val="262626"/>
                <w:sz w:val="11"/>
                <w:szCs w:val="11"/>
              </w:rPr>
              <w:t>2</w:t>
            </w:r>
          </w:p>
        </w:tc>
        <w:tc>
          <w:tcPr>
            <w:tcW w:w="0" w:type="auto"/>
            <w:gridSpan w:val="3"/>
            <w:shd w:val="clear" w:color="auto" w:fill="auto"/>
            <w:tcMar>
              <w:top w:w="0" w:type="dxa"/>
              <w:left w:w="20" w:type="dxa"/>
              <w:bottom w:w="0" w:type="dxa"/>
              <w:right w:w="20" w:type="dxa"/>
            </w:tcMar>
            <w:vAlign w:val="bottom"/>
          </w:tcPr>
          <w:p w14:paraId="675376B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BC" w14:textId="77777777" w:rsidR="001B77DD" w:rsidRDefault="00BF0A28">
            <w:pPr>
              <w:jc w:val="right"/>
              <w:textAlignment w:val="bottom"/>
            </w:pPr>
            <w:r>
              <w:rPr>
                <w:rFonts w:ascii="Arial" w:eastAsia="宋体" w:hAnsi="Arial" w:cs="Arial"/>
                <w:color w:val="0068B5"/>
                <w:sz w:val="18"/>
                <w:szCs w:val="18"/>
              </w:rPr>
              <w:t>50 </w:t>
            </w:r>
          </w:p>
        </w:tc>
        <w:tc>
          <w:tcPr>
            <w:tcW w:w="0" w:type="auto"/>
            <w:shd w:val="clear" w:color="auto" w:fill="auto"/>
            <w:tcMar>
              <w:top w:w="40" w:type="dxa"/>
              <w:left w:w="0" w:type="dxa"/>
              <w:bottom w:w="40" w:type="dxa"/>
              <w:right w:w="20" w:type="dxa"/>
            </w:tcMar>
            <w:vAlign w:val="bottom"/>
          </w:tcPr>
          <w:p w14:paraId="675376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B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BF" w14:textId="77777777" w:rsidR="001B77DD" w:rsidRDefault="00BF0A28">
            <w:pPr>
              <w:jc w:val="right"/>
              <w:textAlignment w:val="bottom"/>
            </w:pPr>
            <w:r>
              <w:rPr>
                <w:rFonts w:ascii="Arial" w:eastAsia="宋体" w:hAnsi="Arial" w:cs="Arial"/>
                <w:color w:val="0068B5"/>
                <w:sz w:val="18"/>
                <w:szCs w:val="18"/>
              </w:rPr>
              <w:t>24 </w:t>
            </w:r>
          </w:p>
        </w:tc>
        <w:tc>
          <w:tcPr>
            <w:tcW w:w="0" w:type="auto"/>
            <w:shd w:val="clear" w:color="auto" w:fill="auto"/>
            <w:tcMar>
              <w:top w:w="40" w:type="dxa"/>
              <w:left w:w="0" w:type="dxa"/>
              <w:bottom w:w="40" w:type="dxa"/>
              <w:right w:w="20" w:type="dxa"/>
            </w:tcMar>
            <w:vAlign w:val="bottom"/>
          </w:tcPr>
          <w:p w14:paraId="675376C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C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C2"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C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C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C5" w14:textId="77777777" w:rsidR="001B77DD" w:rsidRDefault="00BF0A28">
            <w:pPr>
              <w:jc w:val="right"/>
              <w:textAlignment w:val="bottom"/>
            </w:pPr>
            <w:r>
              <w:rPr>
                <w:rFonts w:ascii="Arial" w:eastAsia="宋体" w:hAnsi="Arial" w:cs="Arial"/>
                <w:color w:val="0068B5"/>
                <w:sz w:val="18"/>
                <w:szCs w:val="18"/>
              </w:rPr>
              <w:t>74 </w:t>
            </w:r>
          </w:p>
        </w:tc>
        <w:tc>
          <w:tcPr>
            <w:tcW w:w="0" w:type="auto"/>
            <w:shd w:val="clear" w:color="auto" w:fill="auto"/>
            <w:tcMar>
              <w:top w:w="40" w:type="dxa"/>
              <w:left w:w="0" w:type="dxa"/>
              <w:bottom w:w="40" w:type="dxa"/>
              <w:right w:w="20" w:type="dxa"/>
            </w:tcMar>
            <w:vAlign w:val="bottom"/>
          </w:tcPr>
          <w:p w14:paraId="675376C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C7"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C8"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C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CA" w14:textId="77777777" w:rsidR="001B77DD" w:rsidRDefault="00BF0A28">
            <w:pPr>
              <w:jc w:val="right"/>
              <w:textAlignment w:val="bottom"/>
            </w:pPr>
            <w:r>
              <w:rPr>
                <w:rFonts w:ascii="Arial" w:eastAsia="宋体" w:hAnsi="Arial" w:cs="Arial"/>
                <w:color w:val="262626"/>
                <w:sz w:val="18"/>
                <w:szCs w:val="18"/>
              </w:rPr>
              <w:t>415 </w:t>
            </w:r>
          </w:p>
        </w:tc>
        <w:tc>
          <w:tcPr>
            <w:tcW w:w="0" w:type="auto"/>
            <w:shd w:val="clear" w:color="auto" w:fill="auto"/>
            <w:tcMar>
              <w:top w:w="40" w:type="dxa"/>
              <w:left w:w="0" w:type="dxa"/>
              <w:bottom w:w="40" w:type="dxa"/>
              <w:right w:w="20" w:type="dxa"/>
            </w:tcMar>
            <w:vAlign w:val="bottom"/>
          </w:tcPr>
          <w:p w14:paraId="675376C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CC"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CD"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C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CF" w14:textId="77777777" w:rsidR="001B77DD" w:rsidRDefault="00BF0A28">
            <w:pPr>
              <w:jc w:val="right"/>
              <w:textAlignment w:val="bottom"/>
            </w:pPr>
            <w:r>
              <w:rPr>
                <w:rFonts w:ascii="Arial" w:eastAsia="宋体" w:hAnsi="Arial" w:cs="Arial"/>
                <w:color w:val="262626"/>
                <w:sz w:val="18"/>
                <w:szCs w:val="18"/>
              </w:rPr>
              <w:t>415 </w:t>
            </w:r>
          </w:p>
        </w:tc>
        <w:tc>
          <w:tcPr>
            <w:tcW w:w="0" w:type="auto"/>
            <w:shd w:val="clear" w:color="auto" w:fill="auto"/>
            <w:tcMar>
              <w:top w:w="40" w:type="dxa"/>
              <w:left w:w="0" w:type="dxa"/>
              <w:bottom w:w="40" w:type="dxa"/>
              <w:right w:w="20" w:type="dxa"/>
            </w:tcMar>
            <w:vAlign w:val="bottom"/>
          </w:tcPr>
          <w:p w14:paraId="675376D0" w14:textId="77777777" w:rsidR="001B77DD" w:rsidRDefault="001B77DD">
            <w:pPr>
              <w:jc w:val="right"/>
              <w:rPr>
                <w:rFonts w:ascii="宋体"/>
              </w:rPr>
            </w:pPr>
          </w:p>
        </w:tc>
      </w:tr>
      <w:tr w:rsidR="001B77DD" w14:paraId="675376E3" w14:textId="77777777">
        <w:tc>
          <w:tcPr>
            <w:tcW w:w="0" w:type="auto"/>
            <w:gridSpan w:val="3"/>
            <w:shd w:val="clear" w:color="auto" w:fill="auto"/>
            <w:tcMar>
              <w:top w:w="40" w:type="dxa"/>
              <w:left w:w="20" w:type="dxa"/>
              <w:bottom w:w="40" w:type="dxa"/>
              <w:right w:w="20" w:type="dxa"/>
            </w:tcMar>
            <w:vAlign w:val="center"/>
          </w:tcPr>
          <w:p w14:paraId="675376D2" w14:textId="77777777" w:rsidR="001B77DD" w:rsidRDefault="00BF0A28">
            <w:pPr>
              <w:textAlignment w:val="center"/>
            </w:pPr>
            <w:r>
              <w:rPr>
                <w:rFonts w:ascii="Arial" w:eastAsia="宋体" w:hAnsi="Arial" w:cs="Arial"/>
                <w:color w:val="262626"/>
                <w:sz w:val="18"/>
                <w:szCs w:val="18"/>
              </w:rPr>
              <w:t xml:space="preserve">Other long-term </w:t>
            </w: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75376D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D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E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E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6E2" w14:textId="77777777" w:rsidR="001B77DD" w:rsidRDefault="001B77DD">
            <w:pPr>
              <w:rPr>
                <w:rFonts w:ascii="宋体"/>
              </w:rPr>
            </w:pPr>
          </w:p>
        </w:tc>
      </w:tr>
      <w:tr w:rsidR="001B77DD" w14:paraId="675376FC" w14:textId="77777777">
        <w:tc>
          <w:tcPr>
            <w:tcW w:w="0" w:type="auto"/>
            <w:gridSpan w:val="3"/>
            <w:shd w:val="clear" w:color="auto" w:fill="auto"/>
            <w:tcMar>
              <w:top w:w="40" w:type="dxa"/>
              <w:left w:w="260" w:type="dxa"/>
              <w:bottom w:w="40" w:type="dxa"/>
              <w:right w:w="20" w:type="dxa"/>
            </w:tcMar>
            <w:vAlign w:val="center"/>
          </w:tcPr>
          <w:p w14:paraId="675376E4" w14:textId="77777777" w:rsidR="001B77DD" w:rsidRDefault="00BF0A28">
            <w:pPr>
              <w:textAlignment w:val="center"/>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675376E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E6"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6E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E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E9" w14:textId="77777777" w:rsidR="001B77DD" w:rsidRDefault="00BF0A28">
            <w:pPr>
              <w:jc w:val="right"/>
              <w:textAlignment w:val="bottom"/>
            </w:pPr>
            <w:r>
              <w:rPr>
                <w:rFonts w:ascii="Arial" w:eastAsia="宋体" w:hAnsi="Arial" w:cs="Arial"/>
                <w:color w:val="0068B5"/>
                <w:sz w:val="18"/>
                <w:szCs w:val="18"/>
              </w:rPr>
              <w:t>772 </w:t>
            </w:r>
          </w:p>
        </w:tc>
        <w:tc>
          <w:tcPr>
            <w:tcW w:w="0" w:type="auto"/>
            <w:shd w:val="clear" w:color="auto" w:fill="auto"/>
            <w:tcMar>
              <w:top w:w="40" w:type="dxa"/>
              <w:left w:w="0" w:type="dxa"/>
              <w:bottom w:w="40" w:type="dxa"/>
              <w:right w:w="20" w:type="dxa"/>
            </w:tcMar>
            <w:vAlign w:val="bottom"/>
          </w:tcPr>
          <w:p w14:paraId="675376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EC" w14:textId="77777777" w:rsidR="001B77DD" w:rsidRDefault="00BF0A28">
            <w:pPr>
              <w:jc w:val="right"/>
              <w:textAlignment w:val="bottom"/>
            </w:pPr>
            <w:r>
              <w:rPr>
                <w:rFonts w:ascii="Arial" w:eastAsia="宋体" w:hAnsi="Arial" w:cs="Arial"/>
                <w:color w:val="0068B5"/>
                <w:sz w:val="18"/>
                <w:szCs w:val="18"/>
              </w:rPr>
              <w:t>7 </w:t>
            </w:r>
          </w:p>
        </w:tc>
        <w:tc>
          <w:tcPr>
            <w:tcW w:w="0" w:type="auto"/>
            <w:shd w:val="clear" w:color="auto" w:fill="auto"/>
            <w:tcMar>
              <w:top w:w="40" w:type="dxa"/>
              <w:left w:w="0" w:type="dxa"/>
              <w:bottom w:w="40" w:type="dxa"/>
              <w:right w:w="20" w:type="dxa"/>
            </w:tcMar>
            <w:vAlign w:val="bottom"/>
          </w:tcPr>
          <w:p w14:paraId="675376E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E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EF" w14:textId="77777777" w:rsidR="001B77DD" w:rsidRDefault="00BF0A28">
            <w:pPr>
              <w:jc w:val="right"/>
              <w:textAlignment w:val="bottom"/>
            </w:pPr>
            <w:r>
              <w:rPr>
                <w:rFonts w:ascii="Arial" w:eastAsia="宋体" w:hAnsi="Arial" w:cs="Arial"/>
                <w:color w:val="0068B5"/>
                <w:sz w:val="18"/>
                <w:szCs w:val="18"/>
              </w:rPr>
              <w:t>779 </w:t>
            </w:r>
          </w:p>
        </w:tc>
        <w:tc>
          <w:tcPr>
            <w:tcW w:w="0" w:type="auto"/>
            <w:shd w:val="clear" w:color="auto" w:fill="auto"/>
            <w:tcMar>
              <w:top w:w="40" w:type="dxa"/>
              <w:left w:w="0" w:type="dxa"/>
              <w:bottom w:w="40" w:type="dxa"/>
              <w:right w:w="20" w:type="dxa"/>
            </w:tcMar>
            <w:vAlign w:val="bottom"/>
          </w:tcPr>
          <w:p w14:paraId="675376F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F1"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6F2"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6F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F4" w14:textId="77777777" w:rsidR="001B77DD" w:rsidRDefault="00BF0A28">
            <w:pPr>
              <w:jc w:val="right"/>
              <w:textAlignment w:val="bottom"/>
            </w:pPr>
            <w:r>
              <w:rPr>
                <w:rFonts w:ascii="Arial" w:eastAsia="宋体" w:hAnsi="Arial" w:cs="Arial"/>
                <w:color w:val="262626"/>
                <w:sz w:val="18"/>
                <w:szCs w:val="18"/>
              </w:rPr>
              <w:t>1,520 </w:t>
            </w:r>
          </w:p>
        </w:tc>
        <w:tc>
          <w:tcPr>
            <w:tcW w:w="0" w:type="auto"/>
            <w:shd w:val="clear" w:color="auto" w:fill="auto"/>
            <w:tcMar>
              <w:top w:w="40" w:type="dxa"/>
              <w:left w:w="0" w:type="dxa"/>
              <w:bottom w:w="40" w:type="dxa"/>
              <w:right w:w="20" w:type="dxa"/>
            </w:tcMar>
            <w:vAlign w:val="bottom"/>
          </w:tcPr>
          <w:p w14:paraId="675376F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F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F7" w14:textId="77777777" w:rsidR="001B77DD" w:rsidRDefault="00BF0A28">
            <w:pPr>
              <w:jc w:val="right"/>
              <w:textAlignment w:val="bottom"/>
            </w:pPr>
            <w:r>
              <w:rPr>
                <w:rFonts w:ascii="Arial" w:eastAsia="宋体" w:hAnsi="Arial" w:cs="Arial"/>
                <w:color w:val="262626"/>
                <w:sz w:val="18"/>
                <w:szCs w:val="18"/>
              </w:rPr>
              <w:t>30 </w:t>
            </w:r>
          </w:p>
        </w:tc>
        <w:tc>
          <w:tcPr>
            <w:tcW w:w="0" w:type="auto"/>
            <w:shd w:val="clear" w:color="auto" w:fill="auto"/>
            <w:tcMar>
              <w:top w:w="40" w:type="dxa"/>
              <w:left w:w="0" w:type="dxa"/>
              <w:bottom w:w="40" w:type="dxa"/>
              <w:right w:w="20" w:type="dxa"/>
            </w:tcMar>
            <w:vAlign w:val="bottom"/>
          </w:tcPr>
          <w:p w14:paraId="675376F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6F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FA" w14:textId="77777777" w:rsidR="001B77DD" w:rsidRDefault="00BF0A28">
            <w:pPr>
              <w:jc w:val="right"/>
              <w:textAlignment w:val="bottom"/>
            </w:pPr>
            <w:r>
              <w:rPr>
                <w:rFonts w:ascii="Arial" w:eastAsia="宋体" w:hAnsi="Arial" w:cs="Arial"/>
                <w:color w:val="262626"/>
                <w:sz w:val="18"/>
                <w:szCs w:val="18"/>
              </w:rPr>
              <w:t>1,550 </w:t>
            </w:r>
          </w:p>
        </w:tc>
        <w:tc>
          <w:tcPr>
            <w:tcW w:w="0" w:type="auto"/>
            <w:shd w:val="clear" w:color="auto" w:fill="auto"/>
            <w:tcMar>
              <w:top w:w="40" w:type="dxa"/>
              <w:left w:w="0" w:type="dxa"/>
              <w:bottom w:w="40" w:type="dxa"/>
              <w:right w:w="20" w:type="dxa"/>
            </w:tcMar>
            <w:vAlign w:val="bottom"/>
          </w:tcPr>
          <w:p w14:paraId="675376FB" w14:textId="77777777" w:rsidR="001B77DD" w:rsidRDefault="001B77DD">
            <w:pPr>
              <w:jc w:val="right"/>
              <w:rPr>
                <w:rFonts w:ascii="宋体"/>
              </w:rPr>
            </w:pPr>
          </w:p>
        </w:tc>
      </w:tr>
      <w:tr w:rsidR="001B77DD" w14:paraId="67537714" w14:textId="77777777">
        <w:tc>
          <w:tcPr>
            <w:tcW w:w="0" w:type="auto"/>
            <w:gridSpan w:val="3"/>
            <w:shd w:val="clear" w:color="auto" w:fill="auto"/>
            <w:tcMar>
              <w:top w:w="40" w:type="dxa"/>
              <w:left w:w="20" w:type="dxa"/>
              <w:bottom w:w="40" w:type="dxa"/>
              <w:right w:w="20" w:type="dxa"/>
            </w:tcMar>
            <w:vAlign w:val="center"/>
          </w:tcPr>
          <w:p w14:paraId="675376FD" w14:textId="77777777" w:rsidR="001B77DD" w:rsidRDefault="00BF0A28">
            <w:pPr>
              <w:ind w:hanging="180"/>
              <w:textAlignment w:val="center"/>
            </w:pPr>
            <w:r>
              <w:rPr>
                <w:rFonts w:ascii="Arial" w:eastAsia="宋体" w:hAnsi="Arial" w:cs="Arial"/>
                <w:color w:val="262626"/>
                <w:sz w:val="18"/>
                <w:szCs w:val="18"/>
              </w:rPr>
              <w:t>Loans receivable</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75376F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6FF"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70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0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02" w14:textId="77777777" w:rsidR="001B77DD" w:rsidRDefault="00BF0A28">
            <w:pPr>
              <w:jc w:val="right"/>
              <w:textAlignment w:val="bottom"/>
            </w:pPr>
            <w:r>
              <w:rPr>
                <w:rFonts w:ascii="Arial" w:eastAsia="宋体" w:hAnsi="Arial" w:cs="Arial"/>
                <w:color w:val="0068B5"/>
                <w:sz w:val="18"/>
                <w:szCs w:val="18"/>
              </w:rPr>
              <w:t>57 </w:t>
            </w:r>
          </w:p>
        </w:tc>
        <w:tc>
          <w:tcPr>
            <w:tcW w:w="0" w:type="auto"/>
            <w:shd w:val="clear" w:color="auto" w:fill="auto"/>
            <w:tcMar>
              <w:top w:w="40" w:type="dxa"/>
              <w:left w:w="0" w:type="dxa"/>
              <w:bottom w:w="40" w:type="dxa"/>
              <w:right w:w="20" w:type="dxa"/>
            </w:tcMar>
            <w:vAlign w:val="bottom"/>
          </w:tcPr>
          <w:p w14:paraId="6753770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0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05"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70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0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08" w14:textId="77777777" w:rsidR="001B77DD" w:rsidRDefault="00BF0A28">
            <w:pPr>
              <w:jc w:val="right"/>
              <w:textAlignment w:val="bottom"/>
            </w:pPr>
            <w:r>
              <w:rPr>
                <w:rFonts w:ascii="Arial" w:eastAsia="宋体" w:hAnsi="Arial" w:cs="Arial"/>
                <w:color w:val="0068B5"/>
                <w:sz w:val="18"/>
                <w:szCs w:val="18"/>
              </w:rPr>
              <w:t>57 </w:t>
            </w:r>
          </w:p>
        </w:tc>
        <w:tc>
          <w:tcPr>
            <w:tcW w:w="0" w:type="auto"/>
            <w:shd w:val="clear" w:color="auto" w:fill="auto"/>
            <w:tcMar>
              <w:top w:w="40" w:type="dxa"/>
              <w:left w:w="0" w:type="dxa"/>
              <w:bottom w:w="40" w:type="dxa"/>
              <w:right w:w="20" w:type="dxa"/>
            </w:tcMar>
            <w:vAlign w:val="bottom"/>
          </w:tcPr>
          <w:p w14:paraId="6753770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0A"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70B"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70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0D" w14:textId="77777777" w:rsidR="001B77DD" w:rsidRDefault="00BF0A28">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6753770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0F"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710"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71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12" w14:textId="77777777" w:rsidR="001B77DD" w:rsidRDefault="00BF0A28">
            <w:pPr>
              <w:jc w:val="right"/>
              <w:textAlignment w:val="bottom"/>
            </w:pPr>
            <w:r>
              <w:rPr>
                <w:rFonts w:ascii="Arial" w:eastAsia="宋体" w:hAnsi="Arial" w:cs="Arial"/>
                <w:color w:val="262626"/>
                <w:sz w:val="18"/>
                <w:szCs w:val="18"/>
              </w:rPr>
              <w:t>157 </w:t>
            </w:r>
          </w:p>
        </w:tc>
        <w:tc>
          <w:tcPr>
            <w:tcW w:w="0" w:type="auto"/>
            <w:shd w:val="clear" w:color="auto" w:fill="auto"/>
            <w:tcMar>
              <w:top w:w="40" w:type="dxa"/>
              <w:left w:w="0" w:type="dxa"/>
              <w:bottom w:w="40" w:type="dxa"/>
              <w:right w:w="20" w:type="dxa"/>
            </w:tcMar>
            <w:vAlign w:val="bottom"/>
          </w:tcPr>
          <w:p w14:paraId="67537713" w14:textId="77777777" w:rsidR="001B77DD" w:rsidRDefault="001B77DD">
            <w:pPr>
              <w:jc w:val="right"/>
              <w:rPr>
                <w:rFonts w:ascii="宋体"/>
              </w:rPr>
            </w:pPr>
          </w:p>
        </w:tc>
      </w:tr>
      <w:tr w:rsidR="001B77DD" w14:paraId="67537736" w14:textId="77777777">
        <w:tc>
          <w:tcPr>
            <w:tcW w:w="0" w:type="auto"/>
            <w:gridSpan w:val="3"/>
            <w:shd w:val="clear" w:color="auto" w:fill="auto"/>
            <w:tcMar>
              <w:top w:w="40" w:type="dxa"/>
              <w:left w:w="20" w:type="dxa"/>
              <w:bottom w:w="40" w:type="dxa"/>
              <w:right w:w="20" w:type="dxa"/>
            </w:tcMar>
            <w:vAlign w:val="bottom"/>
          </w:tcPr>
          <w:p w14:paraId="67537715" w14:textId="77777777" w:rsidR="001B77DD" w:rsidRDefault="00BF0A28">
            <w:pPr>
              <w:textAlignment w:val="bottom"/>
            </w:pPr>
            <w:r>
              <w:rPr>
                <w:rFonts w:ascii="Arial" w:eastAsia="宋体" w:hAnsi="Arial" w:cs="Arial"/>
                <w:b/>
                <w:bCs/>
                <w:color w:val="262626"/>
                <w:sz w:val="18"/>
                <w:szCs w:val="18"/>
              </w:rPr>
              <w:t>Total assets mea</w:t>
            </w:r>
            <w:r>
              <w:rPr>
                <w:rFonts w:ascii="Arial" w:eastAsia="宋体" w:hAnsi="Arial" w:cs="Arial"/>
                <w:b/>
                <w:bCs/>
                <w:color w:val="262626"/>
                <w:sz w:val="18"/>
                <w:szCs w:val="18"/>
              </w:rPr>
              <w:t>sured and recorded at fair value</w:t>
            </w:r>
          </w:p>
        </w:tc>
        <w:tc>
          <w:tcPr>
            <w:tcW w:w="0" w:type="auto"/>
            <w:gridSpan w:val="3"/>
            <w:shd w:val="clear" w:color="auto" w:fill="auto"/>
            <w:tcMar>
              <w:top w:w="0" w:type="dxa"/>
              <w:left w:w="20" w:type="dxa"/>
              <w:bottom w:w="0" w:type="dxa"/>
              <w:right w:w="20" w:type="dxa"/>
            </w:tcMar>
            <w:vAlign w:val="bottom"/>
          </w:tcPr>
          <w:p w14:paraId="67537716"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717"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718" w14:textId="77777777" w:rsidR="001B77DD" w:rsidRDefault="00BF0A28">
            <w:pPr>
              <w:jc w:val="right"/>
              <w:textAlignment w:val="bottom"/>
            </w:pPr>
            <w:r>
              <w:rPr>
                <w:rFonts w:ascii="Arial" w:eastAsia="宋体" w:hAnsi="Arial" w:cs="Arial"/>
                <w:b/>
                <w:bCs/>
                <w:color w:val="0068B5"/>
                <w:sz w:val="18"/>
                <w:szCs w:val="18"/>
              </w:rPr>
              <w:t>3,354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71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1A"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71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71C" w14:textId="77777777" w:rsidR="001B77DD" w:rsidRDefault="00BF0A28">
            <w:pPr>
              <w:jc w:val="right"/>
              <w:textAlignment w:val="bottom"/>
            </w:pPr>
            <w:r>
              <w:rPr>
                <w:rFonts w:ascii="Arial" w:eastAsia="宋体" w:hAnsi="Arial" w:cs="Arial"/>
                <w:b/>
                <w:bCs/>
                <w:color w:val="0068B5"/>
                <w:sz w:val="18"/>
                <w:szCs w:val="18"/>
              </w:rPr>
              <w:t>28,519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71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1E"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71F"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720" w14:textId="77777777" w:rsidR="001B77DD" w:rsidRDefault="00BF0A28">
            <w:pPr>
              <w:jc w:val="right"/>
              <w:textAlignment w:val="bottom"/>
            </w:pPr>
            <w:r>
              <w:rPr>
                <w:rFonts w:ascii="Arial" w:eastAsia="宋体" w:hAnsi="Arial" w:cs="Arial"/>
                <w:b/>
                <w:bCs/>
                <w:color w:val="0068B5"/>
                <w:sz w:val="18"/>
                <w:szCs w:val="18"/>
              </w:rPr>
              <w:t>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72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22"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723"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724" w14:textId="77777777" w:rsidR="001B77DD" w:rsidRDefault="00BF0A28">
            <w:pPr>
              <w:jc w:val="right"/>
              <w:textAlignment w:val="bottom"/>
            </w:pPr>
            <w:r>
              <w:rPr>
                <w:rFonts w:ascii="Arial" w:eastAsia="宋体" w:hAnsi="Arial" w:cs="Arial"/>
                <w:b/>
                <w:bCs/>
                <w:color w:val="0068B5"/>
                <w:sz w:val="18"/>
                <w:szCs w:val="18"/>
              </w:rPr>
              <w:t>31,880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72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26"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72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728" w14:textId="77777777" w:rsidR="001B77DD" w:rsidRDefault="00BF0A28">
            <w:pPr>
              <w:jc w:val="right"/>
              <w:textAlignment w:val="bottom"/>
            </w:pPr>
            <w:r>
              <w:rPr>
                <w:rFonts w:ascii="Arial" w:eastAsia="宋体" w:hAnsi="Arial" w:cs="Arial"/>
                <w:b/>
                <w:bCs/>
                <w:color w:val="262626"/>
                <w:sz w:val="18"/>
                <w:szCs w:val="18"/>
              </w:rPr>
              <w:t>3,096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72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2A"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72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72C" w14:textId="77777777" w:rsidR="001B77DD" w:rsidRDefault="00BF0A28">
            <w:pPr>
              <w:jc w:val="right"/>
              <w:textAlignment w:val="bottom"/>
            </w:pPr>
            <w:r>
              <w:rPr>
                <w:rFonts w:ascii="Arial" w:eastAsia="宋体" w:hAnsi="Arial" w:cs="Arial"/>
                <w:b/>
                <w:bCs/>
                <w:color w:val="262626"/>
                <w:sz w:val="18"/>
                <w:szCs w:val="18"/>
              </w:rPr>
              <w:t>27,131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7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2E"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72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730" w14:textId="77777777" w:rsidR="001B77DD" w:rsidRDefault="00BF0A28">
            <w:pPr>
              <w:jc w:val="right"/>
              <w:textAlignment w:val="bottom"/>
            </w:pPr>
            <w:r>
              <w:rPr>
                <w:rFonts w:ascii="Arial" w:eastAsia="宋体" w:hAnsi="Arial" w:cs="Arial"/>
                <w:b/>
                <w:bCs/>
                <w:color w:val="262626"/>
                <w:sz w:val="18"/>
                <w:szCs w:val="18"/>
              </w:rPr>
              <w:t>30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73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32"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73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734" w14:textId="77777777" w:rsidR="001B77DD" w:rsidRDefault="00BF0A28">
            <w:pPr>
              <w:jc w:val="right"/>
              <w:textAlignment w:val="bottom"/>
            </w:pPr>
            <w:r>
              <w:rPr>
                <w:rFonts w:ascii="Arial" w:eastAsia="宋体" w:hAnsi="Arial" w:cs="Arial"/>
                <w:b/>
                <w:bCs/>
                <w:color w:val="262626"/>
                <w:sz w:val="18"/>
                <w:szCs w:val="18"/>
              </w:rPr>
              <w:t>30,257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735" w14:textId="77777777" w:rsidR="001B77DD" w:rsidRDefault="001B77DD">
            <w:pPr>
              <w:jc w:val="right"/>
              <w:rPr>
                <w:rFonts w:ascii="宋体"/>
              </w:rPr>
            </w:pPr>
          </w:p>
        </w:tc>
      </w:tr>
      <w:tr w:rsidR="001B77DD" w14:paraId="67537748" w14:textId="77777777">
        <w:tc>
          <w:tcPr>
            <w:tcW w:w="0" w:type="auto"/>
            <w:gridSpan w:val="3"/>
            <w:shd w:val="clear" w:color="auto" w:fill="auto"/>
            <w:tcMar>
              <w:top w:w="40" w:type="dxa"/>
              <w:left w:w="20" w:type="dxa"/>
              <w:bottom w:w="40" w:type="dxa"/>
              <w:right w:w="20" w:type="dxa"/>
            </w:tcMar>
            <w:vAlign w:val="bottom"/>
          </w:tcPr>
          <w:p w14:paraId="67537737" w14:textId="77777777" w:rsidR="001B77DD" w:rsidRDefault="00BF0A28">
            <w:pPr>
              <w:textAlignment w:val="bottom"/>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7537738"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73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3A"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73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3C"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73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3E"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73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0"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74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2"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74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4"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74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6"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747" w14:textId="77777777" w:rsidR="001B77DD" w:rsidRDefault="001B77DD">
            <w:pPr>
              <w:rPr>
                <w:rFonts w:ascii="宋体"/>
              </w:rPr>
            </w:pPr>
          </w:p>
        </w:tc>
      </w:tr>
      <w:tr w:rsidR="001B77DD" w14:paraId="6753775A" w14:textId="77777777">
        <w:tc>
          <w:tcPr>
            <w:tcW w:w="0" w:type="auto"/>
            <w:gridSpan w:val="3"/>
            <w:shd w:val="clear" w:color="auto" w:fill="auto"/>
            <w:tcMar>
              <w:top w:w="40" w:type="dxa"/>
              <w:left w:w="20" w:type="dxa"/>
              <w:bottom w:w="40" w:type="dxa"/>
              <w:right w:w="20" w:type="dxa"/>
            </w:tcMar>
            <w:vAlign w:val="bottom"/>
          </w:tcPr>
          <w:p w14:paraId="67537749" w14:textId="77777777" w:rsidR="001B77DD" w:rsidRDefault="00BF0A28">
            <w:pPr>
              <w:textAlignment w:val="bottom"/>
            </w:pPr>
            <w:r>
              <w:rPr>
                <w:rFonts w:ascii="Arial" w:eastAsia="宋体" w:hAnsi="Arial" w:cs="Arial"/>
                <w:color w:val="262626"/>
                <w:sz w:val="18"/>
                <w:szCs w:val="18"/>
              </w:rPr>
              <w:t>Other acc</w:t>
            </w:r>
            <w:r>
              <w:rPr>
                <w:rFonts w:ascii="Arial" w:eastAsia="宋体" w:hAnsi="Arial" w:cs="Arial"/>
                <w:color w:val="262626"/>
                <w:sz w:val="18"/>
                <w:szCs w:val="18"/>
              </w:rPr>
              <w:t>rued liabilities:</w:t>
            </w:r>
          </w:p>
        </w:tc>
        <w:tc>
          <w:tcPr>
            <w:tcW w:w="0" w:type="auto"/>
            <w:gridSpan w:val="3"/>
            <w:shd w:val="clear" w:color="auto" w:fill="auto"/>
            <w:tcMar>
              <w:top w:w="0" w:type="dxa"/>
              <w:left w:w="20" w:type="dxa"/>
              <w:bottom w:w="0" w:type="dxa"/>
              <w:right w:w="20" w:type="dxa"/>
            </w:tcMar>
            <w:vAlign w:val="bottom"/>
          </w:tcPr>
          <w:p w14:paraId="6753774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4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59" w14:textId="77777777" w:rsidR="001B77DD" w:rsidRDefault="001B77DD">
            <w:pPr>
              <w:rPr>
                <w:rFonts w:ascii="宋体"/>
              </w:rPr>
            </w:pPr>
          </w:p>
        </w:tc>
      </w:tr>
      <w:tr w:rsidR="001B77DD" w14:paraId="6753777A" w14:textId="77777777">
        <w:tc>
          <w:tcPr>
            <w:tcW w:w="0" w:type="auto"/>
            <w:gridSpan w:val="3"/>
            <w:shd w:val="clear" w:color="auto" w:fill="auto"/>
            <w:tcMar>
              <w:top w:w="40" w:type="dxa"/>
              <w:left w:w="275" w:type="dxa"/>
              <w:bottom w:w="40" w:type="dxa"/>
              <w:right w:w="20" w:type="dxa"/>
            </w:tcMar>
            <w:vAlign w:val="bottom"/>
          </w:tcPr>
          <w:p w14:paraId="6753775B" w14:textId="77777777" w:rsidR="001B77DD" w:rsidRDefault="00BF0A28">
            <w:pPr>
              <w:textAlignment w:val="bottom"/>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6753775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75D"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75E" w14:textId="77777777" w:rsidR="001B77DD" w:rsidRDefault="00BF0A28">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6753775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6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761"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762" w14:textId="77777777" w:rsidR="001B77DD" w:rsidRDefault="00BF0A28">
            <w:pPr>
              <w:jc w:val="right"/>
              <w:textAlignment w:val="bottom"/>
            </w:pPr>
            <w:r>
              <w:rPr>
                <w:rFonts w:ascii="Arial" w:eastAsia="宋体" w:hAnsi="Arial" w:cs="Arial"/>
                <w:color w:val="0068B5"/>
                <w:sz w:val="18"/>
                <w:szCs w:val="18"/>
              </w:rPr>
              <w:t>516 </w:t>
            </w:r>
          </w:p>
        </w:tc>
        <w:tc>
          <w:tcPr>
            <w:tcW w:w="0" w:type="auto"/>
            <w:shd w:val="clear" w:color="auto" w:fill="auto"/>
            <w:tcMar>
              <w:top w:w="40" w:type="dxa"/>
              <w:left w:w="0" w:type="dxa"/>
              <w:bottom w:w="40" w:type="dxa"/>
              <w:right w:w="20" w:type="dxa"/>
            </w:tcMar>
            <w:vAlign w:val="bottom"/>
          </w:tcPr>
          <w:p w14:paraId="675377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64"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765"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766"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76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68"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769"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76A" w14:textId="77777777" w:rsidR="001B77DD" w:rsidRDefault="00BF0A28">
            <w:pPr>
              <w:jc w:val="right"/>
              <w:textAlignment w:val="bottom"/>
            </w:pPr>
            <w:r>
              <w:rPr>
                <w:rFonts w:ascii="Arial" w:eastAsia="宋体" w:hAnsi="Arial" w:cs="Arial"/>
                <w:color w:val="0068B5"/>
                <w:sz w:val="18"/>
                <w:szCs w:val="18"/>
              </w:rPr>
              <w:t>520 </w:t>
            </w:r>
          </w:p>
        </w:tc>
        <w:tc>
          <w:tcPr>
            <w:tcW w:w="0" w:type="auto"/>
            <w:shd w:val="clear" w:color="auto" w:fill="auto"/>
            <w:tcMar>
              <w:top w:w="40" w:type="dxa"/>
              <w:left w:w="0" w:type="dxa"/>
              <w:bottom w:w="40" w:type="dxa"/>
              <w:right w:w="20" w:type="dxa"/>
            </w:tcMar>
            <w:vAlign w:val="bottom"/>
          </w:tcPr>
          <w:p w14:paraId="6753776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6C"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76D" w14:textId="77777777" w:rsidR="001B77DD" w:rsidRDefault="00BF0A28">
            <w:pPr>
              <w:textAlignment w:val="bottom"/>
            </w:pPr>
            <w:r>
              <w:rPr>
                <w:rFonts w:ascii="Arial" w:eastAsia="宋体" w:hAnsi="Arial" w:cs="Arial"/>
                <w:color w:val="262626"/>
                <w:sz w:val="18"/>
                <w:szCs w:val="18"/>
              </w:rPr>
              <w:t>$</w:t>
            </w:r>
          </w:p>
        </w:tc>
        <w:tc>
          <w:tcPr>
            <w:tcW w:w="0" w:type="auto"/>
            <w:gridSpan w:val="2"/>
            <w:shd w:val="clear" w:color="auto" w:fill="auto"/>
            <w:tcMar>
              <w:top w:w="40" w:type="dxa"/>
              <w:left w:w="0" w:type="dxa"/>
              <w:bottom w:w="40" w:type="dxa"/>
              <w:right w:w="140" w:type="dxa"/>
            </w:tcMar>
            <w:vAlign w:val="bottom"/>
          </w:tcPr>
          <w:p w14:paraId="6753776E"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76F"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770"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771" w14:textId="77777777" w:rsidR="001B77DD" w:rsidRDefault="00BF0A28">
            <w:pPr>
              <w:jc w:val="right"/>
              <w:textAlignment w:val="bottom"/>
            </w:pPr>
            <w:r>
              <w:rPr>
                <w:rFonts w:ascii="Arial" w:eastAsia="宋体" w:hAnsi="Arial" w:cs="Arial"/>
                <w:color w:val="262626"/>
                <w:sz w:val="18"/>
                <w:szCs w:val="18"/>
              </w:rPr>
              <w:t>810 </w:t>
            </w:r>
          </w:p>
        </w:tc>
        <w:tc>
          <w:tcPr>
            <w:tcW w:w="0" w:type="auto"/>
            <w:shd w:val="clear" w:color="auto" w:fill="auto"/>
            <w:tcMar>
              <w:top w:w="40" w:type="dxa"/>
              <w:left w:w="0" w:type="dxa"/>
              <w:bottom w:w="40" w:type="dxa"/>
              <w:right w:w="20" w:type="dxa"/>
            </w:tcMar>
            <w:vAlign w:val="bottom"/>
          </w:tcPr>
          <w:p w14:paraId="6753777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7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774" w14:textId="77777777" w:rsidR="001B77DD" w:rsidRDefault="00BF0A28">
            <w:pPr>
              <w:textAlignment w:val="bottom"/>
            </w:pPr>
            <w:r>
              <w:rPr>
                <w:rFonts w:ascii="Arial" w:eastAsia="宋体" w:hAnsi="Arial" w:cs="Arial"/>
                <w:color w:val="262626"/>
                <w:sz w:val="18"/>
                <w:szCs w:val="18"/>
              </w:rPr>
              <w:t>$</w:t>
            </w:r>
          </w:p>
        </w:tc>
        <w:tc>
          <w:tcPr>
            <w:tcW w:w="0" w:type="auto"/>
            <w:gridSpan w:val="2"/>
            <w:shd w:val="clear" w:color="auto" w:fill="auto"/>
            <w:tcMar>
              <w:top w:w="40" w:type="dxa"/>
              <w:left w:w="0" w:type="dxa"/>
              <w:bottom w:w="40" w:type="dxa"/>
              <w:right w:w="140" w:type="dxa"/>
            </w:tcMar>
            <w:vAlign w:val="bottom"/>
          </w:tcPr>
          <w:p w14:paraId="67537775"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776"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777"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778" w14:textId="77777777" w:rsidR="001B77DD" w:rsidRDefault="00BF0A28">
            <w:pPr>
              <w:jc w:val="right"/>
              <w:textAlignment w:val="bottom"/>
            </w:pPr>
            <w:r>
              <w:rPr>
                <w:rFonts w:ascii="Arial" w:eastAsia="宋体" w:hAnsi="Arial" w:cs="Arial"/>
                <w:color w:val="262626"/>
                <w:sz w:val="18"/>
                <w:szCs w:val="18"/>
              </w:rPr>
              <w:t>810 </w:t>
            </w:r>
          </w:p>
        </w:tc>
        <w:tc>
          <w:tcPr>
            <w:tcW w:w="0" w:type="auto"/>
            <w:shd w:val="clear" w:color="auto" w:fill="auto"/>
            <w:tcMar>
              <w:top w:w="40" w:type="dxa"/>
              <w:left w:w="0" w:type="dxa"/>
              <w:bottom w:w="40" w:type="dxa"/>
              <w:right w:w="20" w:type="dxa"/>
            </w:tcMar>
            <w:vAlign w:val="bottom"/>
          </w:tcPr>
          <w:p w14:paraId="67537779" w14:textId="77777777" w:rsidR="001B77DD" w:rsidRDefault="001B77DD">
            <w:pPr>
              <w:jc w:val="right"/>
              <w:rPr>
                <w:rFonts w:ascii="宋体"/>
              </w:rPr>
            </w:pPr>
          </w:p>
        </w:tc>
      </w:tr>
      <w:tr w:rsidR="001B77DD" w14:paraId="6753778C" w14:textId="77777777">
        <w:trPr>
          <w:hidden/>
        </w:trPr>
        <w:tc>
          <w:tcPr>
            <w:tcW w:w="0" w:type="auto"/>
            <w:gridSpan w:val="3"/>
            <w:shd w:val="clear" w:color="auto" w:fill="auto"/>
            <w:vAlign w:val="bottom"/>
          </w:tcPr>
          <w:p w14:paraId="6753777B" w14:textId="77777777" w:rsidR="001B77DD" w:rsidRDefault="001B77DD">
            <w:pPr>
              <w:rPr>
                <w:rFonts w:ascii="宋体"/>
                <w:vanish/>
              </w:rPr>
            </w:pPr>
          </w:p>
        </w:tc>
        <w:tc>
          <w:tcPr>
            <w:tcW w:w="0" w:type="auto"/>
            <w:gridSpan w:val="3"/>
            <w:shd w:val="clear" w:color="auto" w:fill="auto"/>
            <w:vAlign w:val="bottom"/>
          </w:tcPr>
          <w:p w14:paraId="6753777C" w14:textId="77777777" w:rsidR="001B77DD" w:rsidRDefault="001B77DD">
            <w:pPr>
              <w:rPr>
                <w:rFonts w:ascii="宋体"/>
                <w:vanish/>
              </w:rPr>
            </w:pPr>
          </w:p>
        </w:tc>
        <w:tc>
          <w:tcPr>
            <w:tcW w:w="0" w:type="auto"/>
            <w:gridSpan w:val="3"/>
            <w:shd w:val="clear" w:color="auto" w:fill="auto"/>
            <w:vAlign w:val="bottom"/>
          </w:tcPr>
          <w:p w14:paraId="6753777D" w14:textId="77777777" w:rsidR="001B77DD" w:rsidRDefault="001B77DD">
            <w:pPr>
              <w:rPr>
                <w:rFonts w:ascii="宋体"/>
                <w:vanish/>
              </w:rPr>
            </w:pPr>
          </w:p>
        </w:tc>
        <w:tc>
          <w:tcPr>
            <w:tcW w:w="0" w:type="auto"/>
            <w:gridSpan w:val="3"/>
            <w:shd w:val="clear" w:color="auto" w:fill="auto"/>
            <w:vAlign w:val="bottom"/>
          </w:tcPr>
          <w:p w14:paraId="6753777E" w14:textId="77777777" w:rsidR="001B77DD" w:rsidRDefault="001B77DD">
            <w:pPr>
              <w:rPr>
                <w:rFonts w:ascii="宋体"/>
                <w:vanish/>
              </w:rPr>
            </w:pPr>
          </w:p>
        </w:tc>
        <w:tc>
          <w:tcPr>
            <w:tcW w:w="0" w:type="auto"/>
            <w:gridSpan w:val="3"/>
            <w:shd w:val="clear" w:color="auto" w:fill="auto"/>
            <w:vAlign w:val="bottom"/>
          </w:tcPr>
          <w:p w14:paraId="6753777F" w14:textId="77777777" w:rsidR="001B77DD" w:rsidRDefault="001B77DD">
            <w:pPr>
              <w:rPr>
                <w:rFonts w:ascii="宋体"/>
                <w:vanish/>
              </w:rPr>
            </w:pPr>
          </w:p>
        </w:tc>
        <w:tc>
          <w:tcPr>
            <w:tcW w:w="0" w:type="auto"/>
            <w:gridSpan w:val="3"/>
            <w:shd w:val="clear" w:color="auto" w:fill="auto"/>
            <w:vAlign w:val="bottom"/>
          </w:tcPr>
          <w:p w14:paraId="67537780" w14:textId="77777777" w:rsidR="001B77DD" w:rsidRDefault="001B77DD">
            <w:pPr>
              <w:rPr>
                <w:rFonts w:ascii="宋体"/>
                <w:vanish/>
              </w:rPr>
            </w:pPr>
          </w:p>
        </w:tc>
        <w:tc>
          <w:tcPr>
            <w:tcW w:w="0" w:type="auto"/>
            <w:gridSpan w:val="3"/>
            <w:shd w:val="clear" w:color="auto" w:fill="auto"/>
            <w:vAlign w:val="bottom"/>
          </w:tcPr>
          <w:p w14:paraId="67537781" w14:textId="77777777" w:rsidR="001B77DD" w:rsidRDefault="001B77DD">
            <w:pPr>
              <w:rPr>
                <w:rFonts w:ascii="宋体"/>
                <w:vanish/>
              </w:rPr>
            </w:pPr>
          </w:p>
        </w:tc>
        <w:tc>
          <w:tcPr>
            <w:tcW w:w="0" w:type="auto"/>
            <w:gridSpan w:val="3"/>
            <w:shd w:val="clear" w:color="auto" w:fill="auto"/>
            <w:vAlign w:val="bottom"/>
          </w:tcPr>
          <w:p w14:paraId="67537782" w14:textId="77777777" w:rsidR="001B77DD" w:rsidRDefault="001B77DD">
            <w:pPr>
              <w:rPr>
                <w:rFonts w:ascii="宋体"/>
                <w:vanish/>
              </w:rPr>
            </w:pPr>
          </w:p>
        </w:tc>
        <w:tc>
          <w:tcPr>
            <w:tcW w:w="0" w:type="auto"/>
            <w:gridSpan w:val="3"/>
            <w:shd w:val="clear" w:color="auto" w:fill="auto"/>
            <w:vAlign w:val="bottom"/>
          </w:tcPr>
          <w:p w14:paraId="67537783" w14:textId="77777777" w:rsidR="001B77DD" w:rsidRDefault="001B77DD">
            <w:pPr>
              <w:rPr>
                <w:rFonts w:ascii="宋体"/>
                <w:vanish/>
              </w:rPr>
            </w:pPr>
          </w:p>
        </w:tc>
        <w:tc>
          <w:tcPr>
            <w:tcW w:w="0" w:type="auto"/>
            <w:gridSpan w:val="3"/>
            <w:shd w:val="clear" w:color="auto" w:fill="auto"/>
            <w:vAlign w:val="bottom"/>
          </w:tcPr>
          <w:p w14:paraId="67537784" w14:textId="77777777" w:rsidR="001B77DD" w:rsidRDefault="001B77DD">
            <w:pPr>
              <w:rPr>
                <w:rFonts w:ascii="宋体"/>
                <w:vanish/>
              </w:rPr>
            </w:pPr>
          </w:p>
        </w:tc>
        <w:tc>
          <w:tcPr>
            <w:tcW w:w="0" w:type="auto"/>
            <w:gridSpan w:val="3"/>
            <w:shd w:val="clear" w:color="auto" w:fill="auto"/>
            <w:vAlign w:val="bottom"/>
          </w:tcPr>
          <w:p w14:paraId="67537785" w14:textId="77777777" w:rsidR="001B77DD" w:rsidRDefault="001B77DD">
            <w:pPr>
              <w:rPr>
                <w:rFonts w:ascii="宋体"/>
                <w:vanish/>
              </w:rPr>
            </w:pPr>
          </w:p>
        </w:tc>
        <w:tc>
          <w:tcPr>
            <w:tcW w:w="0" w:type="auto"/>
            <w:gridSpan w:val="3"/>
            <w:shd w:val="clear" w:color="auto" w:fill="auto"/>
            <w:vAlign w:val="bottom"/>
          </w:tcPr>
          <w:p w14:paraId="67537786" w14:textId="77777777" w:rsidR="001B77DD" w:rsidRDefault="001B77DD">
            <w:pPr>
              <w:rPr>
                <w:rFonts w:ascii="宋体"/>
                <w:vanish/>
              </w:rPr>
            </w:pPr>
          </w:p>
        </w:tc>
        <w:tc>
          <w:tcPr>
            <w:tcW w:w="0" w:type="auto"/>
            <w:gridSpan w:val="3"/>
            <w:shd w:val="clear" w:color="auto" w:fill="auto"/>
            <w:vAlign w:val="bottom"/>
          </w:tcPr>
          <w:p w14:paraId="67537787" w14:textId="77777777" w:rsidR="001B77DD" w:rsidRDefault="001B77DD">
            <w:pPr>
              <w:rPr>
                <w:rFonts w:ascii="宋体"/>
                <w:vanish/>
              </w:rPr>
            </w:pPr>
          </w:p>
        </w:tc>
        <w:tc>
          <w:tcPr>
            <w:tcW w:w="0" w:type="auto"/>
            <w:gridSpan w:val="3"/>
            <w:shd w:val="clear" w:color="auto" w:fill="auto"/>
            <w:vAlign w:val="bottom"/>
          </w:tcPr>
          <w:p w14:paraId="67537788" w14:textId="77777777" w:rsidR="001B77DD" w:rsidRDefault="001B77DD">
            <w:pPr>
              <w:rPr>
                <w:rFonts w:ascii="宋体"/>
                <w:vanish/>
              </w:rPr>
            </w:pPr>
          </w:p>
        </w:tc>
        <w:tc>
          <w:tcPr>
            <w:tcW w:w="0" w:type="auto"/>
            <w:gridSpan w:val="3"/>
            <w:shd w:val="clear" w:color="auto" w:fill="auto"/>
            <w:vAlign w:val="bottom"/>
          </w:tcPr>
          <w:p w14:paraId="67537789" w14:textId="77777777" w:rsidR="001B77DD" w:rsidRDefault="001B77DD">
            <w:pPr>
              <w:rPr>
                <w:rFonts w:ascii="宋体"/>
                <w:vanish/>
              </w:rPr>
            </w:pPr>
          </w:p>
        </w:tc>
        <w:tc>
          <w:tcPr>
            <w:tcW w:w="0" w:type="auto"/>
            <w:gridSpan w:val="3"/>
            <w:shd w:val="clear" w:color="auto" w:fill="auto"/>
            <w:vAlign w:val="bottom"/>
          </w:tcPr>
          <w:p w14:paraId="6753778A" w14:textId="77777777" w:rsidR="001B77DD" w:rsidRDefault="001B77DD">
            <w:pPr>
              <w:rPr>
                <w:rFonts w:ascii="宋体"/>
                <w:vanish/>
              </w:rPr>
            </w:pPr>
          </w:p>
        </w:tc>
        <w:tc>
          <w:tcPr>
            <w:tcW w:w="0" w:type="auto"/>
            <w:gridSpan w:val="3"/>
            <w:shd w:val="clear" w:color="auto" w:fill="auto"/>
            <w:vAlign w:val="bottom"/>
          </w:tcPr>
          <w:p w14:paraId="6753778B" w14:textId="77777777" w:rsidR="001B77DD" w:rsidRDefault="001B77DD">
            <w:pPr>
              <w:rPr>
                <w:rFonts w:ascii="宋体"/>
                <w:vanish/>
              </w:rPr>
            </w:pPr>
          </w:p>
        </w:tc>
      </w:tr>
      <w:tr w:rsidR="001B77DD" w14:paraId="6753779E" w14:textId="77777777">
        <w:tc>
          <w:tcPr>
            <w:tcW w:w="0" w:type="auto"/>
            <w:gridSpan w:val="3"/>
            <w:shd w:val="clear" w:color="auto" w:fill="auto"/>
            <w:tcMar>
              <w:top w:w="40" w:type="dxa"/>
              <w:left w:w="20" w:type="dxa"/>
              <w:bottom w:w="40" w:type="dxa"/>
              <w:right w:w="20" w:type="dxa"/>
            </w:tcMar>
            <w:vAlign w:val="bottom"/>
          </w:tcPr>
          <w:p w14:paraId="6753778D" w14:textId="77777777" w:rsidR="001B77DD" w:rsidRDefault="00BF0A28">
            <w:pPr>
              <w:textAlignment w:val="bottom"/>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6753778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8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79D" w14:textId="77777777" w:rsidR="001B77DD" w:rsidRDefault="001B77DD">
            <w:pPr>
              <w:rPr>
                <w:rFonts w:ascii="宋体"/>
              </w:rPr>
            </w:pPr>
          </w:p>
        </w:tc>
      </w:tr>
      <w:tr w:rsidR="001B77DD" w14:paraId="675377B6" w14:textId="77777777">
        <w:tc>
          <w:tcPr>
            <w:tcW w:w="0" w:type="auto"/>
            <w:gridSpan w:val="3"/>
            <w:shd w:val="clear" w:color="auto" w:fill="auto"/>
            <w:tcMar>
              <w:top w:w="40" w:type="dxa"/>
              <w:left w:w="275" w:type="dxa"/>
              <w:bottom w:w="40" w:type="dxa"/>
              <w:right w:w="20" w:type="dxa"/>
            </w:tcMar>
            <w:vAlign w:val="bottom"/>
          </w:tcPr>
          <w:p w14:paraId="6753779F" w14:textId="77777777" w:rsidR="001B77DD" w:rsidRDefault="00BF0A28">
            <w:pPr>
              <w:textAlignment w:val="bottom"/>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675377A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A1"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7A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A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A4" w14:textId="77777777" w:rsidR="001B77DD" w:rsidRDefault="00BF0A28">
            <w:pPr>
              <w:jc w:val="right"/>
              <w:textAlignment w:val="bottom"/>
            </w:pPr>
            <w:r>
              <w:rPr>
                <w:rFonts w:ascii="Arial" w:eastAsia="宋体" w:hAnsi="Arial" w:cs="Arial"/>
                <w:color w:val="0068B5"/>
                <w:sz w:val="18"/>
                <w:szCs w:val="18"/>
              </w:rPr>
              <w:t>9 </w:t>
            </w:r>
          </w:p>
        </w:tc>
        <w:tc>
          <w:tcPr>
            <w:tcW w:w="0" w:type="auto"/>
            <w:shd w:val="clear" w:color="auto" w:fill="auto"/>
            <w:tcMar>
              <w:top w:w="40" w:type="dxa"/>
              <w:left w:w="0" w:type="dxa"/>
              <w:bottom w:w="40" w:type="dxa"/>
              <w:right w:w="20" w:type="dxa"/>
            </w:tcMar>
            <w:vAlign w:val="bottom"/>
          </w:tcPr>
          <w:p w14:paraId="675377A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A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A7"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7A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A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AA" w14:textId="77777777" w:rsidR="001B77DD" w:rsidRDefault="00BF0A28">
            <w:pPr>
              <w:jc w:val="right"/>
              <w:textAlignment w:val="bottom"/>
            </w:pPr>
            <w:r>
              <w:rPr>
                <w:rFonts w:ascii="Arial" w:eastAsia="宋体" w:hAnsi="Arial" w:cs="Arial"/>
                <w:color w:val="0068B5"/>
                <w:sz w:val="18"/>
                <w:szCs w:val="18"/>
              </w:rPr>
              <w:t>9 </w:t>
            </w:r>
          </w:p>
        </w:tc>
        <w:tc>
          <w:tcPr>
            <w:tcW w:w="0" w:type="auto"/>
            <w:shd w:val="clear" w:color="auto" w:fill="auto"/>
            <w:tcMar>
              <w:top w:w="40" w:type="dxa"/>
              <w:left w:w="0" w:type="dxa"/>
              <w:bottom w:w="40" w:type="dxa"/>
              <w:right w:w="20" w:type="dxa"/>
            </w:tcMar>
            <w:vAlign w:val="bottom"/>
          </w:tcPr>
          <w:p w14:paraId="675377A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AC"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7AD"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7A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AF" w14:textId="77777777" w:rsidR="001B77DD" w:rsidRDefault="00BF0A28">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675377B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B1" w14:textId="77777777" w:rsidR="001B77DD" w:rsidRDefault="001B77DD">
            <w:pPr>
              <w:rPr>
                <w:rFonts w:ascii="宋体"/>
              </w:rPr>
            </w:pPr>
          </w:p>
        </w:tc>
        <w:tc>
          <w:tcPr>
            <w:tcW w:w="0" w:type="auto"/>
            <w:gridSpan w:val="3"/>
            <w:shd w:val="clear" w:color="auto" w:fill="auto"/>
            <w:tcMar>
              <w:top w:w="40" w:type="dxa"/>
              <w:left w:w="20" w:type="dxa"/>
              <w:bottom w:w="40" w:type="dxa"/>
              <w:right w:w="140" w:type="dxa"/>
            </w:tcMar>
            <w:vAlign w:val="bottom"/>
          </w:tcPr>
          <w:p w14:paraId="675377B2"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7B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7B4" w14:textId="77777777" w:rsidR="001B77DD" w:rsidRDefault="00BF0A28">
            <w:pPr>
              <w:jc w:val="right"/>
              <w:textAlignment w:val="bottom"/>
            </w:pPr>
            <w:r>
              <w:rPr>
                <w:rFonts w:ascii="Arial" w:eastAsia="宋体" w:hAnsi="Arial" w:cs="Arial"/>
                <w:color w:val="262626"/>
                <w:sz w:val="18"/>
                <w:szCs w:val="18"/>
              </w:rPr>
              <w:t>5 </w:t>
            </w:r>
          </w:p>
        </w:tc>
        <w:tc>
          <w:tcPr>
            <w:tcW w:w="0" w:type="auto"/>
            <w:shd w:val="clear" w:color="auto" w:fill="auto"/>
            <w:tcMar>
              <w:top w:w="40" w:type="dxa"/>
              <w:left w:w="0" w:type="dxa"/>
              <w:bottom w:w="40" w:type="dxa"/>
              <w:right w:w="20" w:type="dxa"/>
            </w:tcMar>
            <w:vAlign w:val="bottom"/>
          </w:tcPr>
          <w:p w14:paraId="675377B5" w14:textId="77777777" w:rsidR="001B77DD" w:rsidRDefault="001B77DD">
            <w:pPr>
              <w:jc w:val="right"/>
              <w:rPr>
                <w:rFonts w:ascii="宋体"/>
              </w:rPr>
            </w:pPr>
          </w:p>
        </w:tc>
      </w:tr>
      <w:tr w:rsidR="001B77DD" w14:paraId="675377D6" w14:textId="77777777">
        <w:tc>
          <w:tcPr>
            <w:tcW w:w="0" w:type="auto"/>
            <w:gridSpan w:val="3"/>
            <w:shd w:val="clear" w:color="auto" w:fill="auto"/>
            <w:tcMar>
              <w:top w:w="40" w:type="dxa"/>
              <w:left w:w="20" w:type="dxa"/>
              <w:bottom w:w="40" w:type="dxa"/>
              <w:right w:w="20" w:type="dxa"/>
            </w:tcMar>
            <w:vAlign w:val="bottom"/>
          </w:tcPr>
          <w:p w14:paraId="675377B7" w14:textId="77777777" w:rsidR="001B77DD" w:rsidRDefault="00BF0A28">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liabilities measured and recorded at fair value</w:t>
            </w:r>
          </w:p>
        </w:tc>
        <w:tc>
          <w:tcPr>
            <w:tcW w:w="0" w:type="auto"/>
            <w:gridSpan w:val="3"/>
            <w:shd w:val="clear" w:color="auto" w:fill="auto"/>
            <w:tcMar>
              <w:top w:w="0" w:type="dxa"/>
              <w:left w:w="20" w:type="dxa"/>
              <w:bottom w:w="0" w:type="dxa"/>
              <w:right w:w="20" w:type="dxa"/>
            </w:tcMar>
            <w:vAlign w:val="bottom"/>
          </w:tcPr>
          <w:p w14:paraId="675377B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7B9"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7BA" w14:textId="77777777" w:rsidR="001B77DD" w:rsidRDefault="00BF0A28">
            <w:pPr>
              <w:jc w:val="right"/>
              <w:textAlignment w:val="bottom"/>
            </w:pPr>
            <w:r>
              <w:rPr>
                <w:rFonts w:ascii="Arial" w:eastAsia="宋体" w:hAnsi="Arial" w:cs="Arial"/>
                <w:b/>
                <w:bCs/>
                <w:color w:val="0068B5"/>
                <w:sz w:val="18"/>
                <w:szCs w:val="18"/>
              </w:rPr>
              <w:t>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7B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BC"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7BD"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7BE" w14:textId="77777777" w:rsidR="001B77DD" w:rsidRDefault="00BF0A28">
            <w:pPr>
              <w:jc w:val="right"/>
              <w:textAlignment w:val="bottom"/>
            </w:pPr>
            <w:r>
              <w:rPr>
                <w:rFonts w:ascii="Arial" w:eastAsia="宋体" w:hAnsi="Arial" w:cs="Arial"/>
                <w:b/>
                <w:bCs/>
                <w:color w:val="0068B5"/>
                <w:sz w:val="18"/>
                <w:szCs w:val="18"/>
              </w:rPr>
              <w:t>525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7B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C0"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7C1"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7C2" w14:textId="77777777" w:rsidR="001B77DD" w:rsidRDefault="00BF0A2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7C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C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7C5"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7C6" w14:textId="77777777" w:rsidR="001B77DD" w:rsidRDefault="00BF0A28">
            <w:pPr>
              <w:jc w:val="right"/>
              <w:textAlignment w:val="bottom"/>
            </w:pPr>
            <w:r>
              <w:rPr>
                <w:rFonts w:ascii="Arial" w:eastAsia="宋体" w:hAnsi="Arial" w:cs="Arial"/>
                <w:b/>
                <w:bCs/>
                <w:color w:val="0068B5"/>
                <w:sz w:val="18"/>
                <w:szCs w:val="18"/>
              </w:rPr>
              <w:t>529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7C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C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7C9" w14:textId="77777777" w:rsidR="001B77DD" w:rsidRDefault="00BF0A28">
            <w:pPr>
              <w:textAlignment w:val="bottom"/>
            </w:pPr>
            <w:r>
              <w:rPr>
                <w:rFonts w:ascii="Arial" w:eastAsia="宋体" w:hAnsi="Arial" w:cs="Arial"/>
                <w:b/>
                <w:bCs/>
                <w:color w:val="262626"/>
                <w:sz w:val="18"/>
                <w:szCs w:val="18"/>
              </w:rPr>
              <w:t>$</w:t>
            </w:r>
          </w:p>
        </w:tc>
        <w:tc>
          <w:tcPr>
            <w:tcW w:w="0" w:type="auto"/>
            <w:gridSpan w:val="2"/>
            <w:tcBorders>
              <w:top w:val="single" w:sz="4" w:space="0" w:color="262626"/>
              <w:bottom w:val="double" w:sz="6" w:space="0" w:color="262626"/>
            </w:tcBorders>
            <w:shd w:val="clear" w:color="auto" w:fill="auto"/>
            <w:tcMar>
              <w:top w:w="40" w:type="dxa"/>
              <w:left w:w="0" w:type="dxa"/>
              <w:bottom w:w="40" w:type="dxa"/>
              <w:right w:w="140" w:type="dxa"/>
            </w:tcMar>
            <w:vAlign w:val="bottom"/>
          </w:tcPr>
          <w:p w14:paraId="675377CA"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7CB"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7CC"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7CD" w14:textId="77777777" w:rsidR="001B77DD" w:rsidRDefault="00BF0A28">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7C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7CF"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7D0" w14:textId="77777777" w:rsidR="001B77DD" w:rsidRDefault="00BF0A28">
            <w:pPr>
              <w:textAlignment w:val="bottom"/>
            </w:pPr>
            <w:r>
              <w:rPr>
                <w:rFonts w:ascii="Arial" w:eastAsia="宋体" w:hAnsi="Arial" w:cs="Arial"/>
                <w:b/>
                <w:bCs/>
                <w:color w:val="262626"/>
                <w:sz w:val="18"/>
                <w:szCs w:val="18"/>
              </w:rPr>
              <w:t>$</w:t>
            </w:r>
          </w:p>
        </w:tc>
        <w:tc>
          <w:tcPr>
            <w:tcW w:w="0" w:type="auto"/>
            <w:gridSpan w:val="2"/>
            <w:tcBorders>
              <w:top w:val="single" w:sz="4" w:space="0" w:color="262626"/>
              <w:bottom w:val="double" w:sz="6" w:space="0" w:color="262626"/>
            </w:tcBorders>
            <w:shd w:val="clear" w:color="auto" w:fill="auto"/>
            <w:tcMar>
              <w:top w:w="40" w:type="dxa"/>
              <w:left w:w="0" w:type="dxa"/>
              <w:bottom w:w="40" w:type="dxa"/>
              <w:right w:w="140" w:type="dxa"/>
            </w:tcMar>
            <w:vAlign w:val="bottom"/>
          </w:tcPr>
          <w:p w14:paraId="675377D1" w14:textId="77777777" w:rsidR="001B77DD" w:rsidRDefault="00BF0A28">
            <w:pPr>
              <w:jc w:val="right"/>
              <w:textAlignment w:val="bottom"/>
            </w:pPr>
            <w:r>
              <w:rPr>
                <w:rFonts w:ascii="Arial" w:eastAsia="宋体" w:hAnsi="Arial" w:cs="Arial"/>
                <w:b/>
                <w:bCs/>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7D2"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7D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7D4" w14:textId="77777777" w:rsidR="001B77DD" w:rsidRDefault="00BF0A28">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7D5" w14:textId="77777777" w:rsidR="001B77DD" w:rsidRDefault="001B77DD">
            <w:pPr>
              <w:jc w:val="right"/>
              <w:rPr>
                <w:rFonts w:ascii="宋体"/>
              </w:rPr>
            </w:pPr>
          </w:p>
        </w:tc>
      </w:tr>
    </w:tbl>
    <w:p w14:paraId="675377D7" w14:textId="77777777" w:rsidR="001B77DD" w:rsidRDefault="00BF0A28">
      <w:pPr>
        <w:spacing w:before="20"/>
        <w:ind w:hanging="180"/>
      </w:pPr>
      <w:r>
        <w:rPr>
          <w:rFonts w:ascii="Arial" w:eastAsia="宋体" w:hAnsi="Arial" w:cs="Arial"/>
          <w:i/>
          <w:iCs/>
          <w:color w:val="262626"/>
          <w:sz w:val="10"/>
          <w:szCs w:val="10"/>
        </w:rPr>
        <w:t>1</w:t>
      </w:r>
      <w:r>
        <w:rPr>
          <w:rFonts w:ascii="Arial" w:eastAsia="宋体" w:hAnsi="Arial" w:cs="Arial"/>
          <w:i/>
          <w:iCs/>
          <w:color w:val="262626"/>
          <w:sz w:val="16"/>
          <w:szCs w:val="16"/>
        </w:rPr>
        <w:t>Level 1 investmen</w:t>
      </w:r>
      <w:r>
        <w:rPr>
          <w:rFonts w:ascii="Arial" w:eastAsia="宋体" w:hAnsi="Arial" w:cs="Arial"/>
          <w:i/>
          <w:iCs/>
          <w:color w:val="262626"/>
          <w:sz w:val="16"/>
          <w:szCs w:val="16"/>
        </w:rPr>
        <w:t>ts in financial institution instruments consist of money market funds. Level 2 investments consist primarily of commercial paper, certificates of deposit, time deposits, and notes and bonds issued by financial institutions.</w:t>
      </w:r>
    </w:p>
    <w:p w14:paraId="675377D8" w14:textId="77777777" w:rsidR="001B77DD" w:rsidRDefault="00BF0A28">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Level 1 investments </w:t>
      </w:r>
      <w:r>
        <w:rPr>
          <w:rFonts w:ascii="Arial" w:eastAsia="宋体" w:hAnsi="Arial" w:cs="Arial"/>
          <w:i/>
          <w:iCs/>
          <w:color w:val="262626"/>
          <w:sz w:val="16"/>
          <w:szCs w:val="16"/>
        </w:rPr>
        <w:t>consist primarily of US Treasury securities. Level 2 investments in government debt consist primarily of non-US government debt, as well as marketable equity securities subject to security-specific restrictions.</w:t>
      </w:r>
    </w:p>
    <w:p w14:paraId="675377D9" w14:textId="77777777" w:rsidR="001B77DD" w:rsidRDefault="00BF0A28">
      <w:pPr>
        <w:spacing w:after="180"/>
        <w:ind w:hanging="180"/>
      </w:pPr>
      <w:r>
        <w:rPr>
          <w:rFonts w:ascii="Arial" w:eastAsia="宋体" w:hAnsi="Arial" w:cs="Arial"/>
          <w:i/>
          <w:iCs/>
          <w:color w:val="262626"/>
          <w:sz w:val="10"/>
          <w:szCs w:val="10"/>
        </w:rPr>
        <w:t>3    </w:t>
      </w:r>
      <w:r>
        <w:rPr>
          <w:rFonts w:ascii="Arial" w:eastAsia="宋体" w:hAnsi="Arial" w:cs="Arial"/>
          <w:i/>
          <w:iCs/>
          <w:color w:val="262626"/>
          <w:sz w:val="16"/>
          <w:szCs w:val="16"/>
        </w:rPr>
        <w:t xml:space="preserve">The fair value of our loans receivable </w:t>
      </w:r>
      <w:r>
        <w:rPr>
          <w:rFonts w:ascii="Arial" w:eastAsia="宋体" w:hAnsi="Arial" w:cs="Arial"/>
          <w:i/>
          <w:iCs/>
          <w:color w:val="262626"/>
          <w:sz w:val="16"/>
          <w:szCs w:val="16"/>
        </w:rPr>
        <w:t>for which we elected the fair value option did not significantly differ from the contractual principal balance based on the contractual currency.</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7E6" w14:textId="77777777">
        <w:tc>
          <w:tcPr>
            <w:tcW w:w="50" w:type="pct"/>
            <w:shd w:val="clear" w:color="auto" w:fill="auto"/>
            <w:vAlign w:val="bottom"/>
          </w:tcPr>
          <w:p w14:paraId="675377DA" w14:textId="77777777" w:rsidR="001B77DD" w:rsidRDefault="001B77DD">
            <w:pPr>
              <w:rPr>
                <w:rFonts w:ascii="宋体"/>
              </w:rPr>
            </w:pPr>
          </w:p>
        </w:tc>
        <w:tc>
          <w:tcPr>
            <w:tcW w:w="276" w:type="pct"/>
            <w:shd w:val="clear" w:color="auto" w:fill="auto"/>
            <w:vAlign w:val="bottom"/>
          </w:tcPr>
          <w:p w14:paraId="675377DB" w14:textId="77777777" w:rsidR="001B77DD" w:rsidRDefault="001B77DD">
            <w:pPr>
              <w:rPr>
                <w:rFonts w:ascii="宋体"/>
              </w:rPr>
            </w:pPr>
          </w:p>
        </w:tc>
        <w:tc>
          <w:tcPr>
            <w:tcW w:w="5" w:type="pct"/>
            <w:shd w:val="clear" w:color="auto" w:fill="auto"/>
            <w:vAlign w:val="bottom"/>
          </w:tcPr>
          <w:p w14:paraId="675377DC" w14:textId="77777777" w:rsidR="001B77DD" w:rsidRDefault="001B77DD">
            <w:pPr>
              <w:rPr>
                <w:rFonts w:ascii="宋体"/>
              </w:rPr>
            </w:pPr>
          </w:p>
        </w:tc>
        <w:tc>
          <w:tcPr>
            <w:tcW w:w="50" w:type="pct"/>
            <w:shd w:val="clear" w:color="auto" w:fill="auto"/>
            <w:vAlign w:val="bottom"/>
          </w:tcPr>
          <w:p w14:paraId="675377DD" w14:textId="77777777" w:rsidR="001B77DD" w:rsidRDefault="001B77DD">
            <w:pPr>
              <w:rPr>
                <w:rFonts w:ascii="宋体"/>
              </w:rPr>
            </w:pPr>
          </w:p>
        </w:tc>
        <w:tc>
          <w:tcPr>
            <w:tcW w:w="940" w:type="pct"/>
            <w:shd w:val="clear" w:color="auto" w:fill="auto"/>
            <w:vAlign w:val="bottom"/>
          </w:tcPr>
          <w:p w14:paraId="675377DE" w14:textId="77777777" w:rsidR="001B77DD" w:rsidRDefault="001B77DD">
            <w:pPr>
              <w:rPr>
                <w:rFonts w:ascii="宋体"/>
              </w:rPr>
            </w:pPr>
          </w:p>
        </w:tc>
        <w:tc>
          <w:tcPr>
            <w:tcW w:w="5" w:type="pct"/>
            <w:shd w:val="clear" w:color="auto" w:fill="auto"/>
            <w:vAlign w:val="bottom"/>
          </w:tcPr>
          <w:p w14:paraId="675377DF" w14:textId="77777777" w:rsidR="001B77DD" w:rsidRDefault="001B77DD">
            <w:pPr>
              <w:rPr>
                <w:rFonts w:ascii="宋体"/>
              </w:rPr>
            </w:pPr>
          </w:p>
        </w:tc>
        <w:tc>
          <w:tcPr>
            <w:tcW w:w="50" w:type="pct"/>
            <w:shd w:val="clear" w:color="auto" w:fill="auto"/>
            <w:vAlign w:val="bottom"/>
          </w:tcPr>
          <w:p w14:paraId="675377E0" w14:textId="77777777" w:rsidR="001B77DD" w:rsidRDefault="001B77DD">
            <w:pPr>
              <w:rPr>
                <w:rFonts w:ascii="宋体"/>
              </w:rPr>
            </w:pPr>
          </w:p>
        </w:tc>
        <w:tc>
          <w:tcPr>
            <w:tcW w:w="1837" w:type="pct"/>
            <w:shd w:val="clear" w:color="auto" w:fill="auto"/>
            <w:vAlign w:val="bottom"/>
          </w:tcPr>
          <w:p w14:paraId="675377E1" w14:textId="77777777" w:rsidR="001B77DD" w:rsidRDefault="001B77DD">
            <w:pPr>
              <w:rPr>
                <w:rFonts w:ascii="宋体"/>
              </w:rPr>
            </w:pPr>
          </w:p>
        </w:tc>
        <w:tc>
          <w:tcPr>
            <w:tcW w:w="5" w:type="pct"/>
            <w:shd w:val="clear" w:color="auto" w:fill="auto"/>
            <w:vAlign w:val="bottom"/>
          </w:tcPr>
          <w:p w14:paraId="675377E2" w14:textId="77777777" w:rsidR="001B77DD" w:rsidRDefault="001B77DD">
            <w:pPr>
              <w:rPr>
                <w:rFonts w:ascii="宋体"/>
              </w:rPr>
            </w:pPr>
          </w:p>
        </w:tc>
        <w:tc>
          <w:tcPr>
            <w:tcW w:w="50" w:type="pct"/>
            <w:shd w:val="clear" w:color="auto" w:fill="auto"/>
            <w:vAlign w:val="bottom"/>
          </w:tcPr>
          <w:p w14:paraId="675377E3" w14:textId="77777777" w:rsidR="001B77DD" w:rsidRDefault="001B77DD">
            <w:pPr>
              <w:rPr>
                <w:rFonts w:ascii="宋体"/>
              </w:rPr>
            </w:pPr>
          </w:p>
        </w:tc>
        <w:tc>
          <w:tcPr>
            <w:tcW w:w="1724" w:type="pct"/>
            <w:shd w:val="clear" w:color="auto" w:fill="auto"/>
            <w:vAlign w:val="bottom"/>
          </w:tcPr>
          <w:p w14:paraId="675377E4" w14:textId="77777777" w:rsidR="001B77DD" w:rsidRDefault="001B77DD">
            <w:pPr>
              <w:rPr>
                <w:rFonts w:ascii="宋体"/>
              </w:rPr>
            </w:pPr>
          </w:p>
        </w:tc>
        <w:tc>
          <w:tcPr>
            <w:tcW w:w="5" w:type="pct"/>
            <w:shd w:val="clear" w:color="auto" w:fill="auto"/>
            <w:vAlign w:val="bottom"/>
          </w:tcPr>
          <w:p w14:paraId="675377E5" w14:textId="77777777" w:rsidR="001B77DD" w:rsidRDefault="001B77DD">
            <w:pPr>
              <w:rPr>
                <w:rFonts w:ascii="宋体"/>
              </w:rPr>
            </w:pPr>
          </w:p>
        </w:tc>
      </w:tr>
      <w:tr w:rsidR="001B77DD" w14:paraId="675377EB"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7E7"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63" wp14:editId="67538F64">
                  <wp:extent cx="304800" cy="304800"/>
                  <wp:effectExtent l="0" t="0" r="0" b="0"/>
                  <wp:docPr id="112" name="图片 32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2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7E8"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7E9"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7EA" w14:textId="77777777" w:rsidR="001B77DD" w:rsidRDefault="00BF0A28">
            <w:pPr>
              <w:jc w:val="right"/>
              <w:textAlignment w:val="center"/>
            </w:pPr>
            <w:r>
              <w:rPr>
                <w:rFonts w:ascii="Arial" w:eastAsia="宋体" w:hAnsi="Arial" w:cs="Arial"/>
                <w:color w:val="262626"/>
                <w:sz w:val="16"/>
                <w:szCs w:val="16"/>
              </w:rPr>
              <w:t>97</w:t>
            </w:r>
          </w:p>
        </w:tc>
      </w:tr>
    </w:tbl>
    <w:p w14:paraId="675377EC" w14:textId="77777777" w:rsidR="001B77DD" w:rsidRDefault="00BF0A28">
      <w:r>
        <w:pict w14:anchorId="67538F65">
          <v:rect id="_x0000_i1123" style="width:415.3pt;height:1.5pt" o:hralign="center" o:hrstd="t" o:hr="t" fillcolor="#a0a0a0" stroked="f"/>
        </w:pict>
      </w:r>
    </w:p>
    <w:p w14:paraId="675377ED" w14:textId="77777777" w:rsidR="001B77DD" w:rsidRDefault="00BF0A28">
      <w:pPr>
        <w:jc w:val="right"/>
      </w:pPr>
      <w:hyperlink r:id="rId185" w:anchor="i6c9ced68f6b24d58a3dcf326e8c3c699_16" w:history="1">
        <w:r>
          <w:rPr>
            <w:rStyle w:val="a5"/>
            <w:rFonts w:ascii="Arial" w:eastAsia="宋体" w:hAnsi="Arial" w:cs="Arial"/>
            <w:b/>
            <w:bCs/>
            <w:sz w:val="16"/>
            <w:szCs w:val="16"/>
          </w:rPr>
          <w:t>Table of Contents</w:t>
        </w:r>
      </w:hyperlink>
    </w:p>
    <w:p w14:paraId="675377EE" w14:textId="77777777" w:rsidR="001B77DD" w:rsidRDefault="001B77DD">
      <w:pPr>
        <w:jc w:val="right"/>
      </w:pPr>
    </w:p>
    <w:p w14:paraId="675377EF" w14:textId="77777777" w:rsidR="001B77DD" w:rsidRDefault="00BF0A28">
      <w:pPr>
        <w:spacing w:after="120"/>
      </w:pPr>
      <w:r>
        <w:rPr>
          <w:rFonts w:ascii="Arial" w:eastAsia="宋体" w:hAnsi="Arial" w:cs="Arial"/>
          <w:color w:val="0068B5"/>
        </w:rPr>
        <w:t>Assets Measured and Recorded at Fair Value on a Non-Recurring Basis</w:t>
      </w:r>
    </w:p>
    <w:p w14:paraId="675377F0" w14:textId="77777777" w:rsidR="001B77DD" w:rsidRDefault="00BF0A28">
      <w:pPr>
        <w:spacing w:before="120" w:after="180"/>
      </w:pPr>
      <w:r>
        <w:rPr>
          <w:rFonts w:ascii="Arial" w:eastAsia="宋体" w:hAnsi="Arial" w:cs="Arial"/>
          <w:color w:val="262626"/>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w:t>
      </w:r>
      <w:r>
        <w:rPr>
          <w:rFonts w:ascii="Arial" w:eastAsia="宋体" w:hAnsi="Arial" w:cs="Arial"/>
          <w:color w:val="262626"/>
          <w:sz w:val="18"/>
          <w:szCs w:val="18"/>
        </w:rPr>
        <w:t xml:space="preserve"> the current period. If an impairment or observable price adjustment is recognized on our non-marketable equity securities during the period, we classify these assets as Level 3. </w:t>
      </w:r>
    </w:p>
    <w:p w14:paraId="675377F1" w14:textId="77777777" w:rsidR="001B77DD" w:rsidRDefault="00BF0A28">
      <w:pPr>
        <w:spacing w:after="180"/>
      </w:pPr>
      <w:r>
        <w:rPr>
          <w:rFonts w:ascii="Arial" w:eastAsia="宋体" w:hAnsi="Arial" w:cs="Arial"/>
          <w:color w:val="262626"/>
          <w:sz w:val="18"/>
          <w:szCs w:val="18"/>
        </w:rPr>
        <w:t>We classify non-marketable equity securities and non-marketable equity metho</w:t>
      </w:r>
      <w:r>
        <w:rPr>
          <w:rFonts w:ascii="Arial" w:eastAsia="宋体" w:hAnsi="Arial" w:cs="Arial"/>
          <w:color w:val="262626"/>
          <w:sz w:val="18"/>
          <w:szCs w:val="18"/>
        </w:rPr>
        <w:t>d investments as Level 3. Impairments recognized on these investments held as of December 25, 2021 were $138 million ($266 million on investments held as of December 26, 2020 and $113 million on investments held as of December 28, 2019).</w:t>
      </w:r>
    </w:p>
    <w:p w14:paraId="675377F2" w14:textId="77777777" w:rsidR="001B77DD" w:rsidRDefault="00BF0A28">
      <w:pPr>
        <w:spacing w:after="120"/>
      </w:pPr>
      <w:r>
        <w:rPr>
          <w:rFonts w:ascii="Arial" w:eastAsia="宋体" w:hAnsi="Arial" w:cs="Arial"/>
          <w:color w:val="0068B5"/>
        </w:rPr>
        <w:t xml:space="preserve">Financial </w:t>
      </w:r>
      <w:r>
        <w:rPr>
          <w:rFonts w:ascii="Arial" w:eastAsia="宋体" w:hAnsi="Arial" w:cs="Arial"/>
          <w:color w:val="0068B5"/>
        </w:rPr>
        <w:t>Instruments Not Recorded at Fair Value on a Recurring Basis</w:t>
      </w:r>
    </w:p>
    <w:p w14:paraId="675377F3" w14:textId="77777777" w:rsidR="001B77DD" w:rsidRDefault="00BF0A28">
      <w:pPr>
        <w:spacing w:after="180"/>
      </w:pPr>
      <w:r>
        <w:rPr>
          <w:rFonts w:ascii="Arial" w:eastAsia="宋体" w:hAnsi="Arial" w:cs="Arial"/>
          <w:color w:val="262626"/>
          <w:sz w:val="18"/>
          <w:szCs w:val="18"/>
        </w:rPr>
        <w:t>Financial instruments not recorded at fair value on a recurring basis include non-marketable equity securities and equity method investments that have not been remeasured or impaired in the curren</w:t>
      </w:r>
      <w:r>
        <w:rPr>
          <w:rFonts w:ascii="Arial" w:eastAsia="宋体" w:hAnsi="Arial" w:cs="Arial"/>
          <w:color w:val="262626"/>
          <w:sz w:val="18"/>
          <w:szCs w:val="18"/>
        </w:rPr>
        <w:t xml:space="preserve">t period, grants receivable, and issued debt. </w:t>
      </w:r>
    </w:p>
    <w:p w14:paraId="675377F4" w14:textId="77777777" w:rsidR="001B77DD" w:rsidRDefault="00BF0A28">
      <w:pPr>
        <w:spacing w:after="180"/>
      </w:pPr>
      <w:r>
        <w:rPr>
          <w:rFonts w:ascii="Arial" w:eastAsia="宋体" w:hAnsi="Arial" w:cs="Arial"/>
          <w:color w:val="262626"/>
          <w:sz w:val="18"/>
          <w:szCs w:val="18"/>
        </w:rPr>
        <w:t>We classify the fair value of grants receivable as Level 2. The estimated fair value of these financial instruments approximates their carrying value. The aggregate carrying value of grants receivable as of De</w:t>
      </w:r>
      <w:r>
        <w:rPr>
          <w:rFonts w:ascii="Arial" w:eastAsia="宋体" w:hAnsi="Arial" w:cs="Arial"/>
          <w:color w:val="262626"/>
          <w:sz w:val="18"/>
          <w:szCs w:val="18"/>
        </w:rPr>
        <w:t>cember 25, 2021 was $317 million (the aggregate carrying value of grants receivable as of December 26, 2020 was $139 million).</w:t>
      </w:r>
    </w:p>
    <w:p w14:paraId="675377F5" w14:textId="77777777" w:rsidR="001B77DD" w:rsidRDefault="00BF0A28">
      <w:pPr>
        <w:spacing w:after="180"/>
      </w:pPr>
      <w:r>
        <w:rPr>
          <w:rFonts w:ascii="Arial" w:eastAsia="宋体" w:hAnsi="Arial" w:cs="Arial"/>
          <w:color w:val="262626"/>
          <w:sz w:val="18"/>
          <w:szCs w:val="18"/>
        </w:rPr>
        <w:t>We classify the fair value of issued debt (excluding commercial paper and drafts payable) as Level 2. The fair value of these ins</w:t>
      </w:r>
      <w:r>
        <w:rPr>
          <w:rFonts w:ascii="Arial" w:eastAsia="宋体" w:hAnsi="Arial" w:cs="Arial"/>
          <w:color w:val="262626"/>
          <w:sz w:val="18"/>
          <w:szCs w:val="18"/>
        </w:rPr>
        <w:t xml:space="preserve">truments was $41.5 billion as of December 25, 2021 ($40.9 billion as of December 26, 2020). </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77FC" w14:textId="77777777">
        <w:tc>
          <w:tcPr>
            <w:tcW w:w="50" w:type="pct"/>
            <w:shd w:val="clear" w:color="auto" w:fill="auto"/>
            <w:vAlign w:val="bottom"/>
          </w:tcPr>
          <w:p w14:paraId="675377F6" w14:textId="77777777" w:rsidR="001B77DD" w:rsidRDefault="001B77DD">
            <w:pPr>
              <w:rPr>
                <w:rFonts w:ascii="宋体"/>
              </w:rPr>
            </w:pPr>
          </w:p>
        </w:tc>
        <w:tc>
          <w:tcPr>
            <w:tcW w:w="539" w:type="pct"/>
            <w:shd w:val="clear" w:color="auto" w:fill="auto"/>
            <w:vAlign w:val="bottom"/>
          </w:tcPr>
          <w:p w14:paraId="675377F7" w14:textId="77777777" w:rsidR="001B77DD" w:rsidRDefault="001B77DD">
            <w:pPr>
              <w:rPr>
                <w:rFonts w:ascii="宋体"/>
              </w:rPr>
            </w:pPr>
          </w:p>
        </w:tc>
        <w:tc>
          <w:tcPr>
            <w:tcW w:w="5" w:type="pct"/>
            <w:shd w:val="clear" w:color="auto" w:fill="auto"/>
            <w:vAlign w:val="bottom"/>
          </w:tcPr>
          <w:p w14:paraId="675377F8" w14:textId="77777777" w:rsidR="001B77DD" w:rsidRDefault="001B77DD">
            <w:pPr>
              <w:rPr>
                <w:rFonts w:ascii="宋体"/>
              </w:rPr>
            </w:pPr>
          </w:p>
        </w:tc>
        <w:tc>
          <w:tcPr>
            <w:tcW w:w="50" w:type="pct"/>
            <w:shd w:val="clear" w:color="auto" w:fill="auto"/>
            <w:vAlign w:val="bottom"/>
          </w:tcPr>
          <w:p w14:paraId="675377F9" w14:textId="77777777" w:rsidR="001B77DD" w:rsidRDefault="001B77DD">
            <w:pPr>
              <w:rPr>
                <w:rFonts w:ascii="宋体"/>
              </w:rPr>
            </w:pPr>
          </w:p>
        </w:tc>
        <w:tc>
          <w:tcPr>
            <w:tcW w:w="4350" w:type="pct"/>
            <w:shd w:val="clear" w:color="auto" w:fill="auto"/>
            <w:vAlign w:val="bottom"/>
          </w:tcPr>
          <w:p w14:paraId="675377FA" w14:textId="77777777" w:rsidR="001B77DD" w:rsidRDefault="001B77DD">
            <w:pPr>
              <w:rPr>
                <w:rFonts w:ascii="宋体"/>
              </w:rPr>
            </w:pPr>
          </w:p>
        </w:tc>
        <w:tc>
          <w:tcPr>
            <w:tcW w:w="5" w:type="pct"/>
            <w:shd w:val="clear" w:color="auto" w:fill="auto"/>
            <w:vAlign w:val="bottom"/>
          </w:tcPr>
          <w:p w14:paraId="675377FB" w14:textId="77777777" w:rsidR="001B77DD" w:rsidRDefault="001B77DD">
            <w:pPr>
              <w:rPr>
                <w:rFonts w:ascii="宋体"/>
              </w:rPr>
            </w:pPr>
          </w:p>
        </w:tc>
      </w:tr>
      <w:tr w:rsidR="001B77DD" w14:paraId="675377F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77FD" w14:textId="77777777" w:rsidR="001B77DD" w:rsidRDefault="00BF0A28">
            <w:pPr>
              <w:textAlignment w:val="bottom"/>
            </w:pPr>
            <w:r>
              <w:rPr>
                <w:rFonts w:ascii="Arial" w:eastAsia="宋体" w:hAnsi="Arial" w:cs="Arial"/>
                <w:color w:val="FFFFFF"/>
                <w:sz w:val="28"/>
                <w:szCs w:val="28"/>
              </w:rPr>
              <w:t xml:space="preserve">Note 15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77FE" w14:textId="77777777" w:rsidR="001B77DD" w:rsidRDefault="00BF0A28">
            <w:pPr>
              <w:textAlignment w:val="bottom"/>
            </w:pPr>
            <w:r>
              <w:rPr>
                <w:rFonts w:ascii="Arial" w:eastAsia="宋体" w:hAnsi="Arial" w:cs="Arial"/>
                <w:color w:val="0068B5"/>
                <w:sz w:val="28"/>
                <w:szCs w:val="28"/>
              </w:rPr>
              <w:t>Other Comprehensive Income (Loss)</w:t>
            </w:r>
          </w:p>
        </w:tc>
      </w:tr>
    </w:tbl>
    <w:p w14:paraId="67537800" w14:textId="77777777" w:rsidR="001B77DD" w:rsidRDefault="00BF0A28">
      <w:pPr>
        <w:spacing w:before="80" w:after="120"/>
      </w:pPr>
      <w:r>
        <w:rPr>
          <w:rFonts w:ascii="Arial" w:eastAsia="宋体" w:hAnsi="Arial" w:cs="Arial"/>
          <w:color w:val="262626"/>
          <w:sz w:val="18"/>
          <w:szCs w:val="18"/>
        </w:rPr>
        <w:t xml:space="preserve">The changes in accumulated other comprehensive income (loss) by component and related tax effects for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40"/>
        <w:gridCol w:w="3848"/>
        <w:gridCol w:w="39"/>
        <w:gridCol w:w="36"/>
        <w:gridCol w:w="36"/>
        <w:gridCol w:w="36"/>
        <w:gridCol w:w="36"/>
        <w:gridCol w:w="36"/>
        <w:gridCol w:w="122"/>
        <w:gridCol w:w="908"/>
        <w:gridCol w:w="36"/>
        <w:gridCol w:w="36"/>
        <w:gridCol w:w="36"/>
        <w:gridCol w:w="36"/>
        <w:gridCol w:w="122"/>
        <w:gridCol w:w="799"/>
        <w:gridCol w:w="36"/>
        <w:gridCol w:w="36"/>
        <w:gridCol w:w="36"/>
        <w:gridCol w:w="36"/>
        <w:gridCol w:w="122"/>
        <w:gridCol w:w="1026"/>
        <w:gridCol w:w="36"/>
        <w:gridCol w:w="36"/>
        <w:gridCol w:w="36"/>
        <w:gridCol w:w="36"/>
        <w:gridCol w:w="122"/>
        <w:gridCol w:w="540"/>
        <w:gridCol w:w="36"/>
      </w:tblGrid>
      <w:tr w:rsidR="001B77DD" w14:paraId="6753781E" w14:textId="77777777">
        <w:tc>
          <w:tcPr>
            <w:tcW w:w="50" w:type="pct"/>
            <w:shd w:val="clear" w:color="auto" w:fill="auto"/>
            <w:vAlign w:val="bottom"/>
          </w:tcPr>
          <w:p w14:paraId="67537801" w14:textId="77777777" w:rsidR="001B77DD" w:rsidRDefault="001B77DD">
            <w:pPr>
              <w:rPr>
                <w:rFonts w:ascii="宋体"/>
              </w:rPr>
            </w:pPr>
          </w:p>
        </w:tc>
        <w:tc>
          <w:tcPr>
            <w:tcW w:w="2431" w:type="pct"/>
            <w:shd w:val="clear" w:color="auto" w:fill="auto"/>
            <w:vAlign w:val="bottom"/>
          </w:tcPr>
          <w:p w14:paraId="67537802" w14:textId="77777777" w:rsidR="001B77DD" w:rsidRDefault="001B77DD">
            <w:pPr>
              <w:rPr>
                <w:rFonts w:ascii="宋体"/>
              </w:rPr>
            </w:pPr>
          </w:p>
        </w:tc>
        <w:tc>
          <w:tcPr>
            <w:tcW w:w="5" w:type="pct"/>
            <w:shd w:val="clear" w:color="auto" w:fill="auto"/>
            <w:vAlign w:val="bottom"/>
          </w:tcPr>
          <w:p w14:paraId="67537803" w14:textId="77777777" w:rsidR="001B77DD" w:rsidRDefault="001B77DD">
            <w:pPr>
              <w:rPr>
                <w:rFonts w:ascii="宋体"/>
              </w:rPr>
            </w:pPr>
          </w:p>
        </w:tc>
        <w:tc>
          <w:tcPr>
            <w:tcW w:w="5" w:type="pct"/>
            <w:shd w:val="clear" w:color="auto" w:fill="auto"/>
            <w:vAlign w:val="bottom"/>
          </w:tcPr>
          <w:p w14:paraId="67537804" w14:textId="77777777" w:rsidR="001B77DD" w:rsidRDefault="001B77DD">
            <w:pPr>
              <w:rPr>
                <w:rFonts w:ascii="宋体"/>
              </w:rPr>
            </w:pPr>
          </w:p>
        </w:tc>
        <w:tc>
          <w:tcPr>
            <w:tcW w:w="24" w:type="pct"/>
            <w:shd w:val="clear" w:color="auto" w:fill="auto"/>
            <w:vAlign w:val="bottom"/>
          </w:tcPr>
          <w:p w14:paraId="67537805" w14:textId="77777777" w:rsidR="001B77DD" w:rsidRDefault="001B77DD">
            <w:pPr>
              <w:rPr>
                <w:rFonts w:ascii="宋体"/>
              </w:rPr>
            </w:pPr>
          </w:p>
        </w:tc>
        <w:tc>
          <w:tcPr>
            <w:tcW w:w="5" w:type="pct"/>
            <w:shd w:val="clear" w:color="auto" w:fill="auto"/>
            <w:vAlign w:val="bottom"/>
          </w:tcPr>
          <w:p w14:paraId="67537806" w14:textId="77777777" w:rsidR="001B77DD" w:rsidRDefault="001B77DD">
            <w:pPr>
              <w:rPr>
                <w:rFonts w:ascii="宋体"/>
              </w:rPr>
            </w:pPr>
          </w:p>
        </w:tc>
        <w:tc>
          <w:tcPr>
            <w:tcW w:w="0" w:type="auto"/>
            <w:shd w:val="clear" w:color="auto" w:fill="auto"/>
            <w:vAlign w:val="bottom"/>
          </w:tcPr>
          <w:p w14:paraId="67537807" w14:textId="77777777" w:rsidR="001B77DD" w:rsidRDefault="001B77DD">
            <w:pPr>
              <w:rPr>
                <w:rFonts w:ascii="宋体"/>
                <w:vanish/>
              </w:rPr>
            </w:pPr>
          </w:p>
        </w:tc>
        <w:tc>
          <w:tcPr>
            <w:tcW w:w="0" w:type="auto"/>
            <w:shd w:val="clear" w:color="auto" w:fill="auto"/>
            <w:vAlign w:val="bottom"/>
          </w:tcPr>
          <w:p w14:paraId="67537808" w14:textId="77777777" w:rsidR="001B77DD" w:rsidRDefault="001B77DD">
            <w:pPr>
              <w:rPr>
                <w:rFonts w:ascii="宋体"/>
                <w:vanish/>
              </w:rPr>
            </w:pPr>
          </w:p>
        </w:tc>
        <w:tc>
          <w:tcPr>
            <w:tcW w:w="50" w:type="pct"/>
            <w:shd w:val="clear" w:color="auto" w:fill="auto"/>
            <w:vAlign w:val="bottom"/>
          </w:tcPr>
          <w:p w14:paraId="67537809" w14:textId="77777777" w:rsidR="001B77DD" w:rsidRDefault="001B77DD">
            <w:pPr>
              <w:rPr>
                <w:rFonts w:ascii="宋体"/>
              </w:rPr>
            </w:pPr>
          </w:p>
        </w:tc>
        <w:tc>
          <w:tcPr>
            <w:tcW w:w="539" w:type="pct"/>
            <w:shd w:val="clear" w:color="auto" w:fill="auto"/>
            <w:vAlign w:val="bottom"/>
          </w:tcPr>
          <w:p w14:paraId="6753780A" w14:textId="77777777" w:rsidR="001B77DD" w:rsidRDefault="001B77DD">
            <w:pPr>
              <w:rPr>
                <w:rFonts w:ascii="宋体"/>
              </w:rPr>
            </w:pPr>
          </w:p>
        </w:tc>
        <w:tc>
          <w:tcPr>
            <w:tcW w:w="5" w:type="pct"/>
            <w:shd w:val="clear" w:color="auto" w:fill="auto"/>
            <w:vAlign w:val="bottom"/>
          </w:tcPr>
          <w:p w14:paraId="6753780B" w14:textId="77777777" w:rsidR="001B77DD" w:rsidRDefault="001B77DD">
            <w:pPr>
              <w:rPr>
                <w:rFonts w:ascii="宋体"/>
              </w:rPr>
            </w:pPr>
          </w:p>
        </w:tc>
        <w:tc>
          <w:tcPr>
            <w:tcW w:w="5" w:type="pct"/>
            <w:shd w:val="clear" w:color="auto" w:fill="auto"/>
            <w:vAlign w:val="bottom"/>
          </w:tcPr>
          <w:p w14:paraId="6753780C" w14:textId="77777777" w:rsidR="001B77DD" w:rsidRDefault="001B77DD">
            <w:pPr>
              <w:rPr>
                <w:rFonts w:ascii="宋体"/>
              </w:rPr>
            </w:pPr>
          </w:p>
        </w:tc>
        <w:tc>
          <w:tcPr>
            <w:tcW w:w="24" w:type="pct"/>
            <w:shd w:val="clear" w:color="auto" w:fill="auto"/>
            <w:vAlign w:val="bottom"/>
          </w:tcPr>
          <w:p w14:paraId="6753780D" w14:textId="77777777" w:rsidR="001B77DD" w:rsidRDefault="001B77DD">
            <w:pPr>
              <w:rPr>
                <w:rFonts w:ascii="宋体"/>
              </w:rPr>
            </w:pPr>
          </w:p>
        </w:tc>
        <w:tc>
          <w:tcPr>
            <w:tcW w:w="5" w:type="pct"/>
            <w:shd w:val="clear" w:color="auto" w:fill="auto"/>
            <w:vAlign w:val="bottom"/>
          </w:tcPr>
          <w:p w14:paraId="6753780E" w14:textId="77777777" w:rsidR="001B77DD" w:rsidRDefault="001B77DD">
            <w:pPr>
              <w:rPr>
                <w:rFonts w:ascii="宋体"/>
              </w:rPr>
            </w:pPr>
          </w:p>
        </w:tc>
        <w:tc>
          <w:tcPr>
            <w:tcW w:w="50" w:type="pct"/>
            <w:shd w:val="clear" w:color="auto" w:fill="auto"/>
            <w:vAlign w:val="bottom"/>
          </w:tcPr>
          <w:p w14:paraId="6753780F" w14:textId="77777777" w:rsidR="001B77DD" w:rsidRDefault="001B77DD">
            <w:pPr>
              <w:rPr>
                <w:rFonts w:ascii="宋体"/>
              </w:rPr>
            </w:pPr>
          </w:p>
        </w:tc>
        <w:tc>
          <w:tcPr>
            <w:tcW w:w="539" w:type="pct"/>
            <w:shd w:val="clear" w:color="auto" w:fill="auto"/>
            <w:vAlign w:val="bottom"/>
          </w:tcPr>
          <w:p w14:paraId="67537810" w14:textId="77777777" w:rsidR="001B77DD" w:rsidRDefault="001B77DD">
            <w:pPr>
              <w:rPr>
                <w:rFonts w:ascii="宋体"/>
              </w:rPr>
            </w:pPr>
          </w:p>
        </w:tc>
        <w:tc>
          <w:tcPr>
            <w:tcW w:w="5" w:type="pct"/>
            <w:shd w:val="clear" w:color="auto" w:fill="auto"/>
            <w:vAlign w:val="bottom"/>
          </w:tcPr>
          <w:p w14:paraId="67537811" w14:textId="77777777" w:rsidR="001B77DD" w:rsidRDefault="001B77DD">
            <w:pPr>
              <w:rPr>
                <w:rFonts w:ascii="宋体"/>
              </w:rPr>
            </w:pPr>
          </w:p>
        </w:tc>
        <w:tc>
          <w:tcPr>
            <w:tcW w:w="5" w:type="pct"/>
            <w:shd w:val="clear" w:color="auto" w:fill="auto"/>
            <w:vAlign w:val="bottom"/>
          </w:tcPr>
          <w:p w14:paraId="67537812" w14:textId="77777777" w:rsidR="001B77DD" w:rsidRDefault="001B77DD">
            <w:pPr>
              <w:rPr>
                <w:rFonts w:ascii="宋体"/>
              </w:rPr>
            </w:pPr>
          </w:p>
        </w:tc>
        <w:tc>
          <w:tcPr>
            <w:tcW w:w="24" w:type="pct"/>
            <w:shd w:val="clear" w:color="auto" w:fill="auto"/>
            <w:vAlign w:val="bottom"/>
          </w:tcPr>
          <w:p w14:paraId="67537813" w14:textId="77777777" w:rsidR="001B77DD" w:rsidRDefault="001B77DD">
            <w:pPr>
              <w:rPr>
                <w:rFonts w:ascii="宋体"/>
              </w:rPr>
            </w:pPr>
          </w:p>
        </w:tc>
        <w:tc>
          <w:tcPr>
            <w:tcW w:w="5" w:type="pct"/>
            <w:shd w:val="clear" w:color="auto" w:fill="auto"/>
            <w:vAlign w:val="bottom"/>
          </w:tcPr>
          <w:p w14:paraId="67537814" w14:textId="77777777" w:rsidR="001B77DD" w:rsidRDefault="001B77DD">
            <w:pPr>
              <w:rPr>
                <w:rFonts w:ascii="宋体"/>
              </w:rPr>
            </w:pPr>
          </w:p>
        </w:tc>
        <w:tc>
          <w:tcPr>
            <w:tcW w:w="50" w:type="pct"/>
            <w:shd w:val="clear" w:color="auto" w:fill="auto"/>
            <w:vAlign w:val="bottom"/>
          </w:tcPr>
          <w:p w14:paraId="67537815" w14:textId="77777777" w:rsidR="001B77DD" w:rsidRDefault="001B77DD">
            <w:pPr>
              <w:rPr>
                <w:rFonts w:ascii="宋体"/>
              </w:rPr>
            </w:pPr>
          </w:p>
        </w:tc>
        <w:tc>
          <w:tcPr>
            <w:tcW w:w="539" w:type="pct"/>
            <w:shd w:val="clear" w:color="auto" w:fill="auto"/>
            <w:vAlign w:val="bottom"/>
          </w:tcPr>
          <w:p w14:paraId="67537816" w14:textId="77777777" w:rsidR="001B77DD" w:rsidRDefault="001B77DD">
            <w:pPr>
              <w:rPr>
                <w:rFonts w:ascii="宋体"/>
              </w:rPr>
            </w:pPr>
          </w:p>
        </w:tc>
        <w:tc>
          <w:tcPr>
            <w:tcW w:w="5" w:type="pct"/>
            <w:shd w:val="clear" w:color="auto" w:fill="auto"/>
            <w:vAlign w:val="bottom"/>
          </w:tcPr>
          <w:p w14:paraId="67537817" w14:textId="77777777" w:rsidR="001B77DD" w:rsidRDefault="001B77DD">
            <w:pPr>
              <w:rPr>
                <w:rFonts w:ascii="宋体"/>
              </w:rPr>
            </w:pPr>
          </w:p>
        </w:tc>
        <w:tc>
          <w:tcPr>
            <w:tcW w:w="5" w:type="pct"/>
            <w:shd w:val="clear" w:color="auto" w:fill="auto"/>
            <w:vAlign w:val="bottom"/>
          </w:tcPr>
          <w:p w14:paraId="67537818" w14:textId="77777777" w:rsidR="001B77DD" w:rsidRDefault="001B77DD">
            <w:pPr>
              <w:rPr>
                <w:rFonts w:ascii="宋体"/>
              </w:rPr>
            </w:pPr>
          </w:p>
        </w:tc>
        <w:tc>
          <w:tcPr>
            <w:tcW w:w="24" w:type="pct"/>
            <w:shd w:val="clear" w:color="auto" w:fill="auto"/>
            <w:vAlign w:val="bottom"/>
          </w:tcPr>
          <w:p w14:paraId="67537819" w14:textId="77777777" w:rsidR="001B77DD" w:rsidRDefault="001B77DD">
            <w:pPr>
              <w:rPr>
                <w:rFonts w:ascii="宋体"/>
              </w:rPr>
            </w:pPr>
          </w:p>
        </w:tc>
        <w:tc>
          <w:tcPr>
            <w:tcW w:w="5" w:type="pct"/>
            <w:shd w:val="clear" w:color="auto" w:fill="auto"/>
            <w:vAlign w:val="bottom"/>
          </w:tcPr>
          <w:p w14:paraId="6753781A" w14:textId="77777777" w:rsidR="001B77DD" w:rsidRDefault="001B77DD">
            <w:pPr>
              <w:rPr>
                <w:rFonts w:ascii="宋体"/>
              </w:rPr>
            </w:pPr>
          </w:p>
        </w:tc>
        <w:tc>
          <w:tcPr>
            <w:tcW w:w="50" w:type="pct"/>
            <w:shd w:val="clear" w:color="auto" w:fill="auto"/>
            <w:vAlign w:val="bottom"/>
          </w:tcPr>
          <w:p w14:paraId="6753781B" w14:textId="77777777" w:rsidR="001B77DD" w:rsidRDefault="001B77DD">
            <w:pPr>
              <w:rPr>
                <w:rFonts w:ascii="宋体"/>
              </w:rPr>
            </w:pPr>
          </w:p>
        </w:tc>
        <w:tc>
          <w:tcPr>
            <w:tcW w:w="539" w:type="pct"/>
            <w:shd w:val="clear" w:color="auto" w:fill="auto"/>
            <w:vAlign w:val="bottom"/>
          </w:tcPr>
          <w:p w14:paraId="6753781C" w14:textId="77777777" w:rsidR="001B77DD" w:rsidRDefault="001B77DD">
            <w:pPr>
              <w:rPr>
                <w:rFonts w:ascii="宋体"/>
              </w:rPr>
            </w:pPr>
          </w:p>
        </w:tc>
        <w:tc>
          <w:tcPr>
            <w:tcW w:w="5" w:type="pct"/>
            <w:shd w:val="clear" w:color="auto" w:fill="auto"/>
            <w:vAlign w:val="bottom"/>
          </w:tcPr>
          <w:p w14:paraId="6753781D" w14:textId="77777777" w:rsidR="001B77DD" w:rsidRDefault="001B77DD">
            <w:pPr>
              <w:rPr>
                <w:rFonts w:ascii="宋体"/>
              </w:rPr>
            </w:pPr>
          </w:p>
        </w:tc>
      </w:tr>
      <w:tr w:rsidR="001B77DD" w14:paraId="6753782A" w14:textId="77777777">
        <w:tc>
          <w:tcPr>
            <w:tcW w:w="0" w:type="auto"/>
            <w:gridSpan w:val="3"/>
            <w:shd w:val="clear" w:color="auto" w:fill="auto"/>
            <w:tcMar>
              <w:top w:w="40" w:type="dxa"/>
              <w:left w:w="20" w:type="dxa"/>
              <w:bottom w:w="40" w:type="dxa"/>
              <w:right w:w="20" w:type="dxa"/>
            </w:tcMar>
            <w:vAlign w:val="bottom"/>
          </w:tcPr>
          <w:p w14:paraId="6753781F"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7820" w14:textId="77777777" w:rsidR="001B77DD" w:rsidRDefault="001B77DD">
            <w:pPr>
              <w:rPr>
                <w:rFonts w:ascii="宋体"/>
              </w:rPr>
            </w:pPr>
          </w:p>
        </w:tc>
        <w:tc>
          <w:tcPr>
            <w:tcW w:w="0" w:type="auto"/>
            <w:shd w:val="clear" w:color="auto" w:fill="auto"/>
            <w:vAlign w:val="bottom"/>
          </w:tcPr>
          <w:p w14:paraId="67537821" w14:textId="77777777" w:rsidR="001B77DD" w:rsidRDefault="001B77DD">
            <w:pPr>
              <w:rPr>
                <w:rFonts w:ascii="宋体"/>
                <w:vanish/>
              </w:rPr>
            </w:pPr>
          </w:p>
        </w:tc>
        <w:tc>
          <w:tcPr>
            <w:tcW w:w="0" w:type="auto"/>
            <w:shd w:val="clear" w:color="auto" w:fill="auto"/>
            <w:vAlign w:val="bottom"/>
          </w:tcPr>
          <w:p w14:paraId="67537822"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7823" w14:textId="77777777" w:rsidR="001B77DD" w:rsidRDefault="00BF0A28">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vAlign w:val="bottom"/>
          </w:tcPr>
          <w:p w14:paraId="6753782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825" w14:textId="77777777" w:rsidR="001B77DD" w:rsidRDefault="00BF0A28">
            <w:pPr>
              <w:jc w:val="center"/>
              <w:textAlignment w:val="bottom"/>
            </w:pPr>
            <w:r>
              <w:rPr>
                <w:rFonts w:ascii="Arial" w:eastAsia="宋体" w:hAnsi="Arial" w:cs="Arial"/>
                <w:b/>
                <w:bCs/>
                <w:color w:val="262626"/>
                <w:sz w:val="18"/>
                <w:szCs w:val="18"/>
              </w:rPr>
              <w:t xml:space="preserve">Actuarial Valuation and Other Pension Expenses </w:t>
            </w:r>
          </w:p>
        </w:tc>
        <w:tc>
          <w:tcPr>
            <w:tcW w:w="0" w:type="auto"/>
            <w:gridSpan w:val="3"/>
            <w:shd w:val="clear" w:color="auto" w:fill="auto"/>
            <w:tcMar>
              <w:top w:w="0" w:type="dxa"/>
              <w:left w:w="20" w:type="dxa"/>
              <w:bottom w:w="0" w:type="dxa"/>
              <w:right w:w="20" w:type="dxa"/>
            </w:tcMar>
            <w:vAlign w:val="bottom"/>
          </w:tcPr>
          <w:p w14:paraId="6753782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827" w14:textId="77777777" w:rsidR="001B77DD" w:rsidRDefault="00BF0A28">
            <w:pPr>
              <w:jc w:val="center"/>
              <w:textAlignment w:val="bottom"/>
            </w:pPr>
            <w:r>
              <w:rPr>
                <w:rFonts w:ascii="Arial" w:eastAsia="宋体" w:hAnsi="Arial" w:cs="Arial"/>
                <w:b/>
                <w:bCs/>
                <w:color w:val="262626"/>
                <w:sz w:val="18"/>
                <w:szCs w:val="18"/>
              </w:rPr>
              <w:t xml:space="preserve">Translation Adjustments and Other </w:t>
            </w:r>
          </w:p>
        </w:tc>
        <w:tc>
          <w:tcPr>
            <w:tcW w:w="0" w:type="auto"/>
            <w:gridSpan w:val="3"/>
            <w:shd w:val="clear" w:color="auto" w:fill="auto"/>
            <w:tcMar>
              <w:top w:w="0" w:type="dxa"/>
              <w:left w:w="20" w:type="dxa"/>
              <w:bottom w:w="0" w:type="dxa"/>
              <w:right w:w="20" w:type="dxa"/>
            </w:tcMar>
            <w:vAlign w:val="bottom"/>
          </w:tcPr>
          <w:p w14:paraId="6753782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829" w14:textId="77777777" w:rsidR="001B77DD" w:rsidRDefault="00BF0A28">
            <w:pPr>
              <w:jc w:val="center"/>
              <w:textAlignment w:val="bottom"/>
            </w:pPr>
            <w:r>
              <w:rPr>
                <w:rFonts w:ascii="Arial" w:eastAsia="宋体" w:hAnsi="Arial" w:cs="Arial"/>
                <w:b/>
                <w:bCs/>
                <w:color w:val="262626"/>
                <w:sz w:val="18"/>
                <w:szCs w:val="18"/>
              </w:rPr>
              <w:t>Total</w:t>
            </w:r>
          </w:p>
        </w:tc>
      </w:tr>
      <w:tr w:rsidR="001B77DD" w14:paraId="67537836" w14:textId="77777777">
        <w:trPr>
          <w:hidden/>
        </w:trPr>
        <w:tc>
          <w:tcPr>
            <w:tcW w:w="0" w:type="auto"/>
            <w:gridSpan w:val="3"/>
            <w:shd w:val="clear" w:color="auto" w:fill="auto"/>
            <w:vAlign w:val="bottom"/>
          </w:tcPr>
          <w:p w14:paraId="6753782B" w14:textId="77777777" w:rsidR="001B77DD" w:rsidRDefault="001B77DD">
            <w:pPr>
              <w:rPr>
                <w:rFonts w:ascii="宋体"/>
                <w:vanish/>
              </w:rPr>
            </w:pPr>
          </w:p>
        </w:tc>
        <w:tc>
          <w:tcPr>
            <w:tcW w:w="0" w:type="auto"/>
            <w:gridSpan w:val="3"/>
            <w:shd w:val="clear" w:color="auto" w:fill="auto"/>
            <w:vAlign w:val="bottom"/>
          </w:tcPr>
          <w:p w14:paraId="6753782C" w14:textId="77777777" w:rsidR="001B77DD" w:rsidRDefault="001B77DD">
            <w:pPr>
              <w:rPr>
                <w:rFonts w:ascii="宋体"/>
                <w:vanish/>
              </w:rPr>
            </w:pPr>
          </w:p>
        </w:tc>
        <w:tc>
          <w:tcPr>
            <w:tcW w:w="0" w:type="auto"/>
            <w:shd w:val="clear" w:color="auto" w:fill="auto"/>
            <w:vAlign w:val="bottom"/>
          </w:tcPr>
          <w:p w14:paraId="6753782D" w14:textId="77777777" w:rsidR="001B77DD" w:rsidRDefault="001B77DD">
            <w:pPr>
              <w:rPr>
                <w:rFonts w:ascii="宋体"/>
                <w:vanish/>
              </w:rPr>
            </w:pPr>
          </w:p>
        </w:tc>
        <w:tc>
          <w:tcPr>
            <w:tcW w:w="0" w:type="auto"/>
            <w:shd w:val="clear" w:color="auto" w:fill="auto"/>
            <w:vAlign w:val="bottom"/>
          </w:tcPr>
          <w:p w14:paraId="6753782E" w14:textId="77777777" w:rsidR="001B77DD" w:rsidRDefault="001B77DD">
            <w:pPr>
              <w:rPr>
                <w:rFonts w:ascii="宋体"/>
                <w:vanish/>
              </w:rPr>
            </w:pPr>
          </w:p>
        </w:tc>
        <w:tc>
          <w:tcPr>
            <w:tcW w:w="0" w:type="auto"/>
            <w:gridSpan w:val="3"/>
            <w:shd w:val="clear" w:color="auto" w:fill="auto"/>
            <w:vAlign w:val="bottom"/>
          </w:tcPr>
          <w:p w14:paraId="6753782F" w14:textId="77777777" w:rsidR="001B77DD" w:rsidRDefault="001B77DD">
            <w:pPr>
              <w:rPr>
                <w:rFonts w:ascii="宋体"/>
                <w:vanish/>
              </w:rPr>
            </w:pPr>
          </w:p>
        </w:tc>
        <w:tc>
          <w:tcPr>
            <w:tcW w:w="0" w:type="auto"/>
            <w:gridSpan w:val="3"/>
            <w:shd w:val="clear" w:color="auto" w:fill="auto"/>
            <w:vAlign w:val="bottom"/>
          </w:tcPr>
          <w:p w14:paraId="67537830" w14:textId="77777777" w:rsidR="001B77DD" w:rsidRDefault="001B77DD">
            <w:pPr>
              <w:rPr>
                <w:rFonts w:ascii="宋体"/>
                <w:vanish/>
              </w:rPr>
            </w:pPr>
          </w:p>
        </w:tc>
        <w:tc>
          <w:tcPr>
            <w:tcW w:w="0" w:type="auto"/>
            <w:gridSpan w:val="3"/>
            <w:shd w:val="clear" w:color="auto" w:fill="auto"/>
            <w:vAlign w:val="bottom"/>
          </w:tcPr>
          <w:p w14:paraId="67537831" w14:textId="77777777" w:rsidR="001B77DD" w:rsidRDefault="001B77DD">
            <w:pPr>
              <w:rPr>
                <w:rFonts w:ascii="宋体"/>
                <w:vanish/>
              </w:rPr>
            </w:pPr>
          </w:p>
        </w:tc>
        <w:tc>
          <w:tcPr>
            <w:tcW w:w="0" w:type="auto"/>
            <w:gridSpan w:val="3"/>
            <w:shd w:val="clear" w:color="auto" w:fill="auto"/>
            <w:vAlign w:val="bottom"/>
          </w:tcPr>
          <w:p w14:paraId="67537832" w14:textId="77777777" w:rsidR="001B77DD" w:rsidRDefault="001B77DD">
            <w:pPr>
              <w:rPr>
                <w:rFonts w:ascii="宋体"/>
                <w:vanish/>
              </w:rPr>
            </w:pPr>
          </w:p>
        </w:tc>
        <w:tc>
          <w:tcPr>
            <w:tcW w:w="0" w:type="auto"/>
            <w:gridSpan w:val="3"/>
            <w:shd w:val="clear" w:color="auto" w:fill="auto"/>
            <w:vAlign w:val="bottom"/>
          </w:tcPr>
          <w:p w14:paraId="67537833" w14:textId="77777777" w:rsidR="001B77DD" w:rsidRDefault="001B77DD">
            <w:pPr>
              <w:rPr>
                <w:rFonts w:ascii="宋体"/>
                <w:vanish/>
              </w:rPr>
            </w:pPr>
          </w:p>
        </w:tc>
        <w:tc>
          <w:tcPr>
            <w:tcW w:w="0" w:type="auto"/>
            <w:gridSpan w:val="3"/>
            <w:shd w:val="clear" w:color="auto" w:fill="auto"/>
            <w:vAlign w:val="bottom"/>
          </w:tcPr>
          <w:p w14:paraId="67537834" w14:textId="77777777" w:rsidR="001B77DD" w:rsidRDefault="001B77DD">
            <w:pPr>
              <w:rPr>
                <w:rFonts w:ascii="宋体"/>
                <w:vanish/>
              </w:rPr>
            </w:pPr>
          </w:p>
        </w:tc>
        <w:tc>
          <w:tcPr>
            <w:tcW w:w="0" w:type="auto"/>
            <w:gridSpan w:val="3"/>
            <w:shd w:val="clear" w:color="auto" w:fill="auto"/>
            <w:vAlign w:val="bottom"/>
          </w:tcPr>
          <w:p w14:paraId="67537835" w14:textId="77777777" w:rsidR="001B77DD" w:rsidRDefault="001B77DD">
            <w:pPr>
              <w:rPr>
                <w:rFonts w:ascii="宋体"/>
                <w:vanish/>
              </w:rPr>
            </w:pPr>
          </w:p>
        </w:tc>
      </w:tr>
      <w:tr w:rsidR="001B77DD" w14:paraId="67537842" w14:textId="77777777">
        <w:trPr>
          <w:hidden/>
        </w:trPr>
        <w:tc>
          <w:tcPr>
            <w:tcW w:w="0" w:type="auto"/>
            <w:gridSpan w:val="3"/>
            <w:shd w:val="clear" w:color="auto" w:fill="auto"/>
            <w:vAlign w:val="bottom"/>
          </w:tcPr>
          <w:p w14:paraId="67537837" w14:textId="77777777" w:rsidR="001B77DD" w:rsidRDefault="001B77DD">
            <w:pPr>
              <w:rPr>
                <w:rFonts w:ascii="宋体"/>
                <w:vanish/>
              </w:rPr>
            </w:pPr>
          </w:p>
        </w:tc>
        <w:tc>
          <w:tcPr>
            <w:tcW w:w="0" w:type="auto"/>
            <w:gridSpan w:val="3"/>
            <w:shd w:val="clear" w:color="auto" w:fill="auto"/>
            <w:vAlign w:val="bottom"/>
          </w:tcPr>
          <w:p w14:paraId="67537838" w14:textId="77777777" w:rsidR="001B77DD" w:rsidRDefault="001B77DD">
            <w:pPr>
              <w:rPr>
                <w:rFonts w:ascii="宋体"/>
                <w:vanish/>
              </w:rPr>
            </w:pPr>
          </w:p>
        </w:tc>
        <w:tc>
          <w:tcPr>
            <w:tcW w:w="0" w:type="auto"/>
            <w:shd w:val="clear" w:color="auto" w:fill="auto"/>
            <w:vAlign w:val="bottom"/>
          </w:tcPr>
          <w:p w14:paraId="67537839" w14:textId="77777777" w:rsidR="001B77DD" w:rsidRDefault="001B77DD">
            <w:pPr>
              <w:rPr>
                <w:rFonts w:ascii="宋体"/>
                <w:vanish/>
              </w:rPr>
            </w:pPr>
          </w:p>
        </w:tc>
        <w:tc>
          <w:tcPr>
            <w:tcW w:w="0" w:type="auto"/>
            <w:shd w:val="clear" w:color="auto" w:fill="auto"/>
            <w:vAlign w:val="bottom"/>
          </w:tcPr>
          <w:p w14:paraId="6753783A" w14:textId="77777777" w:rsidR="001B77DD" w:rsidRDefault="001B77DD">
            <w:pPr>
              <w:rPr>
                <w:rFonts w:ascii="宋体"/>
                <w:vanish/>
              </w:rPr>
            </w:pPr>
          </w:p>
        </w:tc>
        <w:tc>
          <w:tcPr>
            <w:tcW w:w="0" w:type="auto"/>
            <w:gridSpan w:val="3"/>
            <w:shd w:val="clear" w:color="auto" w:fill="auto"/>
            <w:vAlign w:val="bottom"/>
          </w:tcPr>
          <w:p w14:paraId="6753783B" w14:textId="77777777" w:rsidR="001B77DD" w:rsidRDefault="001B77DD">
            <w:pPr>
              <w:rPr>
                <w:rFonts w:ascii="宋体"/>
                <w:vanish/>
              </w:rPr>
            </w:pPr>
          </w:p>
        </w:tc>
        <w:tc>
          <w:tcPr>
            <w:tcW w:w="0" w:type="auto"/>
            <w:gridSpan w:val="3"/>
            <w:shd w:val="clear" w:color="auto" w:fill="auto"/>
            <w:vAlign w:val="bottom"/>
          </w:tcPr>
          <w:p w14:paraId="6753783C" w14:textId="77777777" w:rsidR="001B77DD" w:rsidRDefault="001B77DD">
            <w:pPr>
              <w:rPr>
                <w:rFonts w:ascii="宋体"/>
                <w:vanish/>
              </w:rPr>
            </w:pPr>
          </w:p>
        </w:tc>
        <w:tc>
          <w:tcPr>
            <w:tcW w:w="0" w:type="auto"/>
            <w:gridSpan w:val="3"/>
            <w:shd w:val="clear" w:color="auto" w:fill="auto"/>
            <w:vAlign w:val="bottom"/>
          </w:tcPr>
          <w:p w14:paraId="6753783D" w14:textId="77777777" w:rsidR="001B77DD" w:rsidRDefault="001B77DD">
            <w:pPr>
              <w:rPr>
                <w:rFonts w:ascii="宋体"/>
                <w:vanish/>
              </w:rPr>
            </w:pPr>
          </w:p>
        </w:tc>
        <w:tc>
          <w:tcPr>
            <w:tcW w:w="0" w:type="auto"/>
            <w:gridSpan w:val="3"/>
            <w:shd w:val="clear" w:color="auto" w:fill="auto"/>
            <w:vAlign w:val="bottom"/>
          </w:tcPr>
          <w:p w14:paraId="6753783E" w14:textId="77777777" w:rsidR="001B77DD" w:rsidRDefault="001B77DD">
            <w:pPr>
              <w:rPr>
                <w:rFonts w:ascii="宋体"/>
                <w:vanish/>
              </w:rPr>
            </w:pPr>
          </w:p>
        </w:tc>
        <w:tc>
          <w:tcPr>
            <w:tcW w:w="0" w:type="auto"/>
            <w:gridSpan w:val="3"/>
            <w:shd w:val="clear" w:color="auto" w:fill="auto"/>
            <w:vAlign w:val="bottom"/>
          </w:tcPr>
          <w:p w14:paraId="6753783F" w14:textId="77777777" w:rsidR="001B77DD" w:rsidRDefault="001B77DD">
            <w:pPr>
              <w:rPr>
                <w:rFonts w:ascii="宋体"/>
                <w:vanish/>
              </w:rPr>
            </w:pPr>
          </w:p>
        </w:tc>
        <w:tc>
          <w:tcPr>
            <w:tcW w:w="0" w:type="auto"/>
            <w:gridSpan w:val="3"/>
            <w:shd w:val="clear" w:color="auto" w:fill="auto"/>
            <w:vAlign w:val="bottom"/>
          </w:tcPr>
          <w:p w14:paraId="67537840" w14:textId="77777777" w:rsidR="001B77DD" w:rsidRDefault="001B77DD">
            <w:pPr>
              <w:rPr>
                <w:rFonts w:ascii="宋体"/>
                <w:vanish/>
              </w:rPr>
            </w:pPr>
          </w:p>
        </w:tc>
        <w:tc>
          <w:tcPr>
            <w:tcW w:w="0" w:type="auto"/>
            <w:gridSpan w:val="3"/>
            <w:shd w:val="clear" w:color="auto" w:fill="auto"/>
            <w:vAlign w:val="bottom"/>
          </w:tcPr>
          <w:p w14:paraId="67537841" w14:textId="77777777" w:rsidR="001B77DD" w:rsidRDefault="001B77DD">
            <w:pPr>
              <w:rPr>
                <w:rFonts w:ascii="宋体"/>
                <w:vanish/>
              </w:rPr>
            </w:pPr>
          </w:p>
        </w:tc>
      </w:tr>
      <w:tr w:rsidR="001B77DD" w14:paraId="6753785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843" w14:textId="77777777" w:rsidR="001B77DD" w:rsidRDefault="00BF0A28">
            <w:pPr>
              <w:textAlignment w:val="bottom"/>
            </w:pPr>
            <w:r>
              <w:rPr>
                <w:rFonts w:ascii="Arial" w:eastAsia="宋体" w:hAnsi="Arial" w:cs="Arial"/>
                <w:b/>
                <w:bCs/>
                <w:color w:val="262626"/>
                <w:sz w:val="18"/>
                <w:szCs w:val="18"/>
              </w:rPr>
              <w:t>December 29, 2018</w:t>
            </w:r>
          </w:p>
        </w:tc>
        <w:tc>
          <w:tcPr>
            <w:tcW w:w="0" w:type="auto"/>
            <w:gridSpan w:val="3"/>
            <w:shd w:val="clear" w:color="auto" w:fill="auto"/>
            <w:tcMar>
              <w:top w:w="0" w:type="dxa"/>
              <w:left w:w="20" w:type="dxa"/>
              <w:bottom w:w="0" w:type="dxa"/>
              <w:right w:w="20" w:type="dxa"/>
            </w:tcMar>
            <w:vAlign w:val="bottom"/>
          </w:tcPr>
          <w:p w14:paraId="67537844" w14:textId="77777777" w:rsidR="001B77DD" w:rsidRDefault="001B77DD">
            <w:pPr>
              <w:rPr>
                <w:rFonts w:ascii="宋体"/>
              </w:rPr>
            </w:pPr>
          </w:p>
        </w:tc>
        <w:tc>
          <w:tcPr>
            <w:tcW w:w="0" w:type="auto"/>
            <w:shd w:val="clear" w:color="auto" w:fill="auto"/>
            <w:vAlign w:val="bottom"/>
          </w:tcPr>
          <w:p w14:paraId="67537845" w14:textId="77777777" w:rsidR="001B77DD" w:rsidRDefault="001B77DD">
            <w:pPr>
              <w:rPr>
                <w:rFonts w:ascii="宋体"/>
                <w:vanish/>
              </w:rPr>
            </w:pPr>
          </w:p>
        </w:tc>
        <w:tc>
          <w:tcPr>
            <w:tcW w:w="0" w:type="auto"/>
            <w:shd w:val="clear" w:color="auto" w:fill="auto"/>
            <w:vAlign w:val="bottom"/>
          </w:tcPr>
          <w:p w14:paraId="67537846" w14:textId="77777777" w:rsidR="001B77DD" w:rsidRDefault="001B77DD">
            <w:pPr>
              <w:rPr>
                <w:rFonts w:ascii="宋体"/>
                <w:vanish/>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847"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848" w14:textId="77777777" w:rsidR="001B77DD" w:rsidRDefault="00BF0A28">
            <w:pPr>
              <w:jc w:val="right"/>
              <w:textAlignment w:val="bottom"/>
            </w:pPr>
            <w:r>
              <w:rPr>
                <w:rFonts w:ascii="Arial" w:eastAsia="宋体" w:hAnsi="Arial" w:cs="Arial"/>
                <w:b/>
                <w:bCs/>
                <w:color w:val="262626"/>
                <w:sz w:val="18"/>
                <w:szCs w:val="18"/>
              </w:rPr>
              <w:t>(123)</w:t>
            </w:r>
          </w:p>
        </w:tc>
        <w:tc>
          <w:tcPr>
            <w:tcW w:w="0" w:type="auto"/>
            <w:tcBorders>
              <w:top w:val="single" w:sz="8" w:space="0" w:color="0068B5"/>
            </w:tcBorders>
            <w:shd w:val="clear" w:color="auto" w:fill="auto"/>
            <w:tcMar>
              <w:top w:w="40" w:type="dxa"/>
              <w:left w:w="0" w:type="dxa"/>
              <w:bottom w:w="40" w:type="dxa"/>
              <w:right w:w="20" w:type="dxa"/>
            </w:tcMar>
            <w:vAlign w:val="bottom"/>
          </w:tcPr>
          <w:p w14:paraId="6753784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4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84B"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84C" w14:textId="77777777" w:rsidR="001B77DD" w:rsidRDefault="00BF0A28">
            <w:pPr>
              <w:jc w:val="right"/>
              <w:textAlignment w:val="bottom"/>
            </w:pPr>
            <w:r>
              <w:rPr>
                <w:rFonts w:ascii="Arial" w:eastAsia="宋体" w:hAnsi="Arial" w:cs="Arial"/>
                <w:b/>
                <w:bCs/>
                <w:color w:val="262626"/>
                <w:sz w:val="18"/>
                <w:szCs w:val="18"/>
              </w:rPr>
              <w:t>(818)</w:t>
            </w:r>
          </w:p>
        </w:tc>
        <w:tc>
          <w:tcPr>
            <w:tcW w:w="0" w:type="auto"/>
            <w:tcBorders>
              <w:top w:val="single" w:sz="8" w:space="0" w:color="0068B5"/>
            </w:tcBorders>
            <w:shd w:val="clear" w:color="auto" w:fill="auto"/>
            <w:tcMar>
              <w:top w:w="40" w:type="dxa"/>
              <w:left w:w="0" w:type="dxa"/>
              <w:bottom w:w="40" w:type="dxa"/>
              <w:right w:w="20" w:type="dxa"/>
            </w:tcMar>
            <w:vAlign w:val="bottom"/>
          </w:tcPr>
          <w:p w14:paraId="6753784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4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84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850" w14:textId="77777777" w:rsidR="001B77DD" w:rsidRDefault="00BF0A28">
            <w:pPr>
              <w:jc w:val="right"/>
              <w:textAlignment w:val="bottom"/>
            </w:pPr>
            <w:r>
              <w:rPr>
                <w:rFonts w:ascii="Arial" w:eastAsia="宋体" w:hAnsi="Arial" w:cs="Arial"/>
                <w:b/>
                <w:bCs/>
                <w:color w:val="262626"/>
                <w:sz w:val="18"/>
                <w:szCs w:val="18"/>
              </w:rPr>
              <w:t>(33)</w:t>
            </w:r>
          </w:p>
        </w:tc>
        <w:tc>
          <w:tcPr>
            <w:tcW w:w="0" w:type="auto"/>
            <w:tcBorders>
              <w:top w:val="single" w:sz="8" w:space="0" w:color="0068B5"/>
            </w:tcBorders>
            <w:shd w:val="clear" w:color="auto" w:fill="auto"/>
            <w:tcMar>
              <w:top w:w="40" w:type="dxa"/>
              <w:left w:w="0" w:type="dxa"/>
              <w:bottom w:w="40" w:type="dxa"/>
              <w:right w:w="20" w:type="dxa"/>
            </w:tcMar>
            <w:vAlign w:val="bottom"/>
          </w:tcPr>
          <w:p w14:paraId="6753785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5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853"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854" w14:textId="77777777" w:rsidR="001B77DD" w:rsidRDefault="00BF0A28">
            <w:pPr>
              <w:jc w:val="right"/>
              <w:textAlignment w:val="bottom"/>
            </w:pPr>
            <w:r>
              <w:rPr>
                <w:rFonts w:ascii="Arial" w:eastAsia="宋体" w:hAnsi="Arial" w:cs="Arial"/>
                <w:b/>
                <w:bCs/>
                <w:color w:val="262626"/>
                <w:sz w:val="18"/>
                <w:szCs w:val="18"/>
              </w:rPr>
              <w:t>(974)</w:t>
            </w:r>
          </w:p>
        </w:tc>
        <w:tc>
          <w:tcPr>
            <w:tcW w:w="0" w:type="auto"/>
            <w:tcBorders>
              <w:top w:val="single" w:sz="8" w:space="0" w:color="0068B5"/>
            </w:tcBorders>
            <w:shd w:val="clear" w:color="auto" w:fill="auto"/>
            <w:tcMar>
              <w:top w:w="40" w:type="dxa"/>
              <w:left w:w="0" w:type="dxa"/>
              <w:bottom w:w="40" w:type="dxa"/>
              <w:right w:w="20" w:type="dxa"/>
            </w:tcMar>
            <w:vAlign w:val="bottom"/>
          </w:tcPr>
          <w:p w14:paraId="67537855" w14:textId="77777777" w:rsidR="001B77DD" w:rsidRDefault="001B77DD">
            <w:pPr>
              <w:jc w:val="right"/>
              <w:rPr>
                <w:rFonts w:ascii="宋体"/>
              </w:rPr>
            </w:pPr>
          </w:p>
        </w:tc>
      </w:tr>
      <w:tr w:rsidR="001B77DD" w14:paraId="67537866" w14:textId="77777777">
        <w:tc>
          <w:tcPr>
            <w:tcW w:w="0" w:type="auto"/>
            <w:gridSpan w:val="3"/>
            <w:shd w:val="clear" w:color="auto" w:fill="auto"/>
            <w:tcMar>
              <w:top w:w="40" w:type="dxa"/>
              <w:left w:w="20" w:type="dxa"/>
              <w:bottom w:w="40" w:type="dxa"/>
              <w:right w:w="20" w:type="dxa"/>
            </w:tcMar>
            <w:vAlign w:val="bottom"/>
          </w:tcPr>
          <w:p w14:paraId="67537857" w14:textId="77777777" w:rsidR="001B77DD" w:rsidRDefault="00BF0A28">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vAlign w:val="bottom"/>
          </w:tcPr>
          <w:p w14:paraId="67537858" w14:textId="77777777" w:rsidR="001B77DD" w:rsidRDefault="001B77DD">
            <w:pPr>
              <w:rPr>
                <w:rFonts w:ascii="宋体"/>
              </w:rPr>
            </w:pPr>
          </w:p>
        </w:tc>
        <w:tc>
          <w:tcPr>
            <w:tcW w:w="0" w:type="auto"/>
            <w:shd w:val="clear" w:color="auto" w:fill="auto"/>
            <w:vAlign w:val="bottom"/>
          </w:tcPr>
          <w:p w14:paraId="67537859" w14:textId="77777777" w:rsidR="001B77DD" w:rsidRDefault="001B77DD">
            <w:pPr>
              <w:rPr>
                <w:rFonts w:ascii="宋体"/>
                <w:vanish/>
              </w:rPr>
            </w:pPr>
          </w:p>
        </w:tc>
        <w:tc>
          <w:tcPr>
            <w:tcW w:w="0" w:type="auto"/>
            <w:shd w:val="clear" w:color="auto" w:fill="auto"/>
            <w:vAlign w:val="bottom"/>
          </w:tcPr>
          <w:p w14:paraId="6753785A"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85B" w14:textId="77777777" w:rsidR="001B77DD" w:rsidRDefault="00BF0A28">
            <w:pPr>
              <w:jc w:val="right"/>
              <w:textAlignment w:val="bottom"/>
            </w:pPr>
            <w:r>
              <w:rPr>
                <w:rFonts w:ascii="Arial" w:eastAsia="宋体" w:hAnsi="Arial" w:cs="Arial"/>
                <w:color w:val="262626"/>
                <w:sz w:val="18"/>
                <w:szCs w:val="18"/>
              </w:rPr>
              <w:t>(11)</w:t>
            </w:r>
          </w:p>
        </w:tc>
        <w:tc>
          <w:tcPr>
            <w:tcW w:w="0" w:type="auto"/>
            <w:shd w:val="clear" w:color="auto" w:fill="auto"/>
            <w:tcMar>
              <w:top w:w="40" w:type="dxa"/>
              <w:left w:w="0" w:type="dxa"/>
              <w:bottom w:w="40" w:type="dxa"/>
              <w:right w:w="20" w:type="dxa"/>
            </w:tcMar>
            <w:vAlign w:val="bottom"/>
          </w:tcPr>
          <w:p w14:paraId="675378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5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5E" w14:textId="77777777" w:rsidR="001B77DD" w:rsidRDefault="00BF0A28">
            <w:pPr>
              <w:jc w:val="right"/>
              <w:textAlignment w:val="bottom"/>
            </w:pPr>
            <w:r>
              <w:rPr>
                <w:rFonts w:ascii="Arial" w:eastAsia="宋体" w:hAnsi="Arial" w:cs="Arial"/>
                <w:color w:val="262626"/>
                <w:sz w:val="18"/>
                <w:szCs w:val="18"/>
              </w:rPr>
              <w:t>(753)</w:t>
            </w:r>
          </w:p>
        </w:tc>
        <w:tc>
          <w:tcPr>
            <w:tcW w:w="0" w:type="auto"/>
            <w:shd w:val="clear" w:color="auto" w:fill="auto"/>
            <w:tcMar>
              <w:top w:w="40" w:type="dxa"/>
              <w:left w:w="0" w:type="dxa"/>
              <w:bottom w:w="40" w:type="dxa"/>
              <w:right w:w="20" w:type="dxa"/>
            </w:tcMar>
            <w:vAlign w:val="bottom"/>
          </w:tcPr>
          <w:p w14:paraId="6753785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6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61" w14:textId="77777777" w:rsidR="001B77DD" w:rsidRDefault="00BF0A28">
            <w:pPr>
              <w:jc w:val="right"/>
              <w:textAlignment w:val="bottom"/>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vAlign w:val="bottom"/>
          </w:tcPr>
          <w:p w14:paraId="6753786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6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64" w14:textId="77777777" w:rsidR="001B77DD" w:rsidRDefault="00BF0A28">
            <w:pPr>
              <w:jc w:val="right"/>
              <w:textAlignment w:val="bottom"/>
            </w:pPr>
            <w:r>
              <w:rPr>
                <w:rFonts w:ascii="Arial" w:eastAsia="宋体" w:hAnsi="Arial" w:cs="Arial"/>
                <w:color w:val="262626"/>
                <w:sz w:val="18"/>
                <w:szCs w:val="18"/>
              </w:rPr>
              <w:t>(655)</w:t>
            </w:r>
          </w:p>
        </w:tc>
        <w:tc>
          <w:tcPr>
            <w:tcW w:w="0" w:type="auto"/>
            <w:shd w:val="clear" w:color="auto" w:fill="auto"/>
            <w:tcMar>
              <w:top w:w="40" w:type="dxa"/>
              <w:left w:w="0" w:type="dxa"/>
              <w:bottom w:w="40" w:type="dxa"/>
              <w:right w:w="20" w:type="dxa"/>
            </w:tcMar>
            <w:vAlign w:val="bottom"/>
          </w:tcPr>
          <w:p w14:paraId="67537865" w14:textId="77777777" w:rsidR="001B77DD" w:rsidRDefault="001B77DD">
            <w:pPr>
              <w:jc w:val="right"/>
              <w:rPr>
                <w:rFonts w:ascii="宋体"/>
              </w:rPr>
            </w:pPr>
          </w:p>
        </w:tc>
      </w:tr>
      <w:tr w:rsidR="001B77DD" w14:paraId="67537876" w14:textId="77777777">
        <w:tc>
          <w:tcPr>
            <w:tcW w:w="0" w:type="auto"/>
            <w:gridSpan w:val="3"/>
            <w:shd w:val="clear" w:color="auto" w:fill="auto"/>
            <w:tcMar>
              <w:top w:w="40" w:type="dxa"/>
              <w:left w:w="20" w:type="dxa"/>
              <w:bottom w:w="40" w:type="dxa"/>
              <w:right w:w="20" w:type="dxa"/>
            </w:tcMar>
            <w:vAlign w:val="bottom"/>
          </w:tcPr>
          <w:p w14:paraId="67537867" w14:textId="77777777" w:rsidR="001B77DD" w:rsidRDefault="00BF0A28">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vAlign w:val="bottom"/>
          </w:tcPr>
          <w:p w14:paraId="67537868" w14:textId="77777777" w:rsidR="001B77DD" w:rsidRDefault="001B77DD">
            <w:pPr>
              <w:rPr>
                <w:rFonts w:ascii="宋体"/>
              </w:rPr>
            </w:pPr>
          </w:p>
        </w:tc>
        <w:tc>
          <w:tcPr>
            <w:tcW w:w="0" w:type="auto"/>
            <w:shd w:val="clear" w:color="auto" w:fill="auto"/>
            <w:vAlign w:val="bottom"/>
          </w:tcPr>
          <w:p w14:paraId="67537869" w14:textId="77777777" w:rsidR="001B77DD" w:rsidRDefault="001B77DD">
            <w:pPr>
              <w:rPr>
                <w:rFonts w:ascii="宋体"/>
                <w:vanish/>
              </w:rPr>
            </w:pPr>
          </w:p>
        </w:tc>
        <w:tc>
          <w:tcPr>
            <w:tcW w:w="0" w:type="auto"/>
            <w:shd w:val="clear" w:color="auto" w:fill="auto"/>
            <w:vAlign w:val="bottom"/>
          </w:tcPr>
          <w:p w14:paraId="6753786A"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86B" w14:textId="77777777" w:rsidR="001B77DD" w:rsidRDefault="00BF0A28">
            <w:pPr>
              <w:jc w:val="right"/>
              <w:textAlignment w:val="bottom"/>
            </w:pPr>
            <w:r>
              <w:rPr>
                <w:rFonts w:ascii="Arial" w:eastAsia="宋体" w:hAnsi="Arial" w:cs="Arial"/>
                <w:color w:val="262626"/>
                <w:sz w:val="18"/>
                <w:szCs w:val="18"/>
              </w:rPr>
              <w:t>195 </w:t>
            </w:r>
          </w:p>
        </w:tc>
        <w:tc>
          <w:tcPr>
            <w:tcW w:w="0" w:type="auto"/>
            <w:shd w:val="clear" w:color="auto" w:fill="auto"/>
            <w:tcMar>
              <w:top w:w="40" w:type="dxa"/>
              <w:left w:w="0" w:type="dxa"/>
              <w:bottom w:w="40" w:type="dxa"/>
              <w:right w:w="20" w:type="dxa"/>
            </w:tcMar>
            <w:vAlign w:val="bottom"/>
          </w:tcPr>
          <w:p w14:paraId="6753786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6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6E" w14:textId="77777777" w:rsidR="001B77DD" w:rsidRDefault="00BF0A28">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6753786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7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71" w14:textId="77777777" w:rsidR="001B77DD" w:rsidRDefault="00BF0A28">
            <w:pPr>
              <w:jc w:val="right"/>
              <w:textAlignment w:val="bottom"/>
            </w:pPr>
            <w:r>
              <w:rPr>
                <w:rFonts w:ascii="Arial" w:eastAsia="宋体" w:hAnsi="Arial" w:cs="Arial"/>
                <w:color w:val="262626"/>
                <w:sz w:val="18"/>
                <w:szCs w:val="18"/>
              </w:rPr>
              <w:t>(6)</w:t>
            </w:r>
          </w:p>
        </w:tc>
        <w:tc>
          <w:tcPr>
            <w:tcW w:w="0" w:type="auto"/>
            <w:shd w:val="clear" w:color="auto" w:fill="auto"/>
            <w:tcMar>
              <w:top w:w="40" w:type="dxa"/>
              <w:left w:w="0" w:type="dxa"/>
              <w:bottom w:w="40" w:type="dxa"/>
              <w:right w:w="20" w:type="dxa"/>
            </w:tcMar>
            <w:vAlign w:val="bottom"/>
          </w:tcPr>
          <w:p w14:paraId="6753787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7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74" w14:textId="77777777" w:rsidR="001B77DD" w:rsidRDefault="00BF0A28">
            <w:pPr>
              <w:jc w:val="right"/>
              <w:textAlignment w:val="bottom"/>
            </w:pPr>
            <w:r>
              <w:rPr>
                <w:rFonts w:ascii="Arial" w:eastAsia="宋体" w:hAnsi="Arial" w:cs="Arial"/>
                <w:color w:val="262626"/>
                <w:sz w:val="18"/>
                <w:szCs w:val="18"/>
              </w:rPr>
              <w:t>256 </w:t>
            </w:r>
          </w:p>
        </w:tc>
        <w:tc>
          <w:tcPr>
            <w:tcW w:w="0" w:type="auto"/>
            <w:shd w:val="clear" w:color="auto" w:fill="auto"/>
            <w:tcMar>
              <w:top w:w="40" w:type="dxa"/>
              <w:left w:w="0" w:type="dxa"/>
              <w:bottom w:w="40" w:type="dxa"/>
              <w:right w:w="20" w:type="dxa"/>
            </w:tcMar>
            <w:vAlign w:val="bottom"/>
          </w:tcPr>
          <w:p w14:paraId="67537875" w14:textId="77777777" w:rsidR="001B77DD" w:rsidRDefault="001B77DD">
            <w:pPr>
              <w:jc w:val="right"/>
              <w:rPr>
                <w:rFonts w:ascii="宋体"/>
              </w:rPr>
            </w:pPr>
          </w:p>
        </w:tc>
      </w:tr>
      <w:tr w:rsidR="001B77DD" w14:paraId="67537886" w14:textId="77777777">
        <w:tc>
          <w:tcPr>
            <w:tcW w:w="0" w:type="auto"/>
            <w:gridSpan w:val="3"/>
            <w:shd w:val="clear" w:color="auto" w:fill="auto"/>
            <w:tcMar>
              <w:top w:w="40" w:type="dxa"/>
              <w:left w:w="20" w:type="dxa"/>
              <w:bottom w:w="40" w:type="dxa"/>
              <w:right w:w="20" w:type="dxa"/>
            </w:tcMar>
            <w:vAlign w:val="bottom"/>
          </w:tcPr>
          <w:p w14:paraId="67537877" w14:textId="77777777" w:rsidR="001B77DD" w:rsidRDefault="00BF0A28">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vAlign w:val="bottom"/>
          </w:tcPr>
          <w:p w14:paraId="67537878" w14:textId="77777777" w:rsidR="001B77DD" w:rsidRDefault="001B77DD">
            <w:pPr>
              <w:rPr>
                <w:rFonts w:ascii="宋体"/>
              </w:rPr>
            </w:pPr>
          </w:p>
        </w:tc>
        <w:tc>
          <w:tcPr>
            <w:tcW w:w="0" w:type="auto"/>
            <w:shd w:val="clear" w:color="auto" w:fill="auto"/>
            <w:vAlign w:val="bottom"/>
          </w:tcPr>
          <w:p w14:paraId="67537879" w14:textId="77777777" w:rsidR="001B77DD" w:rsidRDefault="001B77DD">
            <w:pPr>
              <w:rPr>
                <w:rFonts w:ascii="宋体"/>
                <w:vanish/>
              </w:rPr>
            </w:pPr>
          </w:p>
        </w:tc>
        <w:tc>
          <w:tcPr>
            <w:tcW w:w="0" w:type="auto"/>
            <w:shd w:val="clear" w:color="auto" w:fill="auto"/>
            <w:vAlign w:val="bottom"/>
          </w:tcPr>
          <w:p w14:paraId="6753787A"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87B" w14:textId="77777777" w:rsidR="001B77DD" w:rsidRDefault="00BF0A28">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6753787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7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7E" w14:textId="77777777" w:rsidR="001B77DD" w:rsidRDefault="00BF0A28">
            <w:pPr>
              <w:jc w:val="right"/>
              <w:textAlignment w:val="bottom"/>
            </w:pPr>
            <w:r>
              <w:rPr>
                <w:rFonts w:ascii="Arial" w:eastAsia="宋体" w:hAnsi="Arial" w:cs="Arial"/>
                <w:color w:val="262626"/>
                <w:sz w:val="18"/>
                <w:szCs w:val="18"/>
              </w:rPr>
              <w:t>122 </w:t>
            </w:r>
          </w:p>
        </w:tc>
        <w:tc>
          <w:tcPr>
            <w:tcW w:w="0" w:type="auto"/>
            <w:shd w:val="clear" w:color="auto" w:fill="auto"/>
            <w:tcMar>
              <w:top w:w="40" w:type="dxa"/>
              <w:left w:w="0" w:type="dxa"/>
              <w:bottom w:w="40" w:type="dxa"/>
              <w:right w:w="20" w:type="dxa"/>
            </w:tcMar>
            <w:vAlign w:val="bottom"/>
          </w:tcPr>
          <w:p w14:paraId="6753787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8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81" w14:textId="77777777" w:rsidR="001B77DD" w:rsidRDefault="00BF0A28">
            <w:pPr>
              <w:jc w:val="right"/>
              <w:textAlignment w:val="bottom"/>
            </w:pPr>
            <w:r>
              <w:rPr>
                <w:rFonts w:ascii="Arial" w:eastAsia="宋体" w:hAnsi="Arial" w:cs="Arial"/>
                <w:color w:val="262626"/>
                <w:sz w:val="18"/>
                <w:szCs w:val="18"/>
              </w:rPr>
              <w:t>(22)</w:t>
            </w:r>
          </w:p>
        </w:tc>
        <w:tc>
          <w:tcPr>
            <w:tcW w:w="0" w:type="auto"/>
            <w:shd w:val="clear" w:color="auto" w:fill="auto"/>
            <w:tcMar>
              <w:top w:w="40" w:type="dxa"/>
              <w:left w:w="0" w:type="dxa"/>
              <w:bottom w:w="40" w:type="dxa"/>
              <w:right w:w="20" w:type="dxa"/>
            </w:tcMar>
            <w:vAlign w:val="bottom"/>
          </w:tcPr>
          <w:p w14:paraId="6753788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8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84" w14:textId="77777777" w:rsidR="001B77DD" w:rsidRDefault="00BF0A28">
            <w:pPr>
              <w:jc w:val="right"/>
              <w:textAlignment w:val="bottom"/>
            </w:pPr>
            <w:r>
              <w:rPr>
                <w:rFonts w:ascii="Arial" w:eastAsia="宋体" w:hAnsi="Arial" w:cs="Arial"/>
                <w:color w:val="262626"/>
                <w:sz w:val="18"/>
                <w:szCs w:val="18"/>
              </w:rPr>
              <w:t>93 </w:t>
            </w:r>
          </w:p>
        </w:tc>
        <w:tc>
          <w:tcPr>
            <w:tcW w:w="0" w:type="auto"/>
            <w:shd w:val="clear" w:color="auto" w:fill="auto"/>
            <w:tcMar>
              <w:top w:w="40" w:type="dxa"/>
              <w:left w:w="0" w:type="dxa"/>
              <w:bottom w:w="40" w:type="dxa"/>
              <w:right w:w="20" w:type="dxa"/>
            </w:tcMar>
            <w:vAlign w:val="bottom"/>
          </w:tcPr>
          <w:p w14:paraId="67537885" w14:textId="77777777" w:rsidR="001B77DD" w:rsidRDefault="001B77DD">
            <w:pPr>
              <w:jc w:val="right"/>
              <w:rPr>
                <w:rFonts w:ascii="宋体"/>
              </w:rPr>
            </w:pPr>
          </w:p>
        </w:tc>
      </w:tr>
      <w:tr w:rsidR="001B77DD" w14:paraId="67537896" w14:textId="77777777">
        <w:tc>
          <w:tcPr>
            <w:tcW w:w="0" w:type="auto"/>
            <w:gridSpan w:val="3"/>
            <w:shd w:val="clear" w:color="auto" w:fill="auto"/>
            <w:tcMar>
              <w:top w:w="40" w:type="dxa"/>
              <w:left w:w="20" w:type="dxa"/>
              <w:bottom w:w="40" w:type="dxa"/>
              <w:right w:w="20" w:type="dxa"/>
            </w:tcMar>
            <w:vAlign w:val="bottom"/>
          </w:tcPr>
          <w:p w14:paraId="67537887" w14:textId="77777777" w:rsidR="001B77DD" w:rsidRDefault="00BF0A28">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7537888" w14:textId="77777777" w:rsidR="001B77DD" w:rsidRDefault="001B77DD">
            <w:pPr>
              <w:rPr>
                <w:rFonts w:ascii="宋体"/>
              </w:rPr>
            </w:pPr>
          </w:p>
        </w:tc>
        <w:tc>
          <w:tcPr>
            <w:tcW w:w="0" w:type="auto"/>
            <w:shd w:val="clear" w:color="auto" w:fill="auto"/>
            <w:vAlign w:val="bottom"/>
          </w:tcPr>
          <w:p w14:paraId="67537889" w14:textId="77777777" w:rsidR="001B77DD" w:rsidRDefault="001B77DD">
            <w:pPr>
              <w:rPr>
                <w:rFonts w:ascii="宋体"/>
                <w:vanish/>
              </w:rPr>
            </w:pPr>
          </w:p>
        </w:tc>
        <w:tc>
          <w:tcPr>
            <w:tcW w:w="0" w:type="auto"/>
            <w:shd w:val="clear" w:color="auto" w:fill="auto"/>
            <w:vAlign w:val="bottom"/>
          </w:tcPr>
          <w:p w14:paraId="6753788A" w14:textId="77777777" w:rsidR="001B77DD" w:rsidRDefault="001B77DD">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8B" w14:textId="77777777" w:rsidR="001B77DD" w:rsidRDefault="00BF0A28">
            <w:pPr>
              <w:jc w:val="right"/>
              <w:textAlignment w:val="bottom"/>
            </w:pPr>
            <w:r>
              <w:rPr>
                <w:rFonts w:ascii="Arial" w:eastAsia="宋体" w:hAnsi="Arial" w:cs="Arial"/>
                <w:b/>
                <w:bCs/>
                <w:color w:val="262626"/>
                <w:sz w:val="18"/>
                <w:szCs w:val="18"/>
              </w:rPr>
              <w:t>177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8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8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8E" w14:textId="77777777" w:rsidR="001B77DD" w:rsidRDefault="00BF0A28">
            <w:pPr>
              <w:jc w:val="right"/>
              <w:textAlignment w:val="bottom"/>
            </w:pPr>
            <w:r>
              <w:rPr>
                <w:rFonts w:ascii="Arial" w:eastAsia="宋体" w:hAnsi="Arial" w:cs="Arial"/>
                <w:b/>
                <w:bCs/>
                <w:color w:val="262626"/>
                <w:sz w:val="18"/>
                <w:szCs w:val="18"/>
              </w:rPr>
              <w:t>(564)</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8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90"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91" w14:textId="77777777" w:rsidR="001B77DD" w:rsidRDefault="00BF0A28">
            <w:pPr>
              <w:jc w:val="right"/>
              <w:textAlignment w:val="bottom"/>
            </w:pPr>
            <w:r>
              <w:rPr>
                <w:rFonts w:ascii="Arial" w:eastAsia="宋体" w:hAnsi="Arial" w:cs="Arial"/>
                <w:b/>
                <w:bCs/>
                <w:color w:val="262626"/>
                <w:sz w:val="18"/>
                <w:szCs w:val="18"/>
              </w:rPr>
              <w:t>81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9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9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94" w14:textId="77777777" w:rsidR="001B77DD" w:rsidRDefault="00BF0A28">
            <w:pPr>
              <w:jc w:val="right"/>
              <w:textAlignment w:val="bottom"/>
            </w:pPr>
            <w:r>
              <w:rPr>
                <w:rFonts w:ascii="Arial" w:eastAsia="宋体" w:hAnsi="Arial" w:cs="Arial"/>
                <w:b/>
                <w:bCs/>
                <w:color w:val="262626"/>
                <w:sz w:val="18"/>
                <w:szCs w:val="18"/>
              </w:rPr>
              <w:t>(306)</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95" w14:textId="77777777" w:rsidR="001B77DD" w:rsidRDefault="001B77DD">
            <w:pPr>
              <w:jc w:val="right"/>
              <w:rPr>
                <w:rFonts w:ascii="宋体"/>
              </w:rPr>
            </w:pPr>
          </w:p>
        </w:tc>
      </w:tr>
      <w:tr w:rsidR="001B77DD" w14:paraId="675378A6" w14:textId="77777777">
        <w:tc>
          <w:tcPr>
            <w:tcW w:w="0" w:type="auto"/>
            <w:gridSpan w:val="3"/>
            <w:shd w:val="clear" w:color="auto" w:fill="auto"/>
            <w:tcMar>
              <w:top w:w="40" w:type="dxa"/>
              <w:left w:w="20" w:type="dxa"/>
              <w:bottom w:w="40" w:type="dxa"/>
              <w:right w:w="20" w:type="dxa"/>
            </w:tcMar>
            <w:vAlign w:val="bottom"/>
          </w:tcPr>
          <w:p w14:paraId="67537897" w14:textId="77777777" w:rsidR="001B77DD" w:rsidRDefault="00BF0A28">
            <w:pPr>
              <w:textAlignment w:val="bottom"/>
            </w:pPr>
            <w:r>
              <w:rPr>
                <w:rFonts w:ascii="Arial" w:eastAsia="宋体" w:hAnsi="Arial" w:cs="Arial"/>
                <w:b/>
                <w:bCs/>
                <w:color w:val="262626"/>
                <w:sz w:val="18"/>
                <w:szCs w:val="18"/>
              </w:rPr>
              <w:t>December 28, 2019</w:t>
            </w:r>
          </w:p>
        </w:tc>
        <w:tc>
          <w:tcPr>
            <w:tcW w:w="0" w:type="auto"/>
            <w:gridSpan w:val="3"/>
            <w:shd w:val="clear" w:color="auto" w:fill="auto"/>
            <w:tcMar>
              <w:top w:w="0" w:type="dxa"/>
              <w:left w:w="20" w:type="dxa"/>
              <w:bottom w:w="0" w:type="dxa"/>
              <w:right w:w="20" w:type="dxa"/>
            </w:tcMar>
            <w:vAlign w:val="bottom"/>
          </w:tcPr>
          <w:p w14:paraId="67537898" w14:textId="77777777" w:rsidR="001B77DD" w:rsidRDefault="001B77DD">
            <w:pPr>
              <w:rPr>
                <w:rFonts w:ascii="宋体"/>
              </w:rPr>
            </w:pPr>
          </w:p>
        </w:tc>
        <w:tc>
          <w:tcPr>
            <w:tcW w:w="0" w:type="auto"/>
            <w:shd w:val="clear" w:color="auto" w:fill="auto"/>
            <w:vAlign w:val="bottom"/>
          </w:tcPr>
          <w:p w14:paraId="67537899" w14:textId="77777777" w:rsidR="001B77DD" w:rsidRDefault="001B77DD">
            <w:pPr>
              <w:rPr>
                <w:rFonts w:ascii="宋体"/>
                <w:vanish/>
              </w:rPr>
            </w:pPr>
          </w:p>
        </w:tc>
        <w:tc>
          <w:tcPr>
            <w:tcW w:w="0" w:type="auto"/>
            <w:shd w:val="clear" w:color="auto" w:fill="auto"/>
            <w:vAlign w:val="bottom"/>
          </w:tcPr>
          <w:p w14:paraId="6753789A" w14:textId="77777777" w:rsidR="001B77DD" w:rsidRDefault="001B77DD">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9B" w14:textId="77777777" w:rsidR="001B77DD" w:rsidRDefault="00BF0A28">
            <w:pPr>
              <w:jc w:val="right"/>
              <w:textAlignment w:val="bottom"/>
            </w:pPr>
            <w:r>
              <w:rPr>
                <w:rFonts w:ascii="Arial" w:eastAsia="宋体" w:hAnsi="Arial" w:cs="Arial"/>
                <w:b/>
                <w:bCs/>
                <w:color w:val="262626"/>
                <w:sz w:val="18"/>
                <w:szCs w:val="18"/>
              </w:rPr>
              <w:t>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9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9D"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9E" w14:textId="77777777" w:rsidR="001B77DD" w:rsidRDefault="00BF0A28">
            <w:pPr>
              <w:jc w:val="right"/>
              <w:textAlignment w:val="bottom"/>
            </w:pPr>
            <w:r>
              <w:rPr>
                <w:rFonts w:ascii="Arial" w:eastAsia="宋体" w:hAnsi="Arial" w:cs="Arial"/>
                <w:b/>
                <w:bCs/>
                <w:color w:val="262626"/>
                <w:sz w:val="18"/>
                <w:szCs w:val="18"/>
              </w:rPr>
              <w:t>(1,382)</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9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A0"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A1" w14:textId="77777777" w:rsidR="001B77DD" w:rsidRDefault="00BF0A28">
            <w:pPr>
              <w:jc w:val="right"/>
              <w:textAlignment w:val="bottom"/>
            </w:pPr>
            <w:r>
              <w:rPr>
                <w:rFonts w:ascii="Arial" w:eastAsia="宋体" w:hAnsi="Arial" w:cs="Arial"/>
                <w:b/>
                <w:bCs/>
                <w:color w:val="262626"/>
                <w:sz w:val="18"/>
                <w:szCs w:val="18"/>
              </w:rPr>
              <w:t>48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A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A3"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A4" w14:textId="77777777" w:rsidR="001B77DD" w:rsidRDefault="00BF0A28">
            <w:pPr>
              <w:jc w:val="right"/>
              <w:textAlignment w:val="bottom"/>
            </w:pPr>
            <w:r>
              <w:rPr>
                <w:rFonts w:ascii="Arial" w:eastAsia="宋体" w:hAnsi="Arial" w:cs="Arial"/>
                <w:b/>
                <w:bCs/>
                <w:color w:val="262626"/>
                <w:sz w:val="18"/>
                <w:szCs w:val="18"/>
              </w:rPr>
              <w:t>(1,280)</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A5" w14:textId="77777777" w:rsidR="001B77DD" w:rsidRDefault="001B77DD">
            <w:pPr>
              <w:jc w:val="right"/>
              <w:rPr>
                <w:rFonts w:ascii="宋体"/>
              </w:rPr>
            </w:pPr>
          </w:p>
        </w:tc>
      </w:tr>
      <w:tr w:rsidR="001B77DD" w14:paraId="675378B2" w14:textId="77777777">
        <w:trPr>
          <w:hidden/>
        </w:trPr>
        <w:tc>
          <w:tcPr>
            <w:tcW w:w="0" w:type="auto"/>
            <w:gridSpan w:val="3"/>
            <w:shd w:val="clear" w:color="auto" w:fill="auto"/>
            <w:vAlign w:val="bottom"/>
          </w:tcPr>
          <w:p w14:paraId="675378A7" w14:textId="77777777" w:rsidR="001B77DD" w:rsidRDefault="001B77DD">
            <w:pPr>
              <w:rPr>
                <w:rFonts w:ascii="宋体"/>
                <w:vanish/>
              </w:rPr>
            </w:pPr>
          </w:p>
        </w:tc>
        <w:tc>
          <w:tcPr>
            <w:tcW w:w="0" w:type="auto"/>
            <w:gridSpan w:val="3"/>
            <w:shd w:val="clear" w:color="auto" w:fill="auto"/>
            <w:vAlign w:val="bottom"/>
          </w:tcPr>
          <w:p w14:paraId="675378A8" w14:textId="77777777" w:rsidR="001B77DD" w:rsidRDefault="001B77DD">
            <w:pPr>
              <w:rPr>
                <w:rFonts w:ascii="宋体"/>
                <w:vanish/>
              </w:rPr>
            </w:pPr>
          </w:p>
        </w:tc>
        <w:tc>
          <w:tcPr>
            <w:tcW w:w="0" w:type="auto"/>
            <w:shd w:val="clear" w:color="auto" w:fill="auto"/>
            <w:vAlign w:val="bottom"/>
          </w:tcPr>
          <w:p w14:paraId="675378A9" w14:textId="77777777" w:rsidR="001B77DD" w:rsidRDefault="001B77DD">
            <w:pPr>
              <w:rPr>
                <w:rFonts w:ascii="宋体"/>
                <w:vanish/>
              </w:rPr>
            </w:pPr>
          </w:p>
        </w:tc>
        <w:tc>
          <w:tcPr>
            <w:tcW w:w="0" w:type="auto"/>
            <w:shd w:val="clear" w:color="auto" w:fill="auto"/>
            <w:vAlign w:val="bottom"/>
          </w:tcPr>
          <w:p w14:paraId="675378AA" w14:textId="77777777" w:rsidR="001B77DD" w:rsidRDefault="001B77DD">
            <w:pPr>
              <w:rPr>
                <w:rFonts w:ascii="宋体"/>
                <w:vanish/>
              </w:rPr>
            </w:pPr>
          </w:p>
        </w:tc>
        <w:tc>
          <w:tcPr>
            <w:tcW w:w="0" w:type="auto"/>
            <w:gridSpan w:val="3"/>
            <w:shd w:val="clear" w:color="auto" w:fill="auto"/>
            <w:vAlign w:val="bottom"/>
          </w:tcPr>
          <w:p w14:paraId="675378AB" w14:textId="77777777" w:rsidR="001B77DD" w:rsidRDefault="001B77DD">
            <w:pPr>
              <w:rPr>
                <w:rFonts w:ascii="宋体"/>
                <w:vanish/>
              </w:rPr>
            </w:pPr>
          </w:p>
        </w:tc>
        <w:tc>
          <w:tcPr>
            <w:tcW w:w="0" w:type="auto"/>
            <w:gridSpan w:val="3"/>
            <w:shd w:val="clear" w:color="auto" w:fill="auto"/>
            <w:vAlign w:val="bottom"/>
          </w:tcPr>
          <w:p w14:paraId="675378AC" w14:textId="77777777" w:rsidR="001B77DD" w:rsidRDefault="001B77DD">
            <w:pPr>
              <w:rPr>
                <w:rFonts w:ascii="宋体"/>
                <w:vanish/>
              </w:rPr>
            </w:pPr>
          </w:p>
        </w:tc>
        <w:tc>
          <w:tcPr>
            <w:tcW w:w="0" w:type="auto"/>
            <w:gridSpan w:val="3"/>
            <w:shd w:val="clear" w:color="auto" w:fill="auto"/>
            <w:vAlign w:val="bottom"/>
          </w:tcPr>
          <w:p w14:paraId="675378AD" w14:textId="77777777" w:rsidR="001B77DD" w:rsidRDefault="001B77DD">
            <w:pPr>
              <w:rPr>
                <w:rFonts w:ascii="宋体"/>
                <w:vanish/>
              </w:rPr>
            </w:pPr>
          </w:p>
        </w:tc>
        <w:tc>
          <w:tcPr>
            <w:tcW w:w="0" w:type="auto"/>
            <w:gridSpan w:val="3"/>
            <w:shd w:val="clear" w:color="auto" w:fill="auto"/>
            <w:vAlign w:val="bottom"/>
          </w:tcPr>
          <w:p w14:paraId="675378AE" w14:textId="77777777" w:rsidR="001B77DD" w:rsidRDefault="001B77DD">
            <w:pPr>
              <w:rPr>
                <w:rFonts w:ascii="宋体"/>
                <w:vanish/>
              </w:rPr>
            </w:pPr>
          </w:p>
        </w:tc>
        <w:tc>
          <w:tcPr>
            <w:tcW w:w="0" w:type="auto"/>
            <w:gridSpan w:val="3"/>
            <w:shd w:val="clear" w:color="auto" w:fill="auto"/>
            <w:vAlign w:val="bottom"/>
          </w:tcPr>
          <w:p w14:paraId="675378AF" w14:textId="77777777" w:rsidR="001B77DD" w:rsidRDefault="001B77DD">
            <w:pPr>
              <w:rPr>
                <w:rFonts w:ascii="宋体"/>
                <w:vanish/>
              </w:rPr>
            </w:pPr>
          </w:p>
        </w:tc>
        <w:tc>
          <w:tcPr>
            <w:tcW w:w="0" w:type="auto"/>
            <w:gridSpan w:val="3"/>
            <w:shd w:val="clear" w:color="auto" w:fill="auto"/>
            <w:vAlign w:val="bottom"/>
          </w:tcPr>
          <w:p w14:paraId="675378B0" w14:textId="77777777" w:rsidR="001B77DD" w:rsidRDefault="001B77DD">
            <w:pPr>
              <w:rPr>
                <w:rFonts w:ascii="宋体"/>
                <w:vanish/>
              </w:rPr>
            </w:pPr>
          </w:p>
        </w:tc>
        <w:tc>
          <w:tcPr>
            <w:tcW w:w="0" w:type="auto"/>
            <w:gridSpan w:val="3"/>
            <w:shd w:val="clear" w:color="auto" w:fill="auto"/>
            <w:vAlign w:val="bottom"/>
          </w:tcPr>
          <w:p w14:paraId="675378B1" w14:textId="77777777" w:rsidR="001B77DD" w:rsidRDefault="001B77DD">
            <w:pPr>
              <w:rPr>
                <w:rFonts w:ascii="宋体"/>
                <w:vanish/>
              </w:rPr>
            </w:pPr>
          </w:p>
        </w:tc>
      </w:tr>
      <w:tr w:rsidR="001B77DD" w14:paraId="675378BE" w14:textId="77777777">
        <w:trPr>
          <w:hidden/>
        </w:trPr>
        <w:tc>
          <w:tcPr>
            <w:tcW w:w="0" w:type="auto"/>
            <w:gridSpan w:val="3"/>
            <w:shd w:val="clear" w:color="auto" w:fill="auto"/>
            <w:vAlign w:val="bottom"/>
          </w:tcPr>
          <w:p w14:paraId="675378B3" w14:textId="77777777" w:rsidR="001B77DD" w:rsidRDefault="001B77DD">
            <w:pPr>
              <w:rPr>
                <w:rFonts w:ascii="宋体"/>
                <w:vanish/>
              </w:rPr>
            </w:pPr>
          </w:p>
        </w:tc>
        <w:tc>
          <w:tcPr>
            <w:tcW w:w="0" w:type="auto"/>
            <w:gridSpan w:val="3"/>
            <w:shd w:val="clear" w:color="auto" w:fill="auto"/>
            <w:vAlign w:val="bottom"/>
          </w:tcPr>
          <w:p w14:paraId="675378B4" w14:textId="77777777" w:rsidR="001B77DD" w:rsidRDefault="001B77DD">
            <w:pPr>
              <w:rPr>
                <w:rFonts w:ascii="宋体"/>
                <w:vanish/>
              </w:rPr>
            </w:pPr>
          </w:p>
        </w:tc>
        <w:tc>
          <w:tcPr>
            <w:tcW w:w="0" w:type="auto"/>
            <w:shd w:val="clear" w:color="auto" w:fill="auto"/>
            <w:vAlign w:val="bottom"/>
          </w:tcPr>
          <w:p w14:paraId="675378B5" w14:textId="77777777" w:rsidR="001B77DD" w:rsidRDefault="001B77DD">
            <w:pPr>
              <w:rPr>
                <w:rFonts w:ascii="宋体"/>
                <w:vanish/>
              </w:rPr>
            </w:pPr>
          </w:p>
        </w:tc>
        <w:tc>
          <w:tcPr>
            <w:tcW w:w="0" w:type="auto"/>
            <w:shd w:val="clear" w:color="auto" w:fill="auto"/>
            <w:vAlign w:val="bottom"/>
          </w:tcPr>
          <w:p w14:paraId="675378B6" w14:textId="77777777" w:rsidR="001B77DD" w:rsidRDefault="001B77DD">
            <w:pPr>
              <w:rPr>
                <w:rFonts w:ascii="宋体"/>
                <w:vanish/>
              </w:rPr>
            </w:pPr>
          </w:p>
        </w:tc>
        <w:tc>
          <w:tcPr>
            <w:tcW w:w="0" w:type="auto"/>
            <w:gridSpan w:val="3"/>
            <w:shd w:val="clear" w:color="auto" w:fill="auto"/>
            <w:vAlign w:val="bottom"/>
          </w:tcPr>
          <w:p w14:paraId="675378B7" w14:textId="77777777" w:rsidR="001B77DD" w:rsidRDefault="001B77DD">
            <w:pPr>
              <w:rPr>
                <w:rFonts w:ascii="宋体"/>
                <w:vanish/>
              </w:rPr>
            </w:pPr>
          </w:p>
        </w:tc>
        <w:tc>
          <w:tcPr>
            <w:tcW w:w="0" w:type="auto"/>
            <w:gridSpan w:val="3"/>
            <w:shd w:val="clear" w:color="auto" w:fill="auto"/>
            <w:vAlign w:val="bottom"/>
          </w:tcPr>
          <w:p w14:paraId="675378B8" w14:textId="77777777" w:rsidR="001B77DD" w:rsidRDefault="001B77DD">
            <w:pPr>
              <w:rPr>
                <w:rFonts w:ascii="宋体"/>
                <w:vanish/>
              </w:rPr>
            </w:pPr>
          </w:p>
        </w:tc>
        <w:tc>
          <w:tcPr>
            <w:tcW w:w="0" w:type="auto"/>
            <w:gridSpan w:val="3"/>
            <w:shd w:val="clear" w:color="auto" w:fill="auto"/>
            <w:vAlign w:val="bottom"/>
          </w:tcPr>
          <w:p w14:paraId="675378B9" w14:textId="77777777" w:rsidR="001B77DD" w:rsidRDefault="001B77DD">
            <w:pPr>
              <w:rPr>
                <w:rFonts w:ascii="宋体"/>
                <w:vanish/>
              </w:rPr>
            </w:pPr>
          </w:p>
        </w:tc>
        <w:tc>
          <w:tcPr>
            <w:tcW w:w="0" w:type="auto"/>
            <w:gridSpan w:val="3"/>
            <w:shd w:val="clear" w:color="auto" w:fill="auto"/>
            <w:vAlign w:val="bottom"/>
          </w:tcPr>
          <w:p w14:paraId="675378BA" w14:textId="77777777" w:rsidR="001B77DD" w:rsidRDefault="001B77DD">
            <w:pPr>
              <w:rPr>
                <w:rFonts w:ascii="宋体"/>
                <w:vanish/>
              </w:rPr>
            </w:pPr>
          </w:p>
        </w:tc>
        <w:tc>
          <w:tcPr>
            <w:tcW w:w="0" w:type="auto"/>
            <w:gridSpan w:val="3"/>
            <w:shd w:val="clear" w:color="auto" w:fill="auto"/>
            <w:vAlign w:val="bottom"/>
          </w:tcPr>
          <w:p w14:paraId="675378BB" w14:textId="77777777" w:rsidR="001B77DD" w:rsidRDefault="001B77DD">
            <w:pPr>
              <w:rPr>
                <w:rFonts w:ascii="宋体"/>
                <w:vanish/>
              </w:rPr>
            </w:pPr>
          </w:p>
        </w:tc>
        <w:tc>
          <w:tcPr>
            <w:tcW w:w="0" w:type="auto"/>
            <w:gridSpan w:val="3"/>
            <w:shd w:val="clear" w:color="auto" w:fill="auto"/>
            <w:vAlign w:val="bottom"/>
          </w:tcPr>
          <w:p w14:paraId="675378BC" w14:textId="77777777" w:rsidR="001B77DD" w:rsidRDefault="001B77DD">
            <w:pPr>
              <w:rPr>
                <w:rFonts w:ascii="宋体"/>
                <w:vanish/>
              </w:rPr>
            </w:pPr>
          </w:p>
        </w:tc>
        <w:tc>
          <w:tcPr>
            <w:tcW w:w="0" w:type="auto"/>
            <w:gridSpan w:val="3"/>
            <w:shd w:val="clear" w:color="auto" w:fill="auto"/>
            <w:vAlign w:val="bottom"/>
          </w:tcPr>
          <w:p w14:paraId="675378BD" w14:textId="77777777" w:rsidR="001B77DD" w:rsidRDefault="001B77DD">
            <w:pPr>
              <w:rPr>
                <w:rFonts w:ascii="宋体"/>
                <w:vanish/>
              </w:rPr>
            </w:pPr>
          </w:p>
        </w:tc>
      </w:tr>
      <w:tr w:rsidR="001B77DD" w14:paraId="675378CE" w14:textId="77777777">
        <w:tc>
          <w:tcPr>
            <w:tcW w:w="0" w:type="auto"/>
            <w:gridSpan w:val="3"/>
            <w:shd w:val="clear" w:color="auto" w:fill="auto"/>
            <w:tcMar>
              <w:top w:w="40" w:type="dxa"/>
              <w:left w:w="20" w:type="dxa"/>
              <w:bottom w:w="40" w:type="dxa"/>
              <w:right w:w="20" w:type="dxa"/>
            </w:tcMar>
            <w:vAlign w:val="bottom"/>
          </w:tcPr>
          <w:p w14:paraId="675378BF" w14:textId="77777777" w:rsidR="001B77DD" w:rsidRDefault="00BF0A28">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vAlign w:val="bottom"/>
          </w:tcPr>
          <w:p w14:paraId="675378C0" w14:textId="77777777" w:rsidR="001B77DD" w:rsidRDefault="001B77DD">
            <w:pPr>
              <w:rPr>
                <w:rFonts w:ascii="宋体"/>
              </w:rPr>
            </w:pPr>
          </w:p>
        </w:tc>
        <w:tc>
          <w:tcPr>
            <w:tcW w:w="0" w:type="auto"/>
            <w:shd w:val="clear" w:color="auto" w:fill="auto"/>
            <w:vAlign w:val="bottom"/>
          </w:tcPr>
          <w:p w14:paraId="675378C1" w14:textId="77777777" w:rsidR="001B77DD" w:rsidRDefault="001B77DD">
            <w:pPr>
              <w:rPr>
                <w:rFonts w:ascii="宋体"/>
                <w:vanish/>
              </w:rPr>
            </w:pPr>
          </w:p>
        </w:tc>
        <w:tc>
          <w:tcPr>
            <w:tcW w:w="0" w:type="auto"/>
            <w:shd w:val="clear" w:color="auto" w:fill="auto"/>
            <w:vAlign w:val="bottom"/>
          </w:tcPr>
          <w:p w14:paraId="675378C2"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8C3" w14:textId="77777777" w:rsidR="001B77DD" w:rsidRDefault="00BF0A28">
            <w:pPr>
              <w:jc w:val="right"/>
              <w:textAlignment w:val="bottom"/>
            </w:pPr>
            <w:r>
              <w:rPr>
                <w:rFonts w:ascii="Arial" w:eastAsia="宋体" w:hAnsi="Arial" w:cs="Arial"/>
                <w:color w:val="262626"/>
                <w:sz w:val="18"/>
                <w:szCs w:val="18"/>
              </w:rPr>
              <w:t>806 </w:t>
            </w:r>
          </w:p>
        </w:tc>
        <w:tc>
          <w:tcPr>
            <w:tcW w:w="0" w:type="auto"/>
            <w:shd w:val="clear" w:color="auto" w:fill="auto"/>
            <w:tcMar>
              <w:top w:w="40" w:type="dxa"/>
              <w:left w:w="0" w:type="dxa"/>
              <w:bottom w:w="40" w:type="dxa"/>
              <w:right w:w="20" w:type="dxa"/>
            </w:tcMar>
            <w:vAlign w:val="bottom"/>
          </w:tcPr>
          <w:p w14:paraId="675378C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C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C6" w14:textId="77777777" w:rsidR="001B77DD" w:rsidRDefault="00BF0A28">
            <w:pPr>
              <w:jc w:val="right"/>
              <w:textAlignment w:val="bottom"/>
            </w:pPr>
            <w:r>
              <w:rPr>
                <w:rFonts w:ascii="Arial" w:eastAsia="宋体" w:hAnsi="Arial" w:cs="Arial"/>
                <w:color w:val="262626"/>
                <w:sz w:val="18"/>
                <w:szCs w:val="18"/>
              </w:rPr>
              <w:t>(323)</w:t>
            </w:r>
          </w:p>
        </w:tc>
        <w:tc>
          <w:tcPr>
            <w:tcW w:w="0" w:type="auto"/>
            <w:shd w:val="clear" w:color="auto" w:fill="auto"/>
            <w:tcMar>
              <w:top w:w="40" w:type="dxa"/>
              <w:left w:w="0" w:type="dxa"/>
              <w:bottom w:w="40" w:type="dxa"/>
              <w:right w:w="20" w:type="dxa"/>
            </w:tcMar>
            <w:vAlign w:val="bottom"/>
          </w:tcPr>
          <w:p w14:paraId="675378C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C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C9" w14:textId="77777777" w:rsidR="001B77DD" w:rsidRDefault="00BF0A28">
            <w:pPr>
              <w:jc w:val="right"/>
              <w:textAlignment w:val="bottom"/>
            </w:pPr>
            <w:r>
              <w:rPr>
                <w:rFonts w:ascii="Arial" w:eastAsia="宋体" w:hAnsi="Arial" w:cs="Arial"/>
                <w:color w:val="262626"/>
                <w:sz w:val="18"/>
                <w:szCs w:val="18"/>
              </w:rPr>
              <w:t>55 </w:t>
            </w:r>
          </w:p>
        </w:tc>
        <w:tc>
          <w:tcPr>
            <w:tcW w:w="0" w:type="auto"/>
            <w:shd w:val="clear" w:color="auto" w:fill="auto"/>
            <w:tcMar>
              <w:top w:w="40" w:type="dxa"/>
              <w:left w:w="0" w:type="dxa"/>
              <w:bottom w:w="40" w:type="dxa"/>
              <w:right w:w="20" w:type="dxa"/>
            </w:tcMar>
            <w:vAlign w:val="bottom"/>
          </w:tcPr>
          <w:p w14:paraId="675378C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C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CC" w14:textId="77777777" w:rsidR="001B77DD" w:rsidRDefault="00BF0A28">
            <w:pPr>
              <w:jc w:val="right"/>
              <w:textAlignment w:val="bottom"/>
            </w:pPr>
            <w:r>
              <w:rPr>
                <w:rFonts w:ascii="Arial" w:eastAsia="宋体" w:hAnsi="Arial" w:cs="Arial"/>
                <w:color w:val="262626"/>
                <w:sz w:val="18"/>
                <w:szCs w:val="18"/>
              </w:rPr>
              <w:t>538 </w:t>
            </w:r>
          </w:p>
        </w:tc>
        <w:tc>
          <w:tcPr>
            <w:tcW w:w="0" w:type="auto"/>
            <w:shd w:val="clear" w:color="auto" w:fill="auto"/>
            <w:tcMar>
              <w:top w:w="40" w:type="dxa"/>
              <w:left w:w="0" w:type="dxa"/>
              <w:bottom w:w="40" w:type="dxa"/>
              <w:right w:w="20" w:type="dxa"/>
            </w:tcMar>
            <w:vAlign w:val="bottom"/>
          </w:tcPr>
          <w:p w14:paraId="675378CD" w14:textId="77777777" w:rsidR="001B77DD" w:rsidRDefault="001B77DD">
            <w:pPr>
              <w:jc w:val="right"/>
              <w:rPr>
                <w:rFonts w:ascii="宋体"/>
              </w:rPr>
            </w:pPr>
          </w:p>
        </w:tc>
      </w:tr>
      <w:tr w:rsidR="001B77DD" w14:paraId="675378DE" w14:textId="77777777">
        <w:tc>
          <w:tcPr>
            <w:tcW w:w="0" w:type="auto"/>
            <w:gridSpan w:val="3"/>
            <w:shd w:val="clear" w:color="auto" w:fill="auto"/>
            <w:tcMar>
              <w:top w:w="40" w:type="dxa"/>
              <w:left w:w="20" w:type="dxa"/>
              <w:bottom w:w="40" w:type="dxa"/>
              <w:right w:w="20" w:type="dxa"/>
            </w:tcMar>
            <w:vAlign w:val="bottom"/>
          </w:tcPr>
          <w:p w14:paraId="675378CF" w14:textId="77777777" w:rsidR="001B77DD" w:rsidRDefault="00BF0A28">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vAlign w:val="bottom"/>
          </w:tcPr>
          <w:p w14:paraId="675378D0" w14:textId="77777777" w:rsidR="001B77DD" w:rsidRDefault="001B77DD">
            <w:pPr>
              <w:rPr>
                <w:rFonts w:ascii="宋体"/>
              </w:rPr>
            </w:pPr>
          </w:p>
        </w:tc>
        <w:tc>
          <w:tcPr>
            <w:tcW w:w="0" w:type="auto"/>
            <w:shd w:val="clear" w:color="auto" w:fill="auto"/>
            <w:vAlign w:val="bottom"/>
          </w:tcPr>
          <w:p w14:paraId="675378D1" w14:textId="77777777" w:rsidR="001B77DD" w:rsidRDefault="001B77DD">
            <w:pPr>
              <w:rPr>
                <w:rFonts w:ascii="宋体"/>
                <w:vanish/>
              </w:rPr>
            </w:pPr>
          </w:p>
        </w:tc>
        <w:tc>
          <w:tcPr>
            <w:tcW w:w="0" w:type="auto"/>
            <w:shd w:val="clear" w:color="auto" w:fill="auto"/>
            <w:vAlign w:val="bottom"/>
          </w:tcPr>
          <w:p w14:paraId="675378D2"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8D3" w14:textId="77777777" w:rsidR="001B77DD" w:rsidRDefault="00BF0A28">
            <w:pPr>
              <w:jc w:val="right"/>
              <w:textAlignment w:val="bottom"/>
            </w:pPr>
            <w:r>
              <w:rPr>
                <w:rFonts w:ascii="Arial" w:eastAsia="宋体" w:hAnsi="Arial" w:cs="Arial"/>
                <w:color w:val="262626"/>
                <w:sz w:val="18"/>
                <w:szCs w:val="18"/>
              </w:rPr>
              <w:t>(8)</w:t>
            </w:r>
          </w:p>
        </w:tc>
        <w:tc>
          <w:tcPr>
            <w:tcW w:w="0" w:type="auto"/>
            <w:shd w:val="clear" w:color="auto" w:fill="auto"/>
            <w:tcMar>
              <w:top w:w="40" w:type="dxa"/>
              <w:left w:w="0" w:type="dxa"/>
              <w:bottom w:w="40" w:type="dxa"/>
              <w:right w:w="20" w:type="dxa"/>
            </w:tcMar>
            <w:vAlign w:val="bottom"/>
          </w:tcPr>
          <w:p w14:paraId="675378D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D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D6" w14:textId="77777777" w:rsidR="001B77DD" w:rsidRDefault="00BF0A28">
            <w:pPr>
              <w:jc w:val="right"/>
              <w:textAlignment w:val="bottom"/>
            </w:pPr>
            <w:r>
              <w:rPr>
                <w:rFonts w:ascii="Arial" w:eastAsia="宋体" w:hAnsi="Arial" w:cs="Arial"/>
                <w:color w:val="262626"/>
                <w:sz w:val="18"/>
                <w:szCs w:val="18"/>
              </w:rPr>
              <w:t>89 </w:t>
            </w:r>
          </w:p>
        </w:tc>
        <w:tc>
          <w:tcPr>
            <w:tcW w:w="0" w:type="auto"/>
            <w:shd w:val="clear" w:color="auto" w:fill="auto"/>
            <w:tcMar>
              <w:top w:w="40" w:type="dxa"/>
              <w:left w:w="0" w:type="dxa"/>
              <w:bottom w:w="40" w:type="dxa"/>
              <w:right w:w="20" w:type="dxa"/>
            </w:tcMar>
            <w:vAlign w:val="bottom"/>
          </w:tcPr>
          <w:p w14:paraId="675378D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D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D9" w14:textId="77777777" w:rsidR="001B77DD" w:rsidRDefault="00BF0A28">
            <w:pPr>
              <w:jc w:val="right"/>
              <w:textAlignment w:val="bottom"/>
            </w:pPr>
            <w:r>
              <w:rPr>
                <w:rFonts w:ascii="Arial" w:eastAsia="宋体" w:hAnsi="Arial" w:cs="Arial"/>
                <w:color w:val="262626"/>
                <w:sz w:val="18"/>
                <w:szCs w:val="18"/>
              </w:rPr>
              <w:t>(11)</w:t>
            </w:r>
          </w:p>
        </w:tc>
        <w:tc>
          <w:tcPr>
            <w:tcW w:w="0" w:type="auto"/>
            <w:shd w:val="clear" w:color="auto" w:fill="auto"/>
            <w:tcMar>
              <w:top w:w="40" w:type="dxa"/>
              <w:left w:w="0" w:type="dxa"/>
              <w:bottom w:w="40" w:type="dxa"/>
              <w:right w:w="20" w:type="dxa"/>
            </w:tcMar>
            <w:vAlign w:val="bottom"/>
          </w:tcPr>
          <w:p w14:paraId="675378D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D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DC" w14:textId="77777777" w:rsidR="001B77DD" w:rsidRDefault="00BF0A28">
            <w:pPr>
              <w:jc w:val="right"/>
              <w:textAlignment w:val="bottom"/>
            </w:pPr>
            <w:r>
              <w:rPr>
                <w:rFonts w:ascii="Arial" w:eastAsia="宋体" w:hAnsi="Arial" w:cs="Arial"/>
                <w:color w:val="262626"/>
                <w:sz w:val="18"/>
                <w:szCs w:val="18"/>
              </w:rPr>
              <w:t>70 </w:t>
            </w:r>
          </w:p>
        </w:tc>
        <w:tc>
          <w:tcPr>
            <w:tcW w:w="0" w:type="auto"/>
            <w:shd w:val="clear" w:color="auto" w:fill="auto"/>
            <w:tcMar>
              <w:top w:w="40" w:type="dxa"/>
              <w:left w:w="0" w:type="dxa"/>
              <w:bottom w:w="40" w:type="dxa"/>
              <w:right w:w="20" w:type="dxa"/>
            </w:tcMar>
            <w:vAlign w:val="bottom"/>
          </w:tcPr>
          <w:p w14:paraId="675378DD" w14:textId="77777777" w:rsidR="001B77DD" w:rsidRDefault="001B77DD">
            <w:pPr>
              <w:jc w:val="right"/>
              <w:rPr>
                <w:rFonts w:ascii="宋体"/>
              </w:rPr>
            </w:pPr>
          </w:p>
        </w:tc>
      </w:tr>
      <w:tr w:rsidR="001B77DD" w14:paraId="675378EE" w14:textId="77777777">
        <w:tc>
          <w:tcPr>
            <w:tcW w:w="0" w:type="auto"/>
            <w:gridSpan w:val="3"/>
            <w:shd w:val="clear" w:color="auto" w:fill="auto"/>
            <w:tcMar>
              <w:top w:w="40" w:type="dxa"/>
              <w:left w:w="20" w:type="dxa"/>
              <w:bottom w:w="40" w:type="dxa"/>
              <w:right w:w="20" w:type="dxa"/>
            </w:tcMar>
            <w:vAlign w:val="bottom"/>
          </w:tcPr>
          <w:p w14:paraId="675378DF" w14:textId="77777777" w:rsidR="001B77DD" w:rsidRDefault="00BF0A28">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vAlign w:val="bottom"/>
          </w:tcPr>
          <w:p w14:paraId="675378E0" w14:textId="77777777" w:rsidR="001B77DD" w:rsidRDefault="001B77DD">
            <w:pPr>
              <w:rPr>
                <w:rFonts w:ascii="宋体"/>
              </w:rPr>
            </w:pPr>
          </w:p>
        </w:tc>
        <w:tc>
          <w:tcPr>
            <w:tcW w:w="0" w:type="auto"/>
            <w:shd w:val="clear" w:color="auto" w:fill="auto"/>
            <w:vAlign w:val="bottom"/>
          </w:tcPr>
          <w:p w14:paraId="675378E1" w14:textId="77777777" w:rsidR="001B77DD" w:rsidRDefault="001B77DD">
            <w:pPr>
              <w:rPr>
                <w:rFonts w:ascii="宋体"/>
                <w:vanish/>
              </w:rPr>
            </w:pPr>
          </w:p>
        </w:tc>
        <w:tc>
          <w:tcPr>
            <w:tcW w:w="0" w:type="auto"/>
            <w:shd w:val="clear" w:color="auto" w:fill="auto"/>
            <w:vAlign w:val="bottom"/>
          </w:tcPr>
          <w:p w14:paraId="675378E2"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8E3" w14:textId="77777777" w:rsidR="001B77DD" w:rsidRDefault="00BF0A28">
            <w:pPr>
              <w:jc w:val="right"/>
              <w:textAlignment w:val="bottom"/>
            </w:pPr>
            <w:r>
              <w:rPr>
                <w:rFonts w:ascii="Arial" w:eastAsia="宋体" w:hAnsi="Arial" w:cs="Arial"/>
                <w:color w:val="262626"/>
                <w:sz w:val="18"/>
                <w:szCs w:val="18"/>
              </w:rPr>
              <w:t>(121)</w:t>
            </w:r>
          </w:p>
        </w:tc>
        <w:tc>
          <w:tcPr>
            <w:tcW w:w="0" w:type="auto"/>
            <w:shd w:val="clear" w:color="auto" w:fill="auto"/>
            <w:tcMar>
              <w:top w:w="40" w:type="dxa"/>
              <w:left w:w="0" w:type="dxa"/>
              <w:bottom w:w="40" w:type="dxa"/>
              <w:right w:w="20" w:type="dxa"/>
            </w:tcMar>
            <w:vAlign w:val="bottom"/>
          </w:tcPr>
          <w:p w14:paraId="675378E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E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E6" w14:textId="77777777" w:rsidR="001B77DD" w:rsidRDefault="00BF0A28">
            <w:pPr>
              <w:jc w:val="right"/>
              <w:textAlignment w:val="bottom"/>
            </w:pPr>
            <w:r>
              <w:rPr>
                <w:rFonts w:ascii="Arial" w:eastAsia="宋体" w:hAnsi="Arial" w:cs="Arial"/>
                <w:color w:val="262626"/>
                <w:sz w:val="18"/>
                <w:szCs w:val="18"/>
              </w:rPr>
              <w:t>51 </w:t>
            </w:r>
          </w:p>
        </w:tc>
        <w:tc>
          <w:tcPr>
            <w:tcW w:w="0" w:type="auto"/>
            <w:shd w:val="clear" w:color="auto" w:fill="auto"/>
            <w:tcMar>
              <w:top w:w="40" w:type="dxa"/>
              <w:left w:w="0" w:type="dxa"/>
              <w:bottom w:w="40" w:type="dxa"/>
              <w:right w:w="20" w:type="dxa"/>
            </w:tcMar>
            <w:vAlign w:val="bottom"/>
          </w:tcPr>
          <w:p w14:paraId="675378E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E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E9" w14:textId="77777777" w:rsidR="001B77DD" w:rsidRDefault="00BF0A28">
            <w:pPr>
              <w:jc w:val="right"/>
              <w:textAlignment w:val="bottom"/>
            </w:pPr>
            <w:r>
              <w:rPr>
                <w:rFonts w:ascii="Arial" w:eastAsia="宋体" w:hAnsi="Arial" w:cs="Arial"/>
                <w:color w:val="262626"/>
                <w:sz w:val="18"/>
                <w:szCs w:val="18"/>
              </w:rPr>
              <w:t>(9)</w:t>
            </w:r>
          </w:p>
        </w:tc>
        <w:tc>
          <w:tcPr>
            <w:tcW w:w="0" w:type="auto"/>
            <w:shd w:val="clear" w:color="auto" w:fill="auto"/>
            <w:tcMar>
              <w:top w:w="40" w:type="dxa"/>
              <w:left w:w="0" w:type="dxa"/>
              <w:bottom w:w="40" w:type="dxa"/>
              <w:right w:w="20" w:type="dxa"/>
            </w:tcMar>
            <w:vAlign w:val="bottom"/>
          </w:tcPr>
          <w:p w14:paraId="675378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8EC" w14:textId="77777777" w:rsidR="001B77DD" w:rsidRDefault="00BF0A28">
            <w:pPr>
              <w:jc w:val="right"/>
              <w:textAlignment w:val="bottom"/>
            </w:pPr>
            <w:r>
              <w:rPr>
                <w:rFonts w:ascii="Arial" w:eastAsia="宋体" w:hAnsi="Arial" w:cs="Arial"/>
                <w:color w:val="262626"/>
                <w:sz w:val="18"/>
                <w:szCs w:val="18"/>
              </w:rPr>
              <w:t>(79)</w:t>
            </w:r>
          </w:p>
        </w:tc>
        <w:tc>
          <w:tcPr>
            <w:tcW w:w="0" w:type="auto"/>
            <w:shd w:val="clear" w:color="auto" w:fill="auto"/>
            <w:tcMar>
              <w:top w:w="40" w:type="dxa"/>
              <w:left w:w="0" w:type="dxa"/>
              <w:bottom w:w="40" w:type="dxa"/>
              <w:right w:w="20" w:type="dxa"/>
            </w:tcMar>
            <w:vAlign w:val="bottom"/>
          </w:tcPr>
          <w:p w14:paraId="675378ED" w14:textId="77777777" w:rsidR="001B77DD" w:rsidRDefault="001B77DD">
            <w:pPr>
              <w:jc w:val="right"/>
              <w:rPr>
                <w:rFonts w:ascii="宋体"/>
              </w:rPr>
            </w:pPr>
          </w:p>
        </w:tc>
      </w:tr>
      <w:tr w:rsidR="001B77DD" w14:paraId="675378FE" w14:textId="77777777">
        <w:tc>
          <w:tcPr>
            <w:tcW w:w="0" w:type="auto"/>
            <w:gridSpan w:val="3"/>
            <w:shd w:val="clear" w:color="auto" w:fill="auto"/>
            <w:tcMar>
              <w:top w:w="40" w:type="dxa"/>
              <w:left w:w="20" w:type="dxa"/>
              <w:bottom w:w="40" w:type="dxa"/>
              <w:right w:w="20" w:type="dxa"/>
            </w:tcMar>
            <w:vAlign w:val="bottom"/>
          </w:tcPr>
          <w:p w14:paraId="675378EF" w14:textId="77777777" w:rsidR="001B77DD" w:rsidRDefault="00BF0A28">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75378F0" w14:textId="77777777" w:rsidR="001B77DD" w:rsidRDefault="001B77DD">
            <w:pPr>
              <w:rPr>
                <w:rFonts w:ascii="宋体"/>
              </w:rPr>
            </w:pPr>
          </w:p>
        </w:tc>
        <w:tc>
          <w:tcPr>
            <w:tcW w:w="0" w:type="auto"/>
            <w:shd w:val="clear" w:color="auto" w:fill="auto"/>
            <w:vAlign w:val="bottom"/>
          </w:tcPr>
          <w:p w14:paraId="675378F1" w14:textId="77777777" w:rsidR="001B77DD" w:rsidRDefault="001B77DD">
            <w:pPr>
              <w:rPr>
                <w:rFonts w:ascii="宋体"/>
                <w:vanish/>
              </w:rPr>
            </w:pPr>
          </w:p>
        </w:tc>
        <w:tc>
          <w:tcPr>
            <w:tcW w:w="0" w:type="auto"/>
            <w:shd w:val="clear" w:color="auto" w:fill="auto"/>
            <w:vAlign w:val="bottom"/>
          </w:tcPr>
          <w:p w14:paraId="675378F2" w14:textId="77777777" w:rsidR="001B77DD" w:rsidRDefault="001B77DD">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F3" w14:textId="77777777" w:rsidR="001B77DD" w:rsidRDefault="00BF0A28">
            <w:pPr>
              <w:jc w:val="right"/>
              <w:textAlignment w:val="bottom"/>
            </w:pPr>
            <w:r>
              <w:rPr>
                <w:rFonts w:ascii="Arial" w:eastAsia="宋体" w:hAnsi="Arial" w:cs="Arial"/>
                <w:b/>
                <w:bCs/>
                <w:color w:val="262626"/>
                <w:sz w:val="18"/>
                <w:szCs w:val="18"/>
              </w:rPr>
              <w:t>677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F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F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F6" w14:textId="77777777" w:rsidR="001B77DD" w:rsidRDefault="00BF0A28">
            <w:pPr>
              <w:jc w:val="right"/>
              <w:textAlignment w:val="bottom"/>
            </w:pPr>
            <w:r>
              <w:rPr>
                <w:rFonts w:ascii="Arial" w:eastAsia="宋体" w:hAnsi="Arial" w:cs="Arial"/>
                <w:b/>
                <w:bCs/>
                <w:color w:val="262626"/>
                <w:sz w:val="18"/>
                <w:szCs w:val="18"/>
              </w:rPr>
              <w:t>(183)</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F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F8"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F9" w14:textId="77777777" w:rsidR="001B77DD" w:rsidRDefault="00BF0A28">
            <w:pPr>
              <w:jc w:val="right"/>
              <w:textAlignment w:val="bottom"/>
            </w:pPr>
            <w:r>
              <w:rPr>
                <w:rFonts w:ascii="Arial" w:eastAsia="宋体" w:hAnsi="Arial" w:cs="Arial"/>
                <w:b/>
                <w:bCs/>
                <w:color w:val="262626"/>
                <w:sz w:val="18"/>
                <w:szCs w:val="18"/>
              </w:rPr>
              <w:t>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F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8FB"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8FC" w14:textId="77777777" w:rsidR="001B77DD" w:rsidRDefault="00BF0A28">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8FD" w14:textId="77777777" w:rsidR="001B77DD" w:rsidRDefault="001B77DD">
            <w:pPr>
              <w:jc w:val="right"/>
              <w:rPr>
                <w:rFonts w:ascii="宋体"/>
              </w:rPr>
            </w:pPr>
          </w:p>
        </w:tc>
      </w:tr>
      <w:tr w:rsidR="001B77DD" w14:paraId="6753790E" w14:textId="77777777">
        <w:tc>
          <w:tcPr>
            <w:tcW w:w="0" w:type="auto"/>
            <w:gridSpan w:val="3"/>
            <w:shd w:val="clear" w:color="auto" w:fill="auto"/>
            <w:tcMar>
              <w:top w:w="40" w:type="dxa"/>
              <w:left w:w="20" w:type="dxa"/>
              <w:bottom w:w="40" w:type="dxa"/>
              <w:right w:w="20" w:type="dxa"/>
            </w:tcMar>
            <w:vAlign w:val="bottom"/>
          </w:tcPr>
          <w:p w14:paraId="675378FF" w14:textId="77777777" w:rsidR="001B77DD" w:rsidRDefault="00BF0A28">
            <w:pP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vAlign w:val="bottom"/>
          </w:tcPr>
          <w:p w14:paraId="67537900" w14:textId="77777777" w:rsidR="001B77DD" w:rsidRDefault="001B77DD">
            <w:pPr>
              <w:rPr>
                <w:rFonts w:ascii="宋体"/>
              </w:rPr>
            </w:pPr>
          </w:p>
        </w:tc>
        <w:tc>
          <w:tcPr>
            <w:tcW w:w="0" w:type="auto"/>
            <w:shd w:val="clear" w:color="auto" w:fill="auto"/>
            <w:vAlign w:val="bottom"/>
          </w:tcPr>
          <w:p w14:paraId="67537901" w14:textId="77777777" w:rsidR="001B77DD" w:rsidRDefault="001B77DD">
            <w:pPr>
              <w:rPr>
                <w:rFonts w:ascii="宋体"/>
                <w:vanish/>
              </w:rPr>
            </w:pPr>
          </w:p>
        </w:tc>
        <w:tc>
          <w:tcPr>
            <w:tcW w:w="0" w:type="auto"/>
            <w:shd w:val="clear" w:color="auto" w:fill="auto"/>
            <w:vAlign w:val="bottom"/>
          </w:tcPr>
          <w:p w14:paraId="67537902" w14:textId="77777777" w:rsidR="001B77DD" w:rsidRDefault="001B77DD">
            <w:pPr>
              <w:rPr>
                <w:rFonts w:ascii="宋体"/>
                <w:vanish/>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903" w14:textId="77777777" w:rsidR="001B77DD" w:rsidRDefault="00BF0A28">
            <w:pPr>
              <w:jc w:val="right"/>
              <w:textAlignment w:val="bottom"/>
            </w:pPr>
            <w:r>
              <w:rPr>
                <w:rFonts w:ascii="Arial" w:eastAsia="宋体" w:hAnsi="Arial" w:cs="Arial"/>
                <w:b/>
                <w:bCs/>
                <w:color w:val="262626"/>
                <w:sz w:val="18"/>
                <w:szCs w:val="18"/>
              </w:rPr>
              <w:t>731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90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0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906" w14:textId="77777777" w:rsidR="001B77DD" w:rsidRDefault="00BF0A28">
            <w:pPr>
              <w:jc w:val="right"/>
              <w:textAlignment w:val="bottom"/>
            </w:pPr>
            <w:r>
              <w:rPr>
                <w:rFonts w:ascii="Arial" w:eastAsia="宋体" w:hAnsi="Arial" w:cs="Arial"/>
                <w:b/>
                <w:bCs/>
                <w:color w:val="262626"/>
                <w:sz w:val="18"/>
                <w:szCs w:val="18"/>
              </w:rPr>
              <w:t>(1,565)</w:t>
            </w:r>
          </w:p>
        </w:tc>
        <w:tc>
          <w:tcPr>
            <w:tcW w:w="0" w:type="auto"/>
            <w:tcBorders>
              <w:top w:val="single" w:sz="4" w:space="0" w:color="262626"/>
            </w:tcBorders>
            <w:shd w:val="clear" w:color="auto" w:fill="auto"/>
            <w:tcMar>
              <w:top w:w="40" w:type="dxa"/>
              <w:left w:w="0" w:type="dxa"/>
              <w:bottom w:w="40" w:type="dxa"/>
              <w:right w:w="20" w:type="dxa"/>
            </w:tcMar>
            <w:vAlign w:val="bottom"/>
          </w:tcPr>
          <w:p w14:paraId="6753790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08"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909" w14:textId="77777777" w:rsidR="001B77DD" w:rsidRDefault="00BF0A28">
            <w:pPr>
              <w:jc w:val="right"/>
              <w:textAlignment w:val="bottom"/>
            </w:pPr>
            <w:r>
              <w:rPr>
                <w:rFonts w:ascii="Arial" w:eastAsia="宋体" w:hAnsi="Arial" w:cs="Arial"/>
                <w:b/>
                <w:bCs/>
                <w:color w:val="262626"/>
                <w:sz w:val="18"/>
                <w:szCs w:val="18"/>
              </w:rPr>
              <w:t>83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90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0B"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90C" w14:textId="77777777" w:rsidR="001B77DD" w:rsidRDefault="00BF0A28">
            <w:pPr>
              <w:jc w:val="right"/>
              <w:textAlignment w:val="bottom"/>
            </w:pPr>
            <w:r>
              <w:rPr>
                <w:rFonts w:ascii="Arial" w:eastAsia="宋体" w:hAnsi="Arial" w:cs="Arial"/>
                <w:b/>
                <w:bCs/>
                <w:color w:val="262626"/>
                <w:sz w:val="18"/>
                <w:szCs w:val="18"/>
              </w:rPr>
              <w:t>(751)</w:t>
            </w:r>
          </w:p>
        </w:tc>
        <w:tc>
          <w:tcPr>
            <w:tcW w:w="0" w:type="auto"/>
            <w:tcBorders>
              <w:top w:val="single" w:sz="4" w:space="0" w:color="262626"/>
            </w:tcBorders>
            <w:shd w:val="clear" w:color="auto" w:fill="auto"/>
            <w:tcMar>
              <w:top w:w="40" w:type="dxa"/>
              <w:left w:w="0" w:type="dxa"/>
              <w:bottom w:w="40" w:type="dxa"/>
              <w:right w:w="20" w:type="dxa"/>
            </w:tcMar>
            <w:vAlign w:val="bottom"/>
          </w:tcPr>
          <w:p w14:paraId="6753790D" w14:textId="77777777" w:rsidR="001B77DD" w:rsidRDefault="001B77DD">
            <w:pPr>
              <w:jc w:val="right"/>
              <w:rPr>
                <w:rFonts w:ascii="宋体"/>
              </w:rPr>
            </w:pPr>
          </w:p>
        </w:tc>
      </w:tr>
      <w:tr w:rsidR="001B77DD" w14:paraId="6753791E" w14:textId="77777777">
        <w:tc>
          <w:tcPr>
            <w:tcW w:w="0" w:type="auto"/>
            <w:gridSpan w:val="3"/>
            <w:shd w:val="clear" w:color="auto" w:fill="auto"/>
            <w:tcMar>
              <w:top w:w="40" w:type="dxa"/>
              <w:left w:w="20" w:type="dxa"/>
              <w:bottom w:w="40" w:type="dxa"/>
              <w:right w:w="20" w:type="dxa"/>
            </w:tcMar>
            <w:vAlign w:val="bottom"/>
          </w:tcPr>
          <w:p w14:paraId="6753790F" w14:textId="77777777" w:rsidR="001B77DD" w:rsidRDefault="00BF0A28">
            <w:pPr>
              <w:textAlignment w:val="bottom"/>
            </w:pPr>
            <w:r>
              <w:rPr>
                <w:rFonts w:ascii="Arial" w:eastAsia="宋体" w:hAnsi="Arial" w:cs="Arial"/>
                <w:color w:val="262626"/>
                <w:sz w:val="18"/>
                <w:szCs w:val="18"/>
              </w:rPr>
              <w:t>Other comprehensive income (loss) before reclassifications</w:t>
            </w:r>
          </w:p>
        </w:tc>
        <w:tc>
          <w:tcPr>
            <w:tcW w:w="0" w:type="auto"/>
            <w:gridSpan w:val="3"/>
            <w:shd w:val="clear" w:color="auto" w:fill="auto"/>
            <w:tcMar>
              <w:top w:w="0" w:type="dxa"/>
              <w:left w:w="20" w:type="dxa"/>
              <w:bottom w:w="0" w:type="dxa"/>
              <w:right w:w="20" w:type="dxa"/>
            </w:tcMar>
            <w:vAlign w:val="bottom"/>
          </w:tcPr>
          <w:p w14:paraId="67537910" w14:textId="77777777" w:rsidR="001B77DD" w:rsidRDefault="001B77DD">
            <w:pPr>
              <w:rPr>
                <w:rFonts w:ascii="宋体"/>
              </w:rPr>
            </w:pPr>
          </w:p>
        </w:tc>
        <w:tc>
          <w:tcPr>
            <w:tcW w:w="0" w:type="auto"/>
            <w:shd w:val="clear" w:color="auto" w:fill="auto"/>
            <w:vAlign w:val="bottom"/>
          </w:tcPr>
          <w:p w14:paraId="67537911" w14:textId="77777777" w:rsidR="001B77DD" w:rsidRDefault="001B77DD">
            <w:pPr>
              <w:rPr>
                <w:rFonts w:ascii="宋体"/>
                <w:vanish/>
              </w:rPr>
            </w:pPr>
          </w:p>
        </w:tc>
        <w:tc>
          <w:tcPr>
            <w:tcW w:w="0" w:type="auto"/>
            <w:shd w:val="clear" w:color="auto" w:fill="auto"/>
            <w:vAlign w:val="bottom"/>
          </w:tcPr>
          <w:p w14:paraId="67537912"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913" w14:textId="77777777" w:rsidR="001B77DD" w:rsidRDefault="00BF0A28">
            <w:pPr>
              <w:jc w:val="right"/>
              <w:textAlignment w:val="bottom"/>
            </w:pPr>
            <w:r>
              <w:rPr>
                <w:rFonts w:ascii="Arial" w:eastAsia="宋体" w:hAnsi="Arial" w:cs="Arial"/>
                <w:color w:val="0068B5"/>
                <w:sz w:val="18"/>
                <w:szCs w:val="18"/>
              </w:rPr>
              <w:t>(434)</w:t>
            </w:r>
          </w:p>
        </w:tc>
        <w:tc>
          <w:tcPr>
            <w:tcW w:w="0" w:type="auto"/>
            <w:shd w:val="clear" w:color="auto" w:fill="auto"/>
            <w:tcMar>
              <w:top w:w="40" w:type="dxa"/>
              <w:left w:w="0" w:type="dxa"/>
              <w:bottom w:w="40" w:type="dxa"/>
              <w:right w:w="20" w:type="dxa"/>
            </w:tcMar>
            <w:vAlign w:val="bottom"/>
          </w:tcPr>
          <w:p w14:paraId="6753791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1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16" w14:textId="77777777" w:rsidR="001B77DD" w:rsidRDefault="00BF0A28">
            <w:pPr>
              <w:jc w:val="right"/>
              <w:textAlignment w:val="bottom"/>
            </w:pPr>
            <w:r>
              <w:rPr>
                <w:rFonts w:ascii="Arial" w:eastAsia="宋体" w:hAnsi="Arial" w:cs="Arial"/>
                <w:color w:val="0068B5"/>
                <w:sz w:val="18"/>
                <w:szCs w:val="18"/>
              </w:rPr>
              <w:t>476 </w:t>
            </w:r>
          </w:p>
        </w:tc>
        <w:tc>
          <w:tcPr>
            <w:tcW w:w="0" w:type="auto"/>
            <w:shd w:val="clear" w:color="auto" w:fill="auto"/>
            <w:tcMar>
              <w:top w:w="40" w:type="dxa"/>
              <w:left w:w="0" w:type="dxa"/>
              <w:bottom w:w="40" w:type="dxa"/>
              <w:right w:w="20" w:type="dxa"/>
            </w:tcMar>
            <w:vAlign w:val="bottom"/>
          </w:tcPr>
          <w:p w14:paraId="6753791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1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19" w14:textId="77777777" w:rsidR="001B77DD" w:rsidRDefault="00BF0A28">
            <w:pPr>
              <w:jc w:val="right"/>
              <w:textAlignment w:val="bottom"/>
            </w:pPr>
            <w:r>
              <w:rPr>
                <w:rFonts w:ascii="Arial" w:eastAsia="宋体" w:hAnsi="Arial" w:cs="Arial"/>
                <w:color w:val="0068B5"/>
                <w:sz w:val="18"/>
                <w:szCs w:val="18"/>
              </w:rPr>
              <w:t>(58)</w:t>
            </w:r>
          </w:p>
        </w:tc>
        <w:tc>
          <w:tcPr>
            <w:tcW w:w="0" w:type="auto"/>
            <w:shd w:val="clear" w:color="auto" w:fill="auto"/>
            <w:tcMar>
              <w:top w:w="40" w:type="dxa"/>
              <w:left w:w="0" w:type="dxa"/>
              <w:bottom w:w="40" w:type="dxa"/>
              <w:right w:w="20" w:type="dxa"/>
            </w:tcMar>
            <w:vAlign w:val="bottom"/>
          </w:tcPr>
          <w:p w14:paraId="6753791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1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1C" w14:textId="77777777" w:rsidR="001B77DD" w:rsidRDefault="00BF0A28">
            <w:pPr>
              <w:jc w:val="right"/>
              <w:textAlignment w:val="bottom"/>
            </w:pPr>
            <w:r>
              <w:rPr>
                <w:rFonts w:ascii="Arial" w:eastAsia="宋体" w:hAnsi="Arial" w:cs="Arial"/>
                <w:color w:val="0068B5"/>
                <w:sz w:val="18"/>
                <w:szCs w:val="18"/>
              </w:rPr>
              <w:t>(16)</w:t>
            </w:r>
          </w:p>
        </w:tc>
        <w:tc>
          <w:tcPr>
            <w:tcW w:w="0" w:type="auto"/>
            <w:shd w:val="clear" w:color="auto" w:fill="auto"/>
            <w:tcMar>
              <w:top w:w="40" w:type="dxa"/>
              <w:left w:w="0" w:type="dxa"/>
              <w:bottom w:w="40" w:type="dxa"/>
              <w:right w:w="20" w:type="dxa"/>
            </w:tcMar>
            <w:vAlign w:val="bottom"/>
          </w:tcPr>
          <w:p w14:paraId="6753791D" w14:textId="77777777" w:rsidR="001B77DD" w:rsidRDefault="001B77DD">
            <w:pPr>
              <w:jc w:val="right"/>
              <w:rPr>
                <w:rFonts w:ascii="宋体"/>
              </w:rPr>
            </w:pPr>
          </w:p>
        </w:tc>
      </w:tr>
      <w:tr w:rsidR="001B77DD" w14:paraId="6753792E" w14:textId="77777777">
        <w:tc>
          <w:tcPr>
            <w:tcW w:w="0" w:type="auto"/>
            <w:gridSpan w:val="3"/>
            <w:shd w:val="clear" w:color="auto" w:fill="auto"/>
            <w:tcMar>
              <w:top w:w="40" w:type="dxa"/>
              <w:left w:w="20" w:type="dxa"/>
              <w:bottom w:w="40" w:type="dxa"/>
              <w:right w:w="20" w:type="dxa"/>
            </w:tcMar>
            <w:vAlign w:val="bottom"/>
          </w:tcPr>
          <w:p w14:paraId="6753791F" w14:textId="77777777" w:rsidR="001B77DD" w:rsidRDefault="00BF0A28">
            <w:pPr>
              <w:textAlignment w:val="bottom"/>
            </w:pPr>
            <w:r>
              <w:rPr>
                <w:rFonts w:ascii="Arial" w:eastAsia="宋体" w:hAnsi="Arial" w:cs="Arial"/>
                <w:color w:val="262626"/>
                <w:sz w:val="18"/>
                <w:szCs w:val="18"/>
              </w:rPr>
              <w:t>Amounts reclassified out of accumulated other comprehensive income (loss)</w:t>
            </w:r>
          </w:p>
        </w:tc>
        <w:tc>
          <w:tcPr>
            <w:tcW w:w="0" w:type="auto"/>
            <w:gridSpan w:val="3"/>
            <w:shd w:val="clear" w:color="auto" w:fill="auto"/>
            <w:tcMar>
              <w:top w:w="0" w:type="dxa"/>
              <w:left w:w="20" w:type="dxa"/>
              <w:bottom w:w="0" w:type="dxa"/>
              <w:right w:w="20" w:type="dxa"/>
            </w:tcMar>
            <w:vAlign w:val="bottom"/>
          </w:tcPr>
          <w:p w14:paraId="67537920" w14:textId="77777777" w:rsidR="001B77DD" w:rsidRDefault="001B77DD">
            <w:pPr>
              <w:rPr>
                <w:rFonts w:ascii="宋体"/>
              </w:rPr>
            </w:pPr>
          </w:p>
        </w:tc>
        <w:tc>
          <w:tcPr>
            <w:tcW w:w="0" w:type="auto"/>
            <w:shd w:val="clear" w:color="auto" w:fill="auto"/>
            <w:vAlign w:val="bottom"/>
          </w:tcPr>
          <w:p w14:paraId="67537921" w14:textId="77777777" w:rsidR="001B77DD" w:rsidRDefault="001B77DD">
            <w:pPr>
              <w:rPr>
                <w:rFonts w:ascii="宋体"/>
                <w:vanish/>
              </w:rPr>
            </w:pPr>
          </w:p>
        </w:tc>
        <w:tc>
          <w:tcPr>
            <w:tcW w:w="0" w:type="auto"/>
            <w:shd w:val="clear" w:color="auto" w:fill="auto"/>
            <w:vAlign w:val="bottom"/>
          </w:tcPr>
          <w:p w14:paraId="67537922"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923" w14:textId="77777777" w:rsidR="001B77DD" w:rsidRDefault="00BF0A28">
            <w:pPr>
              <w:jc w:val="right"/>
              <w:textAlignment w:val="bottom"/>
            </w:pPr>
            <w:r>
              <w:rPr>
                <w:rFonts w:ascii="Arial" w:eastAsia="宋体" w:hAnsi="Arial" w:cs="Arial"/>
                <w:color w:val="0068B5"/>
                <w:sz w:val="18"/>
                <w:szCs w:val="18"/>
              </w:rPr>
              <w:t>(226)</w:t>
            </w:r>
          </w:p>
        </w:tc>
        <w:tc>
          <w:tcPr>
            <w:tcW w:w="0" w:type="auto"/>
            <w:shd w:val="clear" w:color="auto" w:fill="auto"/>
            <w:tcMar>
              <w:top w:w="40" w:type="dxa"/>
              <w:left w:w="0" w:type="dxa"/>
              <w:bottom w:w="40" w:type="dxa"/>
              <w:right w:w="20" w:type="dxa"/>
            </w:tcMar>
            <w:vAlign w:val="bottom"/>
          </w:tcPr>
          <w:p w14:paraId="6753792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2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26" w14:textId="77777777" w:rsidR="001B77DD" w:rsidRDefault="00BF0A28">
            <w:pPr>
              <w:jc w:val="right"/>
              <w:textAlignment w:val="bottom"/>
            </w:pPr>
            <w:r>
              <w:rPr>
                <w:rFonts w:ascii="Arial" w:eastAsia="宋体" w:hAnsi="Arial" w:cs="Arial"/>
                <w:color w:val="0068B5"/>
                <w:sz w:val="18"/>
                <w:szCs w:val="18"/>
              </w:rPr>
              <w:t>101 </w:t>
            </w:r>
          </w:p>
        </w:tc>
        <w:tc>
          <w:tcPr>
            <w:tcW w:w="0" w:type="auto"/>
            <w:shd w:val="clear" w:color="auto" w:fill="auto"/>
            <w:tcMar>
              <w:top w:w="40" w:type="dxa"/>
              <w:left w:w="0" w:type="dxa"/>
              <w:bottom w:w="40" w:type="dxa"/>
              <w:right w:w="20" w:type="dxa"/>
            </w:tcMar>
            <w:vAlign w:val="bottom"/>
          </w:tcPr>
          <w:p w14:paraId="6753792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2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29" w14:textId="77777777" w:rsidR="001B77DD" w:rsidRDefault="00BF0A28">
            <w:pPr>
              <w:jc w:val="right"/>
              <w:textAlignment w:val="bottom"/>
            </w:pPr>
            <w:r>
              <w:rPr>
                <w:rFonts w:ascii="Arial" w:eastAsia="宋体" w:hAnsi="Arial" w:cs="Arial"/>
                <w:color w:val="0068B5"/>
                <w:sz w:val="18"/>
                <w:szCs w:val="18"/>
              </w:rPr>
              <w:t>(19)</w:t>
            </w:r>
          </w:p>
        </w:tc>
        <w:tc>
          <w:tcPr>
            <w:tcW w:w="0" w:type="auto"/>
            <w:shd w:val="clear" w:color="auto" w:fill="auto"/>
            <w:tcMar>
              <w:top w:w="40" w:type="dxa"/>
              <w:left w:w="0" w:type="dxa"/>
              <w:bottom w:w="40" w:type="dxa"/>
              <w:right w:w="20" w:type="dxa"/>
            </w:tcMar>
            <w:vAlign w:val="bottom"/>
          </w:tcPr>
          <w:p w14:paraId="6753792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2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2C" w14:textId="77777777" w:rsidR="001B77DD" w:rsidRDefault="00BF0A28">
            <w:pPr>
              <w:jc w:val="right"/>
              <w:textAlignment w:val="bottom"/>
            </w:pPr>
            <w:r>
              <w:rPr>
                <w:rFonts w:ascii="Arial" w:eastAsia="宋体" w:hAnsi="Arial" w:cs="Arial"/>
                <w:color w:val="0068B5"/>
                <w:sz w:val="18"/>
                <w:szCs w:val="18"/>
              </w:rPr>
              <w:t>(144)</w:t>
            </w:r>
          </w:p>
        </w:tc>
        <w:tc>
          <w:tcPr>
            <w:tcW w:w="0" w:type="auto"/>
            <w:shd w:val="clear" w:color="auto" w:fill="auto"/>
            <w:tcMar>
              <w:top w:w="40" w:type="dxa"/>
              <w:left w:w="0" w:type="dxa"/>
              <w:bottom w:w="40" w:type="dxa"/>
              <w:right w:w="20" w:type="dxa"/>
            </w:tcMar>
            <w:vAlign w:val="bottom"/>
          </w:tcPr>
          <w:p w14:paraId="6753792D" w14:textId="77777777" w:rsidR="001B77DD" w:rsidRDefault="001B77DD">
            <w:pPr>
              <w:jc w:val="right"/>
              <w:rPr>
                <w:rFonts w:ascii="宋体"/>
              </w:rPr>
            </w:pPr>
          </w:p>
        </w:tc>
      </w:tr>
      <w:tr w:rsidR="001B77DD" w14:paraId="6753793E" w14:textId="77777777">
        <w:tc>
          <w:tcPr>
            <w:tcW w:w="0" w:type="auto"/>
            <w:gridSpan w:val="3"/>
            <w:shd w:val="clear" w:color="auto" w:fill="auto"/>
            <w:tcMar>
              <w:top w:w="40" w:type="dxa"/>
              <w:left w:w="20" w:type="dxa"/>
              <w:bottom w:w="40" w:type="dxa"/>
              <w:right w:w="20" w:type="dxa"/>
            </w:tcMar>
            <w:vAlign w:val="bottom"/>
          </w:tcPr>
          <w:p w14:paraId="6753792F" w14:textId="77777777" w:rsidR="001B77DD" w:rsidRDefault="00BF0A28">
            <w:pPr>
              <w:textAlignment w:val="bottom"/>
            </w:pPr>
            <w:r>
              <w:rPr>
                <w:rFonts w:ascii="Arial" w:eastAsia="宋体" w:hAnsi="Arial" w:cs="Arial"/>
                <w:color w:val="262626"/>
                <w:sz w:val="18"/>
                <w:szCs w:val="18"/>
              </w:rPr>
              <w:t>Tax effects</w:t>
            </w:r>
          </w:p>
        </w:tc>
        <w:tc>
          <w:tcPr>
            <w:tcW w:w="0" w:type="auto"/>
            <w:gridSpan w:val="3"/>
            <w:shd w:val="clear" w:color="auto" w:fill="auto"/>
            <w:tcMar>
              <w:top w:w="0" w:type="dxa"/>
              <w:left w:w="20" w:type="dxa"/>
              <w:bottom w:w="0" w:type="dxa"/>
              <w:right w:w="20" w:type="dxa"/>
            </w:tcMar>
            <w:vAlign w:val="bottom"/>
          </w:tcPr>
          <w:p w14:paraId="67537930" w14:textId="77777777" w:rsidR="001B77DD" w:rsidRDefault="001B77DD">
            <w:pPr>
              <w:rPr>
                <w:rFonts w:ascii="宋体"/>
              </w:rPr>
            </w:pPr>
          </w:p>
        </w:tc>
        <w:tc>
          <w:tcPr>
            <w:tcW w:w="0" w:type="auto"/>
            <w:shd w:val="clear" w:color="auto" w:fill="auto"/>
            <w:vAlign w:val="bottom"/>
          </w:tcPr>
          <w:p w14:paraId="67537931" w14:textId="77777777" w:rsidR="001B77DD" w:rsidRDefault="001B77DD">
            <w:pPr>
              <w:rPr>
                <w:rFonts w:ascii="宋体"/>
                <w:vanish/>
              </w:rPr>
            </w:pPr>
          </w:p>
        </w:tc>
        <w:tc>
          <w:tcPr>
            <w:tcW w:w="0" w:type="auto"/>
            <w:shd w:val="clear" w:color="auto" w:fill="auto"/>
            <w:vAlign w:val="bottom"/>
          </w:tcPr>
          <w:p w14:paraId="67537932" w14:textId="77777777" w:rsidR="001B77DD" w:rsidRDefault="001B77DD">
            <w:pPr>
              <w:rPr>
                <w:rFonts w:ascii="宋体"/>
                <w:vanish/>
              </w:rPr>
            </w:pPr>
          </w:p>
        </w:tc>
        <w:tc>
          <w:tcPr>
            <w:tcW w:w="0" w:type="auto"/>
            <w:gridSpan w:val="2"/>
            <w:shd w:val="clear" w:color="auto" w:fill="auto"/>
            <w:tcMar>
              <w:top w:w="40" w:type="dxa"/>
              <w:left w:w="20" w:type="dxa"/>
              <w:bottom w:w="40" w:type="dxa"/>
              <w:right w:w="0" w:type="dxa"/>
            </w:tcMar>
            <w:vAlign w:val="bottom"/>
          </w:tcPr>
          <w:p w14:paraId="67537933" w14:textId="77777777" w:rsidR="001B77DD" w:rsidRDefault="00BF0A28">
            <w:pPr>
              <w:jc w:val="right"/>
              <w:textAlignment w:val="bottom"/>
            </w:pPr>
            <w:r>
              <w:rPr>
                <w:rFonts w:ascii="Arial" w:eastAsia="宋体" w:hAnsi="Arial" w:cs="Arial"/>
                <w:color w:val="0068B5"/>
                <w:sz w:val="18"/>
                <w:szCs w:val="18"/>
              </w:rPr>
              <w:t>140 </w:t>
            </w:r>
          </w:p>
        </w:tc>
        <w:tc>
          <w:tcPr>
            <w:tcW w:w="0" w:type="auto"/>
            <w:shd w:val="clear" w:color="auto" w:fill="auto"/>
            <w:tcMar>
              <w:top w:w="40" w:type="dxa"/>
              <w:left w:w="0" w:type="dxa"/>
              <w:bottom w:w="40" w:type="dxa"/>
              <w:right w:w="20" w:type="dxa"/>
            </w:tcMar>
            <w:vAlign w:val="bottom"/>
          </w:tcPr>
          <w:p w14:paraId="6753793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3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36" w14:textId="77777777" w:rsidR="001B77DD" w:rsidRDefault="00BF0A28">
            <w:pPr>
              <w:jc w:val="right"/>
              <w:textAlignment w:val="bottom"/>
            </w:pPr>
            <w:r>
              <w:rPr>
                <w:rFonts w:ascii="Arial" w:eastAsia="宋体" w:hAnsi="Arial" w:cs="Arial"/>
                <w:color w:val="0068B5"/>
                <w:sz w:val="18"/>
                <w:szCs w:val="18"/>
              </w:rPr>
              <w:t>(126)</w:t>
            </w:r>
          </w:p>
        </w:tc>
        <w:tc>
          <w:tcPr>
            <w:tcW w:w="0" w:type="auto"/>
            <w:shd w:val="clear" w:color="auto" w:fill="auto"/>
            <w:tcMar>
              <w:top w:w="40" w:type="dxa"/>
              <w:left w:w="0" w:type="dxa"/>
              <w:bottom w:w="40" w:type="dxa"/>
              <w:right w:w="20" w:type="dxa"/>
            </w:tcMar>
            <w:vAlign w:val="bottom"/>
          </w:tcPr>
          <w:p w14:paraId="6753793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3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39" w14:textId="77777777" w:rsidR="001B77DD" w:rsidRDefault="00BF0A28">
            <w:pPr>
              <w:jc w:val="right"/>
              <w:textAlignment w:val="bottom"/>
            </w:pPr>
            <w:r>
              <w:rPr>
                <w:rFonts w:ascii="Arial" w:eastAsia="宋体" w:hAnsi="Arial" w:cs="Arial"/>
                <w:color w:val="0068B5"/>
                <w:sz w:val="18"/>
                <w:szCs w:val="18"/>
              </w:rPr>
              <w:t>17 </w:t>
            </w:r>
          </w:p>
        </w:tc>
        <w:tc>
          <w:tcPr>
            <w:tcW w:w="0" w:type="auto"/>
            <w:shd w:val="clear" w:color="auto" w:fill="auto"/>
            <w:tcMar>
              <w:top w:w="40" w:type="dxa"/>
              <w:left w:w="0" w:type="dxa"/>
              <w:bottom w:w="40" w:type="dxa"/>
              <w:right w:w="20" w:type="dxa"/>
            </w:tcMar>
            <w:vAlign w:val="bottom"/>
          </w:tcPr>
          <w:p w14:paraId="6753793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3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3C" w14:textId="77777777" w:rsidR="001B77DD" w:rsidRDefault="00BF0A28">
            <w:pPr>
              <w:jc w:val="right"/>
              <w:textAlignment w:val="bottom"/>
            </w:pPr>
            <w:r>
              <w:rPr>
                <w:rFonts w:ascii="Arial" w:eastAsia="宋体" w:hAnsi="Arial" w:cs="Arial"/>
                <w:color w:val="0068B5"/>
                <w:sz w:val="18"/>
                <w:szCs w:val="18"/>
              </w:rPr>
              <w:t>31 </w:t>
            </w:r>
          </w:p>
        </w:tc>
        <w:tc>
          <w:tcPr>
            <w:tcW w:w="0" w:type="auto"/>
            <w:shd w:val="clear" w:color="auto" w:fill="auto"/>
            <w:tcMar>
              <w:top w:w="40" w:type="dxa"/>
              <w:left w:w="0" w:type="dxa"/>
              <w:bottom w:w="40" w:type="dxa"/>
              <w:right w:w="20" w:type="dxa"/>
            </w:tcMar>
            <w:vAlign w:val="bottom"/>
          </w:tcPr>
          <w:p w14:paraId="6753793D" w14:textId="77777777" w:rsidR="001B77DD" w:rsidRDefault="001B77DD">
            <w:pPr>
              <w:jc w:val="right"/>
              <w:rPr>
                <w:rFonts w:ascii="宋体"/>
              </w:rPr>
            </w:pPr>
          </w:p>
        </w:tc>
      </w:tr>
      <w:tr w:rsidR="001B77DD" w14:paraId="6753794E" w14:textId="77777777">
        <w:tc>
          <w:tcPr>
            <w:tcW w:w="0" w:type="auto"/>
            <w:gridSpan w:val="3"/>
            <w:shd w:val="clear" w:color="auto" w:fill="auto"/>
            <w:tcMar>
              <w:top w:w="40" w:type="dxa"/>
              <w:left w:w="20" w:type="dxa"/>
              <w:bottom w:w="40" w:type="dxa"/>
              <w:right w:w="20" w:type="dxa"/>
            </w:tcMar>
            <w:vAlign w:val="bottom"/>
          </w:tcPr>
          <w:p w14:paraId="6753793F" w14:textId="77777777" w:rsidR="001B77DD" w:rsidRDefault="00BF0A28">
            <w:pPr>
              <w:textAlignment w:val="bottom"/>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7537940" w14:textId="77777777" w:rsidR="001B77DD" w:rsidRDefault="001B77DD">
            <w:pPr>
              <w:rPr>
                <w:rFonts w:ascii="宋体"/>
              </w:rPr>
            </w:pPr>
          </w:p>
        </w:tc>
        <w:tc>
          <w:tcPr>
            <w:tcW w:w="0" w:type="auto"/>
            <w:shd w:val="clear" w:color="auto" w:fill="auto"/>
            <w:vAlign w:val="bottom"/>
          </w:tcPr>
          <w:p w14:paraId="67537941" w14:textId="77777777" w:rsidR="001B77DD" w:rsidRDefault="001B77DD">
            <w:pPr>
              <w:rPr>
                <w:rFonts w:ascii="宋体"/>
                <w:vanish/>
              </w:rPr>
            </w:pPr>
          </w:p>
        </w:tc>
        <w:tc>
          <w:tcPr>
            <w:tcW w:w="0" w:type="auto"/>
            <w:shd w:val="clear" w:color="auto" w:fill="auto"/>
            <w:vAlign w:val="bottom"/>
          </w:tcPr>
          <w:p w14:paraId="67537942" w14:textId="77777777" w:rsidR="001B77DD" w:rsidRDefault="001B77DD">
            <w:pPr>
              <w:rPr>
                <w:rFonts w:ascii="宋体"/>
                <w:vanish/>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943" w14:textId="77777777" w:rsidR="001B77DD" w:rsidRDefault="00BF0A28">
            <w:pPr>
              <w:jc w:val="right"/>
              <w:textAlignment w:val="bottom"/>
            </w:pPr>
            <w:r>
              <w:rPr>
                <w:rFonts w:ascii="Arial" w:eastAsia="宋体" w:hAnsi="Arial" w:cs="Arial"/>
                <w:b/>
                <w:bCs/>
                <w:color w:val="0068B5"/>
                <w:sz w:val="18"/>
                <w:szCs w:val="18"/>
              </w:rPr>
              <w:t>(520)</w:t>
            </w:r>
          </w:p>
        </w:tc>
        <w:tc>
          <w:tcPr>
            <w:tcW w:w="0" w:type="auto"/>
            <w:tcBorders>
              <w:top w:val="single" w:sz="4" w:space="0" w:color="333333"/>
            </w:tcBorders>
            <w:shd w:val="clear" w:color="auto" w:fill="auto"/>
            <w:tcMar>
              <w:top w:w="40" w:type="dxa"/>
              <w:left w:w="0" w:type="dxa"/>
              <w:bottom w:w="40" w:type="dxa"/>
              <w:right w:w="20" w:type="dxa"/>
            </w:tcMar>
            <w:vAlign w:val="bottom"/>
          </w:tcPr>
          <w:p w14:paraId="6753794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45"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946" w14:textId="77777777" w:rsidR="001B77DD" w:rsidRDefault="00BF0A28">
            <w:pPr>
              <w:jc w:val="right"/>
              <w:textAlignment w:val="bottom"/>
            </w:pPr>
            <w:r>
              <w:rPr>
                <w:rFonts w:ascii="Arial" w:eastAsia="宋体" w:hAnsi="Arial" w:cs="Arial"/>
                <w:b/>
                <w:bCs/>
                <w:color w:val="0068B5"/>
                <w:sz w:val="18"/>
                <w:szCs w:val="18"/>
              </w:rPr>
              <w:t>451</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94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48"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949" w14:textId="77777777" w:rsidR="001B77DD" w:rsidRDefault="00BF0A28">
            <w:pPr>
              <w:jc w:val="right"/>
              <w:textAlignment w:val="bottom"/>
            </w:pPr>
            <w:r>
              <w:rPr>
                <w:rFonts w:ascii="Arial" w:eastAsia="宋体" w:hAnsi="Arial" w:cs="Arial"/>
                <w:b/>
                <w:bCs/>
                <w:color w:val="0068B5"/>
                <w:sz w:val="18"/>
                <w:szCs w:val="18"/>
              </w:rPr>
              <w:t>(60)</w:t>
            </w:r>
          </w:p>
        </w:tc>
        <w:tc>
          <w:tcPr>
            <w:tcW w:w="0" w:type="auto"/>
            <w:tcBorders>
              <w:top w:val="single" w:sz="4" w:space="0" w:color="333333"/>
            </w:tcBorders>
            <w:shd w:val="clear" w:color="auto" w:fill="auto"/>
            <w:tcMar>
              <w:top w:w="40" w:type="dxa"/>
              <w:left w:w="0" w:type="dxa"/>
              <w:bottom w:w="40" w:type="dxa"/>
              <w:right w:w="20" w:type="dxa"/>
            </w:tcMar>
            <w:vAlign w:val="bottom"/>
          </w:tcPr>
          <w:p w14:paraId="6753794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4B"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94C" w14:textId="77777777" w:rsidR="001B77DD" w:rsidRDefault="00BF0A28">
            <w:pPr>
              <w:jc w:val="right"/>
              <w:textAlignment w:val="bottom"/>
            </w:pPr>
            <w:r>
              <w:rPr>
                <w:rFonts w:ascii="Arial" w:eastAsia="宋体" w:hAnsi="Arial" w:cs="Arial"/>
                <w:b/>
                <w:bCs/>
                <w:color w:val="0068B5"/>
                <w:sz w:val="18"/>
                <w:szCs w:val="18"/>
              </w:rPr>
              <w:t>(129)</w:t>
            </w:r>
          </w:p>
        </w:tc>
        <w:tc>
          <w:tcPr>
            <w:tcW w:w="0" w:type="auto"/>
            <w:tcBorders>
              <w:top w:val="single" w:sz="4" w:space="0" w:color="333333"/>
            </w:tcBorders>
            <w:shd w:val="clear" w:color="auto" w:fill="auto"/>
            <w:tcMar>
              <w:top w:w="40" w:type="dxa"/>
              <w:left w:w="0" w:type="dxa"/>
              <w:bottom w:w="40" w:type="dxa"/>
              <w:right w:w="20" w:type="dxa"/>
            </w:tcMar>
            <w:vAlign w:val="bottom"/>
          </w:tcPr>
          <w:p w14:paraId="6753794D" w14:textId="77777777" w:rsidR="001B77DD" w:rsidRDefault="001B77DD">
            <w:pPr>
              <w:jc w:val="right"/>
              <w:rPr>
                <w:rFonts w:ascii="宋体"/>
              </w:rPr>
            </w:pPr>
          </w:p>
        </w:tc>
      </w:tr>
      <w:tr w:rsidR="001B77DD" w14:paraId="67537962" w14:textId="77777777">
        <w:tc>
          <w:tcPr>
            <w:tcW w:w="0" w:type="auto"/>
            <w:gridSpan w:val="3"/>
            <w:shd w:val="clear" w:color="auto" w:fill="auto"/>
            <w:tcMar>
              <w:top w:w="40" w:type="dxa"/>
              <w:left w:w="20" w:type="dxa"/>
              <w:bottom w:w="40" w:type="dxa"/>
              <w:right w:w="20" w:type="dxa"/>
            </w:tcMar>
            <w:vAlign w:val="bottom"/>
          </w:tcPr>
          <w:p w14:paraId="6753794F" w14:textId="77777777" w:rsidR="001B77DD" w:rsidRDefault="00BF0A28">
            <w:pP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67537950" w14:textId="77777777" w:rsidR="001B77DD" w:rsidRDefault="001B77DD">
            <w:pPr>
              <w:rPr>
                <w:rFonts w:ascii="宋体"/>
              </w:rPr>
            </w:pPr>
          </w:p>
        </w:tc>
        <w:tc>
          <w:tcPr>
            <w:tcW w:w="0" w:type="auto"/>
            <w:shd w:val="clear" w:color="auto" w:fill="auto"/>
            <w:vAlign w:val="bottom"/>
          </w:tcPr>
          <w:p w14:paraId="67537951" w14:textId="77777777" w:rsidR="001B77DD" w:rsidRDefault="001B77DD">
            <w:pPr>
              <w:rPr>
                <w:rFonts w:ascii="宋体"/>
                <w:vanish/>
              </w:rPr>
            </w:pPr>
          </w:p>
        </w:tc>
        <w:tc>
          <w:tcPr>
            <w:tcW w:w="0" w:type="auto"/>
            <w:shd w:val="clear" w:color="auto" w:fill="auto"/>
            <w:vAlign w:val="bottom"/>
          </w:tcPr>
          <w:p w14:paraId="67537952" w14:textId="77777777" w:rsidR="001B77DD" w:rsidRDefault="001B77DD">
            <w:pPr>
              <w:rPr>
                <w:rFonts w:ascii="宋体"/>
                <w:vanish/>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953"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954" w14:textId="77777777" w:rsidR="001B77DD" w:rsidRDefault="00BF0A28">
            <w:pPr>
              <w:jc w:val="right"/>
              <w:textAlignment w:val="bottom"/>
            </w:pPr>
            <w:r>
              <w:rPr>
                <w:rFonts w:ascii="Arial" w:eastAsia="宋体" w:hAnsi="Arial" w:cs="Arial"/>
                <w:b/>
                <w:bCs/>
                <w:color w:val="0068B5"/>
                <w:sz w:val="18"/>
                <w:szCs w:val="18"/>
              </w:rPr>
              <w:t>211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9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56"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957"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958" w14:textId="77777777" w:rsidR="001B77DD" w:rsidRDefault="00BF0A28">
            <w:pPr>
              <w:jc w:val="right"/>
              <w:textAlignment w:val="bottom"/>
            </w:pPr>
            <w:r>
              <w:rPr>
                <w:rFonts w:ascii="Arial" w:eastAsia="宋体" w:hAnsi="Arial" w:cs="Arial"/>
                <w:b/>
                <w:bCs/>
                <w:color w:val="0068B5"/>
                <w:sz w:val="18"/>
                <w:szCs w:val="18"/>
              </w:rPr>
              <w:t>(1,114)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95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5A"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95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95C" w14:textId="77777777" w:rsidR="001B77DD" w:rsidRDefault="00BF0A28">
            <w:pPr>
              <w:jc w:val="right"/>
              <w:textAlignment w:val="bottom"/>
            </w:pPr>
            <w:r>
              <w:rPr>
                <w:rFonts w:ascii="Arial" w:eastAsia="宋体" w:hAnsi="Arial" w:cs="Arial"/>
                <w:b/>
                <w:bCs/>
                <w:color w:val="0068B5"/>
                <w:sz w:val="18"/>
                <w:szCs w:val="18"/>
              </w:rPr>
              <w:t>23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95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5E"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95F"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960" w14:textId="77777777" w:rsidR="001B77DD" w:rsidRDefault="00BF0A28">
            <w:pPr>
              <w:jc w:val="right"/>
              <w:textAlignment w:val="bottom"/>
            </w:pPr>
            <w:r>
              <w:rPr>
                <w:rFonts w:ascii="Arial" w:eastAsia="宋体" w:hAnsi="Arial" w:cs="Arial"/>
                <w:b/>
                <w:bCs/>
                <w:color w:val="0068B5"/>
                <w:sz w:val="18"/>
                <w:szCs w:val="18"/>
              </w:rPr>
              <w:t>(880)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961" w14:textId="77777777" w:rsidR="001B77DD" w:rsidRDefault="001B77DD">
            <w:pPr>
              <w:jc w:val="right"/>
              <w:rPr>
                <w:rFonts w:ascii="宋体"/>
              </w:rPr>
            </w:pPr>
          </w:p>
        </w:tc>
      </w:tr>
      <w:tr w:rsidR="001B77DD" w14:paraId="6753796E" w14:textId="77777777">
        <w:trPr>
          <w:hidden/>
        </w:trPr>
        <w:tc>
          <w:tcPr>
            <w:tcW w:w="0" w:type="auto"/>
            <w:gridSpan w:val="3"/>
            <w:shd w:val="clear" w:color="auto" w:fill="auto"/>
            <w:vAlign w:val="bottom"/>
          </w:tcPr>
          <w:p w14:paraId="67537963" w14:textId="77777777" w:rsidR="001B77DD" w:rsidRDefault="001B77DD">
            <w:pPr>
              <w:rPr>
                <w:rFonts w:ascii="宋体"/>
                <w:vanish/>
              </w:rPr>
            </w:pPr>
          </w:p>
        </w:tc>
        <w:tc>
          <w:tcPr>
            <w:tcW w:w="0" w:type="auto"/>
            <w:gridSpan w:val="3"/>
            <w:shd w:val="clear" w:color="auto" w:fill="auto"/>
            <w:vAlign w:val="bottom"/>
          </w:tcPr>
          <w:p w14:paraId="67537964" w14:textId="77777777" w:rsidR="001B77DD" w:rsidRDefault="001B77DD">
            <w:pPr>
              <w:rPr>
                <w:rFonts w:ascii="宋体"/>
                <w:vanish/>
              </w:rPr>
            </w:pPr>
          </w:p>
        </w:tc>
        <w:tc>
          <w:tcPr>
            <w:tcW w:w="0" w:type="auto"/>
            <w:shd w:val="clear" w:color="auto" w:fill="auto"/>
            <w:vAlign w:val="bottom"/>
          </w:tcPr>
          <w:p w14:paraId="67537965" w14:textId="77777777" w:rsidR="001B77DD" w:rsidRDefault="001B77DD">
            <w:pPr>
              <w:rPr>
                <w:rFonts w:ascii="宋体"/>
                <w:vanish/>
              </w:rPr>
            </w:pPr>
          </w:p>
        </w:tc>
        <w:tc>
          <w:tcPr>
            <w:tcW w:w="0" w:type="auto"/>
            <w:shd w:val="clear" w:color="auto" w:fill="auto"/>
            <w:vAlign w:val="bottom"/>
          </w:tcPr>
          <w:p w14:paraId="67537966" w14:textId="77777777" w:rsidR="001B77DD" w:rsidRDefault="001B77DD">
            <w:pPr>
              <w:rPr>
                <w:rFonts w:ascii="宋体"/>
                <w:vanish/>
              </w:rPr>
            </w:pPr>
          </w:p>
        </w:tc>
        <w:tc>
          <w:tcPr>
            <w:tcW w:w="0" w:type="auto"/>
            <w:gridSpan w:val="3"/>
            <w:shd w:val="clear" w:color="auto" w:fill="auto"/>
            <w:vAlign w:val="bottom"/>
          </w:tcPr>
          <w:p w14:paraId="67537967" w14:textId="77777777" w:rsidR="001B77DD" w:rsidRDefault="001B77DD">
            <w:pPr>
              <w:rPr>
                <w:rFonts w:ascii="宋体"/>
                <w:vanish/>
              </w:rPr>
            </w:pPr>
          </w:p>
        </w:tc>
        <w:tc>
          <w:tcPr>
            <w:tcW w:w="0" w:type="auto"/>
            <w:gridSpan w:val="3"/>
            <w:shd w:val="clear" w:color="auto" w:fill="auto"/>
            <w:vAlign w:val="bottom"/>
          </w:tcPr>
          <w:p w14:paraId="67537968" w14:textId="77777777" w:rsidR="001B77DD" w:rsidRDefault="001B77DD">
            <w:pPr>
              <w:rPr>
                <w:rFonts w:ascii="宋体"/>
                <w:vanish/>
              </w:rPr>
            </w:pPr>
          </w:p>
        </w:tc>
        <w:tc>
          <w:tcPr>
            <w:tcW w:w="0" w:type="auto"/>
            <w:gridSpan w:val="3"/>
            <w:shd w:val="clear" w:color="auto" w:fill="auto"/>
            <w:vAlign w:val="bottom"/>
          </w:tcPr>
          <w:p w14:paraId="67537969" w14:textId="77777777" w:rsidR="001B77DD" w:rsidRDefault="001B77DD">
            <w:pPr>
              <w:rPr>
                <w:rFonts w:ascii="宋体"/>
                <w:vanish/>
              </w:rPr>
            </w:pPr>
          </w:p>
        </w:tc>
        <w:tc>
          <w:tcPr>
            <w:tcW w:w="0" w:type="auto"/>
            <w:gridSpan w:val="3"/>
            <w:shd w:val="clear" w:color="auto" w:fill="auto"/>
            <w:vAlign w:val="bottom"/>
          </w:tcPr>
          <w:p w14:paraId="6753796A" w14:textId="77777777" w:rsidR="001B77DD" w:rsidRDefault="001B77DD">
            <w:pPr>
              <w:rPr>
                <w:rFonts w:ascii="宋体"/>
                <w:vanish/>
              </w:rPr>
            </w:pPr>
          </w:p>
        </w:tc>
        <w:tc>
          <w:tcPr>
            <w:tcW w:w="0" w:type="auto"/>
            <w:gridSpan w:val="3"/>
            <w:shd w:val="clear" w:color="auto" w:fill="auto"/>
            <w:vAlign w:val="bottom"/>
          </w:tcPr>
          <w:p w14:paraId="6753796B" w14:textId="77777777" w:rsidR="001B77DD" w:rsidRDefault="001B77DD">
            <w:pPr>
              <w:rPr>
                <w:rFonts w:ascii="宋体"/>
                <w:vanish/>
              </w:rPr>
            </w:pPr>
          </w:p>
        </w:tc>
        <w:tc>
          <w:tcPr>
            <w:tcW w:w="0" w:type="auto"/>
            <w:gridSpan w:val="3"/>
            <w:shd w:val="clear" w:color="auto" w:fill="auto"/>
            <w:vAlign w:val="bottom"/>
          </w:tcPr>
          <w:p w14:paraId="6753796C" w14:textId="77777777" w:rsidR="001B77DD" w:rsidRDefault="001B77DD">
            <w:pPr>
              <w:rPr>
                <w:rFonts w:ascii="宋体"/>
                <w:vanish/>
              </w:rPr>
            </w:pPr>
          </w:p>
        </w:tc>
        <w:tc>
          <w:tcPr>
            <w:tcW w:w="0" w:type="auto"/>
            <w:gridSpan w:val="3"/>
            <w:shd w:val="clear" w:color="auto" w:fill="auto"/>
            <w:vAlign w:val="bottom"/>
          </w:tcPr>
          <w:p w14:paraId="6753796D" w14:textId="77777777" w:rsidR="001B77DD" w:rsidRDefault="001B77DD">
            <w:pPr>
              <w:rPr>
                <w:rFonts w:ascii="宋体"/>
                <w:vanish/>
              </w:rPr>
            </w:pPr>
          </w:p>
        </w:tc>
      </w:tr>
      <w:tr w:rsidR="001B77DD" w14:paraId="6753797A" w14:textId="77777777">
        <w:trPr>
          <w:hidden/>
        </w:trPr>
        <w:tc>
          <w:tcPr>
            <w:tcW w:w="0" w:type="auto"/>
            <w:gridSpan w:val="3"/>
            <w:shd w:val="clear" w:color="auto" w:fill="auto"/>
            <w:vAlign w:val="bottom"/>
          </w:tcPr>
          <w:p w14:paraId="6753796F" w14:textId="77777777" w:rsidR="001B77DD" w:rsidRDefault="001B77DD">
            <w:pPr>
              <w:rPr>
                <w:rFonts w:ascii="宋体"/>
                <w:vanish/>
              </w:rPr>
            </w:pPr>
          </w:p>
        </w:tc>
        <w:tc>
          <w:tcPr>
            <w:tcW w:w="0" w:type="auto"/>
            <w:gridSpan w:val="3"/>
            <w:shd w:val="clear" w:color="auto" w:fill="auto"/>
            <w:vAlign w:val="bottom"/>
          </w:tcPr>
          <w:p w14:paraId="67537970" w14:textId="77777777" w:rsidR="001B77DD" w:rsidRDefault="001B77DD">
            <w:pPr>
              <w:rPr>
                <w:rFonts w:ascii="宋体"/>
                <w:vanish/>
              </w:rPr>
            </w:pPr>
          </w:p>
        </w:tc>
        <w:tc>
          <w:tcPr>
            <w:tcW w:w="0" w:type="auto"/>
            <w:shd w:val="clear" w:color="auto" w:fill="auto"/>
            <w:vAlign w:val="bottom"/>
          </w:tcPr>
          <w:p w14:paraId="67537971" w14:textId="77777777" w:rsidR="001B77DD" w:rsidRDefault="001B77DD">
            <w:pPr>
              <w:rPr>
                <w:rFonts w:ascii="宋体"/>
                <w:vanish/>
              </w:rPr>
            </w:pPr>
          </w:p>
        </w:tc>
        <w:tc>
          <w:tcPr>
            <w:tcW w:w="0" w:type="auto"/>
            <w:shd w:val="clear" w:color="auto" w:fill="auto"/>
            <w:vAlign w:val="bottom"/>
          </w:tcPr>
          <w:p w14:paraId="67537972" w14:textId="77777777" w:rsidR="001B77DD" w:rsidRDefault="001B77DD">
            <w:pPr>
              <w:rPr>
                <w:rFonts w:ascii="宋体"/>
                <w:vanish/>
              </w:rPr>
            </w:pPr>
          </w:p>
        </w:tc>
        <w:tc>
          <w:tcPr>
            <w:tcW w:w="0" w:type="auto"/>
            <w:gridSpan w:val="3"/>
            <w:shd w:val="clear" w:color="auto" w:fill="auto"/>
            <w:vAlign w:val="bottom"/>
          </w:tcPr>
          <w:p w14:paraId="67537973" w14:textId="77777777" w:rsidR="001B77DD" w:rsidRDefault="001B77DD">
            <w:pPr>
              <w:rPr>
                <w:rFonts w:ascii="宋体"/>
                <w:vanish/>
              </w:rPr>
            </w:pPr>
          </w:p>
        </w:tc>
        <w:tc>
          <w:tcPr>
            <w:tcW w:w="0" w:type="auto"/>
            <w:gridSpan w:val="3"/>
            <w:shd w:val="clear" w:color="auto" w:fill="auto"/>
            <w:vAlign w:val="bottom"/>
          </w:tcPr>
          <w:p w14:paraId="67537974" w14:textId="77777777" w:rsidR="001B77DD" w:rsidRDefault="001B77DD">
            <w:pPr>
              <w:rPr>
                <w:rFonts w:ascii="宋体"/>
                <w:vanish/>
              </w:rPr>
            </w:pPr>
          </w:p>
        </w:tc>
        <w:tc>
          <w:tcPr>
            <w:tcW w:w="0" w:type="auto"/>
            <w:gridSpan w:val="3"/>
            <w:shd w:val="clear" w:color="auto" w:fill="auto"/>
            <w:vAlign w:val="bottom"/>
          </w:tcPr>
          <w:p w14:paraId="67537975" w14:textId="77777777" w:rsidR="001B77DD" w:rsidRDefault="001B77DD">
            <w:pPr>
              <w:rPr>
                <w:rFonts w:ascii="宋体"/>
                <w:vanish/>
              </w:rPr>
            </w:pPr>
          </w:p>
        </w:tc>
        <w:tc>
          <w:tcPr>
            <w:tcW w:w="0" w:type="auto"/>
            <w:gridSpan w:val="3"/>
            <w:shd w:val="clear" w:color="auto" w:fill="auto"/>
            <w:vAlign w:val="bottom"/>
          </w:tcPr>
          <w:p w14:paraId="67537976" w14:textId="77777777" w:rsidR="001B77DD" w:rsidRDefault="001B77DD">
            <w:pPr>
              <w:rPr>
                <w:rFonts w:ascii="宋体"/>
                <w:vanish/>
              </w:rPr>
            </w:pPr>
          </w:p>
        </w:tc>
        <w:tc>
          <w:tcPr>
            <w:tcW w:w="0" w:type="auto"/>
            <w:gridSpan w:val="3"/>
            <w:shd w:val="clear" w:color="auto" w:fill="auto"/>
            <w:vAlign w:val="bottom"/>
          </w:tcPr>
          <w:p w14:paraId="67537977" w14:textId="77777777" w:rsidR="001B77DD" w:rsidRDefault="001B77DD">
            <w:pPr>
              <w:rPr>
                <w:rFonts w:ascii="宋体"/>
                <w:vanish/>
              </w:rPr>
            </w:pPr>
          </w:p>
        </w:tc>
        <w:tc>
          <w:tcPr>
            <w:tcW w:w="0" w:type="auto"/>
            <w:gridSpan w:val="3"/>
            <w:shd w:val="clear" w:color="auto" w:fill="auto"/>
            <w:vAlign w:val="bottom"/>
          </w:tcPr>
          <w:p w14:paraId="67537978" w14:textId="77777777" w:rsidR="001B77DD" w:rsidRDefault="001B77DD">
            <w:pPr>
              <w:rPr>
                <w:rFonts w:ascii="宋体"/>
                <w:vanish/>
              </w:rPr>
            </w:pPr>
          </w:p>
        </w:tc>
        <w:tc>
          <w:tcPr>
            <w:tcW w:w="0" w:type="auto"/>
            <w:gridSpan w:val="3"/>
            <w:shd w:val="clear" w:color="auto" w:fill="auto"/>
            <w:vAlign w:val="bottom"/>
          </w:tcPr>
          <w:p w14:paraId="67537979" w14:textId="77777777" w:rsidR="001B77DD" w:rsidRDefault="001B77DD">
            <w:pPr>
              <w:rPr>
                <w:rFonts w:ascii="宋体"/>
                <w:vanish/>
              </w:rPr>
            </w:pPr>
          </w:p>
        </w:tc>
      </w:tr>
    </w:tbl>
    <w:p w14:paraId="6753797B" w14:textId="77777777" w:rsidR="001B77DD" w:rsidRDefault="00BF0A28">
      <w:pPr>
        <w:spacing w:before="180" w:after="180"/>
      </w:pPr>
      <w:r>
        <w:rPr>
          <w:rFonts w:ascii="Arial" w:eastAsia="宋体" w:hAnsi="Arial" w:cs="Arial"/>
          <w:color w:val="333333"/>
          <w:sz w:val="18"/>
          <w:szCs w:val="18"/>
        </w:rPr>
        <w:t xml:space="preserve">We estimate that we will reclassify approximately $8 million (before taxes) of net derivative gains from accumulated other comprehensive income (loss) into earnings within the next 12 months.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988" w14:textId="77777777">
        <w:tc>
          <w:tcPr>
            <w:tcW w:w="50" w:type="pct"/>
            <w:shd w:val="clear" w:color="auto" w:fill="auto"/>
            <w:vAlign w:val="bottom"/>
          </w:tcPr>
          <w:p w14:paraId="6753797C" w14:textId="77777777" w:rsidR="001B77DD" w:rsidRDefault="001B77DD">
            <w:pPr>
              <w:rPr>
                <w:rFonts w:ascii="宋体"/>
              </w:rPr>
            </w:pPr>
          </w:p>
        </w:tc>
        <w:tc>
          <w:tcPr>
            <w:tcW w:w="276" w:type="pct"/>
            <w:shd w:val="clear" w:color="auto" w:fill="auto"/>
            <w:vAlign w:val="bottom"/>
          </w:tcPr>
          <w:p w14:paraId="6753797D" w14:textId="77777777" w:rsidR="001B77DD" w:rsidRDefault="001B77DD">
            <w:pPr>
              <w:rPr>
                <w:rFonts w:ascii="宋体"/>
              </w:rPr>
            </w:pPr>
          </w:p>
        </w:tc>
        <w:tc>
          <w:tcPr>
            <w:tcW w:w="5" w:type="pct"/>
            <w:shd w:val="clear" w:color="auto" w:fill="auto"/>
            <w:vAlign w:val="bottom"/>
          </w:tcPr>
          <w:p w14:paraId="6753797E" w14:textId="77777777" w:rsidR="001B77DD" w:rsidRDefault="001B77DD">
            <w:pPr>
              <w:rPr>
                <w:rFonts w:ascii="宋体"/>
              </w:rPr>
            </w:pPr>
          </w:p>
        </w:tc>
        <w:tc>
          <w:tcPr>
            <w:tcW w:w="50" w:type="pct"/>
            <w:shd w:val="clear" w:color="auto" w:fill="auto"/>
            <w:vAlign w:val="bottom"/>
          </w:tcPr>
          <w:p w14:paraId="6753797F" w14:textId="77777777" w:rsidR="001B77DD" w:rsidRDefault="001B77DD">
            <w:pPr>
              <w:rPr>
                <w:rFonts w:ascii="宋体"/>
              </w:rPr>
            </w:pPr>
          </w:p>
        </w:tc>
        <w:tc>
          <w:tcPr>
            <w:tcW w:w="940" w:type="pct"/>
            <w:shd w:val="clear" w:color="auto" w:fill="auto"/>
            <w:vAlign w:val="bottom"/>
          </w:tcPr>
          <w:p w14:paraId="67537980" w14:textId="77777777" w:rsidR="001B77DD" w:rsidRDefault="001B77DD">
            <w:pPr>
              <w:rPr>
                <w:rFonts w:ascii="宋体"/>
              </w:rPr>
            </w:pPr>
          </w:p>
        </w:tc>
        <w:tc>
          <w:tcPr>
            <w:tcW w:w="5" w:type="pct"/>
            <w:shd w:val="clear" w:color="auto" w:fill="auto"/>
            <w:vAlign w:val="bottom"/>
          </w:tcPr>
          <w:p w14:paraId="67537981" w14:textId="77777777" w:rsidR="001B77DD" w:rsidRDefault="001B77DD">
            <w:pPr>
              <w:rPr>
                <w:rFonts w:ascii="宋体"/>
              </w:rPr>
            </w:pPr>
          </w:p>
        </w:tc>
        <w:tc>
          <w:tcPr>
            <w:tcW w:w="50" w:type="pct"/>
            <w:shd w:val="clear" w:color="auto" w:fill="auto"/>
            <w:vAlign w:val="bottom"/>
          </w:tcPr>
          <w:p w14:paraId="67537982" w14:textId="77777777" w:rsidR="001B77DD" w:rsidRDefault="001B77DD">
            <w:pPr>
              <w:rPr>
                <w:rFonts w:ascii="宋体"/>
              </w:rPr>
            </w:pPr>
          </w:p>
        </w:tc>
        <w:tc>
          <w:tcPr>
            <w:tcW w:w="1837" w:type="pct"/>
            <w:shd w:val="clear" w:color="auto" w:fill="auto"/>
            <w:vAlign w:val="bottom"/>
          </w:tcPr>
          <w:p w14:paraId="67537983" w14:textId="77777777" w:rsidR="001B77DD" w:rsidRDefault="001B77DD">
            <w:pPr>
              <w:rPr>
                <w:rFonts w:ascii="宋体"/>
              </w:rPr>
            </w:pPr>
          </w:p>
        </w:tc>
        <w:tc>
          <w:tcPr>
            <w:tcW w:w="5" w:type="pct"/>
            <w:shd w:val="clear" w:color="auto" w:fill="auto"/>
            <w:vAlign w:val="bottom"/>
          </w:tcPr>
          <w:p w14:paraId="67537984" w14:textId="77777777" w:rsidR="001B77DD" w:rsidRDefault="001B77DD">
            <w:pPr>
              <w:rPr>
                <w:rFonts w:ascii="宋体"/>
              </w:rPr>
            </w:pPr>
          </w:p>
        </w:tc>
        <w:tc>
          <w:tcPr>
            <w:tcW w:w="50" w:type="pct"/>
            <w:shd w:val="clear" w:color="auto" w:fill="auto"/>
            <w:vAlign w:val="bottom"/>
          </w:tcPr>
          <w:p w14:paraId="67537985" w14:textId="77777777" w:rsidR="001B77DD" w:rsidRDefault="001B77DD">
            <w:pPr>
              <w:rPr>
                <w:rFonts w:ascii="宋体"/>
              </w:rPr>
            </w:pPr>
          </w:p>
        </w:tc>
        <w:tc>
          <w:tcPr>
            <w:tcW w:w="1724" w:type="pct"/>
            <w:shd w:val="clear" w:color="auto" w:fill="auto"/>
            <w:vAlign w:val="bottom"/>
          </w:tcPr>
          <w:p w14:paraId="67537986" w14:textId="77777777" w:rsidR="001B77DD" w:rsidRDefault="001B77DD">
            <w:pPr>
              <w:rPr>
                <w:rFonts w:ascii="宋体"/>
              </w:rPr>
            </w:pPr>
          </w:p>
        </w:tc>
        <w:tc>
          <w:tcPr>
            <w:tcW w:w="5" w:type="pct"/>
            <w:shd w:val="clear" w:color="auto" w:fill="auto"/>
            <w:vAlign w:val="bottom"/>
          </w:tcPr>
          <w:p w14:paraId="67537987" w14:textId="77777777" w:rsidR="001B77DD" w:rsidRDefault="001B77DD">
            <w:pPr>
              <w:rPr>
                <w:rFonts w:ascii="宋体"/>
              </w:rPr>
            </w:pPr>
          </w:p>
        </w:tc>
      </w:tr>
      <w:tr w:rsidR="001B77DD" w14:paraId="6753798D"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989"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66" wp14:editId="67538F67">
                  <wp:extent cx="304800" cy="304800"/>
                  <wp:effectExtent l="0" t="0" r="0" b="0"/>
                  <wp:docPr id="173" name="图片 32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32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98A"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98B"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98C" w14:textId="77777777" w:rsidR="001B77DD" w:rsidRDefault="00BF0A28">
            <w:pPr>
              <w:jc w:val="right"/>
              <w:textAlignment w:val="center"/>
            </w:pPr>
            <w:r>
              <w:rPr>
                <w:rFonts w:ascii="Arial" w:eastAsia="宋体" w:hAnsi="Arial" w:cs="Arial"/>
                <w:color w:val="262626"/>
                <w:sz w:val="16"/>
                <w:szCs w:val="16"/>
              </w:rPr>
              <w:t>98</w:t>
            </w:r>
          </w:p>
        </w:tc>
      </w:tr>
    </w:tbl>
    <w:p w14:paraId="6753798E" w14:textId="77777777" w:rsidR="001B77DD" w:rsidRDefault="00BF0A28">
      <w:r>
        <w:pict w14:anchorId="67538F68">
          <v:rect id="_x0000_i1124" style="width:415.3pt;height:1.5pt" o:hralign="center" o:hrstd="t" o:hr="t" fillcolor="#a0a0a0" stroked="f"/>
        </w:pict>
      </w:r>
    </w:p>
    <w:p w14:paraId="6753798F" w14:textId="77777777" w:rsidR="001B77DD" w:rsidRDefault="00BF0A28">
      <w:pPr>
        <w:jc w:val="right"/>
      </w:pPr>
      <w:hyperlink r:id="rId186" w:anchor="i6c9ced68f6b24d58a3dcf326e8c3c699_16" w:history="1">
        <w:r>
          <w:rPr>
            <w:rStyle w:val="a5"/>
            <w:rFonts w:ascii="Arial" w:eastAsia="宋体" w:hAnsi="Arial" w:cs="Arial"/>
            <w:b/>
            <w:bCs/>
            <w:sz w:val="16"/>
            <w:szCs w:val="16"/>
          </w:rPr>
          <w:t>Table of Contents</w:t>
        </w:r>
      </w:hyperlink>
    </w:p>
    <w:p w14:paraId="67537990"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7997" w14:textId="77777777">
        <w:tc>
          <w:tcPr>
            <w:tcW w:w="50" w:type="pct"/>
            <w:shd w:val="clear" w:color="auto" w:fill="auto"/>
            <w:vAlign w:val="bottom"/>
          </w:tcPr>
          <w:p w14:paraId="67537991" w14:textId="77777777" w:rsidR="001B77DD" w:rsidRDefault="001B77DD">
            <w:pPr>
              <w:rPr>
                <w:rFonts w:ascii="宋体"/>
              </w:rPr>
            </w:pPr>
          </w:p>
        </w:tc>
        <w:tc>
          <w:tcPr>
            <w:tcW w:w="539" w:type="pct"/>
            <w:shd w:val="clear" w:color="auto" w:fill="auto"/>
            <w:vAlign w:val="bottom"/>
          </w:tcPr>
          <w:p w14:paraId="67537992" w14:textId="77777777" w:rsidR="001B77DD" w:rsidRDefault="001B77DD">
            <w:pPr>
              <w:rPr>
                <w:rFonts w:ascii="宋体"/>
              </w:rPr>
            </w:pPr>
          </w:p>
        </w:tc>
        <w:tc>
          <w:tcPr>
            <w:tcW w:w="5" w:type="pct"/>
            <w:shd w:val="clear" w:color="auto" w:fill="auto"/>
            <w:vAlign w:val="bottom"/>
          </w:tcPr>
          <w:p w14:paraId="67537993" w14:textId="77777777" w:rsidR="001B77DD" w:rsidRDefault="001B77DD">
            <w:pPr>
              <w:rPr>
                <w:rFonts w:ascii="宋体"/>
              </w:rPr>
            </w:pPr>
          </w:p>
        </w:tc>
        <w:tc>
          <w:tcPr>
            <w:tcW w:w="50" w:type="pct"/>
            <w:shd w:val="clear" w:color="auto" w:fill="auto"/>
            <w:vAlign w:val="bottom"/>
          </w:tcPr>
          <w:p w14:paraId="67537994" w14:textId="77777777" w:rsidR="001B77DD" w:rsidRDefault="001B77DD">
            <w:pPr>
              <w:rPr>
                <w:rFonts w:ascii="宋体"/>
              </w:rPr>
            </w:pPr>
          </w:p>
        </w:tc>
        <w:tc>
          <w:tcPr>
            <w:tcW w:w="4350" w:type="pct"/>
            <w:shd w:val="clear" w:color="auto" w:fill="auto"/>
            <w:vAlign w:val="bottom"/>
          </w:tcPr>
          <w:p w14:paraId="67537995" w14:textId="77777777" w:rsidR="001B77DD" w:rsidRDefault="001B77DD">
            <w:pPr>
              <w:rPr>
                <w:rFonts w:ascii="宋体"/>
              </w:rPr>
            </w:pPr>
          </w:p>
        </w:tc>
        <w:tc>
          <w:tcPr>
            <w:tcW w:w="5" w:type="pct"/>
            <w:shd w:val="clear" w:color="auto" w:fill="auto"/>
            <w:vAlign w:val="bottom"/>
          </w:tcPr>
          <w:p w14:paraId="67537996" w14:textId="77777777" w:rsidR="001B77DD" w:rsidRDefault="001B77DD">
            <w:pPr>
              <w:rPr>
                <w:rFonts w:ascii="宋体"/>
              </w:rPr>
            </w:pPr>
          </w:p>
        </w:tc>
      </w:tr>
      <w:tr w:rsidR="001B77DD" w14:paraId="6753799A"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7998" w14:textId="77777777" w:rsidR="001B77DD" w:rsidRDefault="00BF0A28">
            <w:pPr>
              <w:textAlignment w:val="bottom"/>
            </w:pPr>
            <w:r>
              <w:rPr>
                <w:rFonts w:ascii="Arial" w:eastAsia="宋体" w:hAnsi="Arial" w:cs="Arial"/>
                <w:color w:val="FFFFFF"/>
                <w:sz w:val="28"/>
                <w:szCs w:val="28"/>
              </w:rPr>
              <w:t xml:space="preserve">Note 16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7999" w14:textId="77777777" w:rsidR="001B77DD" w:rsidRDefault="00BF0A28">
            <w:pPr>
              <w:textAlignment w:val="bottom"/>
            </w:pPr>
            <w:r>
              <w:rPr>
                <w:rFonts w:ascii="Arial" w:eastAsia="宋体" w:hAnsi="Arial" w:cs="Arial"/>
                <w:color w:val="0068B5"/>
                <w:sz w:val="28"/>
                <w:szCs w:val="28"/>
              </w:rPr>
              <w:t>Derivative Financial Instruments</w:t>
            </w:r>
          </w:p>
        </w:tc>
      </w:tr>
    </w:tbl>
    <w:p w14:paraId="6753799B" w14:textId="77777777" w:rsidR="001B77DD" w:rsidRDefault="00BF0A28">
      <w:pPr>
        <w:spacing w:after="180"/>
      </w:pPr>
      <w:r>
        <w:rPr>
          <w:rFonts w:ascii="Arial" w:eastAsia="宋体" w:hAnsi="Arial" w:cs="Arial"/>
          <w:color w:val="0068B5"/>
        </w:rPr>
        <w:t xml:space="preserve">Volume of Derivative </w:t>
      </w:r>
      <w:r>
        <w:rPr>
          <w:rFonts w:ascii="Arial" w:eastAsia="宋体" w:hAnsi="Arial" w:cs="Arial"/>
          <w:color w:val="0068B5"/>
        </w:rPr>
        <w:t>Activity</w:t>
      </w:r>
    </w:p>
    <w:p w14:paraId="6753799C" w14:textId="77777777" w:rsidR="001B77DD" w:rsidRDefault="00BF0A28">
      <w:pPr>
        <w:spacing w:after="120"/>
      </w:pPr>
      <w:r>
        <w:rPr>
          <w:rFonts w:ascii="Arial" w:eastAsia="宋体" w:hAnsi="Arial" w:cs="Arial"/>
          <w:color w:val="262626"/>
          <w:sz w:val="18"/>
          <w:szCs w:val="18"/>
        </w:rPr>
        <w:t>Total gross notional amounts for outstanding derivatives (recorded at fair value) at the end of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050"/>
        <w:gridCol w:w="36"/>
        <w:gridCol w:w="36"/>
        <w:gridCol w:w="36"/>
        <w:gridCol w:w="36"/>
        <w:gridCol w:w="121"/>
        <w:gridCol w:w="805"/>
        <w:gridCol w:w="36"/>
        <w:gridCol w:w="36"/>
        <w:gridCol w:w="36"/>
        <w:gridCol w:w="36"/>
        <w:gridCol w:w="121"/>
        <w:gridCol w:w="806"/>
        <w:gridCol w:w="36"/>
        <w:gridCol w:w="36"/>
        <w:gridCol w:w="36"/>
        <w:gridCol w:w="36"/>
        <w:gridCol w:w="121"/>
        <w:gridCol w:w="807"/>
        <w:gridCol w:w="36"/>
      </w:tblGrid>
      <w:tr w:rsidR="001B77DD" w14:paraId="675379B2" w14:textId="77777777">
        <w:tc>
          <w:tcPr>
            <w:tcW w:w="50" w:type="pct"/>
            <w:shd w:val="clear" w:color="auto" w:fill="auto"/>
            <w:vAlign w:val="bottom"/>
          </w:tcPr>
          <w:p w14:paraId="6753799D" w14:textId="77777777" w:rsidR="001B77DD" w:rsidRDefault="001B77DD">
            <w:pPr>
              <w:rPr>
                <w:rFonts w:ascii="宋体"/>
              </w:rPr>
            </w:pPr>
          </w:p>
        </w:tc>
        <w:tc>
          <w:tcPr>
            <w:tcW w:w="3059" w:type="pct"/>
            <w:shd w:val="clear" w:color="auto" w:fill="auto"/>
            <w:vAlign w:val="bottom"/>
          </w:tcPr>
          <w:p w14:paraId="6753799E" w14:textId="77777777" w:rsidR="001B77DD" w:rsidRDefault="001B77DD">
            <w:pPr>
              <w:rPr>
                <w:rFonts w:ascii="宋体"/>
              </w:rPr>
            </w:pPr>
          </w:p>
        </w:tc>
        <w:tc>
          <w:tcPr>
            <w:tcW w:w="5" w:type="pct"/>
            <w:shd w:val="clear" w:color="auto" w:fill="auto"/>
            <w:vAlign w:val="bottom"/>
          </w:tcPr>
          <w:p w14:paraId="6753799F" w14:textId="77777777" w:rsidR="001B77DD" w:rsidRDefault="001B77DD">
            <w:pPr>
              <w:rPr>
                <w:rFonts w:ascii="宋体"/>
              </w:rPr>
            </w:pPr>
          </w:p>
        </w:tc>
        <w:tc>
          <w:tcPr>
            <w:tcW w:w="5" w:type="pct"/>
            <w:shd w:val="clear" w:color="auto" w:fill="auto"/>
            <w:vAlign w:val="bottom"/>
          </w:tcPr>
          <w:p w14:paraId="675379A0" w14:textId="77777777" w:rsidR="001B77DD" w:rsidRDefault="001B77DD">
            <w:pPr>
              <w:rPr>
                <w:rFonts w:ascii="宋体"/>
              </w:rPr>
            </w:pPr>
          </w:p>
        </w:tc>
        <w:tc>
          <w:tcPr>
            <w:tcW w:w="24" w:type="pct"/>
            <w:shd w:val="clear" w:color="auto" w:fill="auto"/>
            <w:vAlign w:val="bottom"/>
          </w:tcPr>
          <w:p w14:paraId="675379A1" w14:textId="77777777" w:rsidR="001B77DD" w:rsidRDefault="001B77DD">
            <w:pPr>
              <w:rPr>
                <w:rFonts w:ascii="宋体"/>
              </w:rPr>
            </w:pPr>
          </w:p>
        </w:tc>
        <w:tc>
          <w:tcPr>
            <w:tcW w:w="5" w:type="pct"/>
            <w:shd w:val="clear" w:color="auto" w:fill="auto"/>
            <w:vAlign w:val="bottom"/>
          </w:tcPr>
          <w:p w14:paraId="675379A2" w14:textId="77777777" w:rsidR="001B77DD" w:rsidRDefault="001B77DD">
            <w:pPr>
              <w:rPr>
                <w:rFonts w:ascii="宋体"/>
              </w:rPr>
            </w:pPr>
          </w:p>
        </w:tc>
        <w:tc>
          <w:tcPr>
            <w:tcW w:w="50" w:type="pct"/>
            <w:shd w:val="clear" w:color="auto" w:fill="auto"/>
            <w:vAlign w:val="bottom"/>
          </w:tcPr>
          <w:p w14:paraId="675379A3" w14:textId="77777777" w:rsidR="001B77DD" w:rsidRDefault="001B77DD">
            <w:pPr>
              <w:rPr>
                <w:rFonts w:ascii="宋体"/>
              </w:rPr>
            </w:pPr>
          </w:p>
        </w:tc>
        <w:tc>
          <w:tcPr>
            <w:tcW w:w="539" w:type="pct"/>
            <w:shd w:val="clear" w:color="auto" w:fill="auto"/>
            <w:vAlign w:val="bottom"/>
          </w:tcPr>
          <w:p w14:paraId="675379A4" w14:textId="77777777" w:rsidR="001B77DD" w:rsidRDefault="001B77DD">
            <w:pPr>
              <w:rPr>
                <w:rFonts w:ascii="宋体"/>
              </w:rPr>
            </w:pPr>
          </w:p>
        </w:tc>
        <w:tc>
          <w:tcPr>
            <w:tcW w:w="5" w:type="pct"/>
            <w:shd w:val="clear" w:color="auto" w:fill="auto"/>
            <w:vAlign w:val="bottom"/>
          </w:tcPr>
          <w:p w14:paraId="675379A5" w14:textId="77777777" w:rsidR="001B77DD" w:rsidRDefault="001B77DD">
            <w:pPr>
              <w:rPr>
                <w:rFonts w:ascii="宋体"/>
              </w:rPr>
            </w:pPr>
          </w:p>
        </w:tc>
        <w:tc>
          <w:tcPr>
            <w:tcW w:w="5" w:type="pct"/>
            <w:shd w:val="clear" w:color="auto" w:fill="auto"/>
            <w:vAlign w:val="bottom"/>
          </w:tcPr>
          <w:p w14:paraId="675379A6" w14:textId="77777777" w:rsidR="001B77DD" w:rsidRDefault="001B77DD">
            <w:pPr>
              <w:rPr>
                <w:rFonts w:ascii="宋体"/>
              </w:rPr>
            </w:pPr>
          </w:p>
        </w:tc>
        <w:tc>
          <w:tcPr>
            <w:tcW w:w="24" w:type="pct"/>
            <w:shd w:val="clear" w:color="auto" w:fill="auto"/>
            <w:vAlign w:val="bottom"/>
          </w:tcPr>
          <w:p w14:paraId="675379A7" w14:textId="77777777" w:rsidR="001B77DD" w:rsidRDefault="001B77DD">
            <w:pPr>
              <w:rPr>
                <w:rFonts w:ascii="宋体"/>
              </w:rPr>
            </w:pPr>
          </w:p>
        </w:tc>
        <w:tc>
          <w:tcPr>
            <w:tcW w:w="5" w:type="pct"/>
            <w:shd w:val="clear" w:color="auto" w:fill="auto"/>
            <w:vAlign w:val="bottom"/>
          </w:tcPr>
          <w:p w14:paraId="675379A8" w14:textId="77777777" w:rsidR="001B77DD" w:rsidRDefault="001B77DD">
            <w:pPr>
              <w:rPr>
                <w:rFonts w:ascii="宋体"/>
              </w:rPr>
            </w:pPr>
          </w:p>
        </w:tc>
        <w:tc>
          <w:tcPr>
            <w:tcW w:w="50" w:type="pct"/>
            <w:shd w:val="clear" w:color="auto" w:fill="auto"/>
            <w:vAlign w:val="bottom"/>
          </w:tcPr>
          <w:p w14:paraId="675379A9" w14:textId="77777777" w:rsidR="001B77DD" w:rsidRDefault="001B77DD">
            <w:pPr>
              <w:rPr>
                <w:rFonts w:ascii="宋体"/>
              </w:rPr>
            </w:pPr>
          </w:p>
        </w:tc>
        <w:tc>
          <w:tcPr>
            <w:tcW w:w="539" w:type="pct"/>
            <w:shd w:val="clear" w:color="auto" w:fill="auto"/>
            <w:vAlign w:val="bottom"/>
          </w:tcPr>
          <w:p w14:paraId="675379AA" w14:textId="77777777" w:rsidR="001B77DD" w:rsidRDefault="001B77DD">
            <w:pPr>
              <w:rPr>
                <w:rFonts w:ascii="宋体"/>
              </w:rPr>
            </w:pPr>
          </w:p>
        </w:tc>
        <w:tc>
          <w:tcPr>
            <w:tcW w:w="5" w:type="pct"/>
            <w:shd w:val="clear" w:color="auto" w:fill="auto"/>
            <w:vAlign w:val="bottom"/>
          </w:tcPr>
          <w:p w14:paraId="675379AB" w14:textId="77777777" w:rsidR="001B77DD" w:rsidRDefault="001B77DD">
            <w:pPr>
              <w:rPr>
                <w:rFonts w:ascii="宋体"/>
              </w:rPr>
            </w:pPr>
          </w:p>
        </w:tc>
        <w:tc>
          <w:tcPr>
            <w:tcW w:w="5" w:type="pct"/>
            <w:shd w:val="clear" w:color="auto" w:fill="auto"/>
            <w:vAlign w:val="bottom"/>
          </w:tcPr>
          <w:p w14:paraId="675379AC" w14:textId="77777777" w:rsidR="001B77DD" w:rsidRDefault="001B77DD">
            <w:pPr>
              <w:rPr>
                <w:rFonts w:ascii="宋体"/>
              </w:rPr>
            </w:pPr>
          </w:p>
        </w:tc>
        <w:tc>
          <w:tcPr>
            <w:tcW w:w="24" w:type="pct"/>
            <w:shd w:val="clear" w:color="auto" w:fill="auto"/>
            <w:vAlign w:val="bottom"/>
          </w:tcPr>
          <w:p w14:paraId="675379AD" w14:textId="77777777" w:rsidR="001B77DD" w:rsidRDefault="001B77DD">
            <w:pPr>
              <w:rPr>
                <w:rFonts w:ascii="宋体"/>
              </w:rPr>
            </w:pPr>
          </w:p>
        </w:tc>
        <w:tc>
          <w:tcPr>
            <w:tcW w:w="5" w:type="pct"/>
            <w:shd w:val="clear" w:color="auto" w:fill="auto"/>
            <w:vAlign w:val="bottom"/>
          </w:tcPr>
          <w:p w14:paraId="675379AE" w14:textId="77777777" w:rsidR="001B77DD" w:rsidRDefault="001B77DD">
            <w:pPr>
              <w:rPr>
                <w:rFonts w:ascii="宋体"/>
              </w:rPr>
            </w:pPr>
          </w:p>
        </w:tc>
        <w:tc>
          <w:tcPr>
            <w:tcW w:w="50" w:type="pct"/>
            <w:shd w:val="clear" w:color="auto" w:fill="auto"/>
            <w:vAlign w:val="bottom"/>
          </w:tcPr>
          <w:p w14:paraId="675379AF" w14:textId="77777777" w:rsidR="001B77DD" w:rsidRDefault="001B77DD">
            <w:pPr>
              <w:rPr>
                <w:rFonts w:ascii="宋体"/>
              </w:rPr>
            </w:pPr>
          </w:p>
        </w:tc>
        <w:tc>
          <w:tcPr>
            <w:tcW w:w="539" w:type="pct"/>
            <w:shd w:val="clear" w:color="auto" w:fill="auto"/>
            <w:vAlign w:val="bottom"/>
          </w:tcPr>
          <w:p w14:paraId="675379B0" w14:textId="77777777" w:rsidR="001B77DD" w:rsidRDefault="001B77DD">
            <w:pPr>
              <w:rPr>
                <w:rFonts w:ascii="宋体"/>
              </w:rPr>
            </w:pPr>
          </w:p>
        </w:tc>
        <w:tc>
          <w:tcPr>
            <w:tcW w:w="5" w:type="pct"/>
            <w:shd w:val="clear" w:color="auto" w:fill="auto"/>
            <w:vAlign w:val="bottom"/>
          </w:tcPr>
          <w:p w14:paraId="675379B1" w14:textId="77777777" w:rsidR="001B77DD" w:rsidRDefault="001B77DD">
            <w:pPr>
              <w:rPr>
                <w:rFonts w:ascii="宋体"/>
              </w:rPr>
            </w:pPr>
          </w:p>
        </w:tc>
      </w:tr>
      <w:tr w:rsidR="001B77DD" w14:paraId="675379BA" w14:textId="77777777">
        <w:tc>
          <w:tcPr>
            <w:tcW w:w="0" w:type="auto"/>
            <w:gridSpan w:val="3"/>
            <w:shd w:val="clear" w:color="auto" w:fill="auto"/>
            <w:tcMar>
              <w:top w:w="40" w:type="dxa"/>
              <w:left w:w="20" w:type="dxa"/>
              <w:bottom w:w="40" w:type="dxa"/>
              <w:right w:w="20" w:type="dxa"/>
            </w:tcMar>
            <w:vAlign w:val="bottom"/>
          </w:tcPr>
          <w:p w14:paraId="675379B3" w14:textId="77777777" w:rsidR="001B77DD" w:rsidRDefault="00BF0A28">
            <w:pPr>
              <w:textAlignment w:val="bottom"/>
            </w:pPr>
            <w:r>
              <w:rPr>
                <w:rFonts w:ascii="Arial" w:eastAsia="宋体" w:hAnsi="Arial" w:cs="Arial"/>
                <w:b/>
                <w:bCs/>
                <w:color w:val="262626"/>
                <w:sz w:val="18"/>
                <w:szCs w:val="18"/>
              </w:rPr>
              <w:t>(In Millio</w:t>
            </w:r>
            <w:r>
              <w:rPr>
                <w:rFonts w:ascii="Arial" w:eastAsia="宋体" w:hAnsi="Arial" w:cs="Arial"/>
                <w:b/>
                <w:bCs/>
                <w:color w:val="262626"/>
                <w:sz w:val="18"/>
                <w:szCs w:val="18"/>
              </w:rPr>
              <w:t>ns)</w:t>
            </w:r>
          </w:p>
        </w:tc>
        <w:tc>
          <w:tcPr>
            <w:tcW w:w="0" w:type="auto"/>
            <w:gridSpan w:val="3"/>
            <w:shd w:val="clear" w:color="auto" w:fill="auto"/>
            <w:tcMar>
              <w:top w:w="0" w:type="dxa"/>
              <w:left w:w="20" w:type="dxa"/>
              <w:bottom w:w="0" w:type="dxa"/>
              <w:right w:w="20" w:type="dxa"/>
            </w:tcMar>
            <w:vAlign w:val="bottom"/>
          </w:tcPr>
          <w:p w14:paraId="675379B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9B5"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79B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9B7"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79B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9B9"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79C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9BB" w14:textId="77777777" w:rsidR="001B77DD" w:rsidRDefault="00BF0A28">
            <w:pPr>
              <w:textAlignment w:val="bottom"/>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675379B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9BD"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9BE" w14:textId="77777777" w:rsidR="001B77DD" w:rsidRDefault="00BF0A28">
            <w:pPr>
              <w:jc w:val="right"/>
              <w:textAlignment w:val="bottom"/>
            </w:pPr>
            <w:r>
              <w:rPr>
                <w:rFonts w:ascii="Arial" w:eastAsia="宋体" w:hAnsi="Arial" w:cs="Arial"/>
                <w:color w:val="0068B5"/>
                <w:sz w:val="18"/>
                <w:szCs w:val="18"/>
              </w:rPr>
              <w:t>38,024 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9B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C0"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9C1"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9C2" w14:textId="77777777" w:rsidR="001B77DD" w:rsidRDefault="00BF0A28">
            <w:pPr>
              <w:jc w:val="right"/>
              <w:textAlignment w:val="bottom"/>
            </w:pPr>
            <w:r>
              <w:rPr>
                <w:rFonts w:ascii="Arial" w:eastAsia="宋体" w:hAnsi="Arial" w:cs="Arial"/>
                <w:color w:val="262626"/>
                <w:sz w:val="18"/>
                <w:szCs w:val="18"/>
              </w:rPr>
              <w:t>31,209 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9C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C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9C5"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9C6" w14:textId="77777777" w:rsidR="001B77DD" w:rsidRDefault="00BF0A28">
            <w:pPr>
              <w:jc w:val="right"/>
              <w:textAlignment w:val="bottom"/>
            </w:pPr>
            <w:r>
              <w:rPr>
                <w:rFonts w:ascii="Arial" w:eastAsia="宋体" w:hAnsi="Arial" w:cs="Arial"/>
                <w:color w:val="262626"/>
                <w:sz w:val="18"/>
                <w:szCs w:val="18"/>
              </w:rPr>
              <w:t>23,981 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9C7" w14:textId="77777777" w:rsidR="001B77DD" w:rsidRDefault="001B77DD">
            <w:pPr>
              <w:jc w:val="right"/>
              <w:rPr>
                <w:rFonts w:ascii="宋体"/>
              </w:rPr>
            </w:pPr>
          </w:p>
        </w:tc>
      </w:tr>
      <w:tr w:rsidR="001B77DD" w14:paraId="675379D3" w14:textId="77777777">
        <w:tc>
          <w:tcPr>
            <w:tcW w:w="0" w:type="auto"/>
            <w:gridSpan w:val="3"/>
            <w:shd w:val="clear" w:color="auto" w:fill="auto"/>
            <w:tcMar>
              <w:top w:w="40" w:type="dxa"/>
              <w:left w:w="20" w:type="dxa"/>
              <w:bottom w:w="40" w:type="dxa"/>
              <w:right w:w="20" w:type="dxa"/>
            </w:tcMar>
            <w:vAlign w:val="bottom"/>
          </w:tcPr>
          <w:p w14:paraId="675379C9" w14:textId="77777777" w:rsidR="001B77DD" w:rsidRDefault="00BF0A28">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75379C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CB" w14:textId="77777777" w:rsidR="001B77DD" w:rsidRDefault="00BF0A28">
            <w:pPr>
              <w:jc w:val="right"/>
              <w:textAlignment w:val="bottom"/>
            </w:pPr>
            <w:r>
              <w:rPr>
                <w:rFonts w:ascii="Arial" w:eastAsia="宋体" w:hAnsi="Arial" w:cs="Arial"/>
                <w:color w:val="0068B5"/>
                <w:sz w:val="18"/>
                <w:szCs w:val="18"/>
              </w:rPr>
              <w:t>15,209 </w:t>
            </w:r>
          </w:p>
        </w:tc>
        <w:tc>
          <w:tcPr>
            <w:tcW w:w="0" w:type="auto"/>
            <w:shd w:val="clear" w:color="auto" w:fill="auto"/>
            <w:tcMar>
              <w:top w:w="40" w:type="dxa"/>
              <w:left w:w="0" w:type="dxa"/>
              <w:bottom w:w="40" w:type="dxa"/>
              <w:right w:w="20" w:type="dxa"/>
            </w:tcMar>
            <w:vAlign w:val="bottom"/>
          </w:tcPr>
          <w:p w14:paraId="675379C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C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CE" w14:textId="77777777" w:rsidR="001B77DD" w:rsidRDefault="00BF0A28">
            <w:pPr>
              <w:jc w:val="right"/>
              <w:textAlignment w:val="bottom"/>
            </w:pPr>
            <w:r>
              <w:rPr>
                <w:rFonts w:ascii="Arial" w:eastAsia="宋体" w:hAnsi="Arial" w:cs="Arial"/>
                <w:color w:val="262626"/>
                <w:sz w:val="18"/>
                <w:szCs w:val="18"/>
              </w:rPr>
              <w:t>14,461 </w:t>
            </w:r>
          </w:p>
        </w:tc>
        <w:tc>
          <w:tcPr>
            <w:tcW w:w="0" w:type="auto"/>
            <w:shd w:val="clear" w:color="auto" w:fill="auto"/>
            <w:tcMar>
              <w:top w:w="40" w:type="dxa"/>
              <w:left w:w="0" w:type="dxa"/>
              <w:bottom w:w="40" w:type="dxa"/>
              <w:right w:w="20" w:type="dxa"/>
            </w:tcMar>
            <w:vAlign w:val="bottom"/>
          </w:tcPr>
          <w:p w14:paraId="675379C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D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D1" w14:textId="77777777" w:rsidR="001B77DD" w:rsidRDefault="00BF0A28">
            <w:pPr>
              <w:jc w:val="right"/>
              <w:textAlignment w:val="bottom"/>
            </w:pPr>
            <w:r>
              <w:rPr>
                <w:rFonts w:ascii="Arial" w:eastAsia="宋体" w:hAnsi="Arial" w:cs="Arial"/>
                <w:color w:val="262626"/>
                <w:sz w:val="18"/>
                <w:szCs w:val="18"/>
              </w:rPr>
              <w:t>14,302 </w:t>
            </w:r>
          </w:p>
        </w:tc>
        <w:tc>
          <w:tcPr>
            <w:tcW w:w="0" w:type="auto"/>
            <w:shd w:val="clear" w:color="auto" w:fill="auto"/>
            <w:tcMar>
              <w:top w:w="40" w:type="dxa"/>
              <w:left w:w="0" w:type="dxa"/>
              <w:bottom w:w="40" w:type="dxa"/>
              <w:right w:w="20" w:type="dxa"/>
            </w:tcMar>
            <w:vAlign w:val="bottom"/>
          </w:tcPr>
          <w:p w14:paraId="675379D2" w14:textId="77777777" w:rsidR="001B77DD" w:rsidRDefault="001B77DD">
            <w:pPr>
              <w:jc w:val="right"/>
              <w:rPr>
                <w:rFonts w:ascii="宋体"/>
              </w:rPr>
            </w:pPr>
          </w:p>
        </w:tc>
      </w:tr>
      <w:tr w:rsidR="001B77DD" w14:paraId="675379DE" w14:textId="77777777">
        <w:tc>
          <w:tcPr>
            <w:tcW w:w="0" w:type="auto"/>
            <w:gridSpan w:val="3"/>
            <w:shd w:val="clear" w:color="auto" w:fill="auto"/>
            <w:tcMar>
              <w:top w:w="40" w:type="dxa"/>
              <w:left w:w="20" w:type="dxa"/>
              <w:bottom w:w="40" w:type="dxa"/>
              <w:right w:w="20" w:type="dxa"/>
            </w:tcMar>
            <w:vAlign w:val="bottom"/>
          </w:tcPr>
          <w:p w14:paraId="675379D4" w14:textId="77777777" w:rsidR="001B77DD" w:rsidRDefault="00BF0A28">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75379D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D6" w14:textId="77777777" w:rsidR="001B77DD" w:rsidRDefault="00BF0A28">
            <w:pPr>
              <w:jc w:val="right"/>
              <w:textAlignment w:val="bottom"/>
            </w:pPr>
            <w:r>
              <w:rPr>
                <w:rFonts w:ascii="Arial" w:eastAsia="宋体" w:hAnsi="Arial" w:cs="Arial"/>
                <w:color w:val="0068B5"/>
                <w:sz w:val="18"/>
                <w:szCs w:val="18"/>
              </w:rPr>
              <w:t>2,517 </w:t>
            </w:r>
          </w:p>
        </w:tc>
        <w:tc>
          <w:tcPr>
            <w:tcW w:w="0" w:type="auto"/>
            <w:shd w:val="clear" w:color="auto" w:fill="auto"/>
            <w:tcMar>
              <w:top w:w="40" w:type="dxa"/>
              <w:left w:w="0" w:type="dxa"/>
              <w:bottom w:w="40" w:type="dxa"/>
              <w:right w:w="20" w:type="dxa"/>
            </w:tcMar>
            <w:vAlign w:val="bottom"/>
          </w:tcPr>
          <w:p w14:paraId="675379D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D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D9" w14:textId="77777777" w:rsidR="001B77DD" w:rsidRDefault="00BF0A28">
            <w:pPr>
              <w:jc w:val="right"/>
              <w:textAlignment w:val="bottom"/>
            </w:pPr>
            <w:r>
              <w:rPr>
                <w:rFonts w:ascii="Arial" w:eastAsia="宋体" w:hAnsi="Arial" w:cs="Arial"/>
                <w:color w:val="262626"/>
                <w:sz w:val="18"/>
                <w:szCs w:val="18"/>
              </w:rPr>
              <w:t>2,026 </w:t>
            </w:r>
          </w:p>
        </w:tc>
        <w:tc>
          <w:tcPr>
            <w:tcW w:w="0" w:type="auto"/>
            <w:shd w:val="clear" w:color="auto" w:fill="auto"/>
            <w:tcMar>
              <w:top w:w="40" w:type="dxa"/>
              <w:left w:w="0" w:type="dxa"/>
              <w:bottom w:w="40" w:type="dxa"/>
              <w:right w:w="20" w:type="dxa"/>
            </w:tcMar>
            <w:vAlign w:val="bottom"/>
          </w:tcPr>
          <w:p w14:paraId="675379D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D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9DC" w14:textId="77777777" w:rsidR="001B77DD" w:rsidRDefault="00BF0A28">
            <w:pPr>
              <w:jc w:val="right"/>
              <w:textAlignment w:val="bottom"/>
            </w:pPr>
            <w:r>
              <w:rPr>
                <w:rFonts w:ascii="Arial" w:eastAsia="宋体" w:hAnsi="Arial" w:cs="Arial"/>
                <w:color w:val="262626"/>
                <w:sz w:val="18"/>
                <w:szCs w:val="18"/>
              </w:rPr>
              <w:t>1,753 </w:t>
            </w:r>
          </w:p>
        </w:tc>
        <w:tc>
          <w:tcPr>
            <w:tcW w:w="0" w:type="auto"/>
            <w:shd w:val="clear" w:color="auto" w:fill="auto"/>
            <w:tcMar>
              <w:top w:w="40" w:type="dxa"/>
              <w:left w:w="0" w:type="dxa"/>
              <w:bottom w:w="40" w:type="dxa"/>
              <w:right w:w="20" w:type="dxa"/>
            </w:tcMar>
            <w:vAlign w:val="bottom"/>
          </w:tcPr>
          <w:p w14:paraId="675379DD" w14:textId="77777777" w:rsidR="001B77DD" w:rsidRDefault="001B77DD">
            <w:pPr>
              <w:jc w:val="right"/>
              <w:rPr>
                <w:rFonts w:ascii="宋体"/>
              </w:rPr>
            </w:pPr>
          </w:p>
        </w:tc>
      </w:tr>
      <w:tr w:rsidR="001B77DD" w14:paraId="675379EC" w14:textId="77777777">
        <w:tc>
          <w:tcPr>
            <w:tcW w:w="0" w:type="auto"/>
            <w:gridSpan w:val="3"/>
            <w:shd w:val="clear" w:color="auto" w:fill="auto"/>
            <w:tcMar>
              <w:top w:w="40" w:type="dxa"/>
              <w:left w:w="20" w:type="dxa"/>
              <w:bottom w:w="40" w:type="dxa"/>
              <w:right w:w="20" w:type="dxa"/>
            </w:tcMar>
            <w:vAlign w:val="bottom"/>
          </w:tcPr>
          <w:p w14:paraId="675379DF" w14:textId="77777777" w:rsidR="001B77DD" w:rsidRDefault="00BF0A28">
            <w:pP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79E0"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9E1"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9E2" w14:textId="77777777" w:rsidR="001B77DD" w:rsidRDefault="00BF0A28">
            <w:pPr>
              <w:jc w:val="right"/>
              <w:textAlignment w:val="bottom"/>
            </w:pPr>
            <w:r>
              <w:rPr>
                <w:rFonts w:ascii="Arial" w:eastAsia="宋体" w:hAnsi="Arial" w:cs="Arial"/>
                <w:b/>
                <w:bCs/>
                <w:color w:val="0068B5"/>
                <w:sz w:val="18"/>
                <w:szCs w:val="18"/>
              </w:rPr>
              <w:t>55,750</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9E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E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9E5"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9E6" w14:textId="77777777" w:rsidR="001B77DD" w:rsidRDefault="00BF0A28">
            <w:pPr>
              <w:jc w:val="right"/>
              <w:textAlignment w:val="bottom"/>
            </w:pPr>
            <w:r>
              <w:rPr>
                <w:rFonts w:ascii="Arial" w:eastAsia="宋体" w:hAnsi="Arial" w:cs="Arial"/>
                <w:b/>
                <w:bCs/>
                <w:color w:val="262626"/>
                <w:sz w:val="18"/>
                <w:szCs w:val="18"/>
              </w:rPr>
              <w:t>47,696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9E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9E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9E9"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9EA" w14:textId="77777777" w:rsidR="001B77DD" w:rsidRDefault="00BF0A28">
            <w:pPr>
              <w:jc w:val="right"/>
              <w:textAlignment w:val="bottom"/>
            </w:pPr>
            <w:r>
              <w:rPr>
                <w:rFonts w:ascii="Arial" w:eastAsia="宋体" w:hAnsi="Arial" w:cs="Arial"/>
                <w:b/>
                <w:bCs/>
                <w:color w:val="262626"/>
                <w:sz w:val="18"/>
                <w:szCs w:val="18"/>
              </w:rPr>
              <w:t>40,036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9EB" w14:textId="77777777" w:rsidR="001B77DD" w:rsidRDefault="001B77DD">
            <w:pPr>
              <w:jc w:val="right"/>
              <w:rPr>
                <w:rFonts w:ascii="宋体"/>
              </w:rPr>
            </w:pPr>
          </w:p>
        </w:tc>
      </w:tr>
    </w:tbl>
    <w:p w14:paraId="675379ED" w14:textId="77777777" w:rsidR="001B77DD" w:rsidRDefault="00BF0A28">
      <w:pPr>
        <w:spacing w:before="120" w:after="180"/>
      </w:pPr>
      <w:r>
        <w:rPr>
          <w:rFonts w:ascii="Arial" w:eastAsia="宋体" w:hAnsi="Arial" w:cs="Arial"/>
          <w:color w:val="262626"/>
          <w:sz w:val="18"/>
          <w:szCs w:val="18"/>
        </w:rPr>
        <w:t>During 2021 and 2020, we did not enter into any new pay-variable, receive-fixed interest rate swaps to hedge against changes in the fair value attributable to benchmark interest rates r</w:t>
      </w:r>
      <w:r>
        <w:rPr>
          <w:rFonts w:ascii="Arial" w:eastAsia="宋体" w:hAnsi="Arial" w:cs="Arial"/>
          <w:color w:val="262626"/>
          <w:sz w:val="18"/>
          <w:szCs w:val="18"/>
        </w:rPr>
        <w:t xml:space="preserve">elated to our outstanding senior notes. The total notional amount of outstanding pay-variable, receive-fixed interest rate swaps was $12.0 billion as of December 25, 2021 and $12.0 billion as of December 26, 2020. In 2019, we unwound $7.1 billion of these </w:t>
      </w:r>
      <w:r>
        <w:rPr>
          <w:rFonts w:ascii="Arial" w:eastAsia="宋体" w:hAnsi="Arial" w:cs="Arial"/>
          <w:color w:val="262626"/>
          <w:sz w:val="18"/>
          <w:szCs w:val="18"/>
        </w:rPr>
        <w:t>swaps, resulting in a $111 million gain to be amortized over the remaining life of the debt.</w:t>
      </w:r>
    </w:p>
    <w:p w14:paraId="675379EE" w14:textId="77777777" w:rsidR="001B77DD" w:rsidRDefault="00BF0A28">
      <w:pPr>
        <w:spacing w:after="180"/>
      </w:pPr>
      <w:r>
        <w:rPr>
          <w:rFonts w:ascii="Arial" w:eastAsia="宋体" w:hAnsi="Arial" w:cs="Arial"/>
          <w:color w:val="0068B5"/>
        </w:rPr>
        <w:t>Fair Value of Derivative Instruments in 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38"/>
        <w:gridCol w:w="3981"/>
        <w:gridCol w:w="37"/>
        <w:gridCol w:w="36"/>
        <w:gridCol w:w="36"/>
        <w:gridCol w:w="36"/>
        <w:gridCol w:w="122"/>
        <w:gridCol w:w="784"/>
        <w:gridCol w:w="37"/>
        <w:gridCol w:w="36"/>
        <w:gridCol w:w="36"/>
        <w:gridCol w:w="36"/>
        <w:gridCol w:w="122"/>
        <w:gridCol w:w="846"/>
        <w:gridCol w:w="36"/>
        <w:gridCol w:w="36"/>
        <w:gridCol w:w="36"/>
        <w:gridCol w:w="36"/>
        <w:gridCol w:w="122"/>
        <w:gridCol w:w="738"/>
        <w:gridCol w:w="37"/>
        <w:gridCol w:w="36"/>
        <w:gridCol w:w="36"/>
        <w:gridCol w:w="36"/>
        <w:gridCol w:w="122"/>
        <w:gridCol w:w="846"/>
        <w:gridCol w:w="36"/>
      </w:tblGrid>
      <w:tr w:rsidR="001B77DD" w14:paraId="67537A0A" w14:textId="77777777">
        <w:tc>
          <w:tcPr>
            <w:tcW w:w="50" w:type="pct"/>
            <w:shd w:val="clear" w:color="auto" w:fill="auto"/>
            <w:vAlign w:val="bottom"/>
          </w:tcPr>
          <w:p w14:paraId="675379EF" w14:textId="77777777" w:rsidR="001B77DD" w:rsidRDefault="001B77DD">
            <w:pPr>
              <w:rPr>
                <w:rFonts w:ascii="宋体"/>
              </w:rPr>
            </w:pPr>
          </w:p>
        </w:tc>
        <w:tc>
          <w:tcPr>
            <w:tcW w:w="2431" w:type="pct"/>
            <w:shd w:val="clear" w:color="auto" w:fill="auto"/>
            <w:vAlign w:val="bottom"/>
          </w:tcPr>
          <w:p w14:paraId="675379F0" w14:textId="77777777" w:rsidR="001B77DD" w:rsidRDefault="001B77DD">
            <w:pPr>
              <w:rPr>
                <w:rFonts w:ascii="宋体"/>
              </w:rPr>
            </w:pPr>
          </w:p>
        </w:tc>
        <w:tc>
          <w:tcPr>
            <w:tcW w:w="5" w:type="pct"/>
            <w:shd w:val="clear" w:color="auto" w:fill="auto"/>
            <w:vAlign w:val="bottom"/>
          </w:tcPr>
          <w:p w14:paraId="675379F1" w14:textId="77777777" w:rsidR="001B77DD" w:rsidRDefault="001B77DD">
            <w:pPr>
              <w:rPr>
                <w:rFonts w:ascii="宋体"/>
              </w:rPr>
            </w:pPr>
          </w:p>
        </w:tc>
        <w:tc>
          <w:tcPr>
            <w:tcW w:w="5" w:type="pct"/>
            <w:shd w:val="clear" w:color="auto" w:fill="auto"/>
            <w:vAlign w:val="bottom"/>
          </w:tcPr>
          <w:p w14:paraId="675379F2" w14:textId="77777777" w:rsidR="001B77DD" w:rsidRDefault="001B77DD">
            <w:pPr>
              <w:rPr>
                <w:rFonts w:ascii="宋体"/>
              </w:rPr>
            </w:pPr>
          </w:p>
        </w:tc>
        <w:tc>
          <w:tcPr>
            <w:tcW w:w="24" w:type="pct"/>
            <w:shd w:val="clear" w:color="auto" w:fill="auto"/>
            <w:vAlign w:val="bottom"/>
          </w:tcPr>
          <w:p w14:paraId="675379F3" w14:textId="77777777" w:rsidR="001B77DD" w:rsidRDefault="001B77DD">
            <w:pPr>
              <w:rPr>
                <w:rFonts w:ascii="宋体"/>
              </w:rPr>
            </w:pPr>
          </w:p>
        </w:tc>
        <w:tc>
          <w:tcPr>
            <w:tcW w:w="5" w:type="pct"/>
            <w:shd w:val="clear" w:color="auto" w:fill="auto"/>
            <w:vAlign w:val="bottom"/>
          </w:tcPr>
          <w:p w14:paraId="675379F4" w14:textId="77777777" w:rsidR="001B77DD" w:rsidRDefault="001B77DD">
            <w:pPr>
              <w:rPr>
                <w:rFonts w:ascii="宋体"/>
              </w:rPr>
            </w:pPr>
          </w:p>
        </w:tc>
        <w:tc>
          <w:tcPr>
            <w:tcW w:w="50" w:type="pct"/>
            <w:shd w:val="clear" w:color="auto" w:fill="auto"/>
            <w:vAlign w:val="bottom"/>
          </w:tcPr>
          <w:p w14:paraId="675379F5" w14:textId="77777777" w:rsidR="001B77DD" w:rsidRDefault="001B77DD">
            <w:pPr>
              <w:rPr>
                <w:rFonts w:ascii="宋体"/>
              </w:rPr>
            </w:pPr>
          </w:p>
        </w:tc>
        <w:tc>
          <w:tcPr>
            <w:tcW w:w="539" w:type="pct"/>
            <w:shd w:val="clear" w:color="auto" w:fill="auto"/>
            <w:vAlign w:val="bottom"/>
          </w:tcPr>
          <w:p w14:paraId="675379F6" w14:textId="77777777" w:rsidR="001B77DD" w:rsidRDefault="001B77DD">
            <w:pPr>
              <w:rPr>
                <w:rFonts w:ascii="宋体"/>
              </w:rPr>
            </w:pPr>
          </w:p>
        </w:tc>
        <w:tc>
          <w:tcPr>
            <w:tcW w:w="5" w:type="pct"/>
            <w:shd w:val="clear" w:color="auto" w:fill="auto"/>
            <w:vAlign w:val="bottom"/>
          </w:tcPr>
          <w:p w14:paraId="675379F7" w14:textId="77777777" w:rsidR="001B77DD" w:rsidRDefault="001B77DD">
            <w:pPr>
              <w:rPr>
                <w:rFonts w:ascii="宋体"/>
              </w:rPr>
            </w:pPr>
          </w:p>
        </w:tc>
        <w:tc>
          <w:tcPr>
            <w:tcW w:w="5" w:type="pct"/>
            <w:shd w:val="clear" w:color="auto" w:fill="auto"/>
            <w:vAlign w:val="bottom"/>
          </w:tcPr>
          <w:p w14:paraId="675379F8" w14:textId="77777777" w:rsidR="001B77DD" w:rsidRDefault="001B77DD">
            <w:pPr>
              <w:rPr>
                <w:rFonts w:ascii="宋体"/>
              </w:rPr>
            </w:pPr>
          </w:p>
        </w:tc>
        <w:tc>
          <w:tcPr>
            <w:tcW w:w="24" w:type="pct"/>
            <w:shd w:val="clear" w:color="auto" w:fill="auto"/>
            <w:vAlign w:val="bottom"/>
          </w:tcPr>
          <w:p w14:paraId="675379F9" w14:textId="77777777" w:rsidR="001B77DD" w:rsidRDefault="001B77DD">
            <w:pPr>
              <w:rPr>
                <w:rFonts w:ascii="宋体"/>
              </w:rPr>
            </w:pPr>
          </w:p>
        </w:tc>
        <w:tc>
          <w:tcPr>
            <w:tcW w:w="5" w:type="pct"/>
            <w:shd w:val="clear" w:color="auto" w:fill="auto"/>
            <w:vAlign w:val="bottom"/>
          </w:tcPr>
          <w:p w14:paraId="675379FA" w14:textId="77777777" w:rsidR="001B77DD" w:rsidRDefault="001B77DD">
            <w:pPr>
              <w:rPr>
                <w:rFonts w:ascii="宋体"/>
              </w:rPr>
            </w:pPr>
          </w:p>
        </w:tc>
        <w:tc>
          <w:tcPr>
            <w:tcW w:w="50" w:type="pct"/>
            <w:shd w:val="clear" w:color="auto" w:fill="auto"/>
            <w:vAlign w:val="bottom"/>
          </w:tcPr>
          <w:p w14:paraId="675379FB" w14:textId="77777777" w:rsidR="001B77DD" w:rsidRDefault="001B77DD">
            <w:pPr>
              <w:rPr>
                <w:rFonts w:ascii="宋体"/>
              </w:rPr>
            </w:pPr>
          </w:p>
        </w:tc>
        <w:tc>
          <w:tcPr>
            <w:tcW w:w="539" w:type="pct"/>
            <w:shd w:val="clear" w:color="auto" w:fill="auto"/>
            <w:vAlign w:val="bottom"/>
          </w:tcPr>
          <w:p w14:paraId="675379FC" w14:textId="77777777" w:rsidR="001B77DD" w:rsidRDefault="001B77DD">
            <w:pPr>
              <w:rPr>
                <w:rFonts w:ascii="宋体"/>
              </w:rPr>
            </w:pPr>
          </w:p>
        </w:tc>
        <w:tc>
          <w:tcPr>
            <w:tcW w:w="5" w:type="pct"/>
            <w:shd w:val="clear" w:color="auto" w:fill="auto"/>
            <w:vAlign w:val="bottom"/>
          </w:tcPr>
          <w:p w14:paraId="675379FD" w14:textId="77777777" w:rsidR="001B77DD" w:rsidRDefault="001B77DD">
            <w:pPr>
              <w:rPr>
                <w:rFonts w:ascii="宋体"/>
              </w:rPr>
            </w:pPr>
          </w:p>
        </w:tc>
        <w:tc>
          <w:tcPr>
            <w:tcW w:w="5" w:type="pct"/>
            <w:shd w:val="clear" w:color="auto" w:fill="auto"/>
            <w:vAlign w:val="bottom"/>
          </w:tcPr>
          <w:p w14:paraId="675379FE" w14:textId="77777777" w:rsidR="001B77DD" w:rsidRDefault="001B77DD">
            <w:pPr>
              <w:rPr>
                <w:rFonts w:ascii="宋体"/>
              </w:rPr>
            </w:pPr>
          </w:p>
        </w:tc>
        <w:tc>
          <w:tcPr>
            <w:tcW w:w="24" w:type="pct"/>
            <w:shd w:val="clear" w:color="auto" w:fill="auto"/>
            <w:vAlign w:val="bottom"/>
          </w:tcPr>
          <w:p w14:paraId="675379FF" w14:textId="77777777" w:rsidR="001B77DD" w:rsidRDefault="001B77DD">
            <w:pPr>
              <w:rPr>
                <w:rFonts w:ascii="宋体"/>
              </w:rPr>
            </w:pPr>
          </w:p>
        </w:tc>
        <w:tc>
          <w:tcPr>
            <w:tcW w:w="5" w:type="pct"/>
            <w:shd w:val="clear" w:color="auto" w:fill="auto"/>
            <w:vAlign w:val="bottom"/>
          </w:tcPr>
          <w:p w14:paraId="67537A00" w14:textId="77777777" w:rsidR="001B77DD" w:rsidRDefault="001B77DD">
            <w:pPr>
              <w:rPr>
                <w:rFonts w:ascii="宋体"/>
              </w:rPr>
            </w:pPr>
          </w:p>
        </w:tc>
        <w:tc>
          <w:tcPr>
            <w:tcW w:w="50" w:type="pct"/>
            <w:shd w:val="clear" w:color="auto" w:fill="auto"/>
            <w:vAlign w:val="bottom"/>
          </w:tcPr>
          <w:p w14:paraId="67537A01" w14:textId="77777777" w:rsidR="001B77DD" w:rsidRDefault="001B77DD">
            <w:pPr>
              <w:rPr>
                <w:rFonts w:ascii="宋体"/>
              </w:rPr>
            </w:pPr>
          </w:p>
        </w:tc>
        <w:tc>
          <w:tcPr>
            <w:tcW w:w="539" w:type="pct"/>
            <w:shd w:val="clear" w:color="auto" w:fill="auto"/>
            <w:vAlign w:val="bottom"/>
          </w:tcPr>
          <w:p w14:paraId="67537A02" w14:textId="77777777" w:rsidR="001B77DD" w:rsidRDefault="001B77DD">
            <w:pPr>
              <w:rPr>
                <w:rFonts w:ascii="宋体"/>
              </w:rPr>
            </w:pPr>
          </w:p>
        </w:tc>
        <w:tc>
          <w:tcPr>
            <w:tcW w:w="5" w:type="pct"/>
            <w:shd w:val="clear" w:color="auto" w:fill="auto"/>
            <w:vAlign w:val="bottom"/>
          </w:tcPr>
          <w:p w14:paraId="67537A03" w14:textId="77777777" w:rsidR="001B77DD" w:rsidRDefault="001B77DD">
            <w:pPr>
              <w:rPr>
                <w:rFonts w:ascii="宋体"/>
              </w:rPr>
            </w:pPr>
          </w:p>
        </w:tc>
        <w:tc>
          <w:tcPr>
            <w:tcW w:w="5" w:type="pct"/>
            <w:shd w:val="clear" w:color="auto" w:fill="auto"/>
            <w:vAlign w:val="bottom"/>
          </w:tcPr>
          <w:p w14:paraId="67537A04" w14:textId="77777777" w:rsidR="001B77DD" w:rsidRDefault="001B77DD">
            <w:pPr>
              <w:rPr>
                <w:rFonts w:ascii="宋体"/>
              </w:rPr>
            </w:pPr>
          </w:p>
        </w:tc>
        <w:tc>
          <w:tcPr>
            <w:tcW w:w="24" w:type="pct"/>
            <w:shd w:val="clear" w:color="auto" w:fill="auto"/>
            <w:vAlign w:val="bottom"/>
          </w:tcPr>
          <w:p w14:paraId="67537A05" w14:textId="77777777" w:rsidR="001B77DD" w:rsidRDefault="001B77DD">
            <w:pPr>
              <w:rPr>
                <w:rFonts w:ascii="宋体"/>
              </w:rPr>
            </w:pPr>
          </w:p>
        </w:tc>
        <w:tc>
          <w:tcPr>
            <w:tcW w:w="5" w:type="pct"/>
            <w:shd w:val="clear" w:color="auto" w:fill="auto"/>
            <w:vAlign w:val="bottom"/>
          </w:tcPr>
          <w:p w14:paraId="67537A06" w14:textId="77777777" w:rsidR="001B77DD" w:rsidRDefault="001B77DD">
            <w:pPr>
              <w:rPr>
                <w:rFonts w:ascii="宋体"/>
              </w:rPr>
            </w:pPr>
          </w:p>
        </w:tc>
        <w:tc>
          <w:tcPr>
            <w:tcW w:w="50" w:type="pct"/>
            <w:shd w:val="clear" w:color="auto" w:fill="auto"/>
            <w:vAlign w:val="bottom"/>
          </w:tcPr>
          <w:p w14:paraId="67537A07" w14:textId="77777777" w:rsidR="001B77DD" w:rsidRDefault="001B77DD">
            <w:pPr>
              <w:rPr>
                <w:rFonts w:ascii="宋体"/>
              </w:rPr>
            </w:pPr>
          </w:p>
        </w:tc>
        <w:tc>
          <w:tcPr>
            <w:tcW w:w="539" w:type="pct"/>
            <w:shd w:val="clear" w:color="auto" w:fill="auto"/>
            <w:vAlign w:val="bottom"/>
          </w:tcPr>
          <w:p w14:paraId="67537A08" w14:textId="77777777" w:rsidR="001B77DD" w:rsidRDefault="001B77DD">
            <w:pPr>
              <w:rPr>
                <w:rFonts w:ascii="宋体"/>
              </w:rPr>
            </w:pPr>
          </w:p>
        </w:tc>
        <w:tc>
          <w:tcPr>
            <w:tcW w:w="5" w:type="pct"/>
            <w:shd w:val="clear" w:color="auto" w:fill="auto"/>
            <w:vAlign w:val="bottom"/>
          </w:tcPr>
          <w:p w14:paraId="67537A09" w14:textId="77777777" w:rsidR="001B77DD" w:rsidRDefault="001B77DD">
            <w:pPr>
              <w:rPr>
                <w:rFonts w:ascii="宋体"/>
              </w:rPr>
            </w:pPr>
          </w:p>
        </w:tc>
      </w:tr>
      <w:tr w:rsidR="001B77DD" w14:paraId="67537A10" w14:textId="77777777">
        <w:tc>
          <w:tcPr>
            <w:tcW w:w="0" w:type="auto"/>
            <w:gridSpan w:val="3"/>
            <w:shd w:val="clear" w:color="auto" w:fill="auto"/>
            <w:tcMar>
              <w:top w:w="0" w:type="dxa"/>
              <w:left w:w="20" w:type="dxa"/>
              <w:bottom w:w="0" w:type="dxa"/>
              <w:right w:w="20" w:type="dxa"/>
            </w:tcMar>
            <w:vAlign w:val="bottom"/>
          </w:tcPr>
          <w:p w14:paraId="67537A0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0C"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7A0D" w14:textId="77777777" w:rsidR="001B77DD" w:rsidRDefault="00BF0A28">
            <w:pPr>
              <w:jc w:val="cente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67537A0E"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7A0F" w14:textId="77777777" w:rsidR="001B77DD" w:rsidRDefault="00BF0A28">
            <w:pPr>
              <w:jc w:val="center"/>
              <w:textAlignment w:val="bottom"/>
            </w:pPr>
            <w:r>
              <w:rPr>
                <w:rFonts w:ascii="Arial" w:eastAsia="宋体" w:hAnsi="Arial" w:cs="Arial"/>
                <w:b/>
                <w:bCs/>
                <w:color w:val="262626"/>
                <w:sz w:val="18"/>
                <w:szCs w:val="18"/>
              </w:rPr>
              <w:t>December 26, 2020</w:t>
            </w:r>
          </w:p>
        </w:tc>
      </w:tr>
      <w:tr w:rsidR="001B77DD" w14:paraId="67537A1A" w14:textId="77777777">
        <w:tc>
          <w:tcPr>
            <w:tcW w:w="0" w:type="auto"/>
            <w:gridSpan w:val="3"/>
            <w:shd w:val="clear" w:color="auto" w:fill="auto"/>
            <w:tcMar>
              <w:top w:w="40" w:type="dxa"/>
              <w:left w:w="20" w:type="dxa"/>
              <w:bottom w:w="40" w:type="dxa"/>
              <w:right w:w="20" w:type="dxa"/>
            </w:tcMar>
            <w:vAlign w:val="bottom"/>
          </w:tcPr>
          <w:p w14:paraId="67537A11"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7A12"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A13" w14:textId="77777777" w:rsidR="001B77DD" w:rsidRDefault="00BF0A28">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14"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A15" w14:textId="77777777" w:rsidR="001B77DD" w:rsidRDefault="00BF0A28">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67537A16"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A17" w14:textId="77777777" w:rsidR="001B77DD" w:rsidRDefault="00BF0A28">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18"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A19" w14:textId="77777777" w:rsidR="001B77DD" w:rsidRDefault="00BF0A28">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1B77DD" w14:paraId="67537A2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A1B" w14:textId="77777777" w:rsidR="001B77DD" w:rsidRDefault="00BF0A28">
            <w:pPr>
              <w:textAlignment w:val="bottom"/>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vAlign w:val="bottom"/>
          </w:tcPr>
          <w:p w14:paraId="67537A1C"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A1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1E"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A1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20"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A2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22"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A23" w14:textId="77777777" w:rsidR="001B77DD" w:rsidRDefault="001B77DD">
            <w:pPr>
              <w:rPr>
                <w:rFonts w:ascii="宋体"/>
              </w:rPr>
            </w:pPr>
          </w:p>
        </w:tc>
      </w:tr>
      <w:tr w:rsidR="001B77DD" w14:paraId="67537A36" w14:textId="77777777">
        <w:tc>
          <w:tcPr>
            <w:tcW w:w="0" w:type="auto"/>
            <w:gridSpan w:val="3"/>
            <w:shd w:val="clear" w:color="auto" w:fill="auto"/>
            <w:tcMar>
              <w:top w:w="40" w:type="dxa"/>
              <w:left w:w="20" w:type="dxa"/>
              <w:bottom w:w="40" w:type="dxa"/>
              <w:right w:w="20" w:type="dxa"/>
            </w:tcMar>
            <w:vAlign w:val="bottom"/>
          </w:tcPr>
          <w:p w14:paraId="67537A25" w14:textId="77777777" w:rsidR="001B77DD" w:rsidRDefault="00BF0A28">
            <w:pPr>
              <w:textAlignment w:val="bottom"/>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7537A26"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A27"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A28" w14:textId="77777777" w:rsidR="001B77DD" w:rsidRDefault="00BF0A28">
            <w:pPr>
              <w:jc w:val="right"/>
              <w:textAlignment w:val="bottom"/>
            </w:pPr>
            <w:r>
              <w:rPr>
                <w:rFonts w:ascii="Arial" w:eastAsia="宋体" w:hAnsi="Arial" w:cs="Arial"/>
                <w:color w:val="0068B5"/>
                <w:sz w:val="18"/>
                <w:szCs w:val="18"/>
              </w:rPr>
              <w:t>80 </w:t>
            </w:r>
          </w:p>
        </w:tc>
        <w:tc>
          <w:tcPr>
            <w:tcW w:w="0" w:type="auto"/>
            <w:shd w:val="clear" w:color="auto" w:fill="auto"/>
            <w:tcMar>
              <w:top w:w="40" w:type="dxa"/>
              <w:left w:w="0" w:type="dxa"/>
              <w:bottom w:w="40" w:type="dxa"/>
              <w:right w:w="20" w:type="dxa"/>
            </w:tcMar>
            <w:vAlign w:val="bottom"/>
          </w:tcPr>
          <w:p w14:paraId="67537A2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2A"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A2B"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A2C" w14:textId="77777777" w:rsidR="001B77DD" w:rsidRDefault="00BF0A28">
            <w:pPr>
              <w:jc w:val="right"/>
              <w:textAlignment w:val="bottom"/>
            </w:pPr>
            <w:r>
              <w:rPr>
                <w:rFonts w:ascii="Arial" w:eastAsia="宋体" w:hAnsi="Arial" w:cs="Arial"/>
                <w:color w:val="0068B5"/>
                <w:sz w:val="18"/>
                <w:szCs w:val="18"/>
              </w:rPr>
              <w:t>163 </w:t>
            </w:r>
          </w:p>
        </w:tc>
        <w:tc>
          <w:tcPr>
            <w:tcW w:w="0" w:type="auto"/>
            <w:shd w:val="clear" w:color="auto" w:fill="auto"/>
            <w:tcMar>
              <w:top w:w="40" w:type="dxa"/>
              <w:left w:w="0" w:type="dxa"/>
              <w:bottom w:w="40" w:type="dxa"/>
              <w:right w:w="20" w:type="dxa"/>
            </w:tcMar>
            <w:vAlign w:val="bottom"/>
          </w:tcPr>
          <w:p w14:paraId="67537A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2E"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A2F"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A30" w14:textId="77777777" w:rsidR="001B77DD" w:rsidRDefault="00BF0A28">
            <w:pPr>
              <w:jc w:val="right"/>
              <w:textAlignment w:val="bottom"/>
            </w:pPr>
            <w:r>
              <w:rPr>
                <w:rFonts w:ascii="Arial" w:eastAsia="宋体" w:hAnsi="Arial" w:cs="Arial"/>
                <w:color w:val="262626"/>
                <w:sz w:val="18"/>
                <w:szCs w:val="18"/>
              </w:rPr>
              <w:t>551 </w:t>
            </w:r>
          </w:p>
        </w:tc>
        <w:tc>
          <w:tcPr>
            <w:tcW w:w="0" w:type="auto"/>
            <w:shd w:val="clear" w:color="auto" w:fill="auto"/>
            <w:tcMar>
              <w:top w:w="40" w:type="dxa"/>
              <w:left w:w="0" w:type="dxa"/>
              <w:bottom w:w="40" w:type="dxa"/>
              <w:right w:w="20" w:type="dxa"/>
            </w:tcMar>
            <w:vAlign w:val="bottom"/>
          </w:tcPr>
          <w:p w14:paraId="67537A3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32"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A33"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A34" w14:textId="77777777" w:rsidR="001B77DD" w:rsidRDefault="00BF0A28">
            <w:pPr>
              <w:jc w:val="right"/>
              <w:textAlignment w:val="bottom"/>
            </w:pPr>
            <w:r>
              <w:rPr>
                <w:rFonts w:ascii="Arial" w:eastAsia="宋体" w:hAnsi="Arial" w:cs="Arial"/>
                <w:color w:val="262626"/>
                <w:sz w:val="18"/>
                <w:szCs w:val="18"/>
              </w:rPr>
              <w:t>2 </w:t>
            </w:r>
          </w:p>
        </w:tc>
        <w:tc>
          <w:tcPr>
            <w:tcW w:w="0" w:type="auto"/>
            <w:shd w:val="clear" w:color="auto" w:fill="auto"/>
            <w:tcMar>
              <w:top w:w="40" w:type="dxa"/>
              <w:left w:w="0" w:type="dxa"/>
              <w:bottom w:w="40" w:type="dxa"/>
              <w:right w:w="20" w:type="dxa"/>
            </w:tcMar>
            <w:vAlign w:val="bottom"/>
          </w:tcPr>
          <w:p w14:paraId="67537A35" w14:textId="77777777" w:rsidR="001B77DD" w:rsidRDefault="001B77DD">
            <w:pPr>
              <w:jc w:val="right"/>
              <w:rPr>
                <w:rFonts w:ascii="宋体"/>
              </w:rPr>
            </w:pPr>
          </w:p>
        </w:tc>
      </w:tr>
      <w:tr w:rsidR="001B77DD" w14:paraId="67537A44" w14:textId="77777777">
        <w:tc>
          <w:tcPr>
            <w:tcW w:w="0" w:type="auto"/>
            <w:gridSpan w:val="3"/>
            <w:shd w:val="clear" w:color="auto" w:fill="auto"/>
            <w:tcMar>
              <w:top w:w="40" w:type="dxa"/>
              <w:left w:w="155" w:type="dxa"/>
              <w:bottom w:w="40" w:type="dxa"/>
              <w:right w:w="20" w:type="dxa"/>
            </w:tcMar>
            <w:vAlign w:val="bottom"/>
          </w:tcPr>
          <w:p w14:paraId="67537A37" w14:textId="77777777" w:rsidR="001B77DD" w:rsidRDefault="00BF0A28">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7537A3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39" w14:textId="77777777" w:rsidR="001B77DD" w:rsidRDefault="00BF0A28">
            <w:pPr>
              <w:jc w:val="right"/>
              <w:textAlignment w:val="bottom"/>
            </w:pPr>
            <w:r>
              <w:rPr>
                <w:rFonts w:ascii="Arial" w:eastAsia="宋体" w:hAnsi="Arial" w:cs="Arial"/>
                <w:color w:val="0068B5"/>
                <w:sz w:val="18"/>
                <w:szCs w:val="18"/>
              </w:rPr>
              <w:t>774 </w:t>
            </w:r>
          </w:p>
        </w:tc>
        <w:tc>
          <w:tcPr>
            <w:tcW w:w="0" w:type="auto"/>
            <w:shd w:val="clear" w:color="auto" w:fill="auto"/>
            <w:tcMar>
              <w:top w:w="40" w:type="dxa"/>
              <w:left w:w="0" w:type="dxa"/>
              <w:bottom w:w="40" w:type="dxa"/>
              <w:right w:w="20" w:type="dxa"/>
            </w:tcMar>
            <w:vAlign w:val="bottom"/>
          </w:tcPr>
          <w:p w14:paraId="67537A3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3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3C"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A3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3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3F" w14:textId="77777777" w:rsidR="001B77DD" w:rsidRDefault="00BF0A28">
            <w:pPr>
              <w:jc w:val="right"/>
              <w:textAlignment w:val="bottom"/>
            </w:pPr>
            <w:r>
              <w:rPr>
                <w:rFonts w:ascii="Arial" w:eastAsia="宋体" w:hAnsi="Arial" w:cs="Arial"/>
                <w:color w:val="262626"/>
                <w:sz w:val="18"/>
                <w:szCs w:val="18"/>
              </w:rPr>
              <w:t>1,498 </w:t>
            </w:r>
          </w:p>
        </w:tc>
        <w:tc>
          <w:tcPr>
            <w:tcW w:w="0" w:type="auto"/>
            <w:shd w:val="clear" w:color="auto" w:fill="auto"/>
            <w:tcMar>
              <w:top w:w="40" w:type="dxa"/>
              <w:left w:w="0" w:type="dxa"/>
              <w:bottom w:w="40" w:type="dxa"/>
              <w:right w:w="20" w:type="dxa"/>
            </w:tcMar>
            <w:vAlign w:val="bottom"/>
          </w:tcPr>
          <w:p w14:paraId="67537A4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4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42"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A43" w14:textId="77777777" w:rsidR="001B77DD" w:rsidRDefault="001B77DD">
            <w:pPr>
              <w:jc w:val="right"/>
              <w:rPr>
                <w:rFonts w:ascii="宋体"/>
              </w:rPr>
            </w:pPr>
          </w:p>
        </w:tc>
      </w:tr>
      <w:tr w:rsidR="001B77DD" w14:paraId="67537A4E" w14:textId="77777777">
        <w:trPr>
          <w:hidden/>
        </w:trPr>
        <w:tc>
          <w:tcPr>
            <w:tcW w:w="0" w:type="auto"/>
            <w:gridSpan w:val="3"/>
            <w:shd w:val="clear" w:color="auto" w:fill="auto"/>
            <w:vAlign w:val="bottom"/>
          </w:tcPr>
          <w:p w14:paraId="67537A45" w14:textId="77777777" w:rsidR="001B77DD" w:rsidRDefault="001B77DD">
            <w:pPr>
              <w:rPr>
                <w:rFonts w:ascii="宋体"/>
                <w:vanish/>
              </w:rPr>
            </w:pPr>
          </w:p>
        </w:tc>
        <w:tc>
          <w:tcPr>
            <w:tcW w:w="0" w:type="auto"/>
            <w:gridSpan w:val="3"/>
            <w:shd w:val="clear" w:color="auto" w:fill="auto"/>
            <w:vAlign w:val="bottom"/>
          </w:tcPr>
          <w:p w14:paraId="67537A46" w14:textId="77777777" w:rsidR="001B77DD" w:rsidRDefault="001B77DD">
            <w:pPr>
              <w:rPr>
                <w:rFonts w:ascii="宋体"/>
                <w:vanish/>
              </w:rPr>
            </w:pPr>
          </w:p>
        </w:tc>
        <w:tc>
          <w:tcPr>
            <w:tcW w:w="0" w:type="auto"/>
            <w:gridSpan w:val="3"/>
            <w:shd w:val="clear" w:color="auto" w:fill="auto"/>
            <w:vAlign w:val="bottom"/>
          </w:tcPr>
          <w:p w14:paraId="67537A47" w14:textId="77777777" w:rsidR="001B77DD" w:rsidRDefault="001B77DD">
            <w:pPr>
              <w:rPr>
                <w:rFonts w:ascii="宋体"/>
                <w:vanish/>
              </w:rPr>
            </w:pPr>
          </w:p>
        </w:tc>
        <w:tc>
          <w:tcPr>
            <w:tcW w:w="0" w:type="auto"/>
            <w:gridSpan w:val="3"/>
            <w:shd w:val="clear" w:color="auto" w:fill="auto"/>
            <w:vAlign w:val="bottom"/>
          </w:tcPr>
          <w:p w14:paraId="67537A48" w14:textId="77777777" w:rsidR="001B77DD" w:rsidRDefault="001B77DD">
            <w:pPr>
              <w:rPr>
                <w:rFonts w:ascii="宋体"/>
                <w:vanish/>
              </w:rPr>
            </w:pPr>
          </w:p>
        </w:tc>
        <w:tc>
          <w:tcPr>
            <w:tcW w:w="0" w:type="auto"/>
            <w:gridSpan w:val="3"/>
            <w:shd w:val="clear" w:color="auto" w:fill="auto"/>
            <w:vAlign w:val="bottom"/>
          </w:tcPr>
          <w:p w14:paraId="67537A49" w14:textId="77777777" w:rsidR="001B77DD" w:rsidRDefault="001B77DD">
            <w:pPr>
              <w:rPr>
                <w:rFonts w:ascii="宋体"/>
                <w:vanish/>
              </w:rPr>
            </w:pPr>
          </w:p>
        </w:tc>
        <w:tc>
          <w:tcPr>
            <w:tcW w:w="0" w:type="auto"/>
            <w:gridSpan w:val="3"/>
            <w:shd w:val="clear" w:color="auto" w:fill="auto"/>
            <w:vAlign w:val="bottom"/>
          </w:tcPr>
          <w:p w14:paraId="67537A4A" w14:textId="77777777" w:rsidR="001B77DD" w:rsidRDefault="001B77DD">
            <w:pPr>
              <w:rPr>
                <w:rFonts w:ascii="宋体"/>
                <w:vanish/>
              </w:rPr>
            </w:pPr>
          </w:p>
        </w:tc>
        <w:tc>
          <w:tcPr>
            <w:tcW w:w="0" w:type="auto"/>
            <w:gridSpan w:val="3"/>
            <w:shd w:val="clear" w:color="auto" w:fill="auto"/>
            <w:vAlign w:val="bottom"/>
          </w:tcPr>
          <w:p w14:paraId="67537A4B" w14:textId="77777777" w:rsidR="001B77DD" w:rsidRDefault="001B77DD">
            <w:pPr>
              <w:rPr>
                <w:rFonts w:ascii="宋体"/>
                <w:vanish/>
              </w:rPr>
            </w:pPr>
          </w:p>
        </w:tc>
        <w:tc>
          <w:tcPr>
            <w:tcW w:w="0" w:type="auto"/>
            <w:gridSpan w:val="3"/>
            <w:shd w:val="clear" w:color="auto" w:fill="auto"/>
            <w:vAlign w:val="bottom"/>
          </w:tcPr>
          <w:p w14:paraId="67537A4C" w14:textId="77777777" w:rsidR="001B77DD" w:rsidRDefault="001B77DD">
            <w:pPr>
              <w:rPr>
                <w:rFonts w:ascii="宋体"/>
                <w:vanish/>
              </w:rPr>
            </w:pPr>
          </w:p>
        </w:tc>
        <w:tc>
          <w:tcPr>
            <w:tcW w:w="0" w:type="auto"/>
            <w:gridSpan w:val="3"/>
            <w:shd w:val="clear" w:color="auto" w:fill="auto"/>
            <w:vAlign w:val="bottom"/>
          </w:tcPr>
          <w:p w14:paraId="67537A4D" w14:textId="77777777" w:rsidR="001B77DD" w:rsidRDefault="001B77DD">
            <w:pPr>
              <w:rPr>
                <w:rFonts w:ascii="宋体"/>
                <w:vanish/>
              </w:rPr>
            </w:pPr>
          </w:p>
        </w:tc>
      </w:tr>
      <w:tr w:rsidR="001B77DD" w14:paraId="67537A5C" w14:textId="77777777">
        <w:tc>
          <w:tcPr>
            <w:tcW w:w="0" w:type="auto"/>
            <w:gridSpan w:val="3"/>
            <w:shd w:val="clear" w:color="auto" w:fill="auto"/>
            <w:tcMar>
              <w:top w:w="40" w:type="dxa"/>
              <w:left w:w="20" w:type="dxa"/>
              <w:bottom w:w="40" w:type="dxa"/>
              <w:right w:w="20" w:type="dxa"/>
            </w:tcMar>
            <w:vAlign w:val="bottom"/>
          </w:tcPr>
          <w:p w14:paraId="67537A4F" w14:textId="77777777" w:rsidR="001B77DD" w:rsidRDefault="00BF0A28">
            <w:pPr>
              <w:textAlignment w:val="bottom"/>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vAlign w:val="bottom"/>
          </w:tcPr>
          <w:p w14:paraId="67537A50"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A51" w14:textId="77777777" w:rsidR="001B77DD" w:rsidRDefault="00BF0A28">
            <w:pPr>
              <w:jc w:val="right"/>
              <w:textAlignment w:val="bottom"/>
            </w:pPr>
            <w:r>
              <w:rPr>
                <w:rFonts w:ascii="Arial" w:eastAsia="宋体" w:hAnsi="Arial" w:cs="Arial"/>
                <w:b/>
                <w:bCs/>
                <w:color w:val="0068B5"/>
                <w:sz w:val="18"/>
                <w:szCs w:val="18"/>
              </w:rPr>
              <w:t>854</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A5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53"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A54" w14:textId="77777777" w:rsidR="001B77DD" w:rsidRDefault="00BF0A28">
            <w:pPr>
              <w:jc w:val="right"/>
              <w:textAlignment w:val="bottom"/>
            </w:pPr>
            <w:r>
              <w:rPr>
                <w:rFonts w:ascii="Arial" w:eastAsia="宋体" w:hAnsi="Arial" w:cs="Arial"/>
                <w:b/>
                <w:bCs/>
                <w:color w:val="0068B5"/>
                <w:sz w:val="18"/>
                <w:szCs w:val="18"/>
              </w:rPr>
              <w:t>163</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A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56"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A57" w14:textId="77777777" w:rsidR="001B77DD" w:rsidRDefault="00BF0A28">
            <w:pPr>
              <w:jc w:val="right"/>
              <w:textAlignment w:val="bottom"/>
            </w:pPr>
            <w:r>
              <w:rPr>
                <w:rFonts w:ascii="Arial" w:eastAsia="宋体" w:hAnsi="Arial" w:cs="Arial"/>
                <w:b/>
                <w:bCs/>
                <w:color w:val="262626"/>
                <w:sz w:val="18"/>
                <w:szCs w:val="18"/>
              </w:rPr>
              <w:t>2,049</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A5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59"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A5A" w14:textId="77777777" w:rsidR="001B77DD" w:rsidRDefault="00BF0A28">
            <w:pPr>
              <w:jc w:val="right"/>
              <w:textAlignment w:val="bottom"/>
            </w:pPr>
            <w:r>
              <w:rPr>
                <w:rFonts w:ascii="Arial" w:eastAsia="宋体" w:hAnsi="Arial" w:cs="Arial"/>
                <w:b/>
                <w:bCs/>
                <w:color w:val="262626"/>
                <w:sz w:val="18"/>
                <w:szCs w:val="18"/>
              </w:rPr>
              <w:t>2</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A5B" w14:textId="77777777" w:rsidR="001B77DD" w:rsidRDefault="001B77DD">
            <w:pPr>
              <w:jc w:val="right"/>
              <w:rPr>
                <w:rFonts w:ascii="宋体"/>
              </w:rPr>
            </w:pPr>
          </w:p>
        </w:tc>
      </w:tr>
      <w:tr w:rsidR="001B77DD" w14:paraId="67537A66" w14:textId="77777777">
        <w:tc>
          <w:tcPr>
            <w:tcW w:w="0" w:type="auto"/>
            <w:gridSpan w:val="3"/>
            <w:shd w:val="clear" w:color="auto" w:fill="auto"/>
            <w:tcMar>
              <w:top w:w="40" w:type="dxa"/>
              <w:left w:w="20" w:type="dxa"/>
              <w:bottom w:w="40" w:type="dxa"/>
              <w:right w:w="20" w:type="dxa"/>
            </w:tcMar>
            <w:vAlign w:val="bottom"/>
          </w:tcPr>
          <w:p w14:paraId="67537A5D" w14:textId="77777777" w:rsidR="001B77DD" w:rsidRDefault="00BF0A28">
            <w:pPr>
              <w:textAlignment w:val="bottom"/>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67537A5E"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7A5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60"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7A6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62"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7A6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64"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7A65" w14:textId="77777777" w:rsidR="001B77DD" w:rsidRDefault="001B77DD">
            <w:pPr>
              <w:rPr>
                <w:rFonts w:ascii="宋体"/>
              </w:rPr>
            </w:pPr>
          </w:p>
        </w:tc>
      </w:tr>
      <w:tr w:rsidR="001B77DD" w14:paraId="67537A74" w14:textId="77777777">
        <w:tc>
          <w:tcPr>
            <w:tcW w:w="0" w:type="auto"/>
            <w:gridSpan w:val="3"/>
            <w:shd w:val="clear" w:color="auto" w:fill="auto"/>
            <w:tcMar>
              <w:top w:w="40" w:type="dxa"/>
              <w:left w:w="20" w:type="dxa"/>
              <w:bottom w:w="40" w:type="dxa"/>
              <w:right w:w="20" w:type="dxa"/>
            </w:tcMar>
            <w:vAlign w:val="bottom"/>
          </w:tcPr>
          <w:p w14:paraId="67537A67" w14:textId="77777777" w:rsidR="001B77DD" w:rsidRDefault="00BF0A28">
            <w:pPr>
              <w:textAlignment w:val="bottom"/>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7537A6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69" w14:textId="77777777" w:rsidR="001B77DD" w:rsidRDefault="00BF0A28">
            <w:pPr>
              <w:jc w:val="right"/>
              <w:textAlignment w:val="bottom"/>
            </w:pPr>
            <w:r>
              <w:rPr>
                <w:rFonts w:ascii="Arial" w:eastAsia="宋体" w:hAnsi="Arial" w:cs="Arial"/>
                <w:color w:val="0068B5"/>
                <w:sz w:val="18"/>
                <w:szCs w:val="18"/>
              </w:rPr>
              <w:t>475 </w:t>
            </w:r>
          </w:p>
        </w:tc>
        <w:tc>
          <w:tcPr>
            <w:tcW w:w="0" w:type="auto"/>
            <w:shd w:val="clear" w:color="auto" w:fill="auto"/>
            <w:tcMar>
              <w:top w:w="40" w:type="dxa"/>
              <w:left w:w="0" w:type="dxa"/>
              <w:bottom w:w="40" w:type="dxa"/>
              <w:right w:w="20" w:type="dxa"/>
            </w:tcMar>
            <w:vAlign w:val="bottom"/>
          </w:tcPr>
          <w:p w14:paraId="67537A6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6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6C" w14:textId="77777777" w:rsidR="001B77DD" w:rsidRDefault="00BF0A28">
            <w:pPr>
              <w:jc w:val="right"/>
              <w:textAlignment w:val="bottom"/>
            </w:pPr>
            <w:r>
              <w:rPr>
                <w:rFonts w:ascii="Arial" w:eastAsia="宋体" w:hAnsi="Arial" w:cs="Arial"/>
                <w:color w:val="0068B5"/>
                <w:sz w:val="18"/>
                <w:szCs w:val="18"/>
              </w:rPr>
              <w:t>297 </w:t>
            </w:r>
          </w:p>
        </w:tc>
        <w:tc>
          <w:tcPr>
            <w:tcW w:w="0" w:type="auto"/>
            <w:shd w:val="clear" w:color="auto" w:fill="auto"/>
            <w:tcMar>
              <w:top w:w="40" w:type="dxa"/>
              <w:left w:w="0" w:type="dxa"/>
              <w:bottom w:w="40" w:type="dxa"/>
              <w:right w:w="20" w:type="dxa"/>
            </w:tcMar>
            <w:vAlign w:val="bottom"/>
          </w:tcPr>
          <w:p w14:paraId="67537A6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6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6F" w14:textId="77777777" w:rsidR="001B77DD" w:rsidRDefault="00BF0A28">
            <w:pPr>
              <w:jc w:val="right"/>
              <w:textAlignment w:val="bottom"/>
            </w:pPr>
            <w:r>
              <w:rPr>
                <w:rFonts w:ascii="Arial" w:eastAsia="宋体" w:hAnsi="Arial" w:cs="Arial"/>
                <w:color w:val="262626"/>
                <w:sz w:val="18"/>
                <w:szCs w:val="18"/>
              </w:rPr>
              <w:t>142 </w:t>
            </w:r>
          </w:p>
        </w:tc>
        <w:tc>
          <w:tcPr>
            <w:tcW w:w="0" w:type="auto"/>
            <w:shd w:val="clear" w:color="auto" w:fill="auto"/>
            <w:tcMar>
              <w:top w:w="40" w:type="dxa"/>
              <w:left w:w="0" w:type="dxa"/>
              <w:bottom w:w="40" w:type="dxa"/>
              <w:right w:w="20" w:type="dxa"/>
            </w:tcMar>
            <w:vAlign w:val="bottom"/>
          </w:tcPr>
          <w:p w14:paraId="67537A7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7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72" w14:textId="77777777" w:rsidR="001B77DD" w:rsidRDefault="00BF0A28">
            <w:pPr>
              <w:jc w:val="right"/>
              <w:textAlignment w:val="bottom"/>
            </w:pPr>
            <w:r>
              <w:rPr>
                <w:rFonts w:ascii="Arial" w:eastAsia="宋体" w:hAnsi="Arial" w:cs="Arial"/>
                <w:color w:val="262626"/>
                <w:sz w:val="18"/>
                <w:szCs w:val="18"/>
              </w:rPr>
              <w:t>685 </w:t>
            </w:r>
          </w:p>
        </w:tc>
        <w:tc>
          <w:tcPr>
            <w:tcW w:w="0" w:type="auto"/>
            <w:shd w:val="clear" w:color="auto" w:fill="auto"/>
            <w:tcMar>
              <w:top w:w="40" w:type="dxa"/>
              <w:left w:w="0" w:type="dxa"/>
              <w:bottom w:w="40" w:type="dxa"/>
              <w:right w:w="20" w:type="dxa"/>
            </w:tcMar>
            <w:vAlign w:val="bottom"/>
          </w:tcPr>
          <w:p w14:paraId="67537A73" w14:textId="77777777" w:rsidR="001B77DD" w:rsidRDefault="001B77DD">
            <w:pPr>
              <w:jc w:val="right"/>
              <w:rPr>
                <w:rFonts w:ascii="宋体"/>
              </w:rPr>
            </w:pPr>
          </w:p>
        </w:tc>
      </w:tr>
      <w:tr w:rsidR="001B77DD" w14:paraId="67537A82" w14:textId="77777777">
        <w:tc>
          <w:tcPr>
            <w:tcW w:w="0" w:type="auto"/>
            <w:gridSpan w:val="3"/>
            <w:shd w:val="clear" w:color="auto" w:fill="auto"/>
            <w:tcMar>
              <w:top w:w="40" w:type="dxa"/>
              <w:left w:w="140" w:type="dxa"/>
              <w:bottom w:w="40" w:type="dxa"/>
              <w:right w:w="20" w:type="dxa"/>
            </w:tcMar>
            <w:vAlign w:val="bottom"/>
          </w:tcPr>
          <w:p w14:paraId="67537A75" w14:textId="77777777" w:rsidR="001B77DD" w:rsidRDefault="00BF0A28">
            <w:pPr>
              <w:textAlignment w:val="bottom"/>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7537A7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77" w14:textId="77777777" w:rsidR="001B77DD" w:rsidRDefault="00BF0A28">
            <w:pPr>
              <w:jc w:val="right"/>
              <w:textAlignment w:val="bottom"/>
            </w:pPr>
            <w:r>
              <w:rPr>
                <w:rFonts w:ascii="Arial" w:eastAsia="宋体" w:hAnsi="Arial" w:cs="Arial"/>
                <w:color w:val="0068B5"/>
                <w:sz w:val="18"/>
                <w:szCs w:val="18"/>
              </w:rPr>
              <w:t>26 </w:t>
            </w:r>
          </w:p>
        </w:tc>
        <w:tc>
          <w:tcPr>
            <w:tcW w:w="0" w:type="auto"/>
            <w:shd w:val="clear" w:color="auto" w:fill="auto"/>
            <w:tcMar>
              <w:top w:w="40" w:type="dxa"/>
              <w:left w:w="0" w:type="dxa"/>
              <w:bottom w:w="40" w:type="dxa"/>
              <w:right w:w="20" w:type="dxa"/>
            </w:tcMar>
            <w:vAlign w:val="bottom"/>
          </w:tcPr>
          <w:p w14:paraId="67537A7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7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7A" w14:textId="77777777" w:rsidR="001B77DD" w:rsidRDefault="00BF0A28">
            <w:pPr>
              <w:jc w:val="right"/>
              <w:textAlignment w:val="bottom"/>
            </w:pPr>
            <w:r>
              <w:rPr>
                <w:rFonts w:ascii="Arial" w:eastAsia="宋体" w:hAnsi="Arial" w:cs="Arial"/>
                <w:color w:val="0068B5"/>
                <w:sz w:val="18"/>
                <w:szCs w:val="18"/>
              </w:rPr>
              <w:t>65 </w:t>
            </w:r>
          </w:p>
        </w:tc>
        <w:tc>
          <w:tcPr>
            <w:tcW w:w="0" w:type="auto"/>
            <w:shd w:val="clear" w:color="auto" w:fill="auto"/>
            <w:tcMar>
              <w:top w:w="40" w:type="dxa"/>
              <w:left w:w="0" w:type="dxa"/>
              <w:bottom w:w="40" w:type="dxa"/>
              <w:right w:w="20" w:type="dxa"/>
            </w:tcMar>
            <w:vAlign w:val="bottom"/>
          </w:tcPr>
          <w:p w14:paraId="67537A7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7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7D" w14:textId="77777777" w:rsidR="001B77DD" w:rsidRDefault="00BF0A28">
            <w:pPr>
              <w:jc w:val="right"/>
              <w:textAlignment w:val="bottom"/>
            </w:pPr>
            <w:r>
              <w:rPr>
                <w:rFonts w:ascii="Arial" w:eastAsia="宋体" w:hAnsi="Arial" w:cs="Arial"/>
                <w:color w:val="262626"/>
                <w:sz w:val="18"/>
                <w:szCs w:val="18"/>
              </w:rPr>
              <w:t>3 </w:t>
            </w:r>
          </w:p>
        </w:tc>
        <w:tc>
          <w:tcPr>
            <w:tcW w:w="0" w:type="auto"/>
            <w:shd w:val="clear" w:color="auto" w:fill="auto"/>
            <w:tcMar>
              <w:top w:w="40" w:type="dxa"/>
              <w:left w:w="0" w:type="dxa"/>
              <w:bottom w:w="40" w:type="dxa"/>
              <w:right w:w="20" w:type="dxa"/>
            </w:tcMar>
            <w:vAlign w:val="bottom"/>
          </w:tcPr>
          <w:p w14:paraId="67537A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7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80" w14:textId="77777777" w:rsidR="001B77DD" w:rsidRDefault="00BF0A28">
            <w:pPr>
              <w:jc w:val="right"/>
              <w:textAlignment w:val="bottom"/>
            </w:pPr>
            <w:r>
              <w:rPr>
                <w:rFonts w:ascii="Arial" w:eastAsia="宋体" w:hAnsi="Arial" w:cs="Arial"/>
                <w:color w:val="262626"/>
                <w:sz w:val="18"/>
                <w:szCs w:val="18"/>
              </w:rPr>
              <w:t>128 </w:t>
            </w:r>
          </w:p>
        </w:tc>
        <w:tc>
          <w:tcPr>
            <w:tcW w:w="0" w:type="auto"/>
            <w:shd w:val="clear" w:color="auto" w:fill="auto"/>
            <w:tcMar>
              <w:top w:w="40" w:type="dxa"/>
              <w:left w:w="0" w:type="dxa"/>
              <w:bottom w:w="40" w:type="dxa"/>
              <w:right w:w="20" w:type="dxa"/>
            </w:tcMar>
            <w:vAlign w:val="bottom"/>
          </w:tcPr>
          <w:p w14:paraId="67537A81" w14:textId="77777777" w:rsidR="001B77DD" w:rsidRDefault="001B77DD">
            <w:pPr>
              <w:jc w:val="right"/>
              <w:rPr>
                <w:rFonts w:ascii="宋体"/>
              </w:rPr>
            </w:pPr>
          </w:p>
        </w:tc>
      </w:tr>
      <w:tr w:rsidR="001B77DD" w14:paraId="67537A90" w14:textId="77777777">
        <w:tc>
          <w:tcPr>
            <w:tcW w:w="0" w:type="auto"/>
            <w:gridSpan w:val="3"/>
            <w:shd w:val="clear" w:color="auto" w:fill="auto"/>
            <w:tcMar>
              <w:top w:w="40" w:type="dxa"/>
              <w:left w:w="140" w:type="dxa"/>
              <w:bottom w:w="40" w:type="dxa"/>
              <w:right w:w="20" w:type="dxa"/>
            </w:tcMar>
            <w:vAlign w:val="bottom"/>
          </w:tcPr>
          <w:p w14:paraId="67537A83" w14:textId="77777777" w:rsidR="001B77DD" w:rsidRDefault="00BF0A28">
            <w:pPr>
              <w:textAlignment w:val="bottom"/>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vAlign w:val="bottom"/>
          </w:tcPr>
          <w:p w14:paraId="67537A8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85" w14:textId="77777777" w:rsidR="001B77DD" w:rsidRDefault="00BF0A28">
            <w:pPr>
              <w:jc w:val="right"/>
              <w:textAlignment w:val="bottom"/>
            </w:pPr>
            <w:r>
              <w:rPr>
                <w:rFonts w:ascii="Arial" w:eastAsia="宋体" w:hAnsi="Arial" w:cs="Arial"/>
                <w:color w:val="0068B5"/>
                <w:sz w:val="18"/>
                <w:szCs w:val="18"/>
              </w:rPr>
              <w:t>80 </w:t>
            </w:r>
          </w:p>
        </w:tc>
        <w:tc>
          <w:tcPr>
            <w:tcW w:w="0" w:type="auto"/>
            <w:shd w:val="clear" w:color="auto" w:fill="auto"/>
            <w:tcMar>
              <w:top w:w="40" w:type="dxa"/>
              <w:left w:w="0" w:type="dxa"/>
              <w:bottom w:w="40" w:type="dxa"/>
              <w:right w:w="20" w:type="dxa"/>
            </w:tcMar>
            <w:vAlign w:val="bottom"/>
          </w:tcPr>
          <w:p w14:paraId="67537A8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8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88" w14:textId="77777777" w:rsidR="001B77DD" w:rsidRDefault="00BF0A28">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67537A8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8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8B" w14:textId="77777777" w:rsidR="001B77DD" w:rsidRDefault="00BF0A28">
            <w:pPr>
              <w:jc w:val="right"/>
              <w:textAlignment w:val="bottom"/>
            </w:pPr>
            <w:r>
              <w:rPr>
                <w:rFonts w:ascii="Arial" w:eastAsia="宋体" w:hAnsi="Arial" w:cs="Arial"/>
                <w:color w:val="262626"/>
                <w:sz w:val="18"/>
                <w:szCs w:val="18"/>
              </w:rPr>
              <w:t>48 </w:t>
            </w:r>
          </w:p>
        </w:tc>
        <w:tc>
          <w:tcPr>
            <w:tcW w:w="0" w:type="auto"/>
            <w:shd w:val="clear" w:color="auto" w:fill="auto"/>
            <w:tcMar>
              <w:top w:w="40" w:type="dxa"/>
              <w:left w:w="0" w:type="dxa"/>
              <w:bottom w:w="40" w:type="dxa"/>
              <w:right w:w="20" w:type="dxa"/>
            </w:tcMar>
            <w:vAlign w:val="bottom"/>
          </w:tcPr>
          <w:p w14:paraId="67537A8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8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A8E"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A8F" w14:textId="77777777" w:rsidR="001B77DD" w:rsidRDefault="001B77DD">
            <w:pPr>
              <w:jc w:val="right"/>
              <w:rPr>
                <w:rFonts w:ascii="宋体"/>
              </w:rPr>
            </w:pPr>
          </w:p>
        </w:tc>
      </w:tr>
      <w:tr w:rsidR="001B77DD" w14:paraId="67537A9E" w14:textId="77777777">
        <w:tc>
          <w:tcPr>
            <w:tcW w:w="0" w:type="auto"/>
            <w:gridSpan w:val="3"/>
            <w:shd w:val="clear" w:color="auto" w:fill="auto"/>
            <w:tcMar>
              <w:top w:w="40" w:type="dxa"/>
              <w:left w:w="20" w:type="dxa"/>
              <w:bottom w:w="40" w:type="dxa"/>
              <w:right w:w="20" w:type="dxa"/>
            </w:tcMar>
            <w:vAlign w:val="bottom"/>
          </w:tcPr>
          <w:p w14:paraId="67537A91" w14:textId="77777777" w:rsidR="001B77DD" w:rsidRDefault="00BF0A28">
            <w:pPr>
              <w:textAlignment w:val="bottom"/>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vAlign w:val="bottom"/>
          </w:tcPr>
          <w:p w14:paraId="67537A92"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A93" w14:textId="77777777" w:rsidR="001B77DD" w:rsidRDefault="00BF0A28">
            <w:pPr>
              <w:jc w:val="right"/>
              <w:textAlignment w:val="bottom"/>
            </w:pPr>
            <w:r>
              <w:rPr>
                <w:rFonts w:ascii="Arial" w:eastAsia="宋体" w:hAnsi="Arial" w:cs="Arial"/>
                <w:b/>
                <w:bCs/>
                <w:color w:val="0068B5"/>
                <w:sz w:val="18"/>
                <w:szCs w:val="18"/>
              </w:rPr>
              <w:t>581</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A9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95"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A96" w14:textId="77777777" w:rsidR="001B77DD" w:rsidRDefault="00BF0A28">
            <w:pPr>
              <w:jc w:val="right"/>
              <w:textAlignment w:val="bottom"/>
            </w:pPr>
            <w:r>
              <w:rPr>
                <w:rFonts w:ascii="Arial" w:eastAsia="宋体" w:hAnsi="Arial" w:cs="Arial"/>
                <w:b/>
                <w:bCs/>
                <w:color w:val="0068B5"/>
                <w:sz w:val="18"/>
                <w:szCs w:val="18"/>
              </w:rPr>
              <w:t>366</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A9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98"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A99" w14:textId="77777777" w:rsidR="001B77DD" w:rsidRDefault="00BF0A28">
            <w:pPr>
              <w:jc w:val="right"/>
              <w:textAlignment w:val="bottom"/>
            </w:pPr>
            <w:r>
              <w:rPr>
                <w:rFonts w:ascii="Arial" w:eastAsia="宋体" w:hAnsi="Arial" w:cs="Arial"/>
                <w:b/>
                <w:bCs/>
                <w:color w:val="262626"/>
                <w:sz w:val="18"/>
                <w:szCs w:val="18"/>
              </w:rPr>
              <w:t>193</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A9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9B"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A9C" w14:textId="77777777" w:rsidR="001B77DD" w:rsidRDefault="00BF0A28">
            <w:pPr>
              <w:jc w:val="right"/>
              <w:textAlignment w:val="bottom"/>
            </w:pPr>
            <w:r>
              <w:rPr>
                <w:rFonts w:ascii="Arial" w:eastAsia="宋体" w:hAnsi="Arial" w:cs="Arial"/>
                <w:b/>
                <w:bCs/>
                <w:color w:val="262626"/>
                <w:sz w:val="18"/>
                <w:szCs w:val="18"/>
              </w:rPr>
              <w:t>813</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A9D" w14:textId="77777777" w:rsidR="001B77DD" w:rsidRDefault="001B77DD">
            <w:pPr>
              <w:jc w:val="right"/>
              <w:rPr>
                <w:rFonts w:ascii="宋体"/>
              </w:rPr>
            </w:pPr>
          </w:p>
        </w:tc>
      </w:tr>
      <w:tr w:rsidR="001B77DD" w14:paraId="67537AB0" w14:textId="77777777">
        <w:tc>
          <w:tcPr>
            <w:tcW w:w="0" w:type="auto"/>
            <w:gridSpan w:val="3"/>
            <w:shd w:val="clear" w:color="auto" w:fill="auto"/>
            <w:tcMar>
              <w:top w:w="40" w:type="dxa"/>
              <w:left w:w="20" w:type="dxa"/>
              <w:bottom w:w="40" w:type="dxa"/>
              <w:right w:w="20" w:type="dxa"/>
            </w:tcMar>
            <w:vAlign w:val="bottom"/>
          </w:tcPr>
          <w:p w14:paraId="67537A9F" w14:textId="77777777" w:rsidR="001B77DD" w:rsidRDefault="00BF0A28">
            <w:pPr>
              <w:textAlignment w:val="bottom"/>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vAlign w:val="bottom"/>
          </w:tcPr>
          <w:p w14:paraId="67537AA0"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AA1"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AA2" w14:textId="77777777" w:rsidR="001B77DD" w:rsidRDefault="00BF0A28">
            <w:pPr>
              <w:jc w:val="right"/>
              <w:textAlignment w:val="bottom"/>
            </w:pPr>
            <w:r>
              <w:rPr>
                <w:rFonts w:ascii="Arial" w:eastAsia="宋体" w:hAnsi="Arial" w:cs="Arial"/>
                <w:b/>
                <w:bCs/>
                <w:color w:val="0068B5"/>
                <w:sz w:val="18"/>
                <w:szCs w:val="18"/>
              </w:rPr>
              <w:t>1,435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AA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A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AA5"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AA6" w14:textId="77777777" w:rsidR="001B77DD" w:rsidRDefault="00BF0A28">
            <w:pPr>
              <w:jc w:val="right"/>
              <w:textAlignment w:val="bottom"/>
            </w:pPr>
            <w:r>
              <w:rPr>
                <w:rFonts w:ascii="Arial" w:eastAsia="宋体" w:hAnsi="Arial" w:cs="Arial"/>
                <w:b/>
                <w:bCs/>
                <w:color w:val="0068B5"/>
                <w:sz w:val="18"/>
                <w:szCs w:val="18"/>
              </w:rPr>
              <w:t>529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AA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A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AA9"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AAA" w14:textId="77777777" w:rsidR="001B77DD" w:rsidRDefault="00BF0A28">
            <w:pPr>
              <w:jc w:val="right"/>
              <w:textAlignment w:val="bottom"/>
            </w:pPr>
            <w:r>
              <w:rPr>
                <w:rFonts w:ascii="Arial" w:eastAsia="宋体" w:hAnsi="Arial" w:cs="Arial"/>
                <w:b/>
                <w:bCs/>
                <w:color w:val="262626"/>
                <w:sz w:val="18"/>
                <w:szCs w:val="18"/>
              </w:rPr>
              <w:t>2,242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AA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AAC"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AA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AAE" w14:textId="77777777" w:rsidR="001B77DD" w:rsidRDefault="00BF0A28">
            <w:pPr>
              <w:jc w:val="right"/>
              <w:textAlignment w:val="bottom"/>
            </w:pPr>
            <w:r>
              <w:rPr>
                <w:rFonts w:ascii="Arial" w:eastAsia="宋体" w:hAnsi="Arial" w:cs="Arial"/>
                <w:b/>
                <w:bCs/>
                <w:color w:val="262626"/>
                <w:sz w:val="18"/>
                <w:szCs w:val="18"/>
              </w:rPr>
              <w:t>815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AAF" w14:textId="77777777" w:rsidR="001B77DD" w:rsidRDefault="001B77DD">
            <w:pPr>
              <w:jc w:val="right"/>
              <w:rPr>
                <w:rFonts w:ascii="宋体"/>
              </w:rPr>
            </w:pPr>
          </w:p>
        </w:tc>
      </w:tr>
    </w:tbl>
    <w:p w14:paraId="67537AB1" w14:textId="77777777" w:rsidR="001B77DD" w:rsidRDefault="00BF0A28">
      <w:pPr>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long-term.</w:t>
      </w:r>
    </w:p>
    <w:p w14:paraId="67537AB2" w14:textId="77777777" w:rsidR="001B77DD" w:rsidRDefault="00BF0A28">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Derivative </w:t>
      </w:r>
      <w:r>
        <w:rPr>
          <w:rFonts w:ascii="Arial" w:eastAsia="宋体" w:hAnsi="Arial" w:cs="Arial"/>
          <w:i/>
          <w:iCs/>
          <w:color w:val="262626"/>
          <w:sz w:val="16"/>
          <w:szCs w:val="16"/>
        </w:rPr>
        <w:t>liabilities are recorded as other liabilities, current and long-term.</w:t>
      </w:r>
    </w:p>
    <w:p w14:paraId="67537AB3" w14:textId="77777777" w:rsidR="001B77DD" w:rsidRDefault="00BF0A28">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67537AB4" w14:textId="77777777" w:rsidR="001B77DD" w:rsidRDefault="00BF0A28">
      <w:pPr>
        <w:spacing w:after="180"/>
      </w:pPr>
      <w:r>
        <w:rPr>
          <w:rFonts w:ascii="Arial" w:eastAsia="宋体" w:hAnsi="Arial" w:cs="Arial"/>
          <w:color w:val="0068B5"/>
        </w:rPr>
        <w:t>Amounts Offset in the Consolidated Balance Sheets</w:t>
      </w:r>
    </w:p>
    <w:p w14:paraId="67537AB5" w14:textId="77777777" w:rsidR="001B77DD" w:rsidRDefault="00BF0A28">
      <w:pPr>
        <w:spacing w:after="120"/>
      </w:pPr>
      <w:r>
        <w:rPr>
          <w:rFonts w:ascii="Arial" w:eastAsia="宋体" w:hAnsi="Arial" w:cs="Arial"/>
          <w:color w:val="262626"/>
          <w:sz w:val="18"/>
          <w:szCs w:val="18"/>
        </w:rPr>
        <w:t>Agreements subject to master netting arrangements with various counterpartie</w:t>
      </w:r>
      <w:r>
        <w:rPr>
          <w:rFonts w:ascii="Arial" w:eastAsia="宋体" w:hAnsi="Arial" w:cs="Arial"/>
          <w:color w:val="262626"/>
          <w:sz w:val="18"/>
          <w:szCs w:val="18"/>
        </w:rPr>
        <w:t>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1B77DD" w14:paraId="67537ADD" w14:textId="77777777">
        <w:tc>
          <w:tcPr>
            <w:tcW w:w="50" w:type="pct"/>
            <w:shd w:val="clear" w:color="auto" w:fill="auto"/>
            <w:vAlign w:val="bottom"/>
          </w:tcPr>
          <w:p w14:paraId="67537AB6" w14:textId="77777777" w:rsidR="001B77DD" w:rsidRDefault="001B77DD">
            <w:pPr>
              <w:rPr>
                <w:rFonts w:ascii="宋体"/>
              </w:rPr>
            </w:pPr>
          </w:p>
        </w:tc>
        <w:tc>
          <w:tcPr>
            <w:tcW w:w="1451" w:type="pct"/>
            <w:shd w:val="clear" w:color="auto" w:fill="auto"/>
            <w:vAlign w:val="bottom"/>
          </w:tcPr>
          <w:p w14:paraId="67537AB7" w14:textId="77777777" w:rsidR="001B77DD" w:rsidRDefault="001B77DD">
            <w:pPr>
              <w:rPr>
                <w:rFonts w:ascii="宋体"/>
              </w:rPr>
            </w:pPr>
          </w:p>
        </w:tc>
        <w:tc>
          <w:tcPr>
            <w:tcW w:w="5" w:type="pct"/>
            <w:shd w:val="clear" w:color="auto" w:fill="auto"/>
            <w:vAlign w:val="bottom"/>
          </w:tcPr>
          <w:p w14:paraId="67537AB8" w14:textId="77777777" w:rsidR="001B77DD" w:rsidRDefault="001B77DD">
            <w:pPr>
              <w:rPr>
                <w:rFonts w:ascii="宋体"/>
              </w:rPr>
            </w:pPr>
          </w:p>
        </w:tc>
        <w:tc>
          <w:tcPr>
            <w:tcW w:w="5" w:type="pct"/>
            <w:shd w:val="clear" w:color="auto" w:fill="auto"/>
            <w:vAlign w:val="bottom"/>
          </w:tcPr>
          <w:p w14:paraId="67537AB9" w14:textId="77777777" w:rsidR="001B77DD" w:rsidRDefault="001B77DD">
            <w:pPr>
              <w:rPr>
                <w:rFonts w:ascii="宋体"/>
              </w:rPr>
            </w:pPr>
          </w:p>
        </w:tc>
        <w:tc>
          <w:tcPr>
            <w:tcW w:w="24" w:type="pct"/>
            <w:shd w:val="clear" w:color="auto" w:fill="auto"/>
            <w:vAlign w:val="bottom"/>
          </w:tcPr>
          <w:p w14:paraId="67537ABA" w14:textId="77777777" w:rsidR="001B77DD" w:rsidRDefault="001B77DD">
            <w:pPr>
              <w:rPr>
                <w:rFonts w:ascii="宋体"/>
              </w:rPr>
            </w:pPr>
          </w:p>
        </w:tc>
        <w:tc>
          <w:tcPr>
            <w:tcW w:w="5" w:type="pct"/>
            <w:shd w:val="clear" w:color="auto" w:fill="auto"/>
            <w:vAlign w:val="bottom"/>
          </w:tcPr>
          <w:p w14:paraId="67537ABB" w14:textId="77777777" w:rsidR="001B77DD" w:rsidRDefault="001B77DD">
            <w:pPr>
              <w:rPr>
                <w:rFonts w:ascii="宋体"/>
              </w:rPr>
            </w:pPr>
          </w:p>
        </w:tc>
        <w:tc>
          <w:tcPr>
            <w:tcW w:w="50" w:type="pct"/>
            <w:shd w:val="clear" w:color="auto" w:fill="auto"/>
            <w:vAlign w:val="bottom"/>
          </w:tcPr>
          <w:p w14:paraId="67537ABC" w14:textId="77777777" w:rsidR="001B77DD" w:rsidRDefault="001B77DD">
            <w:pPr>
              <w:rPr>
                <w:rFonts w:ascii="宋体"/>
              </w:rPr>
            </w:pPr>
          </w:p>
        </w:tc>
        <w:tc>
          <w:tcPr>
            <w:tcW w:w="492" w:type="pct"/>
            <w:shd w:val="clear" w:color="auto" w:fill="auto"/>
            <w:vAlign w:val="bottom"/>
          </w:tcPr>
          <w:p w14:paraId="67537ABD" w14:textId="77777777" w:rsidR="001B77DD" w:rsidRDefault="001B77DD">
            <w:pPr>
              <w:rPr>
                <w:rFonts w:ascii="宋体"/>
              </w:rPr>
            </w:pPr>
          </w:p>
        </w:tc>
        <w:tc>
          <w:tcPr>
            <w:tcW w:w="5" w:type="pct"/>
            <w:shd w:val="clear" w:color="auto" w:fill="auto"/>
            <w:vAlign w:val="bottom"/>
          </w:tcPr>
          <w:p w14:paraId="67537ABE" w14:textId="77777777" w:rsidR="001B77DD" w:rsidRDefault="001B77DD">
            <w:pPr>
              <w:rPr>
                <w:rFonts w:ascii="宋体"/>
              </w:rPr>
            </w:pPr>
          </w:p>
        </w:tc>
        <w:tc>
          <w:tcPr>
            <w:tcW w:w="5" w:type="pct"/>
            <w:shd w:val="clear" w:color="auto" w:fill="auto"/>
            <w:vAlign w:val="bottom"/>
          </w:tcPr>
          <w:p w14:paraId="67537ABF" w14:textId="77777777" w:rsidR="001B77DD" w:rsidRDefault="001B77DD">
            <w:pPr>
              <w:rPr>
                <w:rFonts w:ascii="宋体"/>
              </w:rPr>
            </w:pPr>
          </w:p>
        </w:tc>
        <w:tc>
          <w:tcPr>
            <w:tcW w:w="24" w:type="pct"/>
            <w:shd w:val="clear" w:color="auto" w:fill="auto"/>
            <w:vAlign w:val="bottom"/>
          </w:tcPr>
          <w:p w14:paraId="67537AC0" w14:textId="77777777" w:rsidR="001B77DD" w:rsidRDefault="001B77DD">
            <w:pPr>
              <w:rPr>
                <w:rFonts w:ascii="宋体"/>
              </w:rPr>
            </w:pPr>
          </w:p>
        </w:tc>
        <w:tc>
          <w:tcPr>
            <w:tcW w:w="5" w:type="pct"/>
            <w:shd w:val="clear" w:color="auto" w:fill="auto"/>
            <w:vAlign w:val="bottom"/>
          </w:tcPr>
          <w:p w14:paraId="67537AC1" w14:textId="77777777" w:rsidR="001B77DD" w:rsidRDefault="001B77DD">
            <w:pPr>
              <w:rPr>
                <w:rFonts w:ascii="宋体"/>
              </w:rPr>
            </w:pPr>
          </w:p>
        </w:tc>
        <w:tc>
          <w:tcPr>
            <w:tcW w:w="50" w:type="pct"/>
            <w:shd w:val="clear" w:color="auto" w:fill="auto"/>
            <w:vAlign w:val="bottom"/>
          </w:tcPr>
          <w:p w14:paraId="67537AC2" w14:textId="77777777" w:rsidR="001B77DD" w:rsidRDefault="001B77DD">
            <w:pPr>
              <w:rPr>
                <w:rFonts w:ascii="宋体"/>
              </w:rPr>
            </w:pPr>
          </w:p>
        </w:tc>
        <w:tc>
          <w:tcPr>
            <w:tcW w:w="492" w:type="pct"/>
            <w:shd w:val="clear" w:color="auto" w:fill="auto"/>
            <w:vAlign w:val="bottom"/>
          </w:tcPr>
          <w:p w14:paraId="67537AC3" w14:textId="77777777" w:rsidR="001B77DD" w:rsidRDefault="001B77DD">
            <w:pPr>
              <w:rPr>
                <w:rFonts w:ascii="宋体"/>
              </w:rPr>
            </w:pPr>
          </w:p>
        </w:tc>
        <w:tc>
          <w:tcPr>
            <w:tcW w:w="5" w:type="pct"/>
            <w:shd w:val="clear" w:color="auto" w:fill="auto"/>
            <w:vAlign w:val="bottom"/>
          </w:tcPr>
          <w:p w14:paraId="67537AC4" w14:textId="77777777" w:rsidR="001B77DD" w:rsidRDefault="001B77DD">
            <w:pPr>
              <w:rPr>
                <w:rFonts w:ascii="宋体"/>
              </w:rPr>
            </w:pPr>
          </w:p>
        </w:tc>
        <w:tc>
          <w:tcPr>
            <w:tcW w:w="5" w:type="pct"/>
            <w:shd w:val="clear" w:color="auto" w:fill="auto"/>
            <w:vAlign w:val="bottom"/>
          </w:tcPr>
          <w:p w14:paraId="67537AC5" w14:textId="77777777" w:rsidR="001B77DD" w:rsidRDefault="001B77DD">
            <w:pPr>
              <w:rPr>
                <w:rFonts w:ascii="宋体"/>
              </w:rPr>
            </w:pPr>
          </w:p>
        </w:tc>
        <w:tc>
          <w:tcPr>
            <w:tcW w:w="24" w:type="pct"/>
            <w:shd w:val="clear" w:color="auto" w:fill="auto"/>
            <w:vAlign w:val="bottom"/>
          </w:tcPr>
          <w:p w14:paraId="67537AC6" w14:textId="77777777" w:rsidR="001B77DD" w:rsidRDefault="001B77DD">
            <w:pPr>
              <w:rPr>
                <w:rFonts w:ascii="宋体"/>
              </w:rPr>
            </w:pPr>
          </w:p>
        </w:tc>
        <w:tc>
          <w:tcPr>
            <w:tcW w:w="5" w:type="pct"/>
            <w:shd w:val="clear" w:color="auto" w:fill="auto"/>
            <w:vAlign w:val="bottom"/>
          </w:tcPr>
          <w:p w14:paraId="67537AC7" w14:textId="77777777" w:rsidR="001B77DD" w:rsidRDefault="001B77DD">
            <w:pPr>
              <w:rPr>
                <w:rFonts w:ascii="宋体"/>
              </w:rPr>
            </w:pPr>
          </w:p>
        </w:tc>
        <w:tc>
          <w:tcPr>
            <w:tcW w:w="50" w:type="pct"/>
            <w:shd w:val="clear" w:color="auto" w:fill="auto"/>
            <w:vAlign w:val="bottom"/>
          </w:tcPr>
          <w:p w14:paraId="67537AC8" w14:textId="77777777" w:rsidR="001B77DD" w:rsidRDefault="001B77DD">
            <w:pPr>
              <w:rPr>
                <w:rFonts w:ascii="宋体"/>
              </w:rPr>
            </w:pPr>
          </w:p>
        </w:tc>
        <w:tc>
          <w:tcPr>
            <w:tcW w:w="492" w:type="pct"/>
            <w:shd w:val="clear" w:color="auto" w:fill="auto"/>
            <w:vAlign w:val="bottom"/>
          </w:tcPr>
          <w:p w14:paraId="67537AC9" w14:textId="77777777" w:rsidR="001B77DD" w:rsidRDefault="001B77DD">
            <w:pPr>
              <w:rPr>
                <w:rFonts w:ascii="宋体"/>
              </w:rPr>
            </w:pPr>
          </w:p>
        </w:tc>
        <w:tc>
          <w:tcPr>
            <w:tcW w:w="5" w:type="pct"/>
            <w:shd w:val="clear" w:color="auto" w:fill="auto"/>
            <w:vAlign w:val="bottom"/>
          </w:tcPr>
          <w:p w14:paraId="67537ACA" w14:textId="77777777" w:rsidR="001B77DD" w:rsidRDefault="001B77DD">
            <w:pPr>
              <w:rPr>
                <w:rFonts w:ascii="宋体"/>
              </w:rPr>
            </w:pPr>
          </w:p>
        </w:tc>
        <w:tc>
          <w:tcPr>
            <w:tcW w:w="5" w:type="pct"/>
            <w:shd w:val="clear" w:color="auto" w:fill="auto"/>
            <w:vAlign w:val="bottom"/>
          </w:tcPr>
          <w:p w14:paraId="67537ACB" w14:textId="77777777" w:rsidR="001B77DD" w:rsidRDefault="001B77DD">
            <w:pPr>
              <w:rPr>
                <w:rFonts w:ascii="宋体"/>
              </w:rPr>
            </w:pPr>
          </w:p>
        </w:tc>
        <w:tc>
          <w:tcPr>
            <w:tcW w:w="24" w:type="pct"/>
            <w:shd w:val="clear" w:color="auto" w:fill="auto"/>
            <w:vAlign w:val="bottom"/>
          </w:tcPr>
          <w:p w14:paraId="67537ACC" w14:textId="77777777" w:rsidR="001B77DD" w:rsidRDefault="001B77DD">
            <w:pPr>
              <w:rPr>
                <w:rFonts w:ascii="宋体"/>
              </w:rPr>
            </w:pPr>
          </w:p>
        </w:tc>
        <w:tc>
          <w:tcPr>
            <w:tcW w:w="5" w:type="pct"/>
            <w:shd w:val="clear" w:color="auto" w:fill="auto"/>
            <w:vAlign w:val="bottom"/>
          </w:tcPr>
          <w:p w14:paraId="67537ACD" w14:textId="77777777" w:rsidR="001B77DD" w:rsidRDefault="001B77DD">
            <w:pPr>
              <w:rPr>
                <w:rFonts w:ascii="宋体"/>
              </w:rPr>
            </w:pPr>
          </w:p>
        </w:tc>
        <w:tc>
          <w:tcPr>
            <w:tcW w:w="50" w:type="pct"/>
            <w:shd w:val="clear" w:color="auto" w:fill="auto"/>
            <w:vAlign w:val="bottom"/>
          </w:tcPr>
          <w:p w14:paraId="67537ACE" w14:textId="77777777" w:rsidR="001B77DD" w:rsidRDefault="001B77DD">
            <w:pPr>
              <w:rPr>
                <w:rFonts w:ascii="宋体"/>
              </w:rPr>
            </w:pPr>
          </w:p>
        </w:tc>
        <w:tc>
          <w:tcPr>
            <w:tcW w:w="492" w:type="pct"/>
            <w:shd w:val="clear" w:color="auto" w:fill="auto"/>
            <w:vAlign w:val="bottom"/>
          </w:tcPr>
          <w:p w14:paraId="67537ACF" w14:textId="77777777" w:rsidR="001B77DD" w:rsidRDefault="001B77DD">
            <w:pPr>
              <w:rPr>
                <w:rFonts w:ascii="宋体"/>
              </w:rPr>
            </w:pPr>
          </w:p>
        </w:tc>
        <w:tc>
          <w:tcPr>
            <w:tcW w:w="5" w:type="pct"/>
            <w:shd w:val="clear" w:color="auto" w:fill="auto"/>
            <w:vAlign w:val="bottom"/>
          </w:tcPr>
          <w:p w14:paraId="67537AD0" w14:textId="77777777" w:rsidR="001B77DD" w:rsidRDefault="001B77DD">
            <w:pPr>
              <w:rPr>
                <w:rFonts w:ascii="宋体"/>
              </w:rPr>
            </w:pPr>
          </w:p>
        </w:tc>
        <w:tc>
          <w:tcPr>
            <w:tcW w:w="5" w:type="pct"/>
            <w:shd w:val="clear" w:color="auto" w:fill="auto"/>
            <w:vAlign w:val="bottom"/>
          </w:tcPr>
          <w:p w14:paraId="67537AD1" w14:textId="77777777" w:rsidR="001B77DD" w:rsidRDefault="001B77DD">
            <w:pPr>
              <w:rPr>
                <w:rFonts w:ascii="宋体"/>
              </w:rPr>
            </w:pPr>
          </w:p>
        </w:tc>
        <w:tc>
          <w:tcPr>
            <w:tcW w:w="24" w:type="pct"/>
            <w:shd w:val="clear" w:color="auto" w:fill="auto"/>
            <w:vAlign w:val="bottom"/>
          </w:tcPr>
          <w:p w14:paraId="67537AD2" w14:textId="77777777" w:rsidR="001B77DD" w:rsidRDefault="001B77DD">
            <w:pPr>
              <w:rPr>
                <w:rFonts w:ascii="宋体"/>
              </w:rPr>
            </w:pPr>
          </w:p>
        </w:tc>
        <w:tc>
          <w:tcPr>
            <w:tcW w:w="5" w:type="pct"/>
            <w:shd w:val="clear" w:color="auto" w:fill="auto"/>
            <w:vAlign w:val="bottom"/>
          </w:tcPr>
          <w:p w14:paraId="67537AD3" w14:textId="77777777" w:rsidR="001B77DD" w:rsidRDefault="001B77DD">
            <w:pPr>
              <w:rPr>
                <w:rFonts w:ascii="宋体"/>
              </w:rPr>
            </w:pPr>
          </w:p>
        </w:tc>
        <w:tc>
          <w:tcPr>
            <w:tcW w:w="50" w:type="pct"/>
            <w:shd w:val="clear" w:color="auto" w:fill="auto"/>
            <w:vAlign w:val="bottom"/>
          </w:tcPr>
          <w:p w14:paraId="67537AD4" w14:textId="77777777" w:rsidR="001B77DD" w:rsidRDefault="001B77DD">
            <w:pPr>
              <w:rPr>
                <w:rFonts w:ascii="宋体"/>
              </w:rPr>
            </w:pPr>
          </w:p>
        </w:tc>
        <w:tc>
          <w:tcPr>
            <w:tcW w:w="492" w:type="pct"/>
            <w:shd w:val="clear" w:color="auto" w:fill="auto"/>
            <w:vAlign w:val="bottom"/>
          </w:tcPr>
          <w:p w14:paraId="67537AD5" w14:textId="77777777" w:rsidR="001B77DD" w:rsidRDefault="001B77DD">
            <w:pPr>
              <w:rPr>
                <w:rFonts w:ascii="宋体"/>
              </w:rPr>
            </w:pPr>
          </w:p>
        </w:tc>
        <w:tc>
          <w:tcPr>
            <w:tcW w:w="5" w:type="pct"/>
            <w:shd w:val="clear" w:color="auto" w:fill="auto"/>
            <w:vAlign w:val="bottom"/>
          </w:tcPr>
          <w:p w14:paraId="67537AD6" w14:textId="77777777" w:rsidR="001B77DD" w:rsidRDefault="001B77DD">
            <w:pPr>
              <w:rPr>
                <w:rFonts w:ascii="宋体"/>
              </w:rPr>
            </w:pPr>
          </w:p>
        </w:tc>
        <w:tc>
          <w:tcPr>
            <w:tcW w:w="5" w:type="pct"/>
            <w:shd w:val="clear" w:color="auto" w:fill="auto"/>
            <w:vAlign w:val="bottom"/>
          </w:tcPr>
          <w:p w14:paraId="67537AD7" w14:textId="77777777" w:rsidR="001B77DD" w:rsidRDefault="001B77DD">
            <w:pPr>
              <w:rPr>
                <w:rFonts w:ascii="宋体"/>
              </w:rPr>
            </w:pPr>
          </w:p>
        </w:tc>
        <w:tc>
          <w:tcPr>
            <w:tcW w:w="24" w:type="pct"/>
            <w:shd w:val="clear" w:color="auto" w:fill="auto"/>
            <w:vAlign w:val="bottom"/>
          </w:tcPr>
          <w:p w14:paraId="67537AD8" w14:textId="77777777" w:rsidR="001B77DD" w:rsidRDefault="001B77DD">
            <w:pPr>
              <w:rPr>
                <w:rFonts w:ascii="宋体"/>
              </w:rPr>
            </w:pPr>
          </w:p>
        </w:tc>
        <w:tc>
          <w:tcPr>
            <w:tcW w:w="5" w:type="pct"/>
            <w:shd w:val="clear" w:color="auto" w:fill="auto"/>
            <w:vAlign w:val="bottom"/>
          </w:tcPr>
          <w:p w14:paraId="67537AD9" w14:textId="77777777" w:rsidR="001B77DD" w:rsidRDefault="001B77DD">
            <w:pPr>
              <w:rPr>
                <w:rFonts w:ascii="宋体"/>
              </w:rPr>
            </w:pPr>
          </w:p>
        </w:tc>
        <w:tc>
          <w:tcPr>
            <w:tcW w:w="50" w:type="pct"/>
            <w:shd w:val="clear" w:color="auto" w:fill="auto"/>
            <w:vAlign w:val="bottom"/>
          </w:tcPr>
          <w:p w14:paraId="67537ADA" w14:textId="77777777" w:rsidR="001B77DD" w:rsidRDefault="001B77DD">
            <w:pPr>
              <w:rPr>
                <w:rFonts w:ascii="宋体"/>
              </w:rPr>
            </w:pPr>
          </w:p>
        </w:tc>
        <w:tc>
          <w:tcPr>
            <w:tcW w:w="493" w:type="pct"/>
            <w:shd w:val="clear" w:color="auto" w:fill="auto"/>
            <w:vAlign w:val="bottom"/>
          </w:tcPr>
          <w:p w14:paraId="67537ADB" w14:textId="77777777" w:rsidR="001B77DD" w:rsidRDefault="001B77DD">
            <w:pPr>
              <w:rPr>
                <w:rFonts w:ascii="宋体"/>
              </w:rPr>
            </w:pPr>
          </w:p>
        </w:tc>
        <w:tc>
          <w:tcPr>
            <w:tcW w:w="5" w:type="pct"/>
            <w:shd w:val="clear" w:color="auto" w:fill="auto"/>
            <w:vAlign w:val="bottom"/>
          </w:tcPr>
          <w:p w14:paraId="67537ADC" w14:textId="77777777" w:rsidR="001B77DD" w:rsidRDefault="001B77DD">
            <w:pPr>
              <w:rPr>
                <w:rFonts w:ascii="宋体"/>
              </w:rPr>
            </w:pPr>
          </w:p>
        </w:tc>
      </w:tr>
      <w:tr w:rsidR="001B77DD" w14:paraId="67537AE1" w14:textId="77777777">
        <w:tc>
          <w:tcPr>
            <w:tcW w:w="0" w:type="auto"/>
            <w:gridSpan w:val="3"/>
            <w:shd w:val="clear" w:color="auto" w:fill="auto"/>
            <w:tcMar>
              <w:top w:w="0" w:type="dxa"/>
              <w:left w:w="20" w:type="dxa"/>
              <w:bottom w:w="0" w:type="dxa"/>
              <w:right w:w="20" w:type="dxa"/>
            </w:tcMar>
            <w:vAlign w:val="bottom"/>
          </w:tcPr>
          <w:p w14:paraId="67537AD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DF" w14:textId="77777777" w:rsidR="001B77DD" w:rsidRDefault="001B77DD">
            <w:pPr>
              <w:rPr>
                <w:rFonts w:ascii="宋体"/>
              </w:rPr>
            </w:pPr>
          </w:p>
        </w:tc>
        <w:tc>
          <w:tcPr>
            <w:tcW w:w="0" w:type="auto"/>
            <w:gridSpan w:val="33"/>
            <w:shd w:val="clear" w:color="auto" w:fill="auto"/>
            <w:tcMar>
              <w:top w:w="40" w:type="dxa"/>
              <w:left w:w="20" w:type="dxa"/>
              <w:bottom w:w="40" w:type="dxa"/>
              <w:right w:w="20" w:type="dxa"/>
            </w:tcMar>
            <w:vAlign w:val="bottom"/>
          </w:tcPr>
          <w:p w14:paraId="67537AE0" w14:textId="77777777" w:rsidR="001B77DD" w:rsidRDefault="00BF0A28">
            <w:pPr>
              <w:jc w:val="center"/>
              <w:textAlignment w:val="bottom"/>
            </w:pPr>
            <w:r>
              <w:rPr>
                <w:rFonts w:ascii="Arial" w:eastAsia="宋体" w:hAnsi="Arial" w:cs="Arial"/>
                <w:b/>
                <w:bCs/>
                <w:color w:val="262626"/>
                <w:sz w:val="18"/>
                <w:szCs w:val="18"/>
              </w:rPr>
              <w:t>December 25, 2021</w:t>
            </w:r>
          </w:p>
        </w:tc>
      </w:tr>
      <w:tr w:rsidR="001B77DD" w14:paraId="67537AED" w14:textId="77777777">
        <w:tc>
          <w:tcPr>
            <w:tcW w:w="0" w:type="auto"/>
            <w:gridSpan w:val="3"/>
            <w:shd w:val="clear" w:color="auto" w:fill="auto"/>
            <w:tcMar>
              <w:top w:w="0" w:type="dxa"/>
              <w:left w:w="20" w:type="dxa"/>
              <w:bottom w:w="0" w:type="dxa"/>
              <w:right w:w="20" w:type="dxa"/>
            </w:tcMar>
            <w:vAlign w:val="bottom"/>
          </w:tcPr>
          <w:p w14:paraId="67537AE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E3"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E4"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E5"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E6"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E7"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E8"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E9" w14:textId="77777777" w:rsidR="001B77DD" w:rsidRDefault="001B77DD">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7537AEA" w14:textId="77777777" w:rsidR="001B77DD" w:rsidRDefault="00BF0A28">
            <w:pPr>
              <w:jc w:val="center"/>
              <w:textAlignment w:val="bottom"/>
            </w:pPr>
            <w:r>
              <w:rPr>
                <w:rFonts w:ascii="Arial" w:eastAsia="宋体" w:hAnsi="Arial" w:cs="Arial"/>
                <w:b/>
                <w:bCs/>
                <w:color w:val="262626"/>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EB"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AEC" w14:textId="77777777" w:rsidR="001B77DD" w:rsidRDefault="001B77DD">
            <w:pPr>
              <w:rPr>
                <w:rFonts w:ascii="宋体"/>
              </w:rPr>
            </w:pPr>
          </w:p>
        </w:tc>
      </w:tr>
      <w:tr w:rsidR="001B77DD" w14:paraId="67537AFB" w14:textId="77777777">
        <w:tc>
          <w:tcPr>
            <w:tcW w:w="0" w:type="auto"/>
            <w:gridSpan w:val="3"/>
            <w:shd w:val="clear" w:color="auto" w:fill="auto"/>
            <w:tcMar>
              <w:top w:w="40" w:type="dxa"/>
              <w:left w:w="20" w:type="dxa"/>
              <w:bottom w:w="40" w:type="dxa"/>
              <w:right w:w="20" w:type="dxa"/>
            </w:tcMar>
            <w:vAlign w:val="bottom"/>
          </w:tcPr>
          <w:p w14:paraId="67537AEE" w14:textId="77777777" w:rsidR="001B77DD" w:rsidRDefault="00BF0A28">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7537AE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AF0" w14:textId="77777777" w:rsidR="001B77DD" w:rsidRDefault="00BF0A28">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67537AF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AF2" w14:textId="77777777" w:rsidR="001B77DD" w:rsidRDefault="00BF0A28">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67537AF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AF4" w14:textId="77777777" w:rsidR="001B77DD" w:rsidRDefault="00BF0A28">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67537AF5" w14:textId="77777777" w:rsidR="001B77DD" w:rsidRDefault="001B77DD">
            <w:pPr>
              <w:rPr>
                <w:rFonts w:ascii="宋体"/>
              </w:rPr>
            </w:pPr>
          </w:p>
        </w:tc>
        <w:tc>
          <w:tcPr>
            <w:tcW w:w="0" w:type="auto"/>
            <w:gridSpan w:val="3"/>
            <w:tcBorders>
              <w:top w:val="single" w:sz="4" w:space="0" w:color="0071C5"/>
            </w:tcBorders>
            <w:shd w:val="clear" w:color="auto" w:fill="auto"/>
            <w:tcMar>
              <w:top w:w="40" w:type="dxa"/>
              <w:left w:w="20" w:type="dxa"/>
              <w:bottom w:w="40" w:type="dxa"/>
              <w:right w:w="20" w:type="dxa"/>
            </w:tcMar>
            <w:vAlign w:val="bottom"/>
          </w:tcPr>
          <w:p w14:paraId="67537AF6" w14:textId="77777777" w:rsidR="001B77DD" w:rsidRDefault="00BF0A28">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4" w:space="0" w:color="0071C5"/>
            </w:tcBorders>
            <w:shd w:val="clear" w:color="auto" w:fill="auto"/>
            <w:tcMar>
              <w:top w:w="0" w:type="dxa"/>
              <w:left w:w="20" w:type="dxa"/>
              <w:bottom w:w="0" w:type="dxa"/>
              <w:right w:w="20" w:type="dxa"/>
            </w:tcMar>
            <w:vAlign w:val="bottom"/>
          </w:tcPr>
          <w:p w14:paraId="67537AF7" w14:textId="77777777" w:rsidR="001B77DD" w:rsidRDefault="001B77DD">
            <w:pPr>
              <w:rPr>
                <w:rFonts w:ascii="宋体"/>
              </w:rPr>
            </w:pPr>
          </w:p>
        </w:tc>
        <w:tc>
          <w:tcPr>
            <w:tcW w:w="0" w:type="auto"/>
            <w:gridSpan w:val="3"/>
            <w:tcBorders>
              <w:top w:val="single" w:sz="4" w:space="0" w:color="0071C5"/>
            </w:tcBorders>
            <w:shd w:val="clear" w:color="auto" w:fill="auto"/>
            <w:tcMar>
              <w:top w:w="40" w:type="dxa"/>
              <w:left w:w="20" w:type="dxa"/>
              <w:bottom w:w="40" w:type="dxa"/>
              <w:right w:w="20" w:type="dxa"/>
            </w:tcMar>
            <w:vAlign w:val="bottom"/>
          </w:tcPr>
          <w:p w14:paraId="67537AF8" w14:textId="77777777" w:rsidR="001B77DD" w:rsidRDefault="00BF0A28">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67537AF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AFA" w14:textId="77777777" w:rsidR="001B77DD" w:rsidRDefault="00BF0A28">
            <w:pPr>
              <w:jc w:val="center"/>
              <w:textAlignment w:val="bottom"/>
            </w:pPr>
            <w:r>
              <w:rPr>
                <w:rFonts w:ascii="Arial" w:eastAsia="宋体" w:hAnsi="Arial" w:cs="Arial"/>
                <w:b/>
                <w:bCs/>
                <w:color w:val="262626"/>
                <w:sz w:val="18"/>
                <w:szCs w:val="18"/>
              </w:rPr>
              <w:t>Net Amount</w:t>
            </w:r>
          </w:p>
        </w:tc>
      </w:tr>
      <w:tr w:rsidR="001B77DD" w14:paraId="67537B0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AFC" w14:textId="77777777" w:rsidR="001B77DD" w:rsidRDefault="00BF0A28">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7537AFD"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AF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AFF"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0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01"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0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03"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0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05"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0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07"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08" w14:textId="77777777" w:rsidR="001B77DD" w:rsidRDefault="001B77DD">
            <w:pPr>
              <w:rPr>
                <w:rFonts w:ascii="宋体"/>
              </w:rPr>
            </w:pPr>
          </w:p>
        </w:tc>
      </w:tr>
      <w:tr w:rsidR="001B77DD" w14:paraId="67537B23" w14:textId="77777777">
        <w:tc>
          <w:tcPr>
            <w:tcW w:w="0" w:type="auto"/>
            <w:gridSpan w:val="3"/>
            <w:shd w:val="clear" w:color="auto" w:fill="auto"/>
            <w:tcMar>
              <w:top w:w="40" w:type="dxa"/>
              <w:left w:w="140" w:type="dxa"/>
              <w:bottom w:w="40" w:type="dxa"/>
              <w:right w:w="20" w:type="dxa"/>
            </w:tcMar>
            <w:vAlign w:val="center"/>
          </w:tcPr>
          <w:p w14:paraId="67537B0A" w14:textId="77777777" w:rsidR="001B77DD" w:rsidRDefault="00BF0A28">
            <w:pPr>
              <w:textAlignment w:val="center"/>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67537B0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B0C"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B0D" w14:textId="77777777" w:rsidR="001B77DD" w:rsidRDefault="00BF0A28">
            <w:pPr>
              <w:jc w:val="right"/>
              <w:textAlignment w:val="bottom"/>
            </w:pPr>
            <w:r>
              <w:rPr>
                <w:rFonts w:ascii="Arial" w:eastAsia="宋体" w:hAnsi="Arial" w:cs="Arial"/>
                <w:color w:val="0068B5"/>
                <w:sz w:val="18"/>
                <w:szCs w:val="18"/>
              </w:rPr>
              <w:t>1,427 </w:t>
            </w:r>
          </w:p>
        </w:tc>
        <w:tc>
          <w:tcPr>
            <w:tcW w:w="0" w:type="auto"/>
            <w:shd w:val="clear" w:color="auto" w:fill="auto"/>
            <w:tcMar>
              <w:top w:w="40" w:type="dxa"/>
              <w:left w:w="0" w:type="dxa"/>
              <w:bottom w:w="40" w:type="dxa"/>
              <w:right w:w="20" w:type="dxa"/>
            </w:tcMar>
            <w:vAlign w:val="bottom"/>
          </w:tcPr>
          <w:p w14:paraId="67537B0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0F"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B10"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B11"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B1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1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B14"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B15" w14:textId="77777777" w:rsidR="001B77DD" w:rsidRDefault="00BF0A28">
            <w:pPr>
              <w:jc w:val="right"/>
              <w:textAlignment w:val="bottom"/>
            </w:pPr>
            <w:r>
              <w:rPr>
                <w:rFonts w:ascii="Arial" w:eastAsia="宋体" w:hAnsi="Arial" w:cs="Arial"/>
                <w:color w:val="0068B5"/>
                <w:sz w:val="18"/>
                <w:szCs w:val="18"/>
              </w:rPr>
              <w:t>1,427 </w:t>
            </w:r>
          </w:p>
        </w:tc>
        <w:tc>
          <w:tcPr>
            <w:tcW w:w="0" w:type="auto"/>
            <w:shd w:val="clear" w:color="auto" w:fill="auto"/>
            <w:tcMar>
              <w:top w:w="40" w:type="dxa"/>
              <w:left w:w="0" w:type="dxa"/>
              <w:bottom w:w="40" w:type="dxa"/>
              <w:right w:w="20" w:type="dxa"/>
            </w:tcMar>
            <w:vAlign w:val="bottom"/>
          </w:tcPr>
          <w:p w14:paraId="67537B1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1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B18"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B19" w14:textId="77777777" w:rsidR="001B77DD" w:rsidRDefault="00BF0A28">
            <w:pPr>
              <w:jc w:val="right"/>
              <w:textAlignment w:val="bottom"/>
            </w:pPr>
            <w:r>
              <w:rPr>
                <w:rFonts w:ascii="Arial" w:eastAsia="宋体" w:hAnsi="Arial" w:cs="Arial"/>
                <w:color w:val="0068B5"/>
                <w:sz w:val="18"/>
                <w:szCs w:val="18"/>
              </w:rPr>
              <w:t>(332)</w:t>
            </w:r>
          </w:p>
        </w:tc>
        <w:tc>
          <w:tcPr>
            <w:tcW w:w="0" w:type="auto"/>
            <w:shd w:val="clear" w:color="auto" w:fill="auto"/>
            <w:tcMar>
              <w:top w:w="40" w:type="dxa"/>
              <w:left w:w="0" w:type="dxa"/>
              <w:bottom w:w="40" w:type="dxa"/>
              <w:right w:w="20" w:type="dxa"/>
            </w:tcMar>
            <w:vAlign w:val="bottom"/>
          </w:tcPr>
          <w:p w14:paraId="67537B1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1B"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B1C"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B1D" w14:textId="77777777" w:rsidR="001B77DD" w:rsidRDefault="00BF0A28">
            <w:pPr>
              <w:jc w:val="right"/>
              <w:textAlignment w:val="bottom"/>
            </w:pPr>
            <w:r>
              <w:rPr>
                <w:rFonts w:ascii="Arial" w:eastAsia="宋体" w:hAnsi="Arial" w:cs="Arial"/>
                <w:color w:val="0068B5"/>
                <w:sz w:val="18"/>
                <w:szCs w:val="18"/>
              </w:rPr>
              <w:t>(986)</w:t>
            </w:r>
          </w:p>
        </w:tc>
        <w:tc>
          <w:tcPr>
            <w:tcW w:w="0" w:type="auto"/>
            <w:shd w:val="clear" w:color="auto" w:fill="auto"/>
            <w:tcMar>
              <w:top w:w="40" w:type="dxa"/>
              <w:left w:w="0" w:type="dxa"/>
              <w:bottom w:w="40" w:type="dxa"/>
              <w:right w:w="20" w:type="dxa"/>
            </w:tcMar>
            <w:vAlign w:val="bottom"/>
          </w:tcPr>
          <w:p w14:paraId="67537B1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1F"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B20"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B21" w14:textId="77777777" w:rsidR="001B77DD" w:rsidRDefault="00BF0A28">
            <w:pPr>
              <w:jc w:val="right"/>
              <w:textAlignment w:val="bottom"/>
            </w:pPr>
            <w:r>
              <w:rPr>
                <w:rFonts w:ascii="Arial" w:eastAsia="宋体" w:hAnsi="Arial" w:cs="Arial"/>
                <w:color w:val="0068B5"/>
                <w:sz w:val="18"/>
                <w:szCs w:val="18"/>
              </w:rPr>
              <w:t>109 </w:t>
            </w:r>
          </w:p>
        </w:tc>
        <w:tc>
          <w:tcPr>
            <w:tcW w:w="0" w:type="auto"/>
            <w:shd w:val="clear" w:color="auto" w:fill="auto"/>
            <w:tcMar>
              <w:top w:w="40" w:type="dxa"/>
              <w:left w:w="0" w:type="dxa"/>
              <w:bottom w:w="40" w:type="dxa"/>
              <w:right w:w="20" w:type="dxa"/>
            </w:tcMar>
            <w:vAlign w:val="bottom"/>
          </w:tcPr>
          <w:p w14:paraId="67537B22" w14:textId="77777777" w:rsidR="001B77DD" w:rsidRDefault="001B77DD">
            <w:pPr>
              <w:jc w:val="right"/>
              <w:rPr>
                <w:rFonts w:ascii="宋体"/>
              </w:rPr>
            </w:pPr>
          </w:p>
        </w:tc>
      </w:tr>
      <w:tr w:rsidR="001B77DD" w14:paraId="67537B37" w14:textId="77777777">
        <w:tc>
          <w:tcPr>
            <w:tcW w:w="0" w:type="auto"/>
            <w:gridSpan w:val="3"/>
            <w:shd w:val="clear" w:color="auto" w:fill="auto"/>
            <w:tcMar>
              <w:top w:w="40" w:type="dxa"/>
              <w:left w:w="140" w:type="dxa"/>
              <w:bottom w:w="40" w:type="dxa"/>
              <w:right w:w="20" w:type="dxa"/>
            </w:tcMar>
            <w:vAlign w:val="bottom"/>
          </w:tcPr>
          <w:p w14:paraId="67537B24" w14:textId="77777777" w:rsidR="001B77DD" w:rsidRDefault="00BF0A28">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67537B2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26" w14:textId="77777777" w:rsidR="001B77DD" w:rsidRDefault="00BF0A28">
            <w:pPr>
              <w:jc w:val="right"/>
              <w:textAlignment w:val="bottom"/>
            </w:pPr>
            <w:r>
              <w:rPr>
                <w:rFonts w:ascii="Arial" w:eastAsia="宋体" w:hAnsi="Arial" w:cs="Arial"/>
                <w:color w:val="0068B5"/>
                <w:sz w:val="18"/>
                <w:szCs w:val="18"/>
              </w:rPr>
              <w:t>1,595 </w:t>
            </w:r>
          </w:p>
        </w:tc>
        <w:tc>
          <w:tcPr>
            <w:tcW w:w="0" w:type="auto"/>
            <w:shd w:val="clear" w:color="auto" w:fill="auto"/>
            <w:tcMar>
              <w:top w:w="40" w:type="dxa"/>
              <w:left w:w="0" w:type="dxa"/>
              <w:bottom w:w="40" w:type="dxa"/>
              <w:right w:w="20" w:type="dxa"/>
            </w:tcMar>
            <w:vAlign w:val="bottom"/>
          </w:tcPr>
          <w:p w14:paraId="67537B2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2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29"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B2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2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2C" w14:textId="77777777" w:rsidR="001B77DD" w:rsidRDefault="00BF0A28">
            <w:pPr>
              <w:jc w:val="right"/>
              <w:textAlignment w:val="bottom"/>
            </w:pPr>
            <w:r>
              <w:rPr>
                <w:rFonts w:ascii="Arial" w:eastAsia="宋体" w:hAnsi="Arial" w:cs="Arial"/>
                <w:color w:val="0068B5"/>
                <w:sz w:val="18"/>
                <w:szCs w:val="18"/>
              </w:rPr>
              <w:t>1,595 </w:t>
            </w:r>
          </w:p>
        </w:tc>
        <w:tc>
          <w:tcPr>
            <w:tcW w:w="0" w:type="auto"/>
            <w:shd w:val="clear" w:color="auto" w:fill="auto"/>
            <w:tcMar>
              <w:top w:w="40" w:type="dxa"/>
              <w:left w:w="0" w:type="dxa"/>
              <w:bottom w:w="40" w:type="dxa"/>
              <w:right w:w="20" w:type="dxa"/>
            </w:tcMar>
            <w:vAlign w:val="bottom"/>
          </w:tcPr>
          <w:p w14:paraId="67537B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2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2F"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B3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3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32" w14:textId="77777777" w:rsidR="001B77DD" w:rsidRDefault="00BF0A28">
            <w:pPr>
              <w:jc w:val="right"/>
              <w:textAlignment w:val="bottom"/>
            </w:pPr>
            <w:r>
              <w:rPr>
                <w:rFonts w:ascii="Arial" w:eastAsia="宋体" w:hAnsi="Arial" w:cs="Arial"/>
                <w:color w:val="0068B5"/>
                <w:sz w:val="18"/>
                <w:szCs w:val="18"/>
              </w:rPr>
              <w:t>(1,595)</w:t>
            </w:r>
          </w:p>
        </w:tc>
        <w:tc>
          <w:tcPr>
            <w:tcW w:w="0" w:type="auto"/>
            <w:shd w:val="clear" w:color="auto" w:fill="auto"/>
            <w:tcMar>
              <w:top w:w="40" w:type="dxa"/>
              <w:left w:w="0" w:type="dxa"/>
              <w:bottom w:w="40" w:type="dxa"/>
              <w:right w:w="20" w:type="dxa"/>
            </w:tcMar>
            <w:vAlign w:val="bottom"/>
          </w:tcPr>
          <w:p w14:paraId="67537B3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3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35"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B36" w14:textId="77777777" w:rsidR="001B77DD" w:rsidRDefault="001B77DD">
            <w:pPr>
              <w:jc w:val="right"/>
              <w:rPr>
                <w:rFonts w:ascii="宋体"/>
              </w:rPr>
            </w:pPr>
          </w:p>
        </w:tc>
      </w:tr>
      <w:tr w:rsidR="001B77DD" w14:paraId="67537B4B" w14:textId="77777777">
        <w:tc>
          <w:tcPr>
            <w:tcW w:w="0" w:type="auto"/>
            <w:gridSpan w:val="3"/>
            <w:shd w:val="clear" w:color="auto" w:fill="auto"/>
            <w:tcMar>
              <w:top w:w="40" w:type="dxa"/>
              <w:left w:w="20" w:type="dxa"/>
              <w:bottom w:w="40" w:type="dxa"/>
              <w:right w:w="20" w:type="dxa"/>
            </w:tcMar>
            <w:vAlign w:val="bottom"/>
          </w:tcPr>
          <w:p w14:paraId="67537B38" w14:textId="77777777" w:rsidR="001B77DD" w:rsidRDefault="00BF0A28">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67537B39"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B3A" w14:textId="77777777" w:rsidR="001B77DD" w:rsidRDefault="00BF0A28">
            <w:pPr>
              <w:jc w:val="right"/>
              <w:textAlignment w:val="bottom"/>
            </w:pPr>
            <w:r>
              <w:rPr>
                <w:rFonts w:ascii="Arial" w:eastAsia="宋体" w:hAnsi="Arial" w:cs="Arial"/>
                <w:b/>
                <w:bCs/>
                <w:color w:val="0068B5"/>
                <w:sz w:val="18"/>
                <w:szCs w:val="18"/>
              </w:rPr>
              <w:t>3,022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B3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3C"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B3D" w14:textId="77777777" w:rsidR="001B77DD" w:rsidRDefault="00BF0A2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B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3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B40" w14:textId="77777777" w:rsidR="001B77DD" w:rsidRDefault="00BF0A28">
            <w:pPr>
              <w:jc w:val="right"/>
              <w:textAlignment w:val="bottom"/>
            </w:pPr>
            <w:r>
              <w:rPr>
                <w:rFonts w:ascii="Arial" w:eastAsia="宋体" w:hAnsi="Arial" w:cs="Arial"/>
                <w:b/>
                <w:bCs/>
                <w:color w:val="0068B5"/>
                <w:sz w:val="18"/>
                <w:szCs w:val="18"/>
              </w:rPr>
              <w:t>3,022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B4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4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B43" w14:textId="77777777" w:rsidR="001B77DD" w:rsidRDefault="00BF0A28">
            <w:pPr>
              <w:jc w:val="right"/>
              <w:textAlignment w:val="bottom"/>
            </w:pPr>
            <w:r>
              <w:rPr>
                <w:rFonts w:ascii="Arial" w:eastAsia="宋体" w:hAnsi="Arial" w:cs="Arial"/>
                <w:b/>
                <w:bCs/>
                <w:color w:val="0068B5"/>
                <w:sz w:val="18"/>
                <w:szCs w:val="18"/>
              </w:rPr>
              <w:t>(332)</w:t>
            </w:r>
          </w:p>
        </w:tc>
        <w:tc>
          <w:tcPr>
            <w:tcW w:w="0" w:type="auto"/>
            <w:tcBorders>
              <w:top w:val="single" w:sz="4" w:space="0" w:color="262626"/>
            </w:tcBorders>
            <w:shd w:val="clear" w:color="auto" w:fill="auto"/>
            <w:tcMar>
              <w:top w:w="40" w:type="dxa"/>
              <w:left w:w="0" w:type="dxa"/>
              <w:bottom w:w="40" w:type="dxa"/>
              <w:right w:w="20" w:type="dxa"/>
            </w:tcMar>
            <w:vAlign w:val="bottom"/>
          </w:tcPr>
          <w:p w14:paraId="67537B4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4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B46" w14:textId="77777777" w:rsidR="001B77DD" w:rsidRDefault="00BF0A28">
            <w:pPr>
              <w:jc w:val="right"/>
              <w:textAlignment w:val="bottom"/>
            </w:pPr>
            <w:r>
              <w:rPr>
                <w:rFonts w:ascii="Arial" w:eastAsia="宋体" w:hAnsi="Arial" w:cs="Arial"/>
                <w:b/>
                <w:bCs/>
                <w:color w:val="0068B5"/>
                <w:sz w:val="18"/>
                <w:szCs w:val="18"/>
              </w:rPr>
              <w:t>(2,581)</w:t>
            </w:r>
          </w:p>
        </w:tc>
        <w:tc>
          <w:tcPr>
            <w:tcW w:w="0" w:type="auto"/>
            <w:tcBorders>
              <w:top w:val="single" w:sz="4" w:space="0" w:color="262626"/>
            </w:tcBorders>
            <w:shd w:val="clear" w:color="auto" w:fill="auto"/>
            <w:tcMar>
              <w:top w:w="40" w:type="dxa"/>
              <w:left w:w="0" w:type="dxa"/>
              <w:bottom w:w="40" w:type="dxa"/>
              <w:right w:w="20" w:type="dxa"/>
            </w:tcMar>
            <w:vAlign w:val="bottom"/>
          </w:tcPr>
          <w:p w14:paraId="67537B4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48"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B49" w14:textId="77777777" w:rsidR="001B77DD" w:rsidRDefault="00BF0A28">
            <w:pPr>
              <w:jc w:val="right"/>
              <w:textAlignment w:val="bottom"/>
            </w:pPr>
            <w:r>
              <w:rPr>
                <w:rFonts w:ascii="Arial" w:eastAsia="宋体" w:hAnsi="Arial" w:cs="Arial"/>
                <w:b/>
                <w:bCs/>
                <w:color w:val="0068B5"/>
                <w:sz w:val="18"/>
                <w:szCs w:val="18"/>
              </w:rPr>
              <w:t>109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B4A" w14:textId="77777777" w:rsidR="001B77DD" w:rsidRDefault="001B77DD">
            <w:pPr>
              <w:jc w:val="right"/>
              <w:rPr>
                <w:rFonts w:ascii="宋体"/>
              </w:rPr>
            </w:pPr>
          </w:p>
        </w:tc>
      </w:tr>
      <w:tr w:rsidR="001B77DD" w14:paraId="67537B59" w14:textId="77777777">
        <w:tc>
          <w:tcPr>
            <w:tcW w:w="0" w:type="auto"/>
            <w:gridSpan w:val="3"/>
            <w:shd w:val="clear" w:color="auto" w:fill="auto"/>
            <w:tcMar>
              <w:top w:w="40" w:type="dxa"/>
              <w:left w:w="20" w:type="dxa"/>
              <w:bottom w:w="40" w:type="dxa"/>
              <w:right w:w="20" w:type="dxa"/>
            </w:tcMar>
            <w:vAlign w:val="bottom"/>
          </w:tcPr>
          <w:p w14:paraId="67537B4C" w14:textId="77777777" w:rsidR="001B77DD" w:rsidRDefault="00BF0A28">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7537B4D"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B4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4F"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B5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51"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B5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53"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B5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55"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B5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57"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B58" w14:textId="77777777" w:rsidR="001B77DD" w:rsidRDefault="001B77DD">
            <w:pPr>
              <w:rPr>
                <w:rFonts w:ascii="宋体"/>
              </w:rPr>
            </w:pPr>
          </w:p>
        </w:tc>
      </w:tr>
      <w:tr w:rsidR="001B77DD" w14:paraId="67537B6D" w14:textId="77777777">
        <w:tc>
          <w:tcPr>
            <w:tcW w:w="0" w:type="auto"/>
            <w:gridSpan w:val="3"/>
            <w:shd w:val="clear" w:color="auto" w:fill="auto"/>
            <w:tcMar>
              <w:top w:w="40" w:type="dxa"/>
              <w:left w:w="140" w:type="dxa"/>
              <w:bottom w:w="40" w:type="dxa"/>
              <w:right w:w="20" w:type="dxa"/>
            </w:tcMar>
            <w:vAlign w:val="center"/>
          </w:tcPr>
          <w:p w14:paraId="67537B5A" w14:textId="77777777" w:rsidR="001B77DD" w:rsidRDefault="00BF0A28">
            <w:pPr>
              <w:textAlignment w:val="center"/>
            </w:pPr>
            <w:r>
              <w:rPr>
                <w:rFonts w:ascii="Arial" w:eastAsia="宋体" w:hAnsi="Arial" w:cs="Arial"/>
                <w:color w:val="262626"/>
                <w:sz w:val="18"/>
                <w:szCs w:val="18"/>
              </w:rPr>
              <w:t xml:space="preserve">Derivative </w:t>
            </w:r>
            <w:r>
              <w:rPr>
                <w:rFonts w:ascii="Arial" w:eastAsia="宋体" w:hAnsi="Arial" w:cs="Arial"/>
                <w:color w:val="262626"/>
                <w:sz w:val="18"/>
                <w:szCs w:val="18"/>
              </w:rPr>
              <w:t>liabilities subject to master netting arrangements</w:t>
            </w:r>
          </w:p>
        </w:tc>
        <w:tc>
          <w:tcPr>
            <w:tcW w:w="0" w:type="auto"/>
            <w:gridSpan w:val="3"/>
            <w:shd w:val="clear" w:color="auto" w:fill="auto"/>
            <w:tcMar>
              <w:top w:w="0" w:type="dxa"/>
              <w:left w:w="20" w:type="dxa"/>
              <w:bottom w:w="0" w:type="dxa"/>
              <w:right w:w="20" w:type="dxa"/>
            </w:tcMar>
            <w:vAlign w:val="bottom"/>
          </w:tcPr>
          <w:p w14:paraId="67537B5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5C" w14:textId="77777777" w:rsidR="001B77DD" w:rsidRDefault="00BF0A28">
            <w:pPr>
              <w:jc w:val="right"/>
              <w:textAlignment w:val="bottom"/>
            </w:pPr>
            <w:r>
              <w:rPr>
                <w:rFonts w:ascii="Arial" w:eastAsia="宋体" w:hAnsi="Arial" w:cs="Arial"/>
                <w:color w:val="0068B5"/>
                <w:sz w:val="18"/>
                <w:szCs w:val="18"/>
              </w:rPr>
              <w:t>392 </w:t>
            </w:r>
          </w:p>
        </w:tc>
        <w:tc>
          <w:tcPr>
            <w:tcW w:w="0" w:type="auto"/>
            <w:shd w:val="clear" w:color="auto" w:fill="auto"/>
            <w:tcMar>
              <w:top w:w="40" w:type="dxa"/>
              <w:left w:w="0" w:type="dxa"/>
              <w:bottom w:w="40" w:type="dxa"/>
              <w:right w:w="20" w:type="dxa"/>
            </w:tcMar>
            <w:vAlign w:val="bottom"/>
          </w:tcPr>
          <w:p w14:paraId="67537B5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5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5F"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B6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6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62" w14:textId="77777777" w:rsidR="001B77DD" w:rsidRDefault="00BF0A28">
            <w:pPr>
              <w:jc w:val="right"/>
              <w:textAlignment w:val="bottom"/>
            </w:pPr>
            <w:r>
              <w:rPr>
                <w:rFonts w:ascii="Arial" w:eastAsia="宋体" w:hAnsi="Arial" w:cs="Arial"/>
                <w:color w:val="0068B5"/>
                <w:sz w:val="18"/>
                <w:szCs w:val="18"/>
              </w:rPr>
              <w:t>392 </w:t>
            </w:r>
          </w:p>
        </w:tc>
        <w:tc>
          <w:tcPr>
            <w:tcW w:w="0" w:type="auto"/>
            <w:shd w:val="clear" w:color="auto" w:fill="auto"/>
            <w:tcMar>
              <w:top w:w="40" w:type="dxa"/>
              <w:left w:w="0" w:type="dxa"/>
              <w:bottom w:w="40" w:type="dxa"/>
              <w:right w:w="20" w:type="dxa"/>
            </w:tcMar>
            <w:vAlign w:val="bottom"/>
          </w:tcPr>
          <w:p w14:paraId="67537B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6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65" w14:textId="77777777" w:rsidR="001B77DD" w:rsidRDefault="00BF0A28">
            <w:pPr>
              <w:jc w:val="right"/>
              <w:textAlignment w:val="bottom"/>
            </w:pPr>
            <w:r>
              <w:rPr>
                <w:rFonts w:ascii="Arial" w:eastAsia="宋体" w:hAnsi="Arial" w:cs="Arial"/>
                <w:color w:val="0068B5"/>
                <w:sz w:val="18"/>
                <w:szCs w:val="18"/>
              </w:rPr>
              <w:t>(332)</w:t>
            </w:r>
          </w:p>
        </w:tc>
        <w:tc>
          <w:tcPr>
            <w:tcW w:w="0" w:type="auto"/>
            <w:shd w:val="clear" w:color="auto" w:fill="auto"/>
            <w:tcMar>
              <w:top w:w="40" w:type="dxa"/>
              <w:left w:w="0" w:type="dxa"/>
              <w:bottom w:w="40" w:type="dxa"/>
              <w:right w:w="20" w:type="dxa"/>
            </w:tcMar>
            <w:vAlign w:val="bottom"/>
          </w:tcPr>
          <w:p w14:paraId="67537B6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6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68" w14:textId="77777777" w:rsidR="001B77DD" w:rsidRDefault="00BF0A28">
            <w:pPr>
              <w:jc w:val="right"/>
              <w:textAlignment w:val="bottom"/>
            </w:pPr>
            <w:r>
              <w:rPr>
                <w:rFonts w:ascii="Arial" w:eastAsia="宋体" w:hAnsi="Arial" w:cs="Arial"/>
                <w:color w:val="0068B5"/>
                <w:sz w:val="18"/>
                <w:szCs w:val="18"/>
              </w:rPr>
              <w:t>(60)</w:t>
            </w:r>
          </w:p>
        </w:tc>
        <w:tc>
          <w:tcPr>
            <w:tcW w:w="0" w:type="auto"/>
            <w:shd w:val="clear" w:color="auto" w:fill="auto"/>
            <w:tcMar>
              <w:top w:w="40" w:type="dxa"/>
              <w:left w:w="0" w:type="dxa"/>
              <w:bottom w:w="40" w:type="dxa"/>
              <w:right w:w="20" w:type="dxa"/>
            </w:tcMar>
            <w:vAlign w:val="bottom"/>
          </w:tcPr>
          <w:p w14:paraId="67537B6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6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B6B"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B6C" w14:textId="77777777" w:rsidR="001B77DD" w:rsidRDefault="001B77DD">
            <w:pPr>
              <w:jc w:val="right"/>
              <w:rPr>
                <w:rFonts w:ascii="宋体"/>
              </w:rPr>
            </w:pPr>
          </w:p>
        </w:tc>
      </w:tr>
      <w:tr w:rsidR="001B77DD" w14:paraId="67537B7B" w14:textId="77777777">
        <w:trPr>
          <w:hidden/>
        </w:trPr>
        <w:tc>
          <w:tcPr>
            <w:tcW w:w="0" w:type="auto"/>
            <w:gridSpan w:val="3"/>
            <w:shd w:val="clear" w:color="auto" w:fill="auto"/>
            <w:vAlign w:val="bottom"/>
          </w:tcPr>
          <w:p w14:paraId="67537B6E" w14:textId="77777777" w:rsidR="001B77DD" w:rsidRDefault="001B77DD">
            <w:pPr>
              <w:rPr>
                <w:rFonts w:ascii="宋体"/>
                <w:vanish/>
              </w:rPr>
            </w:pPr>
          </w:p>
        </w:tc>
        <w:tc>
          <w:tcPr>
            <w:tcW w:w="0" w:type="auto"/>
            <w:gridSpan w:val="3"/>
            <w:shd w:val="clear" w:color="auto" w:fill="auto"/>
            <w:vAlign w:val="bottom"/>
          </w:tcPr>
          <w:p w14:paraId="67537B6F" w14:textId="77777777" w:rsidR="001B77DD" w:rsidRDefault="001B77DD">
            <w:pPr>
              <w:rPr>
                <w:rFonts w:ascii="宋体"/>
                <w:vanish/>
              </w:rPr>
            </w:pPr>
          </w:p>
        </w:tc>
        <w:tc>
          <w:tcPr>
            <w:tcW w:w="0" w:type="auto"/>
            <w:gridSpan w:val="3"/>
            <w:shd w:val="clear" w:color="auto" w:fill="auto"/>
            <w:vAlign w:val="bottom"/>
          </w:tcPr>
          <w:p w14:paraId="67537B70" w14:textId="77777777" w:rsidR="001B77DD" w:rsidRDefault="001B77DD">
            <w:pPr>
              <w:rPr>
                <w:rFonts w:ascii="宋体"/>
                <w:vanish/>
              </w:rPr>
            </w:pPr>
          </w:p>
        </w:tc>
        <w:tc>
          <w:tcPr>
            <w:tcW w:w="0" w:type="auto"/>
            <w:gridSpan w:val="3"/>
            <w:shd w:val="clear" w:color="auto" w:fill="auto"/>
            <w:vAlign w:val="bottom"/>
          </w:tcPr>
          <w:p w14:paraId="67537B71" w14:textId="77777777" w:rsidR="001B77DD" w:rsidRDefault="001B77DD">
            <w:pPr>
              <w:rPr>
                <w:rFonts w:ascii="宋体"/>
                <w:vanish/>
              </w:rPr>
            </w:pPr>
          </w:p>
        </w:tc>
        <w:tc>
          <w:tcPr>
            <w:tcW w:w="0" w:type="auto"/>
            <w:gridSpan w:val="3"/>
            <w:shd w:val="clear" w:color="auto" w:fill="auto"/>
            <w:vAlign w:val="bottom"/>
          </w:tcPr>
          <w:p w14:paraId="67537B72" w14:textId="77777777" w:rsidR="001B77DD" w:rsidRDefault="001B77DD">
            <w:pPr>
              <w:rPr>
                <w:rFonts w:ascii="宋体"/>
                <w:vanish/>
              </w:rPr>
            </w:pPr>
          </w:p>
        </w:tc>
        <w:tc>
          <w:tcPr>
            <w:tcW w:w="0" w:type="auto"/>
            <w:gridSpan w:val="3"/>
            <w:shd w:val="clear" w:color="auto" w:fill="auto"/>
            <w:vAlign w:val="bottom"/>
          </w:tcPr>
          <w:p w14:paraId="67537B73" w14:textId="77777777" w:rsidR="001B77DD" w:rsidRDefault="001B77DD">
            <w:pPr>
              <w:rPr>
                <w:rFonts w:ascii="宋体"/>
                <w:vanish/>
              </w:rPr>
            </w:pPr>
          </w:p>
        </w:tc>
        <w:tc>
          <w:tcPr>
            <w:tcW w:w="0" w:type="auto"/>
            <w:gridSpan w:val="3"/>
            <w:shd w:val="clear" w:color="auto" w:fill="auto"/>
            <w:vAlign w:val="bottom"/>
          </w:tcPr>
          <w:p w14:paraId="67537B74" w14:textId="77777777" w:rsidR="001B77DD" w:rsidRDefault="001B77DD">
            <w:pPr>
              <w:rPr>
                <w:rFonts w:ascii="宋体"/>
                <w:vanish/>
              </w:rPr>
            </w:pPr>
          </w:p>
        </w:tc>
        <w:tc>
          <w:tcPr>
            <w:tcW w:w="0" w:type="auto"/>
            <w:gridSpan w:val="3"/>
            <w:shd w:val="clear" w:color="auto" w:fill="auto"/>
            <w:vAlign w:val="bottom"/>
          </w:tcPr>
          <w:p w14:paraId="67537B75" w14:textId="77777777" w:rsidR="001B77DD" w:rsidRDefault="001B77DD">
            <w:pPr>
              <w:rPr>
                <w:rFonts w:ascii="宋体"/>
                <w:vanish/>
              </w:rPr>
            </w:pPr>
          </w:p>
        </w:tc>
        <w:tc>
          <w:tcPr>
            <w:tcW w:w="0" w:type="auto"/>
            <w:gridSpan w:val="3"/>
            <w:shd w:val="clear" w:color="auto" w:fill="auto"/>
            <w:vAlign w:val="bottom"/>
          </w:tcPr>
          <w:p w14:paraId="67537B76" w14:textId="77777777" w:rsidR="001B77DD" w:rsidRDefault="001B77DD">
            <w:pPr>
              <w:rPr>
                <w:rFonts w:ascii="宋体"/>
                <w:vanish/>
              </w:rPr>
            </w:pPr>
          </w:p>
        </w:tc>
        <w:tc>
          <w:tcPr>
            <w:tcW w:w="0" w:type="auto"/>
            <w:gridSpan w:val="3"/>
            <w:shd w:val="clear" w:color="auto" w:fill="auto"/>
            <w:vAlign w:val="bottom"/>
          </w:tcPr>
          <w:p w14:paraId="67537B77" w14:textId="77777777" w:rsidR="001B77DD" w:rsidRDefault="001B77DD">
            <w:pPr>
              <w:rPr>
                <w:rFonts w:ascii="宋体"/>
                <w:vanish/>
              </w:rPr>
            </w:pPr>
          </w:p>
        </w:tc>
        <w:tc>
          <w:tcPr>
            <w:tcW w:w="0" w:type="auto"/>
            <w:gridSpan w:val="3"/>
            <w:shd w:val="clear" w:color="auto" w:fill="auto"/>
            <w:vAlign w:val="bottom"/>
          </w:tcPr>
          <w:p w14:paraId="67537B78" w14:textId="77777777" w:rsidR="001B77DD" w:rsidRDefault="001B77DD">
            <w:pPr>
              <w:rPr>
                <w:rFonts w:ascii="宋体"/>
                <w:vanish/>
              </w:rPr>
            </w:pPr>
          </w:p>
        </w:tc>
        <w:tc>
          <w:tcPr>
            <w:tcW w:w="0" w:type="auto"/>
            <w:gridSpan w:val="3"/>
            <w:shd w:val="clear" w:color="auto" w:fill="auto"/>
            <w:vAlign w:val="bottom"/>
          </w:tcPr>
          <w:p w14:paraId="67537B79" w14:textId="77777777" w:rsidR="001B77DD" w:rsidRDefault="001B77DD">
            <w:pPr>
              <w:rPr>
                <w:rFonts w:ascii="宋体"/>
                <w:vanish/>
              </w:rPr>
            </w:pPr>
          </w:p>
        </w:tc>
        <w:tc>
          <w:tcPr>
            <w:tcW w:w="0" w:type="auto"/>
            <w:gridSpan w:val="3"/>
            <w:shd w:val="clear" w:color="auto" w:fill="auto"/>
            <w:vAlign w:val="bottom"/>
          </w:tcPr>
          <w:p w14:paraId="67537B7A" w14:textId="77777777" w:rsidR="001B77DD" w:rsidRDefault="001B77DD">
            <w:pPr>
              <w:rPr>
                <w:rFonts w:ascii="宋体"/>
                <w:vanish/>
              </w:rPr>
            </w:pPr>
          </w:p>
        </w:tc>
      </w:tr>
      <w:tr w:rsidR="001B77DD" w14:paraId="67537B95" w14:textId="77777777">
        <w:tc>
          <w:tcPr>
            <w:tcW w:w="0" w:type="auto"/>
            <w:gridSpan w:val="3"/>
            <w:shd w:val="clear" w:color="auto" w:fill="auto"/>
            <w:tcMar>
              <w:top w:w="40" w:type="dxa"/>
              <w:left w:w="20" w:type="dxa"/>
              <w:bottom w:w="40" w:type="dxa"/>
              <w:right w:w="20" w:type="dxa"/>
            </w:tcMar>
            <w:vAlign w:val="bottom"/>
          </w:tcPr>
          <w:p w14:paraId="67537B7C" w14:textId="77777777" w:rsidR="001B77DD" w:rsidRDefault="00BF0A28">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67537B7D"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B7E"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B7F" w14:textId="77777777" w:rsidR="001B77DD" w:rsidRDefault="00BF0A28">
            <w:pPr>
              <w:jc w:val="right"/>
              <w:textAlignment w:val="bottom"/>
            </w:pPr>
            <w:r>
              <w:rPr>
                <w:rFonts w:ascii="Arial" w:eastAsia="宋体" w:hAnsi="Arial" w:cs="Arial"/>
                <w:b/>
                <w:bCs/>
                <w:color w:val="0068B5"/>
                <w:sz w:val="18"/>
                <w:szCs w:val="18"/>
              </w:rPr>
              <w:t>392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B8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81"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B82"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B83" w14:textId="77777777" w:rsidR="001B77DD" w:rsidRDefault="00BF0A2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B8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85"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B86"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B87" w14:textId="77777777" w:rsidR="001B77DD" w:rsidRDefault="00BF0A28">
            <w:pPr>
              <w:jc w:val="right"/>
              <w:textAlignment w:val="bottom"/>
            </w:pPr>
            <w:r>
              <w:rPr>
                <w:rFonts w:ascii="Arial" w:eastAsia="宋体" w:hAnsi="Arial" w:cs="Arial"/>
                <w:b/>
                <w:bCs/>
                <w:color w:val="0068B5"/>
                <w:sz w:val="18"/>
                <w:szCs w:val="18"/>
              </w:rPr>
              <w:t>392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B8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89"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B8A"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B8B" w14:textId="77777777" w:rsidR="001B77DD" w:rsidRDefault="00BF0A28">
            <w:pPr>
              <w:jc w:val="right"/>
              <w:textAlignment w:val="bottom"/>
            </w:pPr>
            <w:r>
              <w:rPr>
                <w:rFonts w:ascii="Arial" w:eastAsia="宋体" w:hAnsi="Arial" w:cs="Arial"/>
                <w:b/>
                <w:bCs/>
                <w:color w:val="0068B5"/>
                <w:sz w:val="18"/>
                <w:szCs w:val="18"/>
              </w:rPr>
              <w:t>(332)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B8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8D"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B8E"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B8F" w14:textId="77777777" w:rsidR="001B77DD" w:rsidRDefault="00BF0A28">
            <w:pPr>
              <w:jc w:val="right"/>
              <w:textAlignment w:val="bottom"/>
            </w:pPr>
            <w:r>
              <w:rPr>
                <w:rFonts w:ascii="Arial" w:eastAsia="宋体" w:hAnsi="Arial" w:cs="Arial"/>
                <w:b/>
                <w:bCs/>
                <w:color w:val="0068B5"/>
                <w:sz w:val="18"/>
                <w:szCs w:val="18"/>
              </w:rPr>
              <w:t>(60)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B9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B91"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B92"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B93" w14:textId="77777777" w:rsidR="001B77DD" w:rsidRDefault="00BF0A2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B94" w14:textId="77777777" w:rsidR="001B77DD" w:rsidRDefault="001B77DD">
            <w:pPr>
              <w:jc w:val="right"/>
              <w:rPr>
                <w:rFonts w:ascii="宋体"/>
              </w:rPr>
            </w:pPr>
          </w:p>
        </w:tc>
      </w:tr>
    </w:tbl>
    <w:p w14:paraId="67537B96" w14:textId="77777777" w:rsidR="001B77DD" w:rsidRDefault="001B77DD">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BA3" w14:textId="77777777">
        <w:tc>
          <w:tcPr>
            <w:tcW w:w="50" w:type="pct"/>
            <w:shd w:val="clear" w:color="auto" w:fill="auto"/>
            <w:vAlign w:val="bottom"/>
          </w:tcPr>
          <w:p w14:paraId="67537B97" w14:textId="77777777" w:rsidR="001B77DD" w:rsidRDefault="001B77DD">
            <w:pPr>
              <w:rPr>
                <w:rFonts w:ascii="宋体"/>
              </w:rPr>
            </w:pPr>
          </w:p>
        </w:tc>
        <w:tc>
          <w:tcPr>
            <w:tcW w:w="276" w:type="pct"/>
            <w:shd w:val="clear" w:color="auto" w:fill="auto"/>
            <w:vAlign w:val="bottom"/>
          </w:tcPr>
          <w:p w14:paraId="67537B98" w14:textId="77777777" w:rsidR="001B77DD" w:rsidRDefault="001B77DD">
            <w:pPr>
              <w:rPr>
                <w:rFonts w:ascii="宋体"/>
              </w:rPr>
            </w:pPr>
          </w:p>
        </w:tc>
        <w:tc>
          <w:tcPr>
            <w:tcW w:w="5" w:type="pct"/>
            <w:shd w:val="clear" w:color="auto" w:fill="auto"/>
            <w:vAlign w:val="bottom"/>
          </w:tcPr>
          <w:p w14:paraId="67537B99" w14:textId="77777777" w:rsidR="001B77DD" w:rsidRDefault="001B77DD">
            <w:pPr>
              <w:rPr>
                <w:rFonts w:ascii="宋体"/>
              </w:rPr>
            </w:pPr>
          </w:p>
        </w:tc>
        <w:tc>
          <w:tcPr>
            <w:tcW w:w="50" w:type="pct"/>
            <w:shd w:val="clear" w:color="auto" w:fill="auto"/>
            <w:vAlign w:val="bottom"/>
          </w:tcPr>
          <w:p w14:paraId="67537B9A" w14:textId="77777777" w:rsidR="001B77DD" w:rsidRDefault="001B77DD">
            <w:pPr>
              <w:rPr>
                <w:rFonts w:ascii="宋体"/>
              </w:rPr>
            </w:pPr>
          </w:p>
        </w:tc>
        <w:tc>
          <w:tcPr>
            <w:tcW w:w="940" w:type="pct"/>
            <w:shd w:val="clear" w:color="auto" w:fill="auto"/>
            <w:vAlign w:val="bottom"/>
          </w:tcPr>
          <w:p w14:paraId="67537B9B" w14:textId="77777777" w:rsidR="001B77DD" w:rsidRDefault="001B77DD">
            <w:pPr>
              <w:rPr>
                <w:rFonts w:ascii="宋体"/>
              </w:rPr>
            </w:pPr>
          </w:p>
        </w:tc>
        <w:tc>
          <w:tcPr>
            <w:tcW w:w="5" w:type="pct"/>
            <w:shd w:val="clear" w:color="auto" w:fill="auto"/>
            <w:vAlign w:val="bottom"/>
          </w:tcPr>
          <w:p w14:paraId="67537B9C" w14:textId="77777777" w:rsidR="001B77DD" w:rsidRDefault="001B77DD">
            <w:pPr>
              <w:rPr>
                <w:rFonts w:ascii="宋体"/>
              </w:rPr>
            </w:pPr>
          </w:p>
        </w:tc>
        <w:tc>
          <w:tcPr>
            <w:tcW w:w="50" w:type="pct"/>
            <w:shd w:val="clear" w:color="auto" w:fill="auto"/>
            <w:vAlign w:val="bottom"/>
          </w:tcPr>
          <w:p w14:paraId="67537B9D" w14:textId="77777777" w:rsidR="001B77DD" w:rsidRDefault="001B77DD">
            <w:pPr>
              <w:rPr>
                <w:rFonts w:ascii="宋体"/>
              </w:rPr>
            </w:pPr>
          </w:p>
        </w:tc>
        <w:tc>
          <w:tcPr>
            <w:tcW w:w="1837" w:type="pct"/>
            <w:shd w:val="clear" w:color="auto" w:fill="auto"/>
            <w:vAlign w:val="bottom"/>
          </w:tcPr>
          <w:p w14:paraId="67537B9E" w14:textId="77777777" w:rsidR="001B77DD" w:rsidRDefault="001B77DD">
            <w:pPr>
              <w:rPr>
                <w:rFonts w:ascii="宋体"/>
              </w:rPr>
            </w:pPr>
          </w:p>
        </w:tc>
        <w:tc>
          <w:tcPr>
            <w:tcW w:w="5" w:type="pct"/>
            <w:shd w:val="clear" w:color="auto" w:fill="auto"/>
            <w:vAlign w:val="bottom"/>
          </w:tcPr>
          <w:p w14:paraId="67537B9F" w14:textId="77777777" w:rsidR="001B77DD" w:rsidRDefault="001B77DD">
            <w:pPr>
              <w:rPr>
                <w:rFonts w:ascii="宋体"/>
              </w:rPr>
            </w:pPr>
          </w:p>
        </w:tc>
        <w:tc>
          <w:tcPr>
            <w:tcW w:w="50" w:type="pct"/>
            <w:shd w:val="clear" w:color="auto" w:fill="auto"/>
            <w:vAlign w:val="bottom"/>
          </w:tcPr>
          <w:p w14:paraId="67537BA0" w14:textId="77777777" w:rsidR="001B77DD" w:rsidRDefault="001B77DD">
            <w:pPr>
              <w:rPr>
                <w:rFonts w:ascii="宋体"/>
              </w:rPr>
            </w:pPr>
          </w:p>
        </w:tc>
        <w:tc>
          <w:tcPr>
            <w:tcW w:w="1724" w:type="pct"/>
            <w:shd w:val="clear" w:color="auto" w:fill="auto"/>
            <w:vAlign w:val="bottom"/>
          </w:tcPr>
          <w:p w14:paraId="67537BA1" w14:textId="77777777" w:rsidR="001B77DD" w:rsidRDefault="001B77DD">
            <w:pPr>
              <w:rPr>
                <w:rFonts w:ascii="宋体"/>
              </w:rPr>
            </w:pPr>
          </w:p>
        </w:tc>
        <w:tc>
          <w:tcPr>
            <w:tcW w:w="5" w:type="pct"/>
            <w:shd w:val="clear" w:color="auto" w:fill="auto"/>
            <w:vAlign w:val="bottom"/>
          </w:tcPr>
          <w:p w14:paraId="67537BA2" w14:textId="77777777" w:rsidR="001B77DD" w:rsidRDefault="001B77DD">
            <w:pPr>
              <w:rPr>
                <w:rFonts w:ascii="宋体"/>
              </w:rPr>
            </w:pPr>
          </w:p>
        </w:tc>
      </w:tr>
      <w:tr w:rsidR="001B77DD" w14:paraId="67537BA8"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BA4"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69" wp14:editId="67538F6A">
                  <wp:extent cx="304800" cy="304800"/>
                  <wp:effectExtent l="0" t="0" r="0" b="0"/>
                  <wp:docPr id="168" name="图片 32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32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BA5"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BA6"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BA7" w14:textId="77777777" w:rsidR="001B77DD" w:rsidRDefault="00BF0A28">
            <w:pPr>
              <w:jc w:val="right"/>
              <w:textAlignment w:val="center"/>
            </w:pPr>
            <w:r>
              <w:rPr>
                <w:rFonts w:ascii="Arial" w:eastAsia="宋体" w:hAnsi="Arial" w:cs="Arial"/>
                <w:color w:val="262626"/>
                <w:sz w:val="16"/>
                <w:szCs w:val="16"/>
              </w:rPr>
              <w:t>99</w:t>
            </w:r>
          </w:p>
        </w:tc>
      </w:tr>
    </w:tbl>
    <w:p w14:paraId="67537BA9" w14:textId="77777777" w:rsidR="001B77DD" w:rsidRDefault="00BF0A28">
      <w:r>
        <w:pict w14:anchorId="67538F6B">
          <v:rect id="_x0000_i1125" style="width:415.3pt;height:1.5pt" o:hralign="center" o:hrstd="t" o:hr="t" fillcolor="#a0a0a0" stroked="f"/>
        </w:pict>
      </w:r>
    </w:p>
    <w:p w14:paraId="67537BAA" w14:textId="77777777" w:rsidR="001B77DD" w:rsidRDefault="00BF0A28">
      <w:pPr>
        <w:jc w:val="right"/>
      </w:pPr>
      <w:hyperlink r:id="rId187" w:anchor="i6c9ced68f6b24d58a3dcf326e8c3c699_16" w:history="1">
        <w:r>
          <w:rPr>
            <w:rStyle w:val="a5"/>
            <w:rFonts w:ascii="Arial" w:eastAsia="宋体" w:hAnsi="Arial" w:cs="Arial"/>
            <w:b/>
            <w:bCs/>
            <w:sz w:val="16"/>
            <w:szCs w:val="16"/>
          </w:rPr>
          <w:t>Table of Contents</w:t>
        </w:r>
      </w:hyperlink>
    </w:p>
    <w:p w14:paraId="67537BAB" w14:textId="77777777" w:rsidR="001B77DD" w:rsidRDefault="001B77DD">
      <w:pPr>
        <w:jc w:val="right"/>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1B77DD" w14:paraId="67537BD3" w14:textId="77777777">
        <w:tc>
          <w:tcPr>
            <w:tcW w:w="50" w:type="pct"/>
            <w:shd w:val="clear" w:color="auto" w:fill="auto"/>
            <w:vAlign w:val="bottom"/>
          </w:tcPr>
          <w:p w14:paraId="67537BAC" w14:textId="77777777" w:rsidR="001B77DD" w:rsidRDefault="001B77DD">
            <w:pPr>
              <w:rPr>
                <w:rFonts w:ascii="宋体"/>
              </w:rPr>
            </w:pPr>
          </w:p>
        </w:tc>
        <w:tc>
          <w:tcPr>
            <w:tcW w:w="1451" w:type="pct"/>
            <w:shd w:val="clear" w:color="auto" w:fill="auto"/>
            <w:vAlign w:val="bottom"/>
          </w:tcPr>
          <w:p w14:paraId="67537BAD" w14:textId="77777777" w:rsidR="001B77DD" w:rsidRDefault="001B77DD">
            <w:pPr>
              <w:rPr>
                <w:rFonts w:ascii="宋体"/>
              </w:rPr>
            </w:pPr>
          </w:p>
        </w:tc>
        <w:tc>
          <w:tcPr>
            <w:tcW w:w="5" w:type="pct"/>
            <w:shd w:val="clear" w:color="auto" w:fill="auto"/>
            <w:vAlign w:val="bottom"/>
          </w:tcPr>
          <w:p w14:paraId="67537BAE" w14:textId="77777777" w:rsidR="001B77DD" w:rsidRDefault="001B77DD">
            <w:pPr>
              <w:rPr>
                <w:rFonts w:ascii="宋体"/>
              </w:rPr>
            </w:pPr>
          </w:p>
        </w:tc>
        <w:tc>
          <w:tcPr>
            <w:tcW w:w="5" w:type="pct"/>
            <w:shd w:val="clear" w:color="auto" w:fill="auto"/>
            <w:vAlign w:val="bottom"/>
          </w:tcPr>
          <w:p w14:paraId="67537BAF" w14:textId="77777777" w:rsidR="001B77DD" w:rsidRDefault="001B77DD">
            <w:pPr>
              <w:rPr>
                <w:rFonts w:ascii="宋体"/>
              </w:rPr>
            </w:pPr>
          </w:p>
        </w:tc>
        <w:tc>
          <w:tcPr>
            <w:tcW w:w="24" w:type="pct"/>
            <w:shd w:val="clear" w:color="auto" w:fill="auto"/>
            <w:vAlign w:val="bottom"/>
          </w:tcPr>
          <w:p w14:paraId="67537BB0" w14:textId="77777777" w:rsidR="001B77DD" w:rsidRDefault="001B77DD">
            <w:pPr>
              <w:rPr>
                <w:rFonts w:ascii="宋体"/>
              </w:rPr>
            </w:pPr>
          </w:p>
        </w:tc>
        <w:tc>
          <w:tcPr>
            <w:tcW w:w="5" w:type="pct"/>
            <w:shd w:val="clear" w:color="auto" w:fill="auto"/>
            <w:vAlign w:val="bottom"/>
          </w:tcPr>
          <w:p w14:paraId="67537BB1" w14:textId="77777777" w:rsidR="001B77DD" w:rsidRDefault="001B77DD">
            <w:pPr>
              <w:rPr>
                <w:rFonts w:ascii="宋体"/>
              </w:rPr>
            </w:pPr>
          </w:p>
        </w:tc>
        <w:tc>
          <w:tcPr>
            <w:tcW w:w="50" w:type="pct"/>
            <w:shd w:val="clear" w:color="auto" w:fill="auto"/>
            <w:vAlign w:val="bottom"/>
          </w:tcPr>
          <w:p w14:paraId="67537BB2" w14:textId="77777777" w:rsidR="001B77DD" w:rsidRDefault="001B77DD">
            <w:pPr>
              <w:rPr>
                <w:rFonts w:ascii="宋体"/>
              </w:rPr>
            </w:pPr>
          </w:p>
        </w:tc>
        <w:tc>
          <w:tcPr>
            <w:tcW w:w="492" w:type="pct"/>
            <w:shd w:val="clear" w:color="auto" w:fill="auto"/>
            <w:vAlign w:val="bottom"/>
          </w:tcPr>
          <w:p w14:paraId="67537BB3" w14:textId="77777777" w:rsidR="001B77DD" w:rsidRDefault="001B77DD">
            <w:pPr>
              <w:rPr>
                <w:rFonts w:ascii="宋体"/>
              </w:rPr>
            </w:pPr>
          </w:p>
        </w:tc>
        <w:tc>
          <w:tcPr>
            <w:tcW w:w="5" w:type="pct"/>
            <w:shd w:val="clear" w:color="auto" w:fill="auto"/>
            <w:vAlign w:val="bottom"/>
          </w:tcPr>
          <w:p w14:paraId="67537BB4" w14:textId="77777777" w:rsidR="001B77DD" w:rsidRDefault="001B77DD">
            <w:pPr>
              <w:rPr>
                <w:rFonts w:ascii="宋体"/>
              </w:rPr>
            </w:pPr>
          </w:p>
        </w:tc>
        <w:tc>
          <w:tcPr>
            <w:tcW w:w="5" w:type="pct"/>
            <w:shd w:val="clear" w:color="auto" w:fill="auto"/>
            <w:vAlign w:val="bottom"/>
          </w:tcPr>
          <w:p w14:paraId="67537BB5" w14:textId="77777777" w:rsidR="001B77DD" w:rsidRDefault="001B77DD">
            <w:pPr>
              <w:rPr>
                <w:rFonts w:ascii="宋体"/>
              </w:rPr>
            </w:pPr>
          </w:p>
        </w:tc>
        <w:tc>
          <w:tcPr>
            <w:tcW w:w="24" w:type="pct"/>
            <w:shd w:val="clear" w:color="auto" w:fill="auto"/>
            <w:vAlign w:val="bottom"/>
          </w:tcPr>
          <w:p w14:paraId="67537BB6" w14:textId="77777777" w:rsidR="001B77DD" w:rsidRDefault="001B77DD">
            <w:pPr>
              <w:rPr>
                <w:rFonts w:ascii="宋体"/>
              </w:rPr>
            </w:pPr>
          </w:p>
        </w:tc>
        <w:tc>
          <w:tcPr>
            <w:tcW w:w="5" w:type="pct"/>
            <w:shd w:val="clear" w:color="auto" w:fill="auto"/>
            <w:vAlign w:val="bottom"/>
          </w:tcPr>
          <w:p w14:paraId="67537BB7" w14:textId="77777777" w:rsidR="001B77DD" w:rsidRDefault="001B77DD">
            <w:pPr>
              <w:rPr>
                <w:rFonts w:ascii="宋体"/>
              </w:rPr>
            </w:pPr>
          </w:p>
        </w:tc>
        <w:tc>
          <w:tcPr>
            <w:tcW w:w="50" w:type="pct"/>
            <w:shd w:val="clear" w:color="auto" w:fill="auto"/>
            <w:vAlign w:val="bottom"/>
          </w:tcPr>
          <w:p w14:paraId="67537BB8" w14:textId="77777777" w:rsidR="001B77DD" w:rsidRDefault="001B77DD">
            <w:pPr>
              <w:rPr>
                <w:rFonts w:ascii="宋体"/>
              </w:rPr>
            </w:pPr>
          </w:p>
        </w:tc>
        <w:tc>
          <w:tcPr>
            <w:tcW w:w="492" w:type="pct"/>
            <w:shd w:val="clear" w:color="auto" w:fill="auto"/>
            <w:vAlign w:val="bottom"/>
          </w:tcPr>
          <w:p w14:paraId="67537BB9" w14:textId="77777777" w:rsidR="001B77DD" w:rsidRDefault="001B77DD">
            <w:pPr>
              <w:rPr>
                <w:rFonts w:ascii="宋体"/>
              </w:rPr>
            </w:pPr>
          </w:p>
        </w:tc>
        <w:tc>
          <w:tcPr>
            <w:tcW w:w="5" w:type="pct"/>
            <w:shd w:val="clear" w:color="auto" w:fill="auto"/>
            <w:vAlign w:val="bottom"/>
          </w:tcPr>
          <w:p w14:paraId="67537BBA" w14:textId="77777777" w:rsidR="001B77DD" w:rsidRDefault="001B77DD">
            <w:pPr>
              <w:rPr>
                <w:rFonts w:ascii="宋体"/>
              </w:rPr>
            </w:pPr>
          </w:p>
        </w:tc>
        <w:tc>
          <w:tcPr>
            <w:tcW w:w="5" w:type="pct"/>
            <w:shd w:val="clear" w:color="auto" w:fill="auto"/>
            <w:vAlign w:val="bottom"/>
          </w:tcPr>
          <w:p w14:paraId="67537BBB" w14:textId="77777777" w:rsidR="001B77DD" w:rsidRDefault="001B77DD">
            <w:pPr>
              <w:rPr>
                <w:rFonts w:ascii="宋体"/>
              </w:rPr>
            </w:pPr>
          </w:p>
        </w:tc>
        <w:tc>
          <w:tcPr>
            <w:tcW w:w="24" w:type="pct"/>
            <w:shd w:val="clear" w:color="auto" w:fill="auto"/>
            <w:vAlign w:val="bottom"/>
          </w:tcPr>
          <w:p w14:paraId="67537BBC" w14:textId="77777777" w:rsidR="001B77DD" w:rsidRDefault="001B77DD">
            <w:pPr>
              <w:rPr>
                <w:rFonts w:ascii="宋体"/>
              </w:rPr>
            </w:pPr>
          </w:p>
        </w:tc>
        <w:tc>
          <w:tcPr>
            <w:tcW w:w="5" w:type="pct"/>
            <w:shd w:val="clear" w:color="auto" w:fill="auto"/>
            <w:vAlign w:val="bottom"/>
          </w:tcPr>
          <w:p w14:paraId="67537BBD" w14:textId="77777777" w:rsidR="001B77DD" w:rsidRDefault="001B77DD">
            <w:pPr>
              <w:rPr>
                <w:rFonts w:ascii="宋体"/>
              </w:rPr>
            </w:pPr>
          </w:p>
        </w:tc>
        <w:tc>
          <w:tcPr>
            <w:tcW w:w="50" w:type="pct"/>
            <w:shd w:val="clear" w:color="auto" w:fill="auto"/>
            <w:vAlign w:val="bottom"/>
          </w:tcPr>
          <w:p w14:paraId="67537BBE" w14:textId="77777777" w:rsidR="001B77DD" w:rsidRDefault="001B77DD">
            <w:pPr>
              <w:rPr>
                <w:rFonts w:ascii="宋体"/>
              </w:rPr>
            </w:pPr>
          </w:p>
        </w:tc>
        <w:tc>
          <w:tcPr>
            <w:tcW w:w="492" w:type="pct"/>
            <w:shd w:val="clear" w:color="auto" w:fill="auto"/>
            <w:vAlign w:val="bottom"/>
          </w:tcPr>
          <w:p w14:paraId="67537BBF" w14:textId="77777777" w:rsidR="001B77DD" w:rsidRDefault="001B77DD">
            <w:pPr>
              <w:rPr>
                <w:rFonts w:ascii="宋体"/>
              </w:rPr>
            </w:pPr>
          </w:p>
        </w:tc>
        <w:tc>
          <w:tcPr>
            <w:tcW w:w="5" w:type="pct"/>
            <w:shd w:val="clear" w:color="auto" w:fill="auto"/>
            <w:vAlign w:val="bottom"/>
          </w:tcPr>
          <w:p w14:paraId="67537BC0" w14:textId="77777777" w:rsidR="001B77DD" w:rsidRDefault="001B77DD">
            <w:pPr>
              <w:rPr>
                <w:rFonts w:ascii="宋体"/>
              </w:rPr>
            </w:pPr>
          </w:p>
        </w:tc>
        <w:tc>
          <w:tcPr>
            <w:tcW w:w="5" w:type="pct"/>
            <w:shd w:val="clear" w:color="auto" w:fill="auto"/>
            <w:vAlign w:val="bottom"/>
          </w:tcPr>
          <w:p w14:paraId="67537BC1" w14:textId="77777777" w:rsidR="001B77DD" w:rsidRDefault="001B77DD">
            <w:pPr>
              <w:rPr>
                <w:rFonts w:ascii="宋体"/>
              </w:rPr>
            </w:pPr>
          </w:p>
        </w:tc>
        <w:tc>
          <w:tcPr>
            <w:tcW w:w="24" w:type="pct"/>
            <w:shd w:val="clear" w:color="auto" w:fill="auto"/>
            <w:vAlign w:val="bottom"/>
          </w:tcPr>
          <w:p w14:paraId="67537BC2" w14:textId="77777777" w:rsidR="001B77DD" w:rsidRDefault="001B77DD">
            <w:pPr>
              <w:rPr>
                <w:rFonts w:ascii="宋体"/>
              </w:rPr>
            </w:pPr>
          </w:p>
        </w:tc>
        <w:tc>
          <w:tcPr>
            <w:tcW w:w="5" w:type="pct"/>
            <w:shd w:val="clear" w:color="auto" w:fill="auto"/>
            <w:vAlign w:val="bottom"/>
          </w:tcPr>
          <w:p w14:paraId="67537BC3" w14:textId="77777777" w:rsidR="001B77DD" w:rsidRDefault="001B77DD">
            <w:pPr>
              <w:rPr>
                <w:rFonts w:ascii="宋体"/>
              </w:rPr>
            </w:pPr>
          </w:p>
        </w:tc>
        <w:tc>
          <w:tcPr>
            <w:tcW w:w="50" w:type="pct"/>
            <w:shd w:val="clear" w:color="auto" w:fill="auto"/>
            <w:vAlign w:val="bottom"/>
          </w:tcPr>
          <w:p w14:paraId="67537BC4" w14:textId="77777777" w:rsidR="001B77DD" w:rsidRDefault="001B77DD">
            <w:pPr>
              <w:rPr>
                <w:rFonts w:ascii="宋体"/>
              </w:rPr>
            </w:pPr>
          </w:p>
        </w:tc>
        <w:tc>
          <w:tcPr>
            <w:tcW w:w="492" w:type="pct"/>
            <w:shd w:val="clear" w:color="auto" w:fill="auto"/>
            <w:vAlign w:val="bottom"/>
          </w:tcPr>
          <w:p w14:paraId="67537BC5" w14:textId="77777777" w:rsidR="001B77DD" w:rsidRDefault="001B77DD">
            <w:pPr>
              <w:rPr>
                <w:rFonts w:ascii="宋体"/>
              </w:rPr>
            </w:pPr>
          </w:p>
        </w:tc>
        <w:tc>
          <w:tcPr>
            <w:tcW w:w="5" w:type="pct"/>
            <w:shd w:val="clear" w:color="auto" w:fill="auto"/>
            <w:vAlign w:val="bottom"/>
          </w:tcPr>
          <w:p w14:paraId="67537BC6" w14:textId="77777777" w:rsidR="001B77DD" w:rsidRDefault="001B77DD">
            <w:pPr>
              <w:rPr>
                <w:rFonts w:ascii="宋体"/>
              </w:rPr>
            </w:pPr>
          </w:p>
        </w:tc>
        <w:tc>
          <w:tcPr>
            <w:tcW w:w="5" w:type="pct"/>
            <w:shd w:val="clear" w:color="auto" w:fill="auto"/>
            <w:vAlign w:val="bottom"/>
          </w:tcPr>
          <w:p w14:paraId="67537BC7" w14:textId="77777777" w:rsidR="001B77DD" w:rsidRDefault="001B77DD">
            <w:pPr>
              <w:rPr>
                <w:rFonts w:ascii="宋体"/>
              </w:rPr>
            </w:pPr>
          </w:p>
        </w:tc>
        <w:tc>
          <w:tcPr>
            <w:tcW w:w="24" w:type="pct"/>
            <w:shd w:val="clear" w:color="auto" w:fill="auto"/>
            <w:vAlign w:val="bottom"/>
          </w:tcPr>
          <w:p w14:paraId="67537BC8" w14:textId="77777777" w:rsidR="001B77DD" w:rsidRDefault="001B77DD">
            <w:pPr>
              <w:rPr>
                <w:rFonts w:ascii="宋体"/>
              </w:rPr>
            </w:pPr>
          </w:p>
        </w:tc>
        <w:tc>
          <w:tcPr>
            <w:tcW w:w="5" w:type="pct"/>
            <w:shd w:val="clear" w:color="auto" w:fill="auto"/>
            <w:vAlign w:val="bottom"/>
          </w:tcPr>
          <w:p w14:paraId="67537BC9" w14:textId="77777777" w:rsidR="001B77DD" w:rsidRDefault="001B77DD">
            <w:pPr>
              <w:rPr>
                <w:rFonts w:ascii="宋体"/>
              </w:rPr>
            </w:pPr>
          </w:p>
        </w:tc>
        <w:tc>
          <w:tcPr>
            <w:tcW w:w="50" w:type="pct"/>
            <w:shd w:val="clear" w:color="auto" w:fill="auto"/>
            <w:vAlign w:val="bottom"/>
          </w:tcPr>
          <w:p w14:paraId="67537BCA" w14:textId="77777777" w:rsidR="001B77DD" w:rsidRDefault="001B77DD">
            <w:pPr>
              <w:rPr>
                <w:rFonts w:ascii="宋体"/>
              </w:rPr>
            </w:pPr>
          </w:p>
        </w:tc>
        <w:tc>
          <w:tcPr>
            <w:tcW w:w="492" w:type="pct"/>
            <w:shd w:val="clear" w:color="auto" w:fill="auto"/>
            <w:vAlign w:val="bottom"/>
          </w:tcPr>
          <w:p w14:paraId="67537BCB" w14:textId="77777777" w:rsidR="001B77DD" w:rsidRDefault="001B77DD">
            <w:pPr>
              <w:rPr>
                <w:rFonts w:ascii="宋体"/>
              </w:rPr>
            </w:pPr>
          </w:p>
        </w:tc>
        <w:tc>
          <w:tcPr>
            <w:tcW w:w="5" w:type="pct"/>
            <w:shd w:val="clear" w:color="auto" w:fill="auto"/>
            <w:vAlign w:val="bottom"/>
          </w:tcPr>
          <w:p w14:paraId="67537BCC" w14:textId="77777777" w:rsidR="001B77DD" w:rsidRDefault="001B77DD">
            <w:pPr>
              <w:rPr>
                <w:rFonts w:ascii="宋体"/>
              </w:rPr>
            </w:pPr>
          </w:p>
        </w:tc>
        <w:tc>
          <w:tcPr>
            <w:tcW w:w="5" w:type="pct"/>
            <w:shd w:val="clear" w:color="auto" w:fill="auto"/>
            <w:vAlign w:val="bottom"/>
          </w:tcPr>
          <w:p w14:paraId="67537BCD" w14:textId="77777777" w:rsidR="001B77DD" w:rsidRDefault="001B77DD">
            <w:pPr>
              <w:rPr>
                <w:rFonts w:ascii="宋体"/>
              </w:rPr>
            </w:pPr>
          </w:p>
        </w:tc>
        <w:tc>
          <w:tcPr>
            <w:tcW w:w="24" w:type="pct"/>
            <w:shd w:val="clear" w:color="auto" w:fill="auto"/>
            <w:vAlign w:val="bottom"/>
          </w:tcPr>
          <w:p w14:paraId="67537BCE" w14:textId="77777777" w:rsidR="001B77DD" w:rsidRDefault="001B77DD">
            <w:pPr>
              <w:rPr>
                <w:rFonts w:ascii="宋体"/>
              </w:rPr>
            </w:pPr>
          </w:p>
        </w:tc>
        <w:tc>
          <w:tcPr>
            <w:tcW w:w="5" w:type="pct"/>
            <w:shd w:val="clear" w:color="auto" w:fill="auto"/>
            <w:vAlign w:val="bottom"/>
          </w:tcPr>
          <w:p w14:paraId="67537BCF" w14:textId="77777777" w:rsidR="001B77DD" w:rsidRDefault="001B77DD">
            <w:pPr>
              <w:rPr>
                <w:rFonts w:ascii="宋体"/>
              </w:rPr>
            </w:pPr>
          </w:p>
        </w:tc>
        <w:tc>
          <w:tcPr>
            <w:tcW w:w="50" w:type="pct"/>
            <w:shd w:val="clear" w:color="auto" w:fill="auto"/>
            <w:vAlign w:val="bottom"/>
          </w:tcPr>
          <w:p w14:paraId="67537BD0" w14:textId="77777777" w:rsidR="001B77DD" w:rsidRDefault="001B77DD">
            <w:pPr>
              <w:rPr>
                <w:rFonts w:ascii="宋体"/>
              </w:rPr>
            </w:pPr>
          </w:p>
        </w:tc>
        <w:tc>
          <w:tcPr>
            <w:tcW w:w="493" w:type="pct"/>
            <w:shd w:val="clear" w:color="auto" w:fill="auto"/>
            <w:vAlign w:val="bottom"/>
          </w:tcPr>
          <w:p w14:paraId="67537BD1" w14:textId="77777777" w:rsidR="001B77DD" w:rsidRDefault="001B77DD">
            <w:pPr>
              <w:rPr>
                <w:rFonts w:ascii="宋体"/>
              </w:rPr>
            </w:pPr>
          </w:p>
        </w:tc>
        <w:tc>
          <w:tcPr>
            <w:tcW w:w="5" w:type="pct"/>
            <w:shd w:val="clear" w:color="auto" w:fill="auto"/>
            <w:vAlign w:val="bottom"/>
          </w:tcPr>
          <w:p w14:paraId="67537BD2" w14:textId="77777777" w:rsidR="001B77DD" w:rsidRDefault="001B77DD">
            <w:pPr>
              <w:rPr>
                <w:rFonts w:ascii="宋体"/>
              </w:rPr>
            </w:pPr>
          </w:p>
        </w:tc>
      </w:tr>
      <w:tr w:rsidR="001B77DD" w14:paraId="67537BD7" w14:textId="77777777">
        <w:tc>
          <w:tcPr>
            <w:tcW w:w="0" w:type="auto"/>
            <w:gridSpan w:val="3"/>
            <w:shd w:val="clear" w:color="auto" w:fill="auto"/>
            <w:tcMar>
              <w:top w:w="0" w:type="dxa"/>
              <w:left w:w="20" w:type="dxa"/>
              <w:bottom w:w="0" w:type="dxa"/>
              <w:right w:w="20" w:type="dxa"/>
            </w:tcMar>
            <w:vAlign w:val="bottom"/>
          </w:tcPr>
          <w:p w14:paraId="67537BD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D5" w14:textId="77777777" w:rsidR="001B77DD" w:rsidRDefault="001B77DD">
            <w:pPr>
              <w:rPr>
                <w:rFonts w:ascii="宋体"/>
              </w:rPr>
            </w:pPr>
          </w:p>
        </w:tc>
        <w:tc>
          <w:tcPr>
            <w:tcW w:w="0" w:type="auto"/>
            <w:gridSpan w:val="33"/>
            <w:shd w:val="clear" w:color="auto" w:fill="auto"/>
            <w:tcMar>
              <w:top w:w="40" w:type="dxa"/>
              <w:left w:w="20" w:type="dxa"/>
              <w:bottom w:w="40" w:type="dxa"/>
              <w:right w:w="20" w:type="dxa"/>
            </w:tcMar>
            <w:vAlign w:val="bottom"/>
          </w:tcPr>
          <w:p w14:paraId="67537BD6" w14:textId="77777777" w:rsidR="001B77DD" w:rsidRDefault="00BF0A28">
            <w:pPr>
              <w:jc w:val="center"/>
              <w:textAlignment w:val="bottom"/>
            </w:pPr>
            <w:r>
              <w:rPr>
                <w:rFonts w:ascii="Arial" w:eastAsia="宋体" w:hAnsi="Arial" w:cs="Arial"/>
                <w:b/>
                <w:bCs/>
                <w:color w:val="262626"/>
                <w:sz w:val="18"/>
                <w:szCs w:val="18"/>
              </w:rPr>
              <w:t>December 26, 2020</w:t>
            </w:r>
          </w:p>
        </w:tc>
      </w:tr>
      <w:tr w:rsidR="001B77DD" w14:paraId="67537BE3" w14:textId="77777777">
        <w:tc>
          <w:tcPr>
            <w:tcW w:w="0" w:type="auto"/>
            <w:gridSpan w:val="3"/>
            <w:shd w:val="clear" w:color="auto" w:fill="auto"/>
            <w:tcMar>
              <w:top w:w="0" w:type="dxa"/>
              <w:left w:w="20" w:type="dxa"/>
              <w:bottom w:w="0" w:type="dxa"/>
              <w:right w:w="20" w:type="dxa"/>
            </w:tcMar>
            <w:vAlign w:val="bottom"/>
          </w:tcPr>
          <w:p w14:paraId="67537BD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D9"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DA"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DB"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DC"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DD"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DE"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DF" w14:textId="77777777" w:rsidR="001B77DD" w:rsidRDefault="001B77DD">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7537BE0" w14:textId="77777777" w:rsidR="001B77DD" w:rsidRDefault="00BF0A28">
            <w:pPr>
              <w:jc w:val="center"/>
              <w:textAlignment w:val="bottom"/>
            </w:pPr>
            <w:r>
              <w:rPr>
                <w:rFonts w:ascii="Arial" w:eastAsia="宋体" w:hAnsi="Arial" w:cs="Arial"/>
                <w:b/>
                <w:bCs/>
                <w:color w:val="262626"/>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E1"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E2" w14:textId="77777777" w:rsidR="001B77DD" w:rsidRDefault="001B77DD">
            <w:pPr>
              <w:rPr>
                <w:rFonts w:ascii="宋体"/>
              </w:rPr>
            </w:pPr>
          </w:p>
        </w:tc>
      </w:tr>
      <w:tr w:rsidR="001B77DD" w14:paraId="67537BF1" w14:textId="77777777">
        <w:tc>
          <w:tcPr>
            <w:tcW w:w="0" w:type="auto"/>
            <w:gridSpan w:val="3"/>
            <w:shd w:val="clear" w:color="auto" w:fill="auto"/>
            <w:tcMar>
              <w:top w:w="40" w:type="dxa"/>
              <w:left w:w="20" w:type="dxa"/>
              <w:bottom w:w="40" w:type="dxa"/>
              <w:right w:w="20" w:type="dxa"/>
            </w:tcMar>
            <w:vAlign w:val="bottom"/>
          </w:tcPr>
          <w:p w14:paraId="67537BE4" w14:textId="77777777" w:rsidR="001B77DD" w:rsidRDefault="00BF0A28">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7537BE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BE6" w14:textId="77777777" w:rsidR="001B77DD" w:rsidRDefault="00BF0A28">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67537BE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BE8" w14:textId="77777777" w:rsidR="001B77DD" w:rsidRDefault="00BF0A28">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67537BE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BEA" w14:textId="77777777" w:rsidR="001B77DD" w:rsidRDefault="00BF0A28">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67537BEB"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BEC" w14:textId="77777777" w:rsidR="001B77DD" w:rsidRDefault="00BF0A28">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BED"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BEE" w14:textId="77777777" w:rsidR="001B77DD" w:rsidRDefault="00BF0A28">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67537BE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BF0" w14:textId="77777777" w:rsidR="001B77DD" w:rsidRDefault="00BF0A28">
            <w:pPr>
              <w:jc w:val="center"/>
              <w:textAlignment w:val="bottom"/>
            </w:pPr>
            <w:r>
              <w:rPr>
                <w:rFonts w:ascii="Arial" w:eastAsia="宋体" w:hAnsi="Arial" w:cs="Arial"/>
                <w:b/>
                <w:bCs/>
                <w:color w:val="262626"/>
                <w:sz w:val="18"/>
                <w:szCs w:val="18"/>
              </w:rPr>
              <w:t>Net Amount</w:t>
            </w:r>
          </w:p>
        </w:tc>
      </w:tr>
      <w:tr w:rsidR="001B77DD" w14:paraId="67537BFF"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BF2" w14:textId="77777777" w:rsidR="001B77DD" w:rsidRDefault="00BF0A28">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7537BF3"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F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F5"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F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F7"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F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F9"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F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FB"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F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BFD"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BFE" w14:textId="77777777" w:rsidR="001B77DD" w:rsidRDefault="001B77DD">
            <w:pPr>
              <w:rPr>
                <w:rFonts w:ascii="宋体"/>
              </w:rPr>
            </w:pPr>
          </w:p>
        </w:tc>
      </w:tr>
      <w:tr w:rsidR="001B77DD" w14:paraId="67537C19" w14:textId="77777777">
        <w:tc>
          <w:tcPr>
            <w:tcW w:w="0" w:type="auto"/>
            <w:gridSpan w:val="3"/>
            <w:shd w:val="clear" w:color="auto" w:fill="auto"/>
            <w:tcMar>
              <w:top w:w="40" w:type="dxa"/>
              <w:left w:w="140" w:type="dxa"/>
              <w:bottom w:w="40" w:type="dxa"/>
              <w:right w:w="20" w:type="dxa"/>
            </w:tcMar>
            <w:vAlign w:val="center"/>
          </w:tcPr>
          <w:p w14:paraId="67537C00" w14:textId="77777777" w:rsidR="001B77DD" w:rsidRDefault="00BF0A28">
            <w:pPr>
              <w:textAlignment w:val="center"/>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67537C01"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C02"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C03" w14:textId="77777777" w:rsidR="001B77DD" w:rsidRDefault="00BF0A28">
            <w:pPr>
              <w:jc w:val="right"/>
              <w:textAlignment w:val="bottom"/>
            </w:pPr>
            <w:r>
              <w:rPr>
                <w:rFonts w:ascii="Arial" w:eastAsia="宋体" w:hAnsi="Arial" w:cs="Arial"/>
                <w:color w:val="262626"/>
                <w:sz w:val="18"/>
                <w:szCs w:val="18"/>
              </w:rPr>
              <w:t>2,235 </w:t>
            </w:r>
          </w:p>
        </w:tc>
        <w:tc>
          <w:tcPr>
            <w:tcW w:w="0" w:type="auto"/>
            <w:shd w:val="clear" w:color="auto" w:fill="auto"/>
            <w:tcMar>
              <w:top w:w="40" w:type="dxa"/>
              <w:left w:w="0" w:type="dxa"/>
              <w:bottom w:w="40" w:type="dxa"/>
              <w:right w:w="20" w:type="dxa"/>
            </w:tcMar>
            <w:vAlign w:val="bottom"/>
          </w:tcPr>
          <w:p w14:paraId="67537C0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0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C06"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C07"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C0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0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C0A"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C0B" w14:textId="77777777" w:rsidR="001B77DD" w:rsidRDefault="00BF0A28">
            <w:pPr>
              <w:jc w:val="right"/>
              <w:textAlignment w:val="bottom"/>
            </w:pPr>
            <w:r>
              <w:rPr>
                <w:rFonts w:ascii="Arial" w:eastAsia="宋体" w:hAnsi="Arial" w:cs="Arial"/>
                <w:color w:val="262626"/>
                <w:sz w:val="18"/>
                <w:szCs w:val="18"/>
              </w:rPr>
              <w:t>2,235 </w:t>
            </w:r>
          </w:p>
        </w:tc>
        <w:tc>
          <w:tcPr>
            <w:tcW w:w="0" w:type="auto"/>
            <w:shd w:val="clear" w:color="auto" w:fill="auto"/>
            <w:tcMar>
              <w:top w:w="40" w:type="dxa"/>
              <w:left w:w="0" w:type="dxa"/>
              <w:bottom w:w="40" w:type="dxa"/>
              <w:right w:w="20" w:type="dxa"/>
            </w:tcMar>
            <w:vAlign w:val="bottom"/>
          </w:tcPr>
          <w:p w14:paraId="67537C0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0D"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C0E"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C0F" w14:textId="77777777" w:rsidR="001B77DD" w:rsidRDefault="00BF0A28">
            <w:pPr>
              <w:jc w:val="right"/>
              <w:textAlignment w:val="bottom"/>
            </w:pPr>
            <w:r>
              <w:rPr>
                <w:rFonts w:ascii="Arial" w:eastAsia="宋体" w:hAnsi="Arial" w:cs="Arial"/>
                <w:color w:val="262626"/>
                <w:sz w:val="18"/>
                <w:szCs w:val="18"/>
              </w:rPr>
              <w:t>(264)</w:t>
            </w:r>
          </w:p>
        </w:tc>
        <w:tc>
          <w:tcPr>
            <w:tcW w:w="0" w:type="auto"/>
            <w:shd w:val="clear" w:color="auto" w:fill="auto"/>
            <w:tcMar>
              <w:top w:w="40" w:type="dxa"/>
              <w:left w:w="0" w:type="dxa"/>
              <w:bottom w:w="40" w:type="dxa"/>
              <w:right w:w="20" w:type="dxa"/>
            </w:tcMar>
            <w:vAlign w:val="bottom"/>
          </w:tcPr>
          <w:p w14:paraId="67537C1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11"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C12"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C13" w14:textId="77777777" w:rsidR="001B77DD" w:rsidRDefault="00BF0A28">
            <w:pPr>
              <w:jc w:val="right"/>
              <w:textAlignment w:val="bottom"/>
            </w:pPr>
            <w:r>
              <w:rPr>
                <w:rFonts w:ascii="Arial" w:eastAsia="宋体" w:hAnsi="Arial" w:cs="Arial"/>
                <w:color w:val="262626"/>
                <w:sz w:val="18"/>
                <w:szCs w:val="18"/>
              </w:rPr>
              <w:t>(1,904)</w:t>
            </w:r>
          </w:p>
        </w:tc>
        <w:tc>
          <w:tcPr>
            <w:tcW w:w="0" w:type="auto"/>
            <w:shd w:val="clear" w:color="auto" w:fill="auto"/>
            <w:tcMar>
              <w:top w:w="40" w:type="dxa"/>
              <w:left w:w="0" w:type="dxa"/>
              <w:bottom w:w="40" w:type="dxa"/>
              <w:right w:w="20" w:type="dxa"/>
            </w:tcMar>
            <w:vAlign w:val="bottom"/>
          </w:tcPr>
          <w:p w14:paraId="67537C1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1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C16"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C17" w14:textId="77777777" w:rsidR="001B77DD" w:rsidRDefault="00BF0A28">
            <w:pPr>
              <w:jc w:val="right"/>
              <w:textAlignment w:val="bottom"/>
            </w:pPr>
            <w:r>
              <w:rPr>
                <w:rFonts w:ascii="Arial" w:eastAsia="宋体" w:hAnsi="Arial" w:cs="Arial"/>
                <w:color w:val="262626"/>
                <w:sz w:val="18"/>
                <w:szCs w:val="18"/>
              </w:rPr>
              <w:t>67 </w:t>
            </w:r>
          </w:p>
        </w:tc>
        <w:tc>
          <w:tcPr>
            <w:tcW w:w="0" w:type="auto"/>
            <w:shd w:val="clear" w:color="auto" w:fill="auto"/>
            <w:tcMar>
              <w:top w:w="40" w:type="dxa"/>
              <w:left w:w="0" w:type="dxa"/>
              <w:bottom w:w="40" w:type="dxa"/>
              <w:right w:w="20" w:type="dxa"/>
            </w:tcMar>
            <w:vAlign w:val="bottom"/>
          </w:tcPr>
          <w:p w14:paraId="67537C18" w14:textId="77777777" w:rsidR="001B77DD" w:rsidRDefault="001B77DD">
            <w:pPr>
              <w:jc w:val="right"/>
              <w:rPr>
                <w:rFonts w:ascii="宋体"/>
              </w:rPr>
            </w:pPr>
          </w:p>
        </w:tc>
      </w:tr>
      <w:tr w:rsidR="001B77DD" w14:paraId="67537C2D" w14:textId="77777777">
        <w:tc>
          <w:tcPr>
            <w:tcW w:w="0" w:type="auto"/>
            <w:gridSpan w:val="3"/>
            <w:shd w:val="clear" w:color="auto" w:fill="auto"/>
            <w:tcMar>
              <w:top w:w="40" w:type="dxa"/>
              <w:left w:w="140" w:type="dxa"/>
              <w:bottom w:w="40" w:type="dxa"/>
              <w:right w:w="20" w:type="dxa"/>
            </w:tcMar>
            <w:vAlign w:val="bottom"/>
          </w:tcPr>
          <w:p w14:paraId="67537C1A" w14:textId="77777777" w:rsidR="001B77DD" w:rsidRDefault="00BF0A28">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67537C1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1C" w14:textId="77777777" w:rsidR="001B77DD" w:rsidRDefault="00BF0A28">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67537C1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1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1F"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C2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2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22" w14:textId="77777777" w:rsidR="001B77DD" w:rsidRDefault="00BF0A28">
            <w:pPr>
              <w:jc w:val="right"/>
              <w:textAlignment w:val="bottom"/>
            </w:pPr>
            <w:r>
              <w:rPr>
                <w:rFonts w:ascii="Arial" w:eastAsia="宋体" w:hAnsi="Arial" w:cs="Arial"/>
                <w:color w:val="262626"/>
                <w:sz w:val="18"/>
                <w:szCs w:val="18"/>
              </w:rPr>
              <w:t>1,900 </w:t>
            </w:r>
          </w:p>
        </w:tc>
        <w:tc>
          <w:tcPr>
            <w:tcW w:w="0" w:type="auto"/>
            <w:shd w:val="clear" w:color="auto" w:fill="auto"/>
            <w:tcMar>
              <w:top w:w="40" w:type="dxa"/>
              <w:left w:w="0" w:type="dxa"/>
              <w:bottom w:w="40" w:type="dxa"/>
              <w:right w:w="20" w:type="dxa"/>
            </w:tcMar>
            <w:vAlign w:val="bottom"/>
          </w:tcPr>
          <w:p w14:paraId="67537C2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2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25"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C2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2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28" w14:textId="77777777" w:rsidR="001B77DD" w:rsidRDefault="00BF0A28">
            <w:pPr>
              <w:jc w:val="right"/>
              <w:textAlignment w:val="bottom"/>
            </w:pPr>
            <w:r>
              <w:rPr>
                <w:rFonts w:ascii="Arial" w:eastAsia="宋体" w:hAnsi="Arial" w:cs="Arial"/>
                <w:color w:val="262626"/>
                <w:sz w:val="18"/>
                <w:szCs w:val="18"/>
              </w:rPr>
              <w:t>(1,900)</w:t>
            </w:r>
          </w:p>
        </w:tc>
        <w:tc>
          <w:tcPr>
            <w:tcW w:w="0" w:type="auto"/>
            <w:shd w:val="clear" w:color="auto" w:fill="auto"/>
            <w:tcMar>
              <w:top w:w="40" w:type="dxa"/>
              <w:left w:w="0" w:type="dxa"/>
              <w:bottom w:w="40" w:type="dxa"/>
              <w:right w:w="20" w:type="dxa"/>
            </w:tcMar>
            <w:vAlign w:val="bottom"/>
          </w:tcPr>
          <w:p w14:paraId="67537C2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2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2B"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C2C" w14:textId="77777777" w:rsidR="001B77DD" w:rsidRDefault="001B77DD">
            <w:pPr>
              <w:jc w:val="right"/>
              <w:rPr>
                <w:rFonts w:ascii="宋体"/>
              </w:rPr>
            </w:pPr>
          </w:p>
        </w:tc>
      </w:tr>
      <w:tr w:rsidR="001B77DD" w14:paraId="67537C41" w14:textId="77777777">
        <w:tc>
          <w:tcPr>
            <w:tcW w:w="0" w:type="auto"/>
            <w:gridSpan w:val="3"/>
            <w:shd w:val="clear" w:color="auto" w:fill="auto"/>
            <w:tcMar>
              <w:top w:w="40" w:type="dxa"/>
              <w:left w:w="20" w:type="dxa"/>
              <w:bottom w:w="40" w:type="dxa"/>
              <w:right w:w="20" w:type="dxa"/>
            </w:tcMar>
            <w:vAlign w:val="bottom"/>
          </w:tcPr>
          <w:p w14:paraId="67537C2E" w14:textId="77777777" w:rsidR="001B77DD" w:rsidRDefault="00BF0A28">
            <w:pPr>
              <w:textAlignment w:val="bottom"/>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67537C2F"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C30" w14:textId="77777777" w:rsidR="001B77DD" w:rsidRDefault="00BF0A28">
            <w:pPr>
              <w:jc w:val="right"/>
              <w:textAlignment w:val="bottom"/>
            </w:pPr>
            <w:r>
              <w:rPr>
                <w:rFonts w:ascii="Arial" w:eastAsia="宋体" w:hAnsi="Arial" w:cs="Arial"/>
                <w:b/>
                <w:bCs/>
                <w:color w:val="262626"/>
                <w:sz w:val="18"/>
                <w:szCs w:val="18"/>
              </w:rPr>
              <w:t>4,135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C3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32"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C33" w14:textId="77777777" w:rsidR="001B77DD" w:rsidRDefault="00BF0A2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C3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35"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C36" w14:textId="77777777" w:rsidR="001B77DD" w:rsidRDefault="00BF0A28">
            <w:pPr>
              <w:jc w:val="right"/>
              <w:textAlignment w:val="bottom"/>
            </w:pPr>
            <w:r>
              <w:rPr>
                <w:rFonts w:ascii="Arial" w:eastAsia="宋体" w:hAnsi="Arial" w:cs="Arial"/>
                <w:b/>
                <w:bCs/>
                <w:color w:val="262626"/>
                <w:sz w:val="18"/>
                <w:szCs w:val="18"/>
              </w:rPr>
              <w:t>4,135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C3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38"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C39" w14:textId="77777777" w:rsidR="001B77DD" w:rsidRDefault="00BF0A28">
            <w:pPr>
              <w:jc w:val="right"/>
              <w:textAlignment w:val="bottom"/>
            </w:pPr>
            <w:r>
              <w:rPr>
                <w:rFonts w:ascii="Arial" w:eastAsia="宋体" w:hAnsi="Arial" w:cs="Arial"/>
                <w:b/>
                <w:bCs/>
                <w:color w:val="262626"/>
                <w:sz w:val="18"/>
                <w:szCs w:val="18"/>
              </w:rPr>
              <w:t>(264)</w:t>
            </w:r>
          </w:p>
        </w:tc>
        <w:tc>
          <w:tcPr>
            <w:tcW w:w="0" w:type="auto"/>
            <w:tcBorders>
              <w:top w:val="single" w:sz="4" w:space="0" w:color="262626"/>
            </w:tcBorders>
            <w:shd w:val="clear" w:color="auto" w:fill="auto"/>
            <w:tcMar>
              <w:top w:w="40" w:type="dxa"/>
              <w:left w:w="0" w:type="dxa"/>
              <w:bottom w:w="40" w:type="dxa"/>
              <w:right w:w="20" w:type="dxa"/>
            </w:tcMar>
            <w:vAlign w:val="bottom"/>
          </w:tcPr>
          <w:p w14:paraId="67537C3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3B"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C3C" w14:textId="77777777" w:rsidR="001B77DD" w:rsidRDefault="00BF0A28">
            <w:pPr>
              <w:jc w:val="right"/>
              <w:textAlignment w:val="bottom"/>
            </w:pPr>
            <w:r>
              <w:rPr>
                <w:rFonts w:ascii="Arial" w:eastAsia="宋体" w:hAnsi="Arial" w:cs="Arial"/>
                <w:b/>
                <w:bCs/>
                <w:color w:val="262626"/>
                <w:sz w:val="18"/>
                <w:szCs w:val="18"/>
              </w:rPr>
              <w:t>(3,804)</w:t>
            </w:r>
          </w:p>
        </w:tc>
        <w:tc>
          <w:tcPr>
            <w:tcW w:w="0" w:type="auto"/>
            <w:tcBorders>
              <w:top w:val="single" w:sz="4" w:space="0" w:color="262626"/>
            </w:tcBorders>
            <w:shd w:val="clear" w:color="auto" w:fill="auto"/>
            <w:tcMar>
              <w:top w:w="40" w:type="dxa"/>
              <w:left w:w="0" w:type="dxa"/>
              <w:bottom w:w="40" w:type="dxa"/>
              <w:right w:w="20" w:type="dxa"/>
            </w:tcMar>
            <w:vAlign w:val="bottom"/>
          </w:tcPr>
          <w:p w14:paraId="67537C3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3E" w14:textId="77777777" w:rsidR="001B77DD" w:rsidRDefault="001B77DD">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7537C3F" w14:textId="77777777" w:rsidR="001B77DD" w:rsidRDefault="00BF0A28">
            <w:pPr>
              <w:jc w:val="right"/>
              <w:textAlignment w:val="bottom"/>
            </w:pPr>
            <w:r>
              <w:rPr>
                <w:rFonts w:ascii="Arial" w:eastAsia="宋体" w:hAnsi="Arial" w:cs="Arial"/>
                <w:b/>
                <w:bCs/>
                <w:color w:val="262626"/>
                <w:sz w:val="18"/>
                <w:szCs w:val="18"/>
              </w:rPr>
              <w:t>67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C40" w14:textId="77777777" w:rsidR="001B77DD" w:rsidRDefault="001B77DD">
            <w:pPr>
              <w:jc w:val="right"/>
              <w:rPr>
                <w:rFonts w:ascii="宋体"/>
              </w:rPr>
            </w:pPr>
          </w:p>
        </w:tc>
      </w:tr>
      <w:tr w:rsidR="001B77DD" w14:paraId="67537C4F" w14:textId="77777777">
        <w:tc>
          <w:tcPr>
            <w:tcW w:w="0" w:type="auto"/>
            <w:gridSpan w:val="3"/>
            <w:shd w:val="clear" w:color="auto" w:fill="auto"/>
            <w:tcMar>
              <w:top w:w="40" w:type="dxa"/>
              <w:left w:w="20" w:type="dxa"/>
              <w:bottom w:w="40" w:type="dxa"/>
              <w:right w:w="20" w:type="dxa"/>
            </w:tcMar>
            <w:vAlign w:val="bottom"/>
          </w:tcPr>
          <w:p w14:paraId="67537C42" w14:textId="77777777" w:rsidR="001B77DD" w:rsidRDefault="00BF0A28">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7537C43"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C4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C45"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C4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C47"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C4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C49"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C4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C4B"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C4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C4D"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C4E" w14:textId="77777777" w:rsidR="001B77DD" w:rsidRDefault="001B77DD">
            <w:pPr>
              <w:rPr>
                <w:rFonts w:ascii="宋体"/>
              </w:rPr>
            </w:pPr>
          </w:p>
        </w:tc>
      </w:tr>
      <w:tr w:rsidR="001B77DD" w14:paraId="67537C63" w14:textId="77777777">
        <w:tc>
          <w:tcPr>
            <w:tcW w:w="0" w:type="auto"/>
            <w:gridSpan w:val="3"/>
            <w:shd w:val="clear" w:color="auto" w:fill="auto"/>
            <w:tcMar>
              <w:top w:w="40" w:type="dxa"/>
              <w:left w:w="140" w:type="dxa"/>
              <w:bottom w:w="40" w:type="dxa"/>
              <w:right w:w="20" w:type="dxa"/>
            </w:tcMar>
            <w:vAlign w:val="center"/>
          </w:tcPr>
          <w:p w14:paraId="67537C50" w14:textId="77777777" w:rsidR="001B77DD" w:rsidRDefault="00BF0A28">
            <w:pPr>
              <w:textAlignment w:val="center"/>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vAlign w:val="bottom"/>
          </w:tcPr>
          <w:p w14:paraId="67537C5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52" w14:textId="77777777" w:rsidR="001B77DD" w:rsidRDefault="00BF0A28">
            <w:pPr>
              <w:jc w:val="right"/>
              <w:textAlignment w:val="bottom"/>
            </w:pPr>
            <w:r>
              <w:rPr>
                <w:rFonts w:ascii="Arial" w:eastAsia="宋体" w:hAnsi="Arial" w:cs="Arial"/>
                <w:color w:val="262626"/>
                <w:sz w:val="18"/>
                <w:szCs w:val="18"/>
              </w:rPr>
              <w:t>711 </w:t>
            </w:r>
          </w:p>
        </w:tc>
        <w:tc>
          <w:tcPr>
            <w:tcW w:w="0" w:type="auto"/>
            <w:shd w:val="clear" w:color="auto" w:fill="auto"/>
            <w:tcMar>
              <w:top w:w="40" w:type="dxa"/>
              <w:left w:w="0" w:type="dxa"/>
              <w:bottom w:w="40" w:type="dxa"/>
              <w:right w:w="20" w:type="dxa"/>
            </w:tcMar>
            <w:vAlign w:val="bottom"/>
          </w:tcPr>
          <w:p w14:paraId="67537C5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5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55"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C5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5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58" w14:textId="77777777" w:rsidR="001B77DD" w:rsidRDefault="00BF0A28">
            <w:pPr>
              <w:jc w:val="right"/>
              <w:textAlignment w:val="bottom"/>
            </w:pPr>
            <w:r>
              <w:rPr>
                <w:rFonts w:ascii="Arial" w:eastAsia="宋体" w:hAnsi="Arial" w:cs="Arial"/>
                <w:color w:val="262626"/>
                <w:sz w:val="18"/>
                <w:szCs w:val="18"/>
              </w:rPr>
              <w:t>711 </w:t>
            </w:r>
          </w:p>
        </w:tc>
        <w:tc>
          <w:tcPr>
            <w:tcW w:w="0" w:type="auto"/>
            <w:shd w:val="clear" w:color="auto" w:fill="auto"/>
            <w:tcMar>
              <w:top w:w="40" w:type="dxa"/>
              <w:left w:w="0" w:type="dxa"/>
              <w:bottom w:w="40" w:type="dxa"/>
              <w:right w:w="20" w:type="dxa"/>
            </w:tcMar>
            <w:vAlign w:val="bottom"/>
          </w:tcPr>
          <w:p w14:paraId="67537C5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5B" w14:textId="77777777" w:rsidR="001B77DD" w:rsidRDefault="00BF0A28">
            <w:pPr>
              <w:jc w:val="right"/>
              <w:textAlignment w:val="bottom"/>
            </w:pPr>
            <w:r>
              <w:rPr>
                <w:rFonts w:ascii="Arial" w:eastAsia="宋体" w:hAnsi="Arial" w:cs="Arial"/>
                <w:color w:val="262626"/>
                <w:sz w:val="18"/>
                <w:szCs w:val="18"/>
              </w:rPr>
              <w:t>(264)</w:t>
            </w:r>
          </w:p>
        </w:tc>
        <w:tc>
          <w:tcPr>
            <w:tcW w:w="0" w:type="auto"/>
            <w:shd w:val="clear" w:color="auto" w:fill="auto"/>
            <w:tcMar>
              <w:top w:w="40" w:type="dxa"/>
              <w:left w:w="0" w:type="dxa"/>
              <w:bottom w:w="40" w:type="dxa"/>
              <w:right w:w="20" w:type="dxa"/>
            </w:tcMar>
            <w:vAlign w:val="bottom"/>
          </w:tcPr>
          <w:p w14:paraId="67537C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5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5E" w14:textId="77777777" w:rsidR="001B77DD" w:rsidRDefault="00BF0A28">
            <w:pPr>
              <w:jc w:val="right"/>
              <w:textAlignment w:val="bottom"/>
            </w:pPr>
            <w:r>
              <w:rPr>
                <w:rFonts w:ascii="Arial" w:eastAsia="宋体" w:hAnsi="Arial" w:cs="Arial"/>
                <w:color w:val="262626"/>
                <w:sz w:val="18"/>
                <w:szCs w:val="18"/>
              </w:rPr>
              <w:t>(447)</w:t>
            </w:r>
          </w:p>
        </w:tc>
        <w:tc>
          <w:tcPr>
            <w:tcW w:w="0" w:type="auto"/>
            <w:shd w:val="clear" w:color="auto" w:fill="auto"/>
            <w:tcMar>
              <w:top w:w="40" w:type="dxa"/>
              <w:left w:w="0" w:type="dxa"/>
              <w:bottom w:w="40" w:type="dxa"/>
              <w:right w:w="20" w:type="dxa"/>
            </w:tcMar>
            <w:vAlign w:val="bottom"/>
          </w:tcPr>
          <w:p w14:paraId="67537C5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6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61" w14:textId="77777777" w:rsidR="001B77DD" w:rsidRDefault="00BF0A2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C62" w14:textId="77777777" w:rsidR="001B77DD" w:rsidRDefault="001B77DD">
            <w:pPr>
              <w:jc w:val="right"/>
              <w:rPr>
                <w:rFonts w:ascii="宋体"/>
              </w:rPr>
            </w:pPr>
          </w:p>
        </w:tc>
      </w:tr>
      <w:tr w:rsidR="001B77DD" w14:paraId="67537C71" w14:textId="77777777">
        <w:trPr>
          <w:hidden/>
        </w:trPr>
        <w:tc>
          <w:tcPr>
            <w:tcW w:w="0" w:type="auto"/>
            <w:gridSpan w:val="3"/>
            <w:shd w:val="clear" w:color="auto" w:fill="auto"/>
            <w:vAlign w:val="bottom"/>
          </w:tcPr>
          <w:p w14:paraId="67537C64" w14:textId="77777777" w:rsidR="001B77DD" w:rsidRDefault="001B77DD">
            <w:pPr>
              <w:rPr>
                <w:rFonts w:ascii="宋体"/>
                <w:vanish/>
              </w:rPr>
            </w:pPr>
          </w:p>
        </w:tc>
        <w:tc>
          <w:tcPr>
            <w:tcW w:w="0" w:type="auto"/>
            <w:gridSpan w:val="3"/>
            <w:shd w:val="clear" w:color="auto" w:fill="auto"/>
            <w:vAlign w:val="bottom"/>
          </w:tcPr>
          <w:p w14:paraId="67537C65" w14:textId="77777777" w:rsidR="001B77DD" w:rsidRDefault="001B77DD">
            <w:pPr>
              <w:rPr>
                <w:rFonts w:ascii="宋体"/>
                <w:vanish/>
              </w:rPr>
            </w:pPr>
          </w:p>
        </w:tc>
        <w:tc>
          <w:tcPr>
            <w:tcW w:w="0" w:type="auto"/>
            <w:gridSpan w:val="3"/>
            <w:shd w:val="clear" w:color="auto" w:fill="auto"/>
            <w:vAlign w:val="bottom"/>
          </w:tcPr>
          <w:p w14:paraId="67537C66" w14:textId="77777777" w:rsidR="001B77DD" w:rsidRDefault="001B77DD">
            <w:pPr>
              <w:rPr>
                <w:rFonts w:ascii="宋体"/>
                <w:vanish/>
              </w:rPr>
            </w:pPr>
          </w:p>
        </w:tc>
        <w:tc>
          <w:tcPr>
            <w:tcW w:w="0" w:type="auto"/>
            <w:gridSpan w:val="3"/>
            <w:shd w:val="clear" w:color="auto" w:fill="auto"/>
            <w:vAlign w:val="bottom"/>
          </w:tcPr>
          <w:p w14:paraId="67537C67" w14:textId="77777777" w:rsidR="001B77DD" w:rsidRDefault="001B77DD">
            <w:pPr>
              <w:rPr>
                <w:rFonts w:ascii="宋体"/>
                <w:vanish/>
              </w:rPr>
            </w:pPr>
          </w:p>
        </w:tc>
        <w:tc>
          <w:tcPr>
            <w:tcW w:w="0" w:type="auto"/>
            <w:gridSpan w:val="3"/>
            <w:shd w:val="clear" w:color="auto" w:fill="auto"/>
            <w:vAlign w:val="bottom"/>
          </w:tcPr>
          <w:p w14:paraId="67537C68" w14:textId="77777777" w:rsidR="001B77DD" w:rsidRDefault="001B77DD">
            <w:pPr>
              <w:rPr>
                <w:rFonts w:ascii="宋体"/>
                <w:vanish/>
              </w:rPr>
            </w:pPr>
          </w:p>
        </w:tc>
        <w:tc>
          <w:tcPr>
            <w:tcW w:w="0" w:type="auto"/>
            <w:gridSpan w:val="3"/>
            <w:shd w:val="clear" w:color="auto" w:fill="auto"/>
            <w:vAlign w:val="bottom"/>
          </w:tcPr>
          <w:p w14:paraId="67537C69" w14:textId="77777777" w:rsidR="001B77DD" w:rsidRDefault="001B77DD">
            <w:pPr>
              <w:rPr>
                <w:rFonts w:ascii="宋体"/>
                <w:vanish/>
              </w:rPr>
            </w:pPr>
          </w:p>
        </w:tc>
        <w:tc>
          <w:tcPr>
            <w:tcW w:w="0" w:type="auto"/>
            <w:gridSpan w:val="3"/>
            <w:shd w:val="clear" w:color="auto" w:fill="auto"/>
            <w:vAlign w:val="bottom"/>
          </w:tcPr>
          <w:p w14:paraId="67537C6A" w14:textId="77777777" w:rsidR="001B77DD" w:rsidRDefault="001B77DD">
            <w:pPr>
              <w:rPr>
                <w:rFonts w:ascii="宋体"/>
                <w:vanish/>
              </w:rPr>
            </w:pPr>
          </w:p>
        </w:tc>
        <w:tc>
          <w:tcPr>
            <w:tcW w:w="0" w:type="auto"/>
            <w:gridSpan w:val="3"/>
            <w:shd w:val="clear" w:color="auto" w:fill="auto"/>
            <w:vAlign w:val="bottom"/>
          </w:tcPr>
          <w:p w14:paraId="67537C6B" w14:textId="77777777" w:rsidR="001B77DD" w:rsidRDefault="001B77DD">
            <w:pPr>
              <w:rPr>
                <w:rFonts w:ascii="宋体"/>
                <w:vanish/>
              </w:rPr>
            </w:pPr>
          </w:p>
        </w:tc>
        <w:tc>
          <w:tcPr>
            <w:tcW w:w="0" w:type="auto"/>
            <w:gridSpan w:val="3"/>
            <w:shd w:val="clear" w:color="auto" w:fill="auto"/>
            <w:vAlign w:val="bottom"/>
          </w:tcPr>
          <w:p w14:paraId="67537C6C" w14:textId="77777777" w:rsidR="001B77DD" w:rsidRDefault="001B77DD">
            <w:pPr>
              <w:rPr>
                <w:rFonts w:ascii="宋体"/>
                <w:vanish/>
              </w:rPr>
            </w:pPr>
          </w:p>
        </w:tc>
        <w:tc>
          <w:tcPr>
            <w:tcW w:w="0" w:type="auto"/>
            <w:gridSpan w:val="3"/>
            <w:shd w:val="clear" w:color="auto" w:fill="auto"/>
            <w:vAlign w:val="bottom"/>
          </w:tcPr>
          <w:p w14:paraId="67537C6D" w14:textId="77777777" w:rsidR="001B77DD" w:rsidRDefault="001B77DD">
            <w:pPr>
              <w:rPr>
                <w:rFonts w:ascii="宋体"/>
                <w:vanish/>
              </w:rPr>
            </w:pPr>
          </w:p>
        </w:tc>
        <w:tc>
          <w:tcPr>
            <w:tcW w:w="0" w:type="auto"/>
            <w:gridSpan w:val="3"/>
            <w:shd w:val="clear" w:color="auto" w:fill="auto"/>
            <w:vAlign w:val="bottom"/>
          </w:tcPr>
          <w:p w14:paraId="67537C6E" w14:textId="77777777" w:rsidR="001B77DD" w:rsidRDefault="001B77DD">
            <w:pPr>
              <w:rPr>
                <w:rFonts w:ascii="宋体"/>
                <w:vanish/>
              </w:rPr>
            </w:pPr>
          </w:p>
        </w:tc>
        <w:tc>
          <w:tcPr>
            <w:tcW w:w="0" w:type="auto"/>
            <w:gridSpan w:val="3"/>
            <w:shd w:val="clear" w:color="auto" w:fill="auto"/>
            <w:vAlign w:val="bottom"/>
          </w:tcPr>
          <w:p w14:paraId="67537C6F" w14:textId="77777777" w:rsidR="001B77DD" w:rsidRDefault="001B77DD">
            <w:pPr>
              <w:rPr>
                <w:rFonts w:ascii="宋体"/>
                <w:vanish/>
              </w:rPr>
            </w:pPr>
          </w:p>
        </w:tc>
        <w:tc>
          <w:tcPr>
            <w:tcW w:w="0" w:type="auto"/>
            <w:gridSpan w:val="3"/>
            <w:shd w:val="clear" w:color="auto" w:fill="auto"/>
            <w:vAlign w:val="bottom"/>
          </w:tcPr>
          <w:p w14:paraId="67537C70" w14:textId="77777777" w:rsidR="001B77DD" w:rsidRDefault="001B77DD">
            <w:pPr>
              <w:rPr>
                <w:rFonts w:ascii="宋体"/>
                <w:vanish/>
              </w:rPr>
            </w:pPr>
          </w:p>
        </w:tc>
      </w:tr>
      <w:tr w:rsidR="001B77DD" w14:paraId="67537C8B" w14:textId="77777777">
        <w:tc>
          <w:tcPr>
            <w:tcW w:w="0" w:type="auto"/>
            <w:gridSpan w:val="3"/>
            <w:shd w:val="clear" w:color="auto" w:fill="auto"/>
            <w:tcMar>
              <w:top w:w="40" w:type="dxa"/>
              <w:left w:w="20" w:type="dxa"/>
              <w:bottom w:w="40" w:type="dxa"/>
              <w:right w:w="20" w:type="dxa"/>
            </w:tcMar>
            <w:vAlign w:val="bottom"/>
          </w:tcPr>
          <w:p w14:paraId="67537C72" w14:textId="77777777" w:rsidR="001B77DD" w:rsidRDefault="00BF0A28">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67537C73"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74"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75" w14:textId="77777777" w:rsidR="001B77DD" w:rsidRDefault="00BF0A28">
            <w:pPr>
              <w:jc w:val="right"/>
              <w:textAlignment w:val="bottom"/>
            </w:pPr>
            <w:r>
              <w:rPr>
                <w:rFonts w:ascii="Arial" w:eastAsia="宋体" w:hAnsi="Arial" w:cs="Arial"/>
                <w:b/>
                <w:bCs/>
                <w:color w:val="262626"/>
                <w:sz w:val="18"/>
                <w:szCs w:val="18"/>
              </w:rPr>
              <w:t>711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7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77"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78"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79" w14:textId="77777777" w:rsidR="001B77DD" w:rsidRDefault="00BF0A2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7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7B"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7C"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7D" w14:textId="77777777" w:rsidR="001B77DD" w:rsidRDefault="00BF0A28">
            <w:pPr>
              <w:jc w:val="right"/>
              <w:textAlignment w:val="bottom"/>
            </w:pPr>
            <w:r>
              <w:rPr>
                <w:rFonts w:ascii="Arial" w:eastAsia="宋体" w:hAnsi="Arial" w:cs="Arial"/>
                <w:b/>
                <w:bCs/>
                <w:color w:val="262626"/>
                <w:sz w:val="18"/>
                <w:szCs w:val="18"/>
              </w:rPr>
              <w:t>711</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7F"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80"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81" w14:textId="77777777" w:rsidR="001B77DD" w:rsidRDefault="00BF0A28">
            <w:pPr>
              <w:jc w:val="right"/>
              <w:textAlignment w:val="bottom"/>
            </w:pPr>
            <w:r>
              <w:rPr>
                <w:rFonts w:ascii="Arial" w:eastAsia="宋体" w:hAnsi="Arial" w:cs="Arial"/>
                <w:b/>
                <w:bCs/>
                <w:color w:val="262626"/>
                <w:sz w:val="18"/>
                <w:szCs w:val="18"/>
              </w:rPr>
              <w:t>(264)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8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83"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84"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85" w14:textId="77777777" w:rsidR="001B77DD" w:rsidRDefault="00BF0A28">
            <w:pPr>
              <w:jc w:val="right"/>
              <w:textAlignment w:val="bottom"/>
            </w:pPr>
            <w:r>
              <w:rPr>
                <w:rFonts w:ascii="Arial" w:eastAsia="宋体" w:hAnsi="Arial" w:cs="Arial"/>
                <w:b/>
                <w:bCs/>
                <w:color w:val="262626"/>
                <w:sz w:val="18"/>
                <w:szCs w:val="18"/>
              </w:rPr>
              <w:t>(447)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8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87"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88"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89" w14:textId="77777777" w:rsidR="001B77DD" w:rsidRDefault="00BF0A2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8A" w14:textId="77777777" w:rsidR="001B77DD" w:rsidRDefault="001B77DD">
            <w:pPr>
              <w:jc w:val="right"/>
              <w:rPr>
                <w:rFonts w:ascii="宋体"/>
              </w:rPr>
            </w:pPr>
          </w:p>
        </w:tc>
      </w:tr>
    </w:tbl>
    <w:p w14:paraId="67537C8C" w14:textId="77777777" w:rsidR="001B77DD" w:rsidRDefault="00BF0A28">
      <w:pPr>
        <w:spacing w:before="140" w:after="180"/>
      </w:pPr>
      <w:r>
        <w:rPr>
          <w:rFonts w:ascii="Arial" w:eastAsia="宋体" w:hAnsi="Arial" w:cs="Arial"/>
          <w:color w:val="262626"/>
          <w:sz w:val="18"/>
          <w:szCs w:val="18"/>
        </w:rPr>
        <w:t xml:space="preserve">We obtain and secure available collateral from counterparties against obligations, including securities lending transactions and reverse repurchase </w:t>
      </w:r>
      <w:r>
        <w:rPr>
          <w:rFonts w:ascii="Arial" w:eastAsia="宋体" w:hAnsi="Arial" w:cs="Arial"/>
          <w:color w:val="262626"/>
          <w:sz w:val="18"/>
          <w:szCs w:val="18"/>
        </w:rPr>
        <w:t>agreements, when we deem it appropriate.</w:t>
      </w:r>
    </w:p>
    <w:p w14:paraId="67537C8D" w14:textId="77777777" w:rsidR="001B77DD" w:rsidRDefault="00BF0A28">
      <w:pPr>
        <w:spacing w:after="180"/>
      </w:pPr>
      <w:r>
        <w:rPr>
          <w:rFonts w:ascii="Arial" w:eastAsia="宋体" w:hAnsi="Arial" w:cs="Arial"/>
          <w:color w:val="0068B5"/>
        </w:rPr>
        <w:t>Derivatives in Cash Flow Hedging Relationships</w:t>
      </w:r>
    </w:p>
    <w:p w14:paraId="67537C8E" w14:textId="77777777" w:rsidR="001B77DD" w:rsidRDefault="00BF0A28">
      <w:pPr>
        <w:spacing w:after="180"/>
      </w:pPr>
      <w:r>
        <w:rPr>
          <w:rFonts w:ascii="Arial" w:eastAsia="宋体" w:hAnsi="Arial" w:cs="Arial"/>
          <w:color w:val="262626"/>
          <w:sz w:val="18"/>
          <w:szCs w:val="18"/>
        </w:rPr>
        <w:t xml:space="preserve">The before-tax net gains or losses attributed to the effective portion of cash flow hedges recognized in other comprehensive income (loss) were $434 million net losses </w:t>
      </w:r>
      <w:r>
        <w:rPr>
          <w:rFonts w:ascii="Arial" w:eastAsia="宋体" w:hAnsi="Arial" w:cs="Arial"/>
          <w:color w:val="262626"/>
          <w:sz w:val="18"/>
          <w:szCs w:val="18"/>
        </w:rPr>
        <w:t>in 2021 ($806 million net gains in 2020 and $11 million net losses in 2019). Substantially all of our cash flow hedges are foreign currency contracts for all periods presented.</w:t>
      </w:r>
    </w:p>
    <w:p w14:paraId="67537C8F" w14:textId="77777777" w:rsidR="001B77DD" w:rsidRDefault="00BF0A28">
      <w:pPr>
        <w:spacing w:after="180"/>
      </w:pPr>
      <w:r>
        <w:rPr>
          <w:rFonts w:ascii="Arial" w:eastAsia="宋体" w:hAnsi="Arial" w:cs="Arial"/>
          <w:color w:val="262626"/>
          <w:sz w:val="18"/>
          <w:szCs w:val="18"/>
        </w:rPr>
        <w:t>Amounts excluded from effectiveness testing were insignificant during all perio</w:t>
      </w:r>
      <w:r>
        <w:rPr>
          <w:rFonts w:ascii="Arial" w:eastAsia="宋体" w:hAnsi="Arial" w:cs="Arial"/>
          <w:color w:val="262626"/>
          <w:sz w:val="18"/>
          <w:szCs w:val="18"/>
        </w:rPr>
        <w:t>ds presented.</w:t>
      </w:r>
    </w:p>
    <w:p w14:paraId="67537C90" w14:textId="77777777" w:rsidR="001B77DD" w:rsidRDefault="00BF0A28">
      <w:pPr>
        <w:spacing w:after="180"/>
      </w:pPr>
      <w:r>
        <w:rPr>
          <w:rFonts w:ascii="Arial" w:eastAsia="宋体" w:hAnsi="Arial" w:cs="Arial"/>
          <w:color w:val="262626"/>
          <w:sz w:val="18"/>
          <w:szCs w:val="18"/>
        </w:rPr>
        <w:t>For information on the unrealized holding gains (losses) on derivatives reclassified out of accumulated other comprehensive income into the Consolidated Statements of Income, see "Note 15: Other Comprehensive Income (Loss)."</w:t>
      </w:r>
    </w:p>
    <w:p w14:paraId="67537C91" w14:textId="77777777" w:rsidR="001B77DD" w:rsidRDefault="00BF0A28">
      <w:pPr>
        <w:spacing w:after="180"/>
      </w:pPr>
      <w:r>
        <w:rPr>
          <w:rFonts w:ascii="Arial" w:eastAsia="宋体" w:hAnsi="Arial" w:cs="Arial"/>
          <w:color w:val="0068B5"/>
        </w:rPr>
        <w:t>Derivatives in Fa</w:t>
      </w:r>
      <w:r>
        <w:rPr>
          <w:rFonts w:ascii="Arial" w:eastAsia="宋体" w:hAnsi="Arial" w:cs="Arial"/>
          <w:color w:val="0068B5"/>
        </w:rPr>
        <w:t>ir Value Hedging Relationships</w:t>
      </w:r>
    </w:p>
    <w:p w14:paraId="67537C92" w14:textId="77777777" w:rsidR="001B77DD" w:rsidRDefault="00BF0A28">
      <w:r>
        <w:rPr>
          <w:rFonts w:ascii="Arial" w:eastAsia="宋体" w:hAnsi="Arial" w:cs="Arial"/>
          <w:color w:val="262626"/>
          <w:sz w:val="18"/>
          <w:szCs w:val="18"/>
        </w:rPr>
        <w:t>The effects of derivative instruments designated as fair value hedges, recognized in interest and 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993"/>
        <w:gridCol w:w="36"/>
        <w:gridCol w:w="36"/>
        <w:gridCol w:w="36"/>
        <w:gridCol w:w="36"/>
        <w:gridCol w:w="121"/>
        <w:gridCol w:w="805"/>
        <w:gridCol w:w="36"/>
        <w:gridCol w:w="36"/>
        <w:gridCol w:w="36"/>
        <w:gridCol w:w="36"/>
        <w:gridCol w:w="121"/>
        <w:gridCol w:w="807"/>
        <w:gridCol w:w="36"/>
        <w:gridCol w:w="36"/>
        <w:gridCol w:w="36"/>
        <w:gridCol w:w="36"/>
        <w:gridCol w:w="121"/>
        <w:gridCol w:w="863"/>
        <w:gridCol w:w="36"/>
      </w:tblGrid>
      <w:tr w:rsidR="001B77DD" w14:paraId="67537CA8" w14:textId="77777777">
        <w:tc>
          <w:tcPr>
            <w:tcW w:w="50" w:type="pct"/>
            <w:shd w:val="clear" w:color="auto" w:fill="auto"/>
            <w:vAlign w:val="bottom"/>
          </w:tcPr>
          <w:p w14:paraId="67537C93" w14:textId="77777777" w:rsidR="001B77DD" w:rsidRDefault="001B77DD">
            <w:pPr>
              <w:rPr>
                <w:rFonts w:ascii="宋体"/>
              </w:rPr>
            </w:pPr>
          </w:p>
        </w:tc>
        <w:tc>
          <w:tcPr>
            <w:tcW w:w="3025" w:type="pct"/>
            <w:shd w:val="clear" w:color="auto" w:fill="auto"/>
            <w:vAlign w:val="bottom"/>
          </w:tcPr>
          <w:p w14:paraId="67537C94" w14:textId="77777777" w:rsidR="001B77DD" w:rsidRDefault="001B77DD">
            <w:pPr>
              <w:rPr>
                <w:rFonts w:ascii="宋体"/>
              </w:rPr>
            </w:pPr>
          </w:p>
        </w:tc>
        <w:tc>
          <w:tcPr>
            <w:tcW w:w="5" w:type="pct"/>
            <w:shd w:val="clear" w:color="auto" w:fill="auto"/>
            <w:vAlign w:val="bottom"/>
          </w:tcPr>
          <w:p w14:paraId="67537C95" w14:textId="77777777" w:rsidR="001B77DD" w:rsidRDefault="001B77DD">
            <w:pPr>
              <w:rPr>
                <w:rFonts w:ascii="宋体"/>
              </w:rPr>
            </w:pPr>
          </w:p>
        </w:tc>
        <w:tc>
          <w:tcPr>
            <w:tcW w:w="5" w:type="pct"/>
            <w:shd w:val="clear" w:color="auto" w:fill="auto"/>
            <w:vAlign w:val="bottom"/>
          </w:tcPr>
          <w:p w14:paraId="67537C96" w14:textId="77777777" w:rsidR="001B77DD" w:rsidRDefault="001B77DD">
            <w:pPr>
              <w:rPr>
                <w:rFonts w:ascii="宋体"/>
              </w:rPr>
            </w:pPr>
          </w:p>
        </w:tc>
        <w:tc>
          <w:tcPr>
            <w:tcW w:w="24" w:type="pct"/>
            <w:shd w:val="clear" w:color="auto" w:fill="auto"/>
            <w:vAlign w:val="bottom"/>
          </w:tcPr>
          <w:p w14:paraId="67537C97" w14:textId="77777777" w:rsidR="001B77DD" w:rsidRDefault="001B77DD">
            <w:pPr>
              <w:rPr>
                <w:rFonts w:ascii="宋体"/>
              </w:rPr>
            </w:pPr>
          </w:p>
        </w:tc>
        <w:tc>
          <w:tcPr>
            <w:tcW w:w="5" w:type="pct"/>
            <w:shd w:val="clear" w:color="auto" w:fill="auto"/>
            <w:vAlign w:val="bottom"/>
          </w:tcPr>
          <w:p w14:paraId="67537C98" w14:textId="77777777" w:rsidR="001B77DD" w:rsidRDefault="001B77DD">
            <w:pPr>
              <w:rPr>
                <w:rFonts w:ascii="宋体"/>
              </w:rPr>
            </w:pPr>
          </w:p>
        </w:tc>
        <w:tc>
          <w:tcPr>
            <w:tcW w:w="50" w:type="pct"/>
            <w:shd w:val="clear" w:color="auto" w:fill="auto"/>
            <w:vAlign w:val="bottom"/>
          </w:tcPr>
          <w:p w14:paraId="67537C99" w14:textId="77777777" w:rsidR="001B77DD" w:rsidRDefault="001B77DD">
            <w:pPr>
              <w:rPr>
                <w:rFonts w:ascii="宋体"/>
              </w:rPr>
            </w:pPr>
          </w:p>
        </w:tc>
        <w:tc>
          <w:tcPr>
            <w:tcW w:w="539" w:type="pct"/>
            <w:shd w:val="clear" w:color="auto" w:fill="auto"/>
            <w:vAlign w:val="bottom"/>
          </w:tcPr>
          <w:p w14:paraId="67537C9A" w14:textId="77777777" w:rsidR="001B77DD" w:rsidRDefault="001B77DD">
            <w:pPr>
              <w:rPr>
                <w:rFonts w:ascii="宋体"/>
              </w:rPr>
            </w:pPr>
          </w:p>
        </w:tc>
        <w:tc>
          <w:tcPr>
            <w:tcW w:w="5" w:type="pct"/>
            <w:shd w:val="clear" w:color="auto" w:fill="auto"/>
            <w:vAlign w:val="bottom"/>
          </w:tcPr>
          <w:p w14:paraId="67537C9B" w14:textId="77777777" w:rsidR="001B77DD" w:rsidRDefault="001B77DD">
            <w:pPr>
              <w:rPr>
                <w:rFonts w:ascii="宋体"/>
              </w:rPr>
            </w:pPr>
          </w:p>
        </w:tc>
        <w:tc>
          <w:tcPr>
            <w:tcW w:w="5" w:type="pct"/>
            <w:shd w:val="clear" w:color="auto" w:fill="auto"/>
            <w:vAlign w:val="bottom"/>
          </w:tcPr>
          <w:p w14:paraId="67537C9C" w14:textId="77777777" w:rsidR="001B77DD" w:rsidRDefault="001B77DD">
            <w:pPr>
              <w:rPr>
                <w:rFonts w:ascii="宋体"/>
              </w:rPr>
            </w:pPr>
          </w:p>
        </w:tc>
        <w:tc>
          <w:tcPr>
            <w:tcW w:w="24" w:type="pct"/>
            <w:shd w:val="clear" w:color="auto" w:fill="auto"/>
            <w:vAlign w:val="bottom"/>
          </w:tcPr>
          <w:p w14:paraId="67537C9D" w14:textId="77777777" w:rsidR="001B77DD" w:rsidRDefault="001B77DD">
            <w:pPr>
              <w:rPr>
                <w:rFonts w:ascii="宋体"/>
              </w:rPr>
            </w:pPr>
          </w:p>
        </w:tc>
        <w:tc>
          <w:tcPr>
            <w:tcW w:w="5" w:type="pct"/>
            <w:shd w:val="clear" w:color="auto" w:fill="auto"/>
            <w:vAlign w:val="bottom"/>
          </w:tcPr>
          <w:p w14:paraId="67537C9E" w14:textId="77777777" w:rsidR="001B77DD" w:rsidRDefault="001B77DD">
            <w:pPr>
              <w:rPr>
                <w:rFonts w:ascii="宋体"/>
              </w:rPr>
            </w:pPr>
          </w:p>
        </w:tc>
        <w:tc>
          <w:tcPr>
            <w:tcW w:w="50" w:type="pct"/>
            <w:shd w:val="clear" w:color="auto" w:fill="auto"/>
            <w:vAlign w:val="bottom"/>
          </w:tcPr>
          <w:p w14:paraId="67537C9F" w14:textId="77777777" w:rsidR="001B77DD" w:rsidRDefault="001B77DD">
            <w:pPr>
              <w:rPr>
                <w:rFonts w:ascii="宋体"/>
              </w:rPr>
            </w:pPr>
          </w:p>
        </w:tc>
        <w:tc>
          <w:tcPr>
            <w:tcW w:w="539" w:type="pct"/>
            <w:shd w:val="clear" w:color="auto" w:fill="auto"/>
            <w:vAlign w:val="bottom"/>
          </w:tcPr>
          <w:p w14:paraId="67537CA0" w14:textId="77777777" w:rsidR="001B77DD" w:rsidRDefault="001B77DD">
            <w:pPr>
              <w:rPr>
                <w:rFonts w:ascii="宋体"/>
              </w:rPr>
            </w:pPr>
          </w:p>
        </w:tc>
        <w:tc>
          <w:tcPr>
            <w:tcW w:w="5" w:type="pct"/>
            <w:shd w:val="clear" w:color="auto" w:fill="auto"/>
            <w:vAlign w:val="bottom"/>
          </w:tcPr>
          <w:p w14:paraId="67537CA1" w14:textId="77777777" w:rsidR="001B77DD" w:rsidRDefault="001B77DD">
            <w:pPr>
              <w:rPr>
                <w:rFonts w:ascii="宋体"/>
              </w:rPr>
            </w:pPr>
          </w:p>
        </w:tc>
        <w:tc>
          <w:tcPr>
            <w:tcW w:w="5" w:type="pct"/>
            <w:shd w:val="clear" w:color="auto" w:fill="auto"/>
            <w:vAlign w:val="bottom"/>
          </w:tcPr>
          <w:p w14:paraId="67537CA2" w14:textId="77777777" w:rsidR="001B77DD" w:rsidRDefault="001B77DD">
            <w:pPr>
              <w:rPr>
                <w:rFonts w:ascii="宋体"/>
              </w:rPr>
            </w:pPr>
          </w:p>
        </w:tc>
        <w:tc>
          <w:tcPr>
            <w:tcW w:w="24" w:type="pct"/>
            <w:shd w:val="clear" w:color="auto" w:fill="auto"/>
            <w:vAlign w:val="bottom"/>
          </w:tcPr>
          <w:p w14:paraId="67537CA3" w14:textId="77777777" w:rsidR="001B77DD" w:rsidRDefault="001B77DD">
            <w:pPr>
              <w:rPr>
                <w:rFonts w:ascii="宋体"/>
              </w:rPr>
            </w:pPr>
          </w:p>
        </w:tc>
        <w:tc>
          <w:tcPr>
            <w:tcW w:w="5" w:type="pct"/>
            <w:shd w:val="clear" w:color="auto" w:fill="auto"/>
            <w:vAlign w:val="bottom"/>
          </w:tcPr>
          <w:p w14:paraId="67537CA4" w14:textId="77777777" w:rsidR="001B77DD" w:rsidRDefault="001B77DD">
            <w:pPr>
              <w:rPr>
                <w:rFonts w:ascii="宋体"/>
              </w:rPr>
            </w:pPr>
          </w:p>
        </w:tc>
        <w:tc>
          <w:tcPr>
            <w:tcW w:w="50" w:type="pct"/>
            <w:shd w:val="clear" w:color="auto" w:fill="auto"/>
            <w:vAlign w:val="bottom"/>
          </w:tcPr>
          <w:p w14:paraId="67537CA5" w14:textId="77777777" w:rsidR="001B77DD" w:rsidRDefault="001B77DD">
            <w:pPr>
              <w:rPr>
                <w:rFonts w:ascii="宋体"/>
              </w:rPr>
            </w:pPr>
          </w:p>
        </w:tc>
        <w:tc>
          <w:tcPr>
            <w:tcW w:w="573" w:type="pct"/>
            <w:shd w:val="clear" w:color="auto" w:fill="auto"/>
            <w:vAlign w:val="bottom"/>
          </w:tcPr>
          <w:p w14:paraId="67537CA6" w14:textId="77777777" w:rsidR="001B77DD" w:rsidRDefault="001B77DD">
            <w:pPr>
              <w:rPr>
                <w:rFonts w:ascii="宋体"/>
              </w:rPr>
            </w:pPr>
          </w:p>
        </w:tc>
        <w:tc>
          <w:tcPr>
            <w:tcW w:w="5" w:type="pct"/>
            <w:shd w:val="clear" w:color="auto" w:fill="auto"/>
            <w:vAlign w:val="bottom"/>
          </w:tcPr>
          <w:p w14:paraId="67537CA7" w14:textId="77777777" w:rsidR="001B77DD" w:rsidRDefault="001B77DD">
            <w:pPr>
              <w:rPr>
                <w:rFonts w:ascii="宋体"/>
              </w:rPr>
            </w:pPr>
          </w:p>
        </w:tc>
      </w:tr>
      <w:tr w:rsidR="001B77DD" w14:paraId="67537CAC" w14:textId="77777777">
        <w:tc>
          <w:tcPr>
            <w:tcW w:w="0" w:type="auto"/>
            <w:gridSpan w:val="3"/>
            <w:shd w:val="clear" w:color="auto" w:fill="auto"/>
            <w:tcMar>
              <w:top w:w="0" w:type="dxa"/>
              <w:left w:w="20" w:type="dxa"/>
              <w:bottom w:w="0" w:type="dxa"/>
              <w:right w:w="20" w:type="dxa"/>
            </w:tcMar>
            <w:vAlign w:val="bottom"/>
          </w:tcPr>
          <w:p w14:paraId="67537CA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CAA" w14:textId="77777777" w:rsidR="001B77DD" w:rsidRDefault="001B77DD">
            <w:pPr>
              <w:rPr>
                <w:rFonts w:ascii="宋体"/>
              </w:rPr>
            </w:pPr>
          </w:p>
        </w:tc>
        <w:tc>
          <w:tcPr>
            <w:tcW w:w="0" w:type="auto"/>
            <w:gridSpan w:val="15"/>
            <w:shd w:val="clear" w:color="auto" w:fill="auto"/>
            <w:tcMar>
              <w:top w:w="40" w:type="dxa"/>
              <w:left w:w="20" w:type="dxa"/>
              <w:bottom w:w="40" w:type="dxa"/>
              <w:right w:w="20" w:type="dxa"/>
            </w:tcMar>
            <w:vAlign w:val="bottom"/>
          </w:tcPr>
          <w:p w14:paraId="67537CAB" w14:textId="77777777" w:rsidR="001B77DD" w:rsidRDefault="00BF0A28">
            <w:pPr>
              <w:jc w:val="center"/>
              <w:textAlignment w:val="bottom"/>
            </w:pPr>
            <w:r>
              <w:rPr>
                <w:rFonts w:ascii="Arial" w:eastAsia="宋体" w:hAnsi="Arial" w:cs="Arial"/>
                <w:b/>
                <w:bCs/>
                <w:color w:val="262626"/>
                <w:sz w:val="18"/>
                <w:szCs w:val="18"/>
              </w:rPr>
              <w:t>Gains (L</w:t>
            </w:r>
            <w:r>
              <w:rPr>
                <w:rFonts w:ascii="Arial" w:eastAsia="宋体" w:hAnsi="Arial" w:cs="Arial"/>
                <w:b/>
                <w:bCs/>
                <w:color w:val="262626"/>
                <w:sz w:val="18"/>
                <w:szCs w:val="18"/>
              </w:rPr>
              <w:t>osses) Recognized in Statement of Income on Derivatives</w:t>
            </w:r>
          </w:p>
        </w:tc>
      </w:tr>
      <w:tr w:rsidR="001B77DD" w14:paraId="67537CB4" w14:textId="77777777">
        <w:tc>
          <w:tcPr>
            <w:tcW w:w="0" w:type="auto"/>
            <w:gridSpan w:val="3"/>
            <w:shd w:val="clear" w:color="auto" w:fill="auto"/>
            <w:tcMar>
              <w:top w:w="40" w:type="dxa"/>
              <w:left w:w="20" w:type="dxa"/>
              <w:bottom w:w="40" w:type="dxa"/>
              <w:right w:w="20" w:type="dxa"/>
            </w:tcMar>
            <w:vAlign w:val="bottom"/>
          </w:tcPr>
          <w:p w14:paraId="67537CAD"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7CAE"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CAF"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CB0"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CB1"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CB2"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CB3"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7CC2" w14:textId="77777777">
        <w:tc>
          <w:tcPr>
            <w:tcW w:w="0" w:type="auto"/>
            <w:gridSpan w:val="3"/>
            <w:tcBorders>
              <w:top w:val="single" w:sz="8" w:space="0" w:color="0068B5"/>
            </w:tcBorders>
            <w:shd w:val="clear" w:color="auto" w:fill="auto"/>
            <w:tcMar>
              <w:top w:w="40" w:type="dxa"/>
              <w:left w:w="20" w:type="dxa"/>
              <w:bottom w:w="40" w:type="dxa"/>
              <w:right w:w="20" w:type="dxa"/>
            </w:tcMar>
          </w:tcPr>
          <w:p w14:paraId="67537CB5" w14:textId="77777777" w:rsidR="001B77DD" w:rsidRDefault="00BF0A28">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7537CB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CB7"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CB8" w14:textId="77777777" w:rsidR="001B77DD" w:rsidRDefault="00BF0A28">
            <w:pPr>
              <w:jc w:val="right"/>
              <w:textAlignment w:val="bottom"/>
            </w:pPr>
            <w:r>
              <w:rPr>
                <w:rFonts w:ascii="Arial" w:eastAsia="宋体" w:hAnsi="Arial" w:cs="Arial"/>
                <w:color w:val="0068B5"/>
                <w:sz w:val="18"/>
                <w:szCs w:val="18"/>
              </w:rPr>
              <w:t>(723)</w:t>
            </w:r>
          </w:p>
        </w:tc>
        <w:tc>
          <w:tcPr>
            <w:tcW w:w="0" w:type="auto"/>
            <w:tcBorders>
              <w:top w:val="single" w:sz="8" w:space="0" w:color="0068B5"/>
            </w:tcBorders>
            <w:shd w:val="clear" w:color="auto" w:fill="auto"/>
            <w:tcMar>
              <w:top w:w="40" w:type="dxa"/>
              <w:left w:w="0" w:type="dxa"/>
              <w:bottom w:w="40" w:type="dxa"/>
              <w:right w:w="20" w:type="dxa"/>
            </w:tcMar>
            <w:vAlign w:val="bottom"/>
          </w:tcPr>
          <w:p w14:paraId="67537CB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B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CBB"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CBC" w14:textId="77777777" w:rsidR="001B77DD" w:rsidRDefault="00BF0A28">
            <w:pPr>
              <w:jc w:val="right"/>
              <w:textAlignment w:val="bottom"/>
            </w:pPr>
            <w:r>
              <w:rPr>
                <w:rFonts w:ascii="Arial" w:eastAsia="宋体" w:hAnsi="Arial" w:cs="Arial"/>
                <w:color w:val="262626"/>
                <w:sz w:val="18"/>
                <w:szCs w:val="18"/>
              </w:rPr>
              <w:t>817 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CB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B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CBF"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CC0" w14:textId="77777777" w:rsidR="001B77DD" w:rsidRDefault="00BF0A28">
            <w:pPr>
              <w:jc w:val="right"/>
              <w:textAlignment w:val="bottom"/>
            </w:pPr>
            <w:r>
              <w:rPr>
                <w:rFonts w:ascii="Arial" w:eastAsia="宋体" w:hAnsi="Arial" w:cs="Arial"/>
                <w:color w:val="262626"/>
                <w:sz w:val="18"/>
                <w:szCs w:val="18"/>
              </w:rPr>
              <w:t>1,071 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CC1" w14:textId="77777777" w:rsidR="001B77DD" w:rsidRDefault="001B77DD">
            <w:pPr>
              <w:jc w:val="right"/>
              <w:rPr>
                <w:rFonts w:ascii="宋体"/>
              </w:rPr>
            </w:pPr>
          </w:p>
        </w:tc>
      </w:tr>
      <w:tr w:rsidR="001B77DD" w14:paraId="67537CCD" w14:textId="77777777">
        <w:tc>
          <w:tcPr>
            <w:tcW w:w="0" w:type="auto"/>
            <w:gridSpan w:val="3"/>
            <w:shd w:val="clear" w:color="auto" w:fill="auto"/>
            <w:tcMar>
              <w:top w:w="40" w:type="dxa"/>
              <w:left w:w="20" w:type="dxa"/>
              <w:bottom w:w="40" w:type="dxa"/>
              <w:right w:w="20" w:type="dxa"/>
            </w:tcMar>
          </w:tcPr>
          <w:p w14:paraId="67537CC3" w14:textId="77777777" w:rsidR="001B77DD" w:rsidRDefault="00BF0A28">
            <w:pPr>
              <w:textAlignment w:val="top"/>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vAlign w:val="bottom"/>
          </w:tcPr>
          <w:p w14:paraId="67537CC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C5" w14:textId="77777777" w:rsidR="001B77DD" w:rsidRDefault="00BF0A28">
            <w:pPr>
              <w:jc w:val="right"/>
              <w:textAlignment w:val="bottom"/>
            </w:pPr>
            <w:r>
              <w:rPr>
                <w:rFonts w:ascii="Arial" w:eastAsia="宋体" w:hAnsi="Arial" w:cs="Arial"/>
                <w:color w:val="0068B5"/>
                <w:sz w:val="18"/>
                <w:szCs w:val="18"/>
              </w:rPr>
              <w:t>723 </w:t>
            </w:r>
          </w:p>
        </w:tc>
        <w:tc>
          <w:tcPr>
            <w:tcW w:w="0" w:type="auto"/>
            <w:shd w:val="clear" w:color="auto" w:fill="auto"/>
            <w:tcMar>
              <w:top w:w="40" w:type="dxa"/>
              <w:left w:w="0" w:type="dxa"/>
              <w:bottom w:w="40" w:type="dxa"/>
              <w:right w:w="20" w:type="dxa"/>
            </w:tcMar>
            <w:vAlign w:val="bottom"/>
          </w:tcPr>
          <w:p w14:paraId="67537CC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C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C8" w14:textId="77777777" w:rsidR="001B77DD" w:rsidRDefault="00BF0A28">
            <w:pPr>
              <w:jc w:val="right"/>
              <w:textAlignment w:val="bottom"/>
            </w:pPr>
            <w:r>
              <w:rPr>
                <w:rFonts w:ascii="Arial" w:eastAsia="宋体" w:hAnsi="Arial" w:cs="Arial"/>
                <w:color w:val="262626"/>
                <w:sz w:val="18"/>
                <w:szCs w:val="18"/>
              </w:rPr>
              <w:t>(817)</w:t>
            </w:r>
          </w:p>
        </w:tc>
        <w:tc>
          <w:tcPr>
            <w:tcW w:w="0" w:type="auto"/>
            <w:shd w:val="clear" w:color="auto" w:fill="auto"/>
            <w:tcMar>
              <w:top w:w="40" w:type="dxa"/>
              <w:left w:w="0" w:type="dxa"/>
              <w:bottom w:w="40" w:type="dxa"/>
              <w:right w:w="20" w:type="dxa"/>
            </w:tcMar>
            <w:vAlign w:val="bottom"/>
          </w:tcPr>
          <w:p w14:paraId="67537CC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C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CCB" w14:textId="77777777" w:rsidR="001B77DD" w:rsidRDefault="00BF0A28">
            <w:pPr>
              <w:jc w:val="right"/>
              <w:textAlignment w:val="bottom"/>
            </w:pPr>
            <w:r>
              <w:rPr>
                <w:rFonts w:ascii="Arial" w:eastAsia="宋体" w:hAnsi="Arial" w:cs="Arial"/>
                <w:color w:val="262626"/>
                <w:sz w:val="18"/>
                <w:szCs w:val="18"/>
              </w:rPr>
              <w:t>(1,071)</w:t>
            </w:r>
          </w:p>
        </w:tc>
        <w:tc>
          <w:tcPr>
            <w:tcW w:w="0" w:type="auto"/>
            <w:shd w:val="clear" w:color="auto" w:fill="auto"/>
            <w:tcMar>
              <w:top w:w="40" w:type="dxa"/>
              <w:left w:w="0" w:type="dxa"/>
              <w:bottom w:w="40" w:type="dxa"/>
              <w:right w:w="20" w:type="dxa"/>
            </w:tcMar>
            <w:vAlign w:val="bottom"/>
          </w:tcPr>
          <w:p w14:paraId="67537CCC" w14:textId="77777777" w:rsidR="001B77DD" w:rsidRDefault="001B77DD">
            <w:pPr>
              <w:jc w:val="right"/>
              <w:rPr>
                <w:rFonts w:ascii="宋体"/>
              </w:rPr>
            </w:pPr>
          </w:p>
        </w:tc>
      </w:tr>
      <w:tr w:rsidR="001B77DD" w14:paraId="67537CDB" w14:textId="77777777">
        <w:tc>
          <w:tcPr>
            <w:tcW w:w="0" w:type="auto"/>
            <w:gridSpan w:val="3"/>
            <w:shd w:val="clear" w:color="auto" w:fill="auto"/>
            <w:tcMar>
              <w:top w:w="40" w:type="dxa"/>
              <w:left w:w="20" w:type="dxa"/>
              <w:bottom w:w="40" w:type="dxa"/>
              <w:right w:w="20" w:type="dxa"/>
            </w:tcMar>
          </w:tcPr>
          <w:p w14:paraId="67537CCE" w14:textId="77777777" w:rsidR="001B77DD" w:rsidRDefault="00BF0A2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7CCF"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D0"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D1" w14:textId="77777777" w:rsidR="001B77DD" w:rsidRDefault="00BF0A2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D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D3"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D4"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D5" w14:textId="77777777" w:rsidR="001B77DD" w:rsidRDefault="00BF0A2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D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CD7"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CD8"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CD9" w14:textId="77777777" w:rsidR="001B77DD" w:rsidRDefault="00BF0A2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CDA" w14:textId="77777777" w:rsidR="001B77DD" w:rsidRDefault="001B77DD">
            <w:pPr>
              <w:jc w:val="right"/>
              <w:rPr>
                <w:rFonts w:ascii="宋体"/>
              </w:rPr>
            </w:pPr>
          </w:p>
        </w:tc>
      </w:tr>
    </w:tbl>
    <w:p w14:paraId="67537CDC" w14:textId="77777777" w:rsidR="001B77DD" w:rsidRDefault="00BF0A28">
      <w:r>
        <w:rPr>
          <w:rFonts w:ascii="Arial" w:eastAsia="宋体" w:hAnsi="Arial" w:cs="Arial"/>
          <w:color w:val="262626"/>
          <w:sz w:val="18"/>
          <w:szCs w:val="18"/>
        </w:rPr>
        <w:t>The amounts recorded on the Consolidated Balance Sheet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97"/>
        <w:gridCol w:w="36"/>
        <w:gridCol w:w="36"/>
        <w:gridCol w:w="36"/>
        <w:gridCol w:w="36"/>
        <w:gridCol w:w="121"/>
        <w:gridCol w:w="800"/>
        <w:gridCol w:w="36"/>
        <w:gridCol w:w="36"/>
        <w:gridCol w:w="36"/>
        <w:gridCol w:w="36"/>
        <w:gridCol w:w="121"/>
        <w:gridCol w:w="801"/>
        <w:gridCol w:w="36"/>
        <w:gridCol w:w="36"/>
        <w:gridCol w:w="36"/>
        <w:gridCol w:w="36"/>
        <w:gridCol w:w="122"/>
        <w:gridCol w:w="801"/>
        <w:gridCol w:w="37"/>
        <w:gridCol w:w="37"/>
        <w:gridCol w:w="37"/>
        <w:gridCol w:w="36"/>
        <w:gridCol w:w="121"/>
        <w:gridCol w:w="800"/>
        <w:gridCol w:w="36"/>
      </w:tblGrid>
      <w:tr w:rsidR="001B77DD" w14:paraId="67537CF8" w14:textId="77777777">
        <w:tc>
          <w:tcPr>
            <w:tcW w:w="50" w:type="pct"/>
            <w:shd w:val="clear" w:color="auto" w:fill="auto"/>
            <w:vAlign w:val="bottom"/>
          </w:tcPr>
          <w:p w14:paraId="67537CDD" w14:textId="77777777" w:rsidR="001B77DD" w:rsidRDefault="001B77DD">
            <w:pPr>
              <w:rPr>
                <w:rFonts w:ascii="宋体"/>
              </w:rPr>
            </w:pPr>
          </w:p>
        </w:tc>
        <w:tc>
          <w:tcPr>
            <w:tcW w:w="2431" w:type="pct"/>
            <w:shd w:val="clear" w:color="auto" w:fill="auto"/>
            <w:vAlign w:val="bottom"/>
          </w:tcPr>
          <w:p w14:paraId="67537CDE" w14:textId="77777777" w:rsidR="001B77DD" w:rsidRDefault="001B77DD">
            <w:pPr>
              <w:rPr>
                <w:rFonts w:ascii="宋体"/>
              </w:rPr>
            </w:pPr>
          </w:p>
        </w:tc>
        <w:tc>
          <w:tcPr>
            <w:tcW w:w="5" w:type="pct"/>
            <w:shd w:val="clear" w:color="auto" w:fill="auto"/>
            <w:vAlign w:val="bottom"/>
          </w:tcPr>
          <w:p w14:paraId="67537CDF" w14:textId="77777777" w:rsidR="001B77DD" w:rsidRDefault="001B77DD">
            <w:pPr>
              <w:rPr>
                <w:rFonts w:ascii="宋体"/>
              </w:rPr>
            </w:pPr>
          </w:p>
        </w:tc>
        <w:tc>
          <w:tcPr>
            <w:tcW w:w="5" w:type="pct"/>
            <w:shd w:val="clear" w:color="auto" w:fill="auto"/>
            <w:vAlign w:val="bottom"/>
          </w:tcPr>
          <w:p w14:paraId="67537CE0" w14:textId="77777777" w:rsidR="001B77DD" w:rsidRDefault="001B77DD">
            <w:pPr>
              <w:rPr>
                <w:rFonts w:ascii="宋体"/>
              </w:rPr>
            </w:pPr>
          </w:p>
        </w:tc>
        <w:tc>
          <w:tcPr>
            <w:tcW w:w="24" w:type="pct"/>
            <w:shd w:val="clear" w:color="auto" w:fill="auto"/>
            <w:vAlign w:val="bottom"/>
          </w:tcPr>
          <w:p w14:paraId="67537CE1" w14:textId="77777777" w:rsidR="001B77DD" w:rsidRDefault="001B77DD">
            <w:pPr>
              <w:rPr>
                <w:rFonts w:ascii="宋体"/>
              </w:rPr>
            </w:pPr>
          </w:p>
        </w:tc>
        <w:tc>
          <w:tcPr>
            <w:tcW w:w="5" w:type="pct"/>
            <w:shd w:val="clear" w:color="auto" w:fill="auto"/>
            <w:vAlign w:val="bottom"/>
          </w:tcPr>
          <w:p w14:paraId="67537CE2" w14:textId="77777777" w:rsidR="001B77DD" w:rsidRDefault="001B77DD">
            <w:pPr>
              <w:rPr>
                <w:rFonts w:ascii="宋体"/>
              </w:rPr>
            </w:pPr>
          </w:p>
        </w:tc>
        <w:tc>
          <w:tcPr>
            <w:tcW w:w="50" w:type="pct"/>
            <w:shd w:val="clear" w:color="auto" w:fill="auto"/>
            <w:vAlign w:val="bottom"/>
          </w:tcPr>
          <w:p w14:paraId="67537CE3" w14:textId="77777777" w:rsidR="001B77DD" w:rsidRDefault="001B77DD">
            <w:pPr>
              <w:rPr>
                <w:rFonts w:ascii="宋体"/>
              </w:rPr>
            </w:pPr>
          </w:p>
        </w:tc>
        <w:tc>
          <w:tcPr>
            <w:tcW w:w="539" w:type="pct"/>
            <w:shd w:val="clear" w:color="auto" w:fill="auto"/>
            <w:vAlign w:val="bottom"/>
          </w:tcPr>
          <w:p w14:paraId="67537CE4" w14:textId="77777777" w:rsidR="001B77DD" w:rsidRDefault="001B77DD">
            <w:pPr>
              <w:rPr>
                <w:rFonts w:ascii="宋体"/>
              </w:rPr>
            </w:pPr>
          </w:p>
        </w:tc>
        <w:tc>
          <w:tcPr>
            <w:tcW w:w="5" w:type="pct"/>
            <w:shd w:val="clear" w:color="auto" w:fill="auto"/>
            <w:vAlign w:val="bottom"/>
          </w:tcPr>
          <w:p w14:paraId="67537CE5" w14:textId="77777777" w:rsidR="001B77DD" w:rsidRDefault="001B77DD">
            <w:pPr>
              <w:rPr>
                <w:rFonts w:ascii="宋体"/>
              </w:rPr>
            </w:pPr>
          </w:p>
        </w:tc>
        <w:tc>
          <w:tcPr>
            <w:tcW w:w="5" w:type="pct"/>
            <w:shd w:val="clear" w:color="auto" w:fill="auto"/>
            <w:vAlign w:val="bottom"/>
          </w:tcPr>
          <w:p w14:paraId="67537CE6" w14:textId="77777777" w:rsidR="001B77DD" w:rsidRDefault="001B77DD">
            <w:pPr>
              <w:rPr>
                <w:rFonts w:ascii="宋体"/>
              </w:rPr>
            </w:pPr>
          </w:p>
        </w:tc>
        <w:tc>
          <w:tcPr>
            <w:tcW w:w="24" w:type="pct"/>
            <w:shd w:val="clear" w:color="auto" w:fill="auto"/>
            <w:vAlign w:val="bottom"/>
          </w:tcPr>
          <w:p w14:paraId="67537CE7" w14:textId="77777777" w:rsidR="001B77DD" w:rsidRDefault="001B77DD">
            <w:pPr>
              <w:rPr>
                <w:rFonts w:ascii="宋体"/>
              </w:rPr>
            </w:pPr>
          </w:p>
        </w:tc>
        <w:tc>
          <w:tcPr>
            <w:tcW w:w="5" w:type="pct"/>
            <w:shd w:val="clear" w:color="auto" w:fill="auto"/>
            <w:vAlign w:val="bottom"/>
          </w:tcPr>
          <w:p w14:paraId="67537CE8" w14:textId="77777777" w:rsidR="001B77DD" w:rsidRDefault="001B77DD">
            <w:pPr>
              <w:rPr>
                <w:rFonts w:ascii="宋体"/>
              </w:rPr>
            </w:pPr>
          </w:p>
        </w:tc>
        <w:tc>
          <w:tcPr>
            <w:tcW w:w="50" w:type="pct"/>
            <w:shd w:val="clear" w:color="auto" w:fill="auto"/>
            <w:vAlign w:val="bottom"/>
          </w:tcPr>
          <w:p w14:paraId="67537CE9" w14:textId="77777777" w:rsidR="001B77DD" w:rsidRDefault="001B77DD">
            <w:pPr>
              <w:rPr>
                <w:rFonts w:ascii="宋体"/>
              </w:rPr>
            </w:pPr>
          </w:p>
        </w:tc>
        <w:tc>
          <w:tcPr>
            <w:tcW w:w="539" w:type="pct"/>
            <w:shd w:val="clear" w:color="auto" w:fill="auto"/>
            <w:vAlign w:val="bottom"/>
          </w:tcPr>
          <w:p w14:paraId="67537CEA" w14:textId="77777777" w:rsidR="001B77DD" w:rsidRDefault="001B77DD">
            <w:pPr>
              <w:rPr>
                <w:rFonts w:ascii="宋体"/>
              </w:rPr>
            </w:pPr>
          </w:p>
        </w:tc>
        <w:tc>
          <w:tcPr>
            <w:tcW w:w="5" w:type="pct"/>
            <w:shd w:val="clear" w:color="auto" w:fill="auto"/>
            <w:vAlign w:val="bottom"/>
          </w:tcPr>
          <w:p w14:paraId="67537CEB" w14:textId="77777777" w:rsidR="001B77DD" w:rsidRDefault="001B77DD">
            <w:pPr>
              <w:rPr>
                <w:rFonts w:ascii="宋体"/>
              </w:rPr>
            </w:pPr>
          </w:p>
        </w:tc>
        <w:tc>
          <w:tcPr>
            <w:tcW w:w="5" w:type="pct"/>
            <w:shd w:val="clear" w:color="auto" w:fill="auto"/>
            <w:vAlign w:val="bottom"/>
          </w:tcPr>
          <w:p w14:paraId="67537CEC" w14:textId="77777777" w:rsidR="001B77DD" w:rsidRDefault="001B77DD">
            <w:pPr>
              <w:rPr>
                <w:rFonts w:ascii="宋体"/>
              </w:rPr>
            </w:pPr>
          </w:p>
        </w:tc>
        <w:tc>
          <w:tcPr>
            <w:tcW w:w="24" w:type="pct"/>
            <w:shd w:val="clear" w:color="auto" w:fill="auto"/>
            <w:vAlign w:val="bottom"/>
          </w:tcPr>
          <w:p w14:paraId="67537CED" w14:textId="77777777" w:rsidR="001B77DD" w:rsidRDefault="001B77DD">
            <w:pPr>
              <w:rPr>
                <w:rFonts w:ascii="宋体"/>
              </w:rPr>
            </w:pPr>
          </w:p>
        </w:tc>
        <w:tc>
          <w:tcPr>
            <w:tcW w:w="5" w:type="pct"/>
            <w:shd w:val="clear" w:color="auto" w:fill="auto"/>
            <w:vAlign w:val="bottom"/>
          </w:tcPr>
          <w:p w14:paraId="67537CEE" w14:textId="77777777" w:rsidR="001B77DD" w:rsidRDefault="001B77DD">
            <w:pPr>
              <w:rPr>
                <w:rFonts w:ascii="宋体"/>
              </w:rPr>
            </w:pPr>
          </w:p>
        </w:tc>
        <w:tc>
          <w:tcPr>
            <w:tcW w:w="50" w:type="pct"/>
            <w:shd w:val="clear" w:color="auto" w:fill="auto"/>
            <w:vAlign w:val="bottom"/>
          </w:tcPr>
          <w:p w14:paraId="67537CEF" w14:textId="77777777" w:rsidR="001B77DD" w:rsidRDefault="001B77DD">
            <w:pPr>
              <w:rPr>
                <w:rFonts w:ascii="宋体"/>
              </w:rPr>
            </w:pPr>
          </w:p>
        </w:tc>
        <w:tc>
          <w:tcPr>
            <w:tcW w:w="539" w:type="pct"/>
            <w:shd w:val="clear" w:color="auto" w:fill="auto"/>
            <w:vAlign w:val="bottom"/>
          </w:tcPr>
          <w:p w14:paraId="67537CF0" w14:textId="77777777" w:rsidR="001B77DD" w:rsidRDefault="001B77DD">
            <w:pPr>
              <w:rPr>
                <w:rFonts w:ascii="宋体"/>
              </w:rPr>
            </w:pPr>
          </w:p>
        </w:tc>
        <w:tc>
          <w:tcPr>
            <w:tcW w:w="5" w:type="pct"/>
            <w:shd w:val="clear" w:color="auto" w:fill="auto"/>
            <w:vAlign w:val="bottom"/>
          </w:tcPr>
          <w:p w14:paraId="67537CF1" w14:textId="77777777" w:rsidR="001B77DD" w:rsidRDefault="001B77DD">
            <w:pPr>
              <w:rPr>
                <w:rFonts w:ascii="宋体"/>
              </w:rPr>
            </w:pPr>
          </w:p>
        </w:tc>
        <w:tc>
          <w:tcPr>
            <w:tcW w:w="5" w:type="pct"/>
            <w:shd w:val="clear" w:color="auto" w:fill="auto"/>
            <w:vAlign w:val="bottom"/>
          </w:tcPr>
          <w:p w14:paraId="67537CF2" w14:textId="77777777" w:rsidR="001B77DD" w:rsidRDefault="001B77DD">
            <w:pPr>
              <w:rPr>
                <w:rFonts w:ascii="宋体"/>
              </w:rPr>
            </w:pPr>
          </w:p>
        </w:tc>
        <w:tc>
          <w:tcPr>
            <w:tcW w:w="24" w:type="pct"/>
            <w:shd w:val="clear" w:color="auto" w:fill="auto"/>
            <w:vAlign w:val="bottom"/>
          </w:tcPr>
          <w:p w14:paraId="67537CF3" w14:textId="77777777" w:rsidR="001B77DD" w:rsidRDefault="001B77DD">
            <w:pPr>
              <w:rPr>
                <w:rFonts w:ascii="宋体"/>
              </w:rPr>
            </w:pPr>
          </w:p>
        </w:tc>
        <w:tc>
          <w:tcPr>
            <w:tcW w:w="5" w:type="pct"/>
            <w:shd w:val="clear" w:color="auto" w:fill="auto"/>
            <w:vAlign w:val="bottom"/>
          </w:tcPr>
          <w:p w14:paraId="67537CF4" w14:textId="77777777" w:rsidR="001B77DD" w:rsidRDefault="001B77DD">
            <w:pPr>
              <w:rPr>
                <w:rFonts w:ascii="宋体"/>
              </w:rPr>
            </w:pPr>
          </w:p>
        </w:tc>
        <w:tc>
          <w:tcPr>
            <w:tcW w:w="50" w:type="pct"/>
            <w:shd w:val="clear" w:color="auto" w:fill="auto"/>
            <w:vAlign w:val="bottom"/>
          </w:tcPr>
          <w:p w14:paraId="67537CF5" w14:textId="77777777" w:rsidR="001B77DD" w:rsidRDefault="001B77DD">
            <w:pPr>
              <w:rPr>
                <w:rFonts w:ascii="宋体"/>
              </w:rPr>
            </w:pPr>
          </w:p>
        </w:tc>
        <w:tc>
          <w:tcPr>
            <w:tcW w:w="539" w:type="pct"/>
            <w:shd w:val="clear" w:color="auto" w:fill="auto"/>
            <w:vAlign w:val="bottom"/>
          </w:tcPr>
          <w:p w14:paraId="67537CF6" w14:textId="77777777" w:rsidR="001B77DD" w:rsidRDefault="001B77DD">
            <w:pPr>
              <w:rPr>
                <w:rFonts w:ascii="宋体"/>
              </w:rPr>
            </w:pPr>
          </w:p>
        </w:tc>
        <w:tc>
          <w:tcPr>
            <w:tcW w:w="5" w:type="pct"/>
            <w:shd w:val="clear" w:color="auto" w:fill="auto"/>
            <w:vAlign w:val="bottom"/>
          </w:tcPr>
          <w:p w14:paraId="67537CF7" w14:textId="77777777" w:rsidR="001B77DD" w:rsidRDefault="001B77DD">
            <w:pPr>
              <w:rPr>
                <w:rFonts w:ascii="宋体"/>
              </w:rPr>
            </w:pPr>
          </w:p>
        </w:tc>
      </w:tr>
      <w:tr w:rsidR="001B77DD" w14:paraId="67537CFE" w14:textId="77777777">
        <w:tc>
          <w:tcPr>
            <w:tcW w:w="0" w:type="auto"/>
            <w:gridSpan w:val="3"/>
            <w:shd w:val="clear" w:color="auto" w:fill="auto"/>
            <w:tcMar>
              <w:top w:w="40" w:type="dxa"/>
              <w:left w:w="20" w:type="dxa"/>
              <w:bottom w:w="40" w:type="dxa"/>
              <w:right w:w="20" w:type="dxa"/>
            </w:tcMar>
            <w:vAlign w:val="bottom"/>
          </w:tcPr>
          <w:p w14:paraId="67537CF9" w14:textId="77777777" w:rsidR="001B77DD" w:rsidRDefault="00BF0A28">
            <w:pPr>
              <w:textAlignment w:val="bottom"/>
            </w:pPr>
            <w:r>
              <w:rPr>
                <w:rFonts w:ascii="Arial" w:eastAsia="宋体" w:hAnsi="Arial" w:cs="Arial"/>
                <w:b/>
                <w:bCs/>
                <w:color w:val="262626"/>
                <w:sz w:val="18"/>
                <w:szCs w:val="18"/>
              </w:rPr>
              <w:t>Line Item in the Consolidated Balance Sheet in Which the Hedged Item Is Included</w:t>
            </w:r>
          </w:p>
        </w:tc>
        <w:tc>
          <w:tcPr>
            <w:tcW w:w="0" w:type="auto"/>
            <w:gridSpan w:val="3"/>
            <w:shd w:val="clear" w:color="auto" w:fill="auto"/>
            <w:tcMar>
              <w:top w:w="0" w:type="dxa"/>
              <w:left w:w="20" w:type="dxa"/>
              <w:bottom w:w="0" w:type="dxa"/>
              <w:right w:w="20" w:type="dxa"/>
            </w:tcMar>
            <w:vAlign w:val="bottom"/>
          </w:tcPr>
          <w:p w14:paraId="67537CFA"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7CFB" w14:textId="77777777" w:rsidR="001B77DD" w:rsidRDefault="00BF0A28">
            <w:pPr>
              <w:jc w:val="center"/>
              <w:textAlignment w:val="bottom"/>
            </w:pPr>
            <w:r>
              <w:rPr>
                <w:rFonts w:ascii="Arial" w:eastAsia="宋体" w:hAnsi="Arial" w:cs="Arial"/>
                <w:b/>
                <w:bCs/>
                <w:color w:val="262626"/>
                <w:sz w:val="18"/>
                <w:szCs w:val="18"/>
              </w:rPr>
              <w:t>Carrying Amount of the Hedged Item Assets/(Liabilities)</w:t>
            </w:r>
          </w:p>
        </w:tc>
        <w:tc>
          <w:tcPr>
            <w:tcW w:w="0" w:type="auto"/>
            <w:gridSpan w:val="3"/>
            <w:shd w:val="clear" w:color="auto" w:fill="auto"/>
            <w:tcMar>
              <w:top w:w="0" w:type="dxa"/>
              <w:left w:w="20" w:type="dxa"/>
              <w:bottom w:w="0" w:type="dxa"/>
              <w:right w:w="20" w:type="dxa"/>
            </w:tcMar>
            <w:vAlign w:val="bottom"/>
          </w:tcPr>
          <w:p w14:paraId="67537CFC"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7CFD" w14:textId="77777777" w:rsidR="001B77DD" w:rsidRDefault="00BF0A28">
            <w:pPr>
              <w:jc w:val="center"/>
              <w:textAlignment w:val="bottom"/>
            </w:pPr>
            <w:r>
              <w:rPr>
                <w:rFonts w:ascii="Arial" w:eastAsia="宋体" w:hAnsi="Arial" w:cs="Arial"/>
                <w:b/>
                <w:bCs/>
                <w:color w:val="262626"/>
                <w:sz w:val="18"/>
                <w:szCs w:val="18"/>
              </w:rPr>
              <w:t xml:space="preserve">Cumulative Amount of Fair Value Hedging Adjustment </w:t>
            </w:r>
            <w:r>
              <w:rPr>
                <w:rFonts w:ascii="Arial" w:eastAsia="宋体" w:hAnsi="Arial" w:cs="Arial"/>
                <w:b/>
                <w:bCs/>
                <w:color w:val="262626"/>
                <w:sz w:val="18"/>
                <w:szCs w:val="18"/>
              </w:rPr>
              <w:t>Included in the Carrying Amount Assets/(Liabilities)</w:t>
            </w:r>
          </w:p>
        </w:tc>
      </w:tr>
      <w:tr w:rsidR="001B77DD" w14:paraId="67537D08" w14:textId="77777777">
        <w:tc>
          <w:tcPr>
            <w:tcW w:w="0" w:type="auto"/>
            <w:gridSpan w:val="3"/>
            <w:shd w:val="clear" w:color="auto" w:fill="auto"/>
            <w:tcMar>
              <w:top w:w="40" w:type="dxa"/>
              <w:left w:w="20" w:type="dxa"/>
              <w:bottom w:w="40" w:type="dxa"/>
              <w:right w:w="20" w:type="dxa"/>
            </w:tcMar>
            <w:vAlign w:val="bottom"/>
          </w:tcPr>
          <w:p w14:paraId="67537CFF"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7D00"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D01"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D02"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D03"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7D04"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D05"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D06"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D07"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7D1A" w14:textId="77777777">
        <w:tc>
          <w:tcPr>
            <w:tcW w:w="0" w:type="auto"/>
            <w:gridSpan w:val="3"/>
            <w:tcBorders>
              <w:top w:val="single" w:sz="8" w:space="0" w:color="0068B5"/>
            </w:tcBorders>
            <w:shd w:val="clear" w:color="auto" w:fill="auto"/>
            <w:tcMar>
              <w:top w:w="40" w:type="dxa"/>
              <w:left w:w="20" w:type="dxa"/>
              <w:bottom w:w="40" w:type="dxa"/>
              <w:right w:w="20" w:type="dxa"/>
            </w:tcMar>
          </w:tcPr>
          <w:p w14:paraId="67537D09" w14:textId="77777777" w:rsidR="001B77DD" w:rsidRDefault="00BF0A28">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67537D0A"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0B"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0C" w14:textId="77777777" w:rsidR="001B77DD" w:rsidRDefault="00BF0A28">
            <w:pPr>
              <w:jc w:val="right"/>
              <w:textAlignment w:val="bottom"/>
            </w:pPr>
            <w:r>
              <w:rPr>
                <w:rFonts w:ascii="Arial" w:eastAsia="宋体" w:hAnsi="Arial" w:cs="Arial"/>
                <w:color w:val="0068B5"/>
                <w:sz w:val="18"/>
                <w:szCs w:val="18"/>
              </w:rPr>
              <w:t>(12,772)</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0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0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0F"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10" w14:textId="77777777" w:rsidR="001B77DD" w:rsidRDefault="00BF0A28">
            <w:pPr>
              <w:jc w:val="right"/>
              <w:textAlignment w:val="bottom"/>
            </w:pPr>
            <w:r>
              <w:rPr>
                <w:rFonts w:ascii="Arial" w:eastAsia="宋体" w:hAnsi="Arial" w:cs="Arial"/>
                <w:color w:val="262626"/>
                <w:sz w:val="18"/>
                <w:szCs w:val="18"/>
              </w:rPr>
              <w:t>(13,495)</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1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12"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13"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14" w14:textId="77777777" w:rsidR="001B77DD" w:rsidRDefault="00BF0A28">
            <w:pPr>
              <w:jc w:val="right"/>
              <w:textAlignment w:val="bottom"/>
            </w:pPr>
            <w:r>
              <w:rPr>
                <w:rFonts w:ascii="Arial" w:eastAsia="宋体" w:hAnsi="Arial" w:cs="Arial"/>
                <w:color w:val="0068B5"/>
                <w:sz w:val="18"/>
                <w:szCs w:val="18"/>
              </w:rPr>
              <w:t>(775)</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1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16"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17"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18" w14:textId="77777777" w:rsidR="001B77DD" w:rsidRDefault="00BF0A28">
            <w:pPr>
              <w:jc w:val="right"/>
              <w:textAlignment w:val="bottom"/>
            </w:pPr>
            <w:r>
              <w:rPr>
                <w:rFonts w:ascii="Arial" w:eastAsia="宋体" w:hAnsi="Arial" w:cs="Arial"/>
                <w:color w:val="262626"/>
                <w:sz w:val="18"/>
                <w:szCs w:val="18"/>
              </w:rPr>
              <w:t>(1,498)</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19" w14:textId="77777777" w:rsidR="001B77DD" w:rsidRDefault="001B77DD">
            <w:pPr>
              <w:jc w:val="right"/>
              <w:rPr>
                <w:rFonts w:ascii="宋体"/>
              </w:rPr>
            </w:pPr>
          </w:p>
        </w:tc>
      </w:tr>
    </w:tbl>
    <w:p w14:paraId="67537D1B" w14:textId="77777777" w:rsidR="001B77DD" w:rsidRDefault="001B77DD">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D28" w14:textId="77777777">
        <w:tc>
          <w:tcPr>
            <w:tcW w:w="50" w:type="pct"/>
            <w:shd w:val="clear" w:color="auto" w:fill="auto"/>
            <w:vAlign w:val="bottom"/>
          </w:tcPr>
          <w:p w14:paraId="67537D1C" w14:textId="77777777" w:rsidR="001B77DD" w:rsidRDefault="001B77DD">
            <w:pPr>
              <w:rPr>
                <w:rFonts w:ascii="宋体"/>
              </w:rPr>
            </w:pPr>
          </w:p>
        </w:tc>
        <w:tc>
          <w:tcPr>
            <w:tcW w:w="276" w:type="pct"/>
            <w:shd w:val="clear" w:color="auto" w:fill="auto"/>
            <w:vAlign w:val="bottom"/>
          </w:tcPr>
          <w:p w14:paraId="67537D1D" w14:textId="77777777" w:rsidR="001B77DD" w:rsidRDefault="001B77DD">
            <w:pPr>
              <w:rPr>
                <w:rFonts w:ascii="宋体"/>
              </w:rPr>
            </w:pPr>
          </w:p>
        </w:tc>
        <w:tc>
          <w:tcPr>
            <w:tcW w:w="5" w:type="pct"/>
            <w:shd w:val="clear" w:color="auto" w:fill="auto"/>
            <w:vAlign w:val="bottom"/>
          </w:tcPr>
          <w:p w14:paraId="67537D1E" w14:textId="77777777" w:rsidR="001B77DD" w:rsidRDefault="001B77DD">
            <w:pPr>
              <w:rPr>
                <w:rFonts w:ascii="宋体"/>
              </w:rPr>
            </w:pPr>
          </w:p>
        </w:tc>
        <w:tc>
          <w:tcPr>
            <w:tcW w:w="50" w:type="pct"/>
            <w:shd w:val="clear" w:color="auto" w:fill="auto"/>
            <w:vAlign w:val="bottom"/>
          </w:tcPr>
          <w:p w14:paraId="67537D1F" w14:textId="77777777" w:rsidR="001B77DD" w:rsidRDefault="001B77DD">
            <w:pPr>
              <w:rPr>
                <w:rFonts w:ascii="宋体"/>
              </w:rPr>
            </w:pPr>
          </w:p>
        </w:tc>
        <w:tc>
          <w:tcPr>
            <w:tcW w:w="940" w:type="pct"/>
            <w:shd w:val="clear" w:color="auto" w:fill="auto"/>
            <w:vAlign w:val="bottom"/>
          </w:tcPr>
          <w:p w14:paraId="67537D20" w14:textId="77777777" w:rsidR="001B77DD" w:rsidRDefault="001B77DD">
            <w:pPr>
              <w:rPr>
                <w:rFonts w:ascii="宋体"/>
              </w:rPr>
            </w:pPr>
          </w:p>
        </w:tc>
        <w:tc>
          <w:tcPr>
            <w:tcW w:w="5" w:type="pct"/>
            <w:shd w:val="clear" w:color="auto" w:fill="auto"/>
            <w:vAlign w:val="bottom"/>
          </w:tcPr>
          <w:p w14:paraId="67537D21" w14:textId="77777777" w:rsidR="001B77DD" w:rsidRDefault="001B77DD">
            <w:pPr>
              <w:rPr>
                <w:rFonts w:ascii="宋体"/>
              </w:rPr>
            </w:pPr>
          </w:p>
        </w:tc>
        <w:tc>
          <w:tcPr>
            <w:tcW w:w="50" w:type="pct"/>
            <w:shd w:val="clear" w:color="auto" w:fill="auto"/>
            <w:vAlign w:val="bottom"/>
          </w:tcPr>
          <w:p w14:paraId="67537D22" w14:textId="77777777" w:rsidR="001B77DD" w:rsidRDefault="001B77DD">
            <w:pPr>
              <w:rPr>
                <w:rFonts w:ascii="宋体"/>
              </w:rPr>
            </w:pPr>
          </w:p>
        </w:tc>
        <w:tc>
          <w:tcPr>
            <w:tcW w:w="1837" w:type="pct"/>
            <w:shd w:val="clear" w:color="auto" w:fill="auto"/>
            <w:vAlign w:val="bottom"/>
          </w:tcPr>
          <w:p w14:paraId="67537D23" w14:textId="77777777" w:rsidR="001B77DD" w:rsidRDefault="001B77DD">
            <w:pPr>
              <w:rPr>
                <w:rFonts w:ascii="宋体"/>
              </w:rPr>
            </w:pPr>
          </w:p>
        </w:tc>
        <w:tc>
          <w:tcPr>
            <w:tcW w:w="5" w:type="pct"/>
            <w:shd w:val="clear" w:color="auto" w:fill="auto"/>
            <w:vAlign w:val="bottom"/>
          </w:tcPr>
          <w:p w14:paraId="67537D24" w14:textId="77777777" w:rsidR="001B77DD" w:rsidRDefault="001B77DD">
            <w:pPr>
              <w:rPr>
                <w:rFonts w:ascii="宋体"/>
              </w:rPr>
            </w:pPr>
          </w:p>
        </w:tc>
        <w:tc>
          <w:tcPr>
            <w:tcW w:w="50" w:type="pct"/>
            <w:shd w:val="clear" w:color="auto" w:fill="auto"/>
            <w:vAlign w:val="bottom"/>
          </w:tcPr>
          <w:p w14:paraId="67537D25" w14:textId="77777777" w:rsidR="001B77DD" w:rsidRDefault="001B77DD">
            <w:pPr>
              <w:rPr>
                <w:rFonts w:ascii="宋体"/>
              </w:rPr>
            </w:pPr>
          </w:p>
        </w:tc>
        <w:tc>
          <w:tcPr>
            <w:tcW w:w="1724" w:type="pct"/>
            <w:shd w:val="clear" w:color="auto" w:fill="auto"/>
            <w:vAlign w:val="bottom"/>
          </w:tcPr>
          <w:p w14:paraId="67537D26" w14:textId="77777777" w:rsidR="001B77DD" w:rsidRDefault="001B77DD">
            <w:pPr>
              <w:rPr>
                <w:rFonts w:ascii="宋体"/>
              </w:rPr>
            </w:pPr>
          </w:p>
        </w:tc>
        <w:tc>
          <w:tcPr>
            <w:tcW w:w="5" w:type="pct"/>
            <w:shd w:val="clear" w:color="auto" w:fill="auto"/>
            <w:vAlign w:val="bottom"/>
          </w:tcPr>
          <w:p w14:paraId="67537D27" w14:textId="77777777" w:rsidR="001B77DD" w:rsidRDefault="001B77DD">
            <w:pPr>
              <w:rPr>
                <w:rFonts w:ascii="宋体"/>
              </w:rPr>
            </w:pPr>
          </w:p>
        </w:tc>
      </w:tr>
      <w:tr w:rsidR="001B77DD" w14:paraId="67537D2D"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D29"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6C" wp14:editId="67538F6D">
                  <wp:extent cx="304800" cy="304800"/>
                  <wp:effectExtent l="0" t="0" r="0" b="0"/>
                  <wp:docPr id="130" name="图片 32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2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D2A"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D2B"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D2C" w14:textId="77777777" w:rsidR="001B77DD" w:rsidRDefault="00BF0A28">
            <w:pPr>
              <w:jc w:val="right"/>
              <w:textAlignment w:val="center"/>
            </w:pPr>
            <w:r>
              <w:rPr>
                <w:rFonts w:ascii="Arial" w:eastAsia="宋体" w:hAnsi="Arial" w:cs="Arial"/>
                <w:color w:val="262626"/>
                <w:sz w:val="16"/>
                <w:szCs w:val="16"/>
              </w:rPr>
              <w:t>100</w:t>
            </w:r>
          </w:p>
        </w:tc>
      </w:tr>
    </w:tbl>
    <w:p w14:paraId="67537D2E" w14:textId="77777777" w:rsidR="001B77DD" w:rsidRDefault="00BF0A28">
      <w:r>
        <w:pict w14:anchorId="67538F6E">
          <v:rect id="_x0000_i1126" style="width:415.3pt;height:1.5pt" o:hralign="center" o:hrstd="t" o:hr="t" fillcolor="#a0a0a0" stroked="f"/>
        </w:pict>
      </w:r>
    </w:p>
    <w:p w14:paraId="67537D2F" w14:textId="77777777" w:rsidR="001B77DD" w:rsidRDefault="00BF0A28">
      <w:pPr>
        <w:jc w:val="right"/>
      </w:pPr>
      <w:hyperlink r:id="rId188" w:anchor="i6c9ced68f6b24d58a3dcf326e8c3c699_16" w:history="1">
        <w:r>
          <w:rPr>
            <w:rStyle w:val="a5"/>
            <w:rFonts w:ascii="Arial" w:eastAsia="宋体" w:hAnsi="Arial" w:cs="Arial"/>
            <w:b/>
            <w:bCs/>
            <w:sz w:val="16"/>
            <w:szCs w:val="16"/>
          </w:rPr>
          <w:t>Table of Contents</w:t>
        </w:r>
      </w:hyperlink>
    </w:p>
    <w:p w14:paraId="67537D30" w14:textId="77777777" w:rsidR="001B77DD" w:rsidRDefault="001B77DD">
      <w:pPr>
        <w:jc w:val="right"/>
      </w:pPr>
    </w:p>
    <w:p w14:paraId="67537D31" w14:textId="77777777" w:rsidR="001B77DD" w:rsidRDefault="00BF0A28">
      <w:pPr>
        <w:spacing w:before="80" w:after="180"/>
      </w:pPr>
      <w:r>
        <w:rPr>
          <w:rFonts w:ascii="Arial" w:eastAsia="宋体" w:hAnsi="Arial" w:cs="Arial"/>
          <w:color w:val="0068B5"/>
        </w:rPr>
        <w:t>Derivatives Not Designated as Hedging Instruments</w:t>
      </w:r>
    </w:p>
    <w:p w14:paraId="67537D32" w14:textId="77777777" w:rsidR="001B77DD" w:rsidRDefault="00BF0A28">
      <w:r>
        <w:rPr>
          <w:rFonts w:ascii="Arial" w:eastAsia="宋体" w:hAnsi="Arial" w:cs="Arial"/>
          <w:color w:val="262626"/>
          <w:sz w:val="18"/>
          <w:szCs w:val="18"/>
        </w:rPr>
        <w:t>The effects of derivative instrum</w:t>
      </w:r>
      <w:r>
        <w:rPr>
          <w:rFonts w:ascii="Arial" w:eastAsia="宋体" w:hAnsi="Arial" w:cs="Arial"/>
          <w:color w:val="262626"/>
          <w:sz w:val="18"/>
          <w:szCs w:val="18"/>
        </w:rPr>
        <w:t xml:space="preserve">ents not designated as hedging instruments on the Consolidated Statements of Income for each period were as follows: </w:t>
      </w:r>
    </w:p>
    <w:tbl>
      <w:tblPr>
        <w:tblW w:w="4993" w:type="pct"/>
        <w:tblCellMar>
          <w:top w:w="15" w:type="dxa"/>
          <w:left w:w="15" w:type="dxa"/>
          <w:bottom w:w="15" w:type="dxa"/>
          <w:right w:w="15" w:type="dxa"/>
        </w:tblCellMar>
        <w:tblLook w:val="04A0" w:firstRow="1" w:lastRow="0" w:firstColumn="1" w:lastColumn="0" w:noHBand="0" w:noVBand="1"/>
      </w:tblPr>
      <w:tblGrid>
        <w:gridCol w:w="40"/>
        <w:gridCol w:w="2155"/>
        <w:gridCol w:w="36"/>
        <w:gridCol w:w="36"/>
        <w:gridCol w:w="36"/>
        <w:gridCol w:w="36"/>
        <w:gridCol w:w="37"/>
        <w:gridCol w:w="2666"/>
        <w:gridCol w:w="36"/>
        <w:gridCol w:w="36"/>
        <w:gridCol w:w="36"/>
        <w:gridCol w:w="36"/>
        <w:gridCol w:w="121"/>
        <w:gridCol w:w="817"/>
        <w:gridCol w:w="36"/>
        <w:gridCol w:w="36"/>
        <w:gridCol w:w="36"/>
        <w:gridCol w:w="36"/>
        <w:gridCol w:w="121"/>
        <w:gridCol w:w="817"/>
        <w:gridCol w:w="36"/>
        <w:gridCol w:w="36"/>
        <w:gridCol w:w="36"/>
        <w:gridCol w:w="36"/>
        <w:gridCol w:w="121"/>
        <w:gridCol w:w="817"/>
        <w:gridCol w:w="36"/>
      </w:tblGrid>
      <w:tr w:rsidR="001B77DD" w14:paraId="67537D4E" w14:textId="77777777">
        <w:tc>
          <w:tcPr>
            <w:tcW w:w="50" w:type="pct"/>
            <w:shd w:val="clear" w:color="auto" w:fill="auto"/>
            <w:vAlign w:val="bottom"/>
          </w:tcPr>
          <w:p w14:paraId="67537D33" w14:textId="77777777" w:rsidR="001B77DD" w:rsidRDefault="001B77DD">
            <w:pPr>
              <w:rPr>
                <w:rFonts w:ascii="宋体"/>
              </w:rPr>
            </w:pPr>
          </w:p>
        </w:tc>
        <w:tc>
          <w:tcPr>
            <w:tcW w:w="1319" w:type="pct"/>
            <w:shd w:val="clear" w:color="auto" w:fill="auto"/>
            <w:vAlign w:val="bottom"/>
          </w:tcPr>
          <w:p w14:paraId="67537D34" w14:textId="77777777" w:rsidR="001B77DD" w:rsidRDefault="001B77DD">
            <w:pPr>
              <w:rPr>
                <w:rFonts w:ascii="宋体"/>
              </w:rPr>
            </w:pPr>
          </w:p>
        </w:tc>
        <w:tc>
          <w:tcPr>
            <w:tcW w:w="5" w:type="pct"/>
            <w:shd w:val="clear" w:color="auto" w:fill="auto"/>
            <w:vAlign w:val="bottom"/>
          </w:tcPr>
          <w:p w14:paraId="67537D35" w14:textId="77777777" w:rsidR="001B77DD" w:rsidRDefault="001B77DD">
            <w:pPr>
              <w:rPr>
                <w:rFonts w:ascii="宋体"/>
              </w:rPr>
            </w:pPr>
          </w:p>
        </w:tc>
        <w:tc>
          <w:tcPr>
            <w:tcW w:w="5" w:type="pct"/>
            <w:shd w:val="clear" w:color="auto" w:fill="auto"/>
            <w:vAlign w:val="bottom"/>
          </w:tcPr>
          <w:p w14:paraId="67537D36" w14:textId="77777777" w:rsidR="001B77DD" w:rsidRDefault="001B77DD">
            <w:pPr>
              <w:rPr>
                <w:rFonts w:ascii="宋体"/>
              </w:rPr>
            </w:pPr>
          </w:p>
        </w:tc>
        <w:tc>
          <w:tcPr>
            <w:tcW w:w="24" w:type="pct"/>
            <w:shd w:val="clear" w:color="auto" w:fill="auto"/>
            <w:vAlign w:val="bottom"/>
          </w:tcPr>
          <w:p w14:paraId="67537D37" w14:textId="77777777" w:rsidR="001B77DD" w:rsidRDefault="001B77DD">
            <w:pPr>
              <w:rPr>
                <w:rFonts w:ascii="宋体"/>
              </w:rPr>
            </w:pPr>
          </w:p>
        </w:tc>
        <w:tc>
          <w:tcPr>
            <w:tcW w:w="5" w:type="pct"/>
            <w:shd w:val="clear" w:color="auto" w:fill="auto"/>
            <w:vAlign w:val="bottom"/>
          </w:tcPr>
          <w:p w14:paraId="67537D38" w14:textId="77777777" w:rsidR="001B77DD" w:rsidRDefault="001B77DD">
            <w:pPr>
              <w:rPr>
                <w:rFonts w:ascii="宋体"/>
              </w:rPr>
            </w:pPr>
          </w:p>
        </w:tc>
        <w:tc>
          <w:tcPr>
            <w:tcW w:w="50" w:type="pct"/>
            <w:shd w:val="clear" w:color="auto" w:fill="auto"/>
            <w:vAlign w:val="bottom"/>
          </w:tcPr>
          <w:p w14:paraId="67537D39" w14:textId="77777777" w:rsidR="001B77DD" w:rsidRDefault="001B77DD">
            <w:pPr>
              <w:rPr>
                <w:rFonts w:ascii="宋体"/>
              </w:rPr>
            </w:pPr>
          </w:p>
        </w:tc>
        <w:tc>
          <w:tcPr>
            <w:tcW w:w="1648" w:type="pct"/>
            <w:shd w:val="clear" w:color="auto" w:fill="auto"/>
            <w:vAlign w:val="bottom"/>
          </w:tcPr>
          <w:p w14:paraId="67537D3A" w14:textId="77777777" w:rsidR="001B77DD" w:rsidRDefault="001B77DD">
            <w:pPr>
              <w:rPr>
                <w:rFonts w:ascii="宋体"/>
              </w:rPr>
            </w:pPr>
          </w:p>
        </w:tc>
        <w:tc>
          <w:tcPr>
            <w:tcW w:w="5" w:type="pct"/>
            <w:shd w:val="clear" w:color="auto" w:fill="auto"/>
            <w:vAlign w:val="bottom"/>
          </w:tcPr>
          <w:p w14:paraId="67537D3B" w14:textId="77777777" w:rsidR="001B77DD" w:rsidRDefault="001B77DD">
            <w:pPr>
              <w:rPr>
                <w:rFonts w:ascii="宋体"/>
              </w:rPr>
            </w:pPr>
          </w:p>
        </w:tc>
        <w:tc>
          <w:tcPr>
            <w:tcW w:w="5" w:type="pct"/>
            <w:shd w:val="clear" w:color="auto" w:fill="auto"/>
            <w:vAlign w:val="bottom"/>
          </w:tcPr>
          <w:p w14:paraId="67537D3C" w14:textId="77777777" w:rsidR="001B77DD" w:rsidRDefault="001B77DD">
            <w:pPr>
              <w:rPr>
                <w:rFonts w:ascii="宋体"/>
              </w:rPr>
            </w:pPr>
          </w:p>
        </w:tc>
        <w:tc>
          <w:tcPr>
            <w:tcW w:w="24" w:type="pct"/>
            <w:shd w:val="clear" w:color="auto" w:fill="auto"/>
            <w:vAlign w:val="bottom"/>
          </w:tcPr>
          <w:p w14:paraId="67537D3D" w14:textId="77777777" w:rsidR="001B77DD" w:rsidRDefault="001B77DD">
            <w:pPr>
              <w:rPr>
                <w:rFonts w:ascii="宋体"/>
              </w:rPr>
            </w:pPr>
          </w:p>
        </w:tc>
        <w:tc>
          <w:tcPr>
            <w:tcW w:w="5" w:type="pct"/>
            <w:shd w:val="clear" w:color="auto" w:fill="auto"/>
            <w:vAlign w:val="bottom"/>
          </w:tcPr>
          <w:p w14:paraId="67537D3E" w14:textId="77777777" w:rsidR="001B77DD" w:rsidRDefault="001B77DD">
            <w:pPr>
              <w:rPr>
                <w:rFonts w:ascii="宋体"/>
              </w:rPr>
            </w:pPr>
          </w:p>
        </w:tc>
        <w:tc>
          <w:tcPr>
            <w:tcW w:w="50" w:type="pct"/>
            <w:shd w:val="clear" w:color="auto" w:fill="auto"/>
            <w:vAlign w:val="bottom"/>
          </w:tcPr>
          <w:p w14:paraId="67537D3F" w14:textId="77777777" w:rsidR="001B77DD" w:rsidRDefault="001B77DD">
            <w:pPr>
              <w:rPr>
                <w:rFonts w:ascii="宋体"/>
              </w:rPr>
            </w:pPr>
          </w:p>
        </w:tc>
        <w:tc>
          <w:tcPr>
            <w:tcW w:w="540" w:type="pct"/>
            <w:shd w:val="clear" w:color="auto" w:fill="auto"/>
            <w:vAlign w:val="bottom"/>
          </w:tcPr>
          <w:p w14:paraId="67537D40" w14:textId="77777777" w:rsidR="001B77DD" w:rsidRDefault="001B77DD">
            <w:pPr>
              <w:rPr>
                <w:rFonts w:ascii="宋体"/>
              </w:rPr>
            </w:pPr>
          </w:p>
        </w:tc>
        <w:tc>
          <w:tcPr>
            <w:tcW w:w="5" w:type="pct"/>
            <w:shd w:val="clear" w:color="auto" w:fill="auto"/>
            <w:vAlign w:val="bottom"/>
          </w:tcPr>
          <w:p w14:paraId="67537D41" w14:textId="77777777" w:rsidR="001B77DD" w:rsidRDefault="001B77DD">
            <w:pPr>
              <w:rPr>
                <w:rFonts w:ascii="宋体"/>
              </w:rPr>
            </w:pPr>
          </w:p>
        </w:tc>
        <w:tc>
          <w:tcPr>
            <w:tcW w:w="5" w:type="pct"/>
            <w:shd w:val="clear" w:color="auto" w:fill="auto"/>
            <w:vAlign w:val="bottom"/>
          </w:tcPr>
          <w:p w14:paraId="67537D42" w14:textId="77777777" w:rsidR="001B77DD" w:rsidRDefault="001B77DD">
            <w:pPr>
              <w:rPr>
                <w:rFonts w:ascii="宋体"/>
              </w:rPr>
            </w:pPr>
          </w:p>
        </w:tc>
        <w:tc>
          <w:tcPr>
            <w:tcW w:w="24" w:type="pct"/>
            <w:shd w:val="clear" w:color="auto" w:fill="auto"/>
            <w:vAlign w:val="bottom"/>
          </w:tcPr>
          <w:p w14:paraId="67537D43" w14:textId="77777777" w:rsidR="001B77DD" w:rsidRDefault="001B77DD">
            <w:pPr>
              <w:rPr>
                <w:rFonts w:ascii="宋体"/>
              </w:rPr>
            </w:pPr>
          </w:p>
        </w:tc>
        <w:tc>
          <w:tcPr>
            <w:tcW w:w="5" w:type="pct"/>
            <w:shd w:val="clear" w:color="auto" w:fill="auto"/>
            <w:vAlign w:val="bottom"/>
          </w:tcPr>
          <w:p w14:paraId="67537D44" w14:textId="77777777" w:rsidR="001B77DD" w:rsidRDefault="001B77DD">
            <w:pPr>
              <w:rPr>
                <w:rFonts w:ascii="宋体"/>
              </w:rPr>
            </w:pPr>
          </w:p>
        </w:tc>
        <w:tc>
          <w:tcPr>
            <w:tcW w:w="50" w:type="pct"/>
            <w:shd w:val="clear" w:color="auto" w:fill="auto"/>
            <w:vAlign w:val="bottom"/>
          </w:tcPr>
          <w:p w14:paraId="67537D45" w14:textId="77777777" w:rsidR="001B77DD" w:rsidRDefault="001B77DD">
            <w:pPr>
              <w:rPr>
                <w:rFonts w:ascii="宋体"/>
              </w:rPr>
            </w:pPr>
          </w:p>
        </w:tc>
        <w:tc>
          <w:tcPr>
            <w:tcW w:w="540" w:type="pct"/>
            <w:shd w:val="clear" w:color="auto" w:fill="auto"/>
            <w:vAlign w:val="bottom"/>
          </w:tcPr>
          <w:p w14:paraId="67537D46" w14:textId="77777777" w:rsidR="001B77DD" w:rsidRDefault="001B77DD">
            <w:pPr>
              <w:rPr>
                <w:rFonts w:ascii="宋体"/>
              </w:rPr>
            </w:pPr>
          </w:p>
        </w:tc>
        <w:tc>
          <w:tcPr>
            <w:tcW w:w="5" w:type="pct"/>
            <w:shd w:val="clear" w:color="auto" w:fill="auto"/>
            <w:vAlign w:val="bottom"/>
          </w:tcPr>
          <w:p w14:paraId="67537D47" w14:textId="77777777" w:rsidR="001B77DD" w:rsidRDefault="001B77DD">
            <w:pPr>
              <w:rPr>
                <w:rFonts w:ascii="宋体"/>
              </w:rPr>
            </w:pPr>
          </w:p>
        </w:tc>
        <w:tc>
          <w:tcPr>
            <w:tcW w:w="5" w:type="pct"/>
            <w:shd w:val="clear" w:color="auto" w:fill="auto"/>
            <w:vAlign w:val="bottom"/>
          </w:tcPr>
          <w:p w14:paraId="67537D48" w14:textId="77777777" w:rsidR="001B77DD" w:rsidRDefault="001B77DD">
            <w:pPr>
              <w:rPr>
                <w:rFonts w:ascii="宋体"/>
              </w:rPr>
            </w:pPr>
          </w:p>
        </w:tc>
        <w:tc>
          <w:tcPr>
            <w:tcW w:w="24" w:type="pct"/>
            <w:shd w:val="clear" w:color="auto" w:fill="auto"/>
            <w:vAlign w:val="bottom"/>
          </w:tcPr>
          <w:p w14:paraId="67537D49" w14:textId="77777777" w:rsidR="001B77DD" w:rsidRDefault="001B77DD">
            <w:pPr>
              <w:rPr>
                <w:rFonts w:ascii="宋体"/>
              </w:rPr>
            </w:pPr>
          </w:p>
        </w:tc>
        <w:tc>
          <w:tcPr>
            <w:tcW w:w="5" w:type="pct"/>
            <w:shd w:val="clear" w:color="auto" w:fill="auto"/>
            <w:vAlign w:val="bottom"/>
          </w:tcPr>
          <w:p w14:paraId="67537D4A" w14:textId="77777777" w:rsidR="001B77DD" w:rsidRDefault="001B77DD">
            <w:pPr>
              <w:rPr>
                <w:rFonts w:ascii="宋体"/>
              </w:rPr>
            </w:pPr>
          </w:p>
        </w:tc>
        <w:tc>
          <w:tcPr>
            <w:tcW w:w="50" w:type="pct"/>
            <w:shd w:val="clear" w:color="auto" w:fill="auto"/>
            <w:vAlign w:val="bottom"/>
          </w:tcPr>
          <w:p w14:paraId="67537D4B" w14:textId="77777777" w:rsidR="001B77DD" w:rsidRDefault="001B77DD">
            <w:pPr>
              <w:rPr>
                <w:rFonts w:ascii="宋体"/>
              </w:rPr>
            </w:pPr>
          </w:p>
        </w:tc>
        <w:tc>
          <w:tcPr>
            <w:tcW w:w="540" w:type="pct"/>
            <w:shd w:val="clear" w:color="auto" w:fill="auto"/>
            <w:vAlign w:val="bottom"/>
          </w:tcPr>
          <w:p w14:paraId="67537D4C" w14:textId="77777777" w:rsidR="001B77DD" w:rsidRDefault="001B77DD">
            <w:pPr>
              <w:rPr>
                <w:rFonts w:ascii="宋体"/>
              </w:rPr>
            </w:pPr>
          </w:p>
        </w:tc>
        <w:tc>
          <w:tcPr>
            <w:tcW w:w="5" w:type="pct"/>
            <w:shd w:val="clear" w:color="auto" w:fill="auto"/>
            <w:vAlign w:val="bottom"/>
          </w:tcPr>
          <w:p w14:paraId="67537D4D" w14:textId="77777777" w:rsidR="001B77DD" w:rsidRDefault="001B77DD">
            <w:pPr>
              <w:rPr>
                <w:rFonts w:ascii="宋体"/>
              </w:rPr>
            </w:pPr>
          </w:p>
        </w:tc>
      </w:tr>
      <w:tr w:rsidR="001B77DD" w14:paraId="67537D58" w14:textId="77777777">
        <w:tc>
          <w:tcPr>
            <w:tcW w:w="0" w:type="auto"/>
            <w:gridSpan w:val="3"/>
            <w:shd w:val="clear" w:color="auto" w:fill="auto"/>
            <w:tcMar>
              <w:top w:w="40" w:type="dxa"/>
              <w:left w:w="20" w:type="dxa"/>
              <w:bottom w:w="40" w:type="dxa"/>
              <w:right w:w="20" w:type="dxa"/>
            </w:tcMar>
            <w:vAlign w:val="bottom"/>
          </w:tcPr>
          <w:p w14:paraId="67537D4F" w14:textId="77777777" w:rsidR="001B77DD" w:rsidRDefault="00BF0A28">
            <w:pPr>
              <w:textAlignment w:val="bottom"/>
            </w:pPr>
            <w:r>
              <w:rPr>
                <w:rFonts w:ascii="Arial" w:eastAsia="宋体" w:hAnsi="Arial" w:cs="Arial"/>
                <w:b/>
                <w:bCs/>
                <w:color w:val="262626"/>
                <w:sz w:val="18"/>
                <w:szCs w:val="18"/>
              </w:rPr>
              <w:t>Years Ended (In Millions)</w:t>
            </w:r>
          </w:p>
        </w:tc>
        <w:tc>
          <w:tcPr>
            <w:tcW w:w="0" w:type="auto"/>
            <w:gridSpan w:val="3"/>
            <w:shd w:val="clear" w:color="auto" w:fill="auto"/>
            <w:tcMar>
              <w:top w:w="0" w:type="dxa"/>
              <w:left w:w="20" w:type="dxa"/>
              <w:bottom w:w="0" w:type="dxa"/>
              <w:right w:w="20" w:type="dxa"/>
            </w:tcMar>
            <w:vAlign w:val="bottom"/>
          </w:tcPr>
          <w:p w14:paraId="67537D5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51" w14:textId="77777777" w:rsidR="001B77DD" w:rsidRDefault="00BF0A28">
            <w:pPr>
              <w:jc w:val="center"/>
              <w:textAlignment w:val="bottom"/>
            </w:pPr>
            <w:r>
              <w:rPr>
                <w:rFonts w:ascii="Arial" w:eastAsia="宋体" w:hAnsi="Arial" w:cs="Arial"/>
                <w:b/>
                <w:bCs/>
                <w:color w:val="262626"/>
                <w:sz w:val="18"/>
                <w:szCs w:val="18"/>
              </w:rPr>
              <w:t>Location of Gains (Losses)</w:t>
            </w:r>
            <w:r>
              <w:rPr>
                <w:rFonts w:ascii="Arial" w:eastAsia="宋体" w:hAnsi="Arial" w:cs="Arial"/>
                <w:b/>
                <w:bCs/>
                <w:color w:val="262626"/>
                <w:sz w:val="18"/>
                <w:szCs w:val="18"/>
              </w:rPr>
              <w:br/>
              <w:t>Recognized in Income on Derivatives</w:t>
            </w:r>
          </w:p>
        </w:tc>
        <w:tc>
          <w:tcPr>
            <w:tcW w:w="0" w:type="auto"/>
            <w:gridSpan w:val="3"/>
            <w:shd w:val="clear" w:color="auto" w:fill="auto"/>
            <w:tcMar>
              <w:top w:w="0" w:type="dxa"/>
              <w:left w:w="20" w:type="dxa"/>
              <w:bottom w:w="0" w:type="dxa"/>
              <w:right w:w="20" w:type="dxa"/>
            </w:tcMar>
            <w:vAlign w:val="bottom"/>
          </w:tcPr>
          <w:p w14:paraId="67537D5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53"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7D5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55" w14:textId="77777777" w:rsidR="001B77DD" w:rsidRDefault="00BF0A28">
            <w:pPr>
              <w:jc w:val="center"/>
              <w:textAlignment w:val="bottom"/>
            </w:pPr>
            <w:r>
              <w:rPr>
                <w:rFonts w:ascii="Arial" w:eastAsia="宋体" w:hAnsi="Arial" w:cs="Arial"/>
                <w:b/>
                <w:bCs/>
                <w:color w:val="262626"/>
                <w:sz w:val="18"/>
                <w:szCs w:val="18"/>
              </w:rPr>
              <w:t>Dec 26, 2020</w:t>
            </w:r>
          </w:p>
        </w:tc>
        <w:tc>
          <w:tcPr>
            <w:tcW w:w="0" w:type="auto"/>
            <w:gridSpan w:val="3"/>
            <w:shd w:val="clear" w:color="auto" w:fill="auto"/>
            <w:tcMar>
              <w:top w:w="0" w:type="dxa"/>
              <w:left w:w="20" w:type="dxa"/>
              <w:bottom w:w="0" w:type="dxa"/>
              <w:right w:w="20" w:type="dxa"/>
            </w:tcMar>
            <w:vAlign w:val="bottom"/>
          </w:tcPr>
          <w:p w14:paraId="67537D5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57"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7D68" w14:textId="77777777">
        <w:tc>
          <w:tcPr>
            <w:tcW w:w="0" w:type="auto"/>
            <w:gridSpan w:val="3"/>
            <w:tcBorders>
              <w:top w:val="single" w:sz="8" w:space="0" w:color="0068B5"/>
            </w:tcBorders>
            <w:shd w:val="clear" w:color="auto" w:fill="auto"/>
            <w:tcMar>
              <w:top w:w="40" w:type="dxa"/>
              <w:left w:w="20" w:type="dxa"/>
              <w:bottom w:w="40" w:type="dxa"/>
              <w:right w:w="20" w:type="dxa"/>
            </w:tcMar>
          </w:tcPr>
          <w:p w14:paraId="67537D59" w14:textId="77777777" w:rsidR="001B77DD" w:rsidRDefault="00BF0A28">
            <w:pPr>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67537D5A"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D5B" w14:textId="77777777" w:rsidR="001B77DD" w:rsidRDefault="00BF0A28">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7537D5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5D"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5E" w14:textId="77777777" w:rsidR="001B77DD" w:rsidRDefault="00BF0A28">
            <w:pPr>
              <w:jc w:val="right"/>
              <w:textAlignment w:val="bottom"/>
            </w:pPr>
            <w:r>
              <w:rPr>
                <w:rFonts w:ascii="Arial" w:eastAsia="宋体" w:hAnsi="Arial" w:cs="Arial"/>
                <w:color w:val="0068B5"/>
                <w:sz w:val="18"/>
                <w:szCs w:val="18"/>
              </w:rPr>
              <w:t>677 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5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60"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61"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62" w14:textId="77777777" w:rsidR="001B77DD" w:rsidRDefault="00BF0A28">
            <w:pPr>
              <w:jc w:val="right"/>
              <w:textAlignment w:val="bottom"/>
            </w:pPr>
            <w:r>
              <w:rPr>
                <w:rFonts w:ascii="Arial" w:eastAsia="宋体" w:hAnsi="Arial" w:cs="Arial"/>
                <w:color w:val="262626"/>
                <w:sz w:val="18"/>
                <w:szCs w:val="18"/>
              </w:rPr>
              <w:t>(572)</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6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6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65"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66" w14:textId="77777777" w:rsidR="001B77DD" w:rsidRDefault="00BF0A28">
            <w:pPr>
              <w:jc w:val="right"/>
              <w:textAlignment w:val="bottom"/>
            </w:pPr>
            <w:r>
              <w:rPr>
                <w:rFonts w:ascii="Arial" w:eastAsia="宋体" w:hAnsi="Arial" w:cs="Arial"/>
                <w:color w:val="262626"/>
                <w:sz w:val="18"/>
                <w:szCs w:val="18"/>
              </w:rPr>
              <w:t>204 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67" w14:textId="77777777" w:rsidR="001B77DD" w:rsidRDefault="001B77DD">
            <w:pPr>
              <w:jc w:val="right"/>
              <w:rPr>
                <w:rFonts w:ascii="宋体"/>
              </w:rPr>
            </w:pPr>
          </w:p>
        </w:tc>
      </w:tr>
      <w:tr w:rsidR="001B77DD" w14:paraId="67537D75" w14:textId="77777777">
        <w:tc>
          <w:tcPr>
            <w:tcW w:w="0" w:type="auto"/>
            <w:gridSpan w:val="3"/>
            <w:shd w:val="clear" w:color="auto" w:fill="auto"/>
            <w:tcMar>
              <w:top w:w="40" w:type="dxa"/>
              <w:left w:w="20" w:type="dxa"/>
              <w:bottom w:w="40" w:type="dxa"/>
              <w:right w:w="20" w:type="dxa"/>
            </w:tcMar>
          </w:tcPr>
          <w:p w14:paraId="67537D69" w14:textId="77777777" w:rsidR="001B77DD" w:rsidRDefault="00BF0A28">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7537D6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6B" w14:textId="77777777" w:rsidR="001B77DD" w:rsidRDefault="00BF0A28">
            <w:pPr>
              <w:textAlignment w:val="bottom"/>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7537D6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D6D" w14:textId="77777777" w:rsidR="001B77DD" w:rsidRDefault="00BF0A28">
            <w:pPr>
              <w:jc w:val="right"/>
              <w:textAlignment w:val="bottom"/>
            </w:pPr>
            <w:r>
              <w:rPr>
                <w:rFonts w:ascii="Arial" w:eastAsia="宋体" w:hAnsi="Arial" w:cs="Arial"/>
                <w:color w:val="0068B5"/>
                <w:sz w:val="18"/>
                <w:szCs w:val="18"/>
              </w:rPr>
              <w:t>31 </w:t>
            </w:r>
          </w:p>
        </w:tc>
        <w:tc>
          <w:tcPr>
            <w:tcW w:w="0" w:type="auto"/>
            <w:shd w:val="clear" w:color="auto" w:fill="auto"/>
            <w:tcMar>
              <w:top w:w="40" w:type="dxa"/>
              <w:left w:w="0" w:type="dxa"/>
              <w:bottom w:w="40" w:type="dxa"/>
              <w:right w:w="20" w:type="dxa"/>
            </w:tcMar>
            <w:vAlign w:val="bottom"/>
          </w:tcPr>
          <w:p w14:paraId="67537D6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6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D70" w14:textId="77777777" w:rsidR="001B77DD" w:rsidRDefault="00BF0A28">
            <w:pPr>
              <w:jc w:val="right"/>
              <w:textAlignment w:val="bottom"/>
            </w:pPr>
            <w:r>
              <w:rPr>
                <w:rFonts w:ascii="Arial" w:eastAsia="宋体" w:hAnsi="Arial" w:cs="Arial"/>
                <w:color w:val="262626"/>
                <w:sz w:val="18"/>
                <w:szCs w:val="18"/>
              </w:rPr>
              <w:t>(90)</w:t>
            </w:r>
          </w:p>
        </w:tc>
        <w:tc>
          <w:tcPr>
            <w:tcW w:w="0" w:type="auto"/>
            <w:shd w:val="clear" w:color="auto" w:fill="auto"/>
            <w:tcMar>
              <w:top w:w="40" w:type="dxa"/>
              <w:left w:w="0" w:type="dxa"/>
              <w:bottom w:w="40" w:type="dxa"/>
              <w:right w:w="20" w:type="dxa"/>
            </w:tcMar>
            <w:vAlign w:val="bottom"/>
          </w:tcPr>
          <w:p w14:paraId="67537D7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7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D73" w14:textId="77777777" w:rsidR="001B77DD" w:rsidRDefault="00BF0A28">
            <w:pPr>
              <w:jc w:val="right"/>
              <w:textAlignment w:val="bottom"/>
            </w:pPr>
            <w:r>
              <w:rPr>
                <w:rFonts w:ascii="Arial" w:eastAsia="宋体" w:hAnsi="Arial" w:cs="Arial"/>
                <w:color w:val="262626"/>
                <w:sz w:val="18"/>
                <w:szCs w:val="18"/>
              </w:rPr>
              <w:t>(32)</w:t>
            </w:r>
          </w:p>
        </w:tc>
        <w:tc>
          <w:tcPr>
            <w:tcW w:w="0" w:type="auto"/>
            <w:shd w:val="clear" w:color="auto" w:fill="auto"/>
            <w:tcMar>
              <w:top w:w="40" w:type="dxa"/>
              <w:left w:w="0" w:type="dxa"/>
              <w:bottom w:w="40" w:type="dxa"/>
              <w:right w:w="20" w:type="dxa"/>
            </w:tcMar>
            <w:vAlign w:val="bottom"/>
          </w:tcPr>
          <w:p w14:paraId="67537D74" w14:textId="77777777" w:rsidR="001B77DD" w:rsidRDefault="001B77DD">
            <w:pPr>
              <w:jc w:val="right"/>
              <w:rPr>
                <w:rFonts w:ascii="宋体"/>
              </w:rPr>
            </w:pPr>
          </w:p>
        </w:tc>
      </w:tr>
      <w:tr w:rsidR="001B77DD" w14:paraId="67537D82" w14:textId="77777777">
        <w:tc>
          <w:tcPr>
            <w:tcW w:w="0" w:type="auto"/>
            <w:gridSpan w:val="3"/>
            <w:shd w:val="clear" w:color="auto" w:fill="auto"/>
            <w:tcMar>
              <w:top w:w="40" w:type="dxa"/>
              <w:left w:w="20" w:type="dxa"/>
              <w:bottom w:w="40" w:type="dxa"/>
              <w:right w:w="20" w:type="dxa"/>
            </w:tcMar>
          </w:tcPr>
          <w:p w14:paraId="67537D76" w14:textId="77777777" w:rsidR="001B77DD" w:rsidRDefault="00BF0A28">
            <w:pPr>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7537D7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78" w14:textId="77777777" w:rsidR="001B77DD" w:rsidRDefault="00BF0A28">
            <w:pPr>
              <w:textAlignment w:val="bottom"/>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vAlign w:val="bottom"/>
          </w:tcPr>
          <w:p w14:paraId="67537D7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D7A" w14:textId="77777777" w:rsidR="001B77DD" w:rsidRDefault="00BF0A28">
            <w:pPr>
              <w:jc w:val="right"/>
              <w:textAlignment w:val="bottom"/>
            </w:pPr>
            <w:r>
              <w:rPr>
                <w:rFonts w:ascii="Arial" w:eastAsia="宋体" w:hAnsi="Arial" w:cs="Arial"/>
                <w:color w:val="0068B5"/>
                <w:sz w:val="18"/>
                <w:szCs w:val="18"/>
              </w:rPr>
              <w:t>360 </w:t>
            </w:r>
          </w:p>
        </w:tc>
        <w:tc>
          <w:tcPr>
            <w:tcW w:w="0" w:type="auto"/>
            <w:shd w:val="clear" w:color="auto" w:fill="auto"/>
            <w:tcMar>
              <w:top w:w="40" w:type="dxa"/>
              <w:left w:w="0" w:type="dxa"/>
              <w:bottom w:w="40" w:type="dxa"/>
              <w:right w:w="20" w:type="dxa"/>
            </w:tcMar>
            <w:vAlign w:val="bottom"/>
          </w:tcPr>
          <w:p w14:paraId="67537D7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7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D7D" w14:textId="77777777" w:rsidR="001B77DD" w:rsidRDefault="00BF0A28">
            <w:pPr>
              <w:jc w:val="right"/>
              <w:textAlignment w:val="bottom"/>
            </w:pPr>
            <w:r>
              <w:rPr>
                <w:rFonts w:ascii="Arial" w:eastAsia="宋体" w:hAnsi="Arial" w:cs="Arial"/>
                <w:color w:val="262626"/>
                <w:sz w:val="18"/>
                <w:szCs w:val="18"/>
              </w:rPr>
              <w:t>284 </w:t>
            </w:r>
          </w:p>
        </w:tc>
        <w:tc>
          <w:tcPr>
            <w:tcW w:w="0" w:type="auto"/>
            <w:shd w:val="clear" w:color="auto" w:fill="auto"/>
            <w:tcMar>
              <w:top w:w="40" w:type="dxa"/>
              <w:left w:w="0" w:type="dxa"/>
              <w:bottom w:w="40" w:type="dxa"/>
              <w:right w:w="20" w:type="dxa"/>
            </w:tcMar>
            <w:vAlign w:val="bottom"/>
          </w:tcPr>
          <w:p w14:paraId="67537D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7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D80" w14:textId="77777777" w:rsidR="001B77DD" w:rsidRDefault="00BF0A28">
            <w:pPr>
              <w:jc w:val="right"/>
              <w:textAlignment w:val="bottom"/>
            </w:pPr>
            <w:r>
              <w:rPr>
                <w:rFonts w:ascii="Arial" w:eastAsia="宋体" w:hAnsi="Arial" w:cs="Arial"/>
                <w:color w:val="262626"/>
                <w:sz w:val="18"/>
                <w:szCs w:val="18"/>
              </w:rPr>
              <w:t>297 </w:t>
            </w:r>
          </w:p>
        </w:tc>
        <w:tc>
          <w:tcPr>
            <w:tcW w:w="0" w:type="auto"/>
            <w:shd w:val="clear" w:color="auto" w:fill="auto"/>
            <w:tcMar>
              <w:top w:w="40" w:type="dxa"/>
              <w:left w:w="0" w:type="dxa"/>
              <w:bottom w:w="40" w:type="dxa"/>
              <w:right w:w="20" w:type="dxa"/>
            </w:tcMar>
            <w:vAlign w:val="bottom"/>
          </w:tcPr>
          <w:p w14:paraId="67537D81" w14:textId="77777777" w:rsidR="001B77DD" w:rsidRDefault="001B77DD">
            <w:pPr>
              <w:jc w:val="right"/>
              <w:rPr>
                <w:rFonts w:ascii="宋体"/>
              </w:rPr>
            </w:pPr>
          </w:p>
        </w:tc>
      </w:tr>
      <w:tr w:rsidR="001B77DD" w14:paraId="67537D90" w14:textId="77777777">
        <w:tc>
          <w:tcPr>
            <w:tcW w:w="0" w:type="auto"/>
            <w:gridSpan w:val="9"/>
            <w:shd w:val="clear" w:color="auto" w:fill="auto"/>
            <w:tcMar>
              <w:top w:w="40" w:type="dxa"/>
              <w:left w:w="20" w:type="dxa"/>
              <w:bottom w:w="40" w:type="dxa"/>
              <w:right w:w="20" w:type="dxa"/>
            </w:tcMar>
          </w:tcPr>
          <w:p w14:paraId="67537D83" w14:textId="77777777" w:rsidR="001B77DD" w:rsidRDefault="00BF0A2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7D84"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D85"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D86" w14:textId="77777777" w:rsidR="001B77DD" w:rsidRDefault="00BF0A28">
            <w:pPr>
              <w:jc w:val="right"/>
              <w:textAlignment w:val="bottom"/>
            </w:pPr>
            <w:r>
              <w:rPr>
                <w:rFonts w:ascii="Arial" w:eastAsia="宋体" w:hAnsi="Arial" w:cs="Arial"/>
                <w:b/>
                <w:bCs/>
                <w:color w:val="0068B5"/>
                <w:sz w:val="18"/>
                <w:szCs w:val="18"/>
              </w:rPr>
              <w:t>1,068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D8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88"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D89"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D8A" w14:textId="77777777" w:rsidR="001B77DD" w:rsidRDefault="00BF0A28">
            <w:pPr>
              <w:jc w:val="right"/>
              <w:textAlignment w:val="bottom"/>
            </w:pPr>
            <w:r>
              <w:rPr>
                <w:rFonts w:ascii="Arial" w:eastAsia="宋体" w:hAnsi="Arial" w:cs="Arial"/>
                <w:b/>
                <w:bCs/>
                <w:color w:val="262626"/>
                <w:sz w:val="18"/>
                <w:szCs w:val="18"/>
              </w:rPr>
              <w:t>(378)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D8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8C"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7D8D"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7D8E" w14:textId="77777777" w:rsidR="001B77DD" w:rsidRDefault="00BF0A28">
            <w:pPr>
              <w:jc w:val="right"/>
              <w:textAlignment w:val="bottom"/>
            </w:pPr>
            <w:r>
              <w:rPr>
                <w:rFonts w:ascii="Arial" w:eastAsia="宋体" w:hAnsi="Arial" w:cs="Arial"/>
                <w:b/>
                <w:bCs/>
                <w:color w:val="262626"/>
                <w:sz w:val="18"/>
                <w:szCs w:val="18"/>
              </w:rPr>
              <w:t>469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7D8F" w14:textId="77777777" w:rsidR="001B77DD" w:rsidRDefault="001B77DD">
            <w:pPr>
              <w:jc w:val="right"/>
              <w:rPr>
                <w:rFonts w:ascii="宋体"/>
              </w:rPr>
            </w:pPr>
          </w:p>
        </w:tc>
      </w:tr>
    </w:tbl>
    <w:p w14:paraId="67537D91"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7D98" w14:textId="77777777">
        <w:tc>
          <w:tcPr>
            <w:tcW w:w="50" w:type="pct"/>
            <w:shd w:val="clear" w:color="auto" w:fill="auto"/>
            <w:vAlign w:val="bottom"/>
          </w:tcPr>
          <w:p w14:paraId="67537D92" w14:textId="77777777" w:rsidR="001B77DD" w:rsidRDefault="001B77DD">
            <w:pPr>
              <w:rPr>
                <w:rFonts w:ascii="宋体"/>
              </w:rPr>
            </w:pPr>
          </w:p>
        </w:tc>
        <w:tc>
          <w:tcPr>
            <w:tcW w:w="539" w:type="pct"/>
            <w:shd w:val="clear" w:color="auto" w:fill="auto"/>
            <w:vAlign w:val="bottom"/>
          </w:tcPr>
          <w:p w14:paraId="67537D93" w14:textId="77777777" w:rsidR="001B77DD" w:rsidRDefault="001B77DD">
            <w:pPr>
              <w:rPr>
                <w:rFonts w:ascii="宋体"/>
              </w:rPr>
            </w:pPr>
          </w:p>
        </w:tc>
        <w:tc>
          <w:tcPr>
            <w:tcW w:w="5" w:type="pct"/>
            <w:shd w:val="clear" w:color="auto" w:fill="auto"/>
            <w:vAlign w:val="bottom"/>
          </w:tcPr>
          <w:p w14:paraId="67537D94" w14:textId="77777777" w:rsidR="001B77DD" w:rsidRDefault="001B77DD">
            <w:pPr>
              <w:rPr>
                <w:rFonts w:ascii="宋体"/>
              </w:rPr>
            </w:pPr>
          </w:p>
        </w:tc>
        <w:tc>
          <w:tcPr>
            <w:tcW w:w="50" w:type="pct"/>
            <w:shd w:val="clear" w:color="auto" w:fill="auto"/>
            <w:vAlign w:val="bottom"/>
          </w:tcPr>
          <w:p w14:paraId="67537D95" w14:textId="77777777" w:rsidR="001B77DD" w:rsidRDefault="001B77DD">
            <w:pPr>
              <w:rPr>
                <w:rFonts w:ascii="宋体"/>
              </w:rPr>
            </w:pPr>
          </w:p>
        </w:tc>
        <w:tc>
          <w:tcPr>
            <w:tcW w:w="4350" w:type="pct"/>
            <w:shd w:val="clear" w:color="auto" w:fill="auto"/>
            <w:vAlign w:val="bottom"/>
          </w:tcPr>
          <w:p w14:paraId="67537D96" w14:textId="77777777" w:rsidR="001B77DD" w:rsidRDefault="001B77DD">
            <w:pPr>
              <w:rPr>
                <w:rFonts w:ascii="宋体"/>
              </w:rPr>
            </w:pPr>
          </w:p>
        </w:tc>
        <w:tc>
          <w:tcPr>
            <w:tcW w:w="5" w:type="pct"/>
            <w:shd w:val="clear" w:color="auto" w:fill="auto"/>
            <w:vAlign w:val="bottom"/>
          </w:tcPr>
          <w:p w14:paraId="67537D97" w14:textId="77777777" w:rsidR="001B77DD" w:rsidRDefault="001B77DD">
            <w:pPr>
              <w:rPr>
                <w:rFonts w:ascii="宋体"/>
              </w:rPr>
            </w:pPr>
          </w:p>
        </w:tc>
      </w:tr>
      <w:tr w:rsidR="001B77DD" w14:paraId="67537D9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7D99" w14:textId="77777777" w:rsidR="001B77DD" w:rsidRDefault="00BF0A28">
            <w:pPr>
              <w:textAlignment w:val="bottom"/>
            </w:pPr>
            <w:r>
              <w:rPr>
                <w:rFonts w:ascii="Arial" w:eastAsia="宋体" w:hAnsi="Arial" w:cs="Arial"/>
                <w:color w:val="FFFFFF"/>
                <w:sz w:val="28"/>
                <w:szCs w:val="28"/>
              </w:rPr>
              <w:t xml:space="preserve">Note 17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7D9A" w14:textId="77777777" w:rsidR="001B77DD" w:rsidRDefault="00BF0A28">
            <w:pPr>
              <w:textAlignment w:val="bottom"/>
            </w:pPr>
            <w:r>
              <w:rPr>
                <w:rFonts w:ascii="Arial" w:eastAsia="宋体" w:hAnsi="Arial" w:cs="Arial"/>
                <w:color w:val="0068B5"/>
                <w:sz w:val="28"/>
                <w:szCs w:val="28"/>
              </w:rPr>
              <w:t>Retirement Benefit Plans</w:t>
            </w:r>
          </w:p>
        </w:tc>
      </w:tr>
    </w:tbl>
    <w:p w14:paraId="67537D9C" w14:textId="77777777" w:rsidR="001B77DD" w:rsidRDefault="00BF0A28">
      <w:pPr>
        <w:spacing w:after="180"/>
      </w:pPr>
      <w:r>
        <w:rPr>
          <w:rFonts w:ascii="Arial" w:eastAsia="宋体" w:hAnsi="Arial" w:cs="Arial"/>
          <w:color w:val="0068B5"/>
        </w:rPr>
        <w:t>Defined Contribution Plans</w:t>
      </w:r>
    </w:p>
    <w:p w14:paraId="67537D9D" w14:textId="77777777" w:rsidR="001B77DD" w:rsidRDefault="00BF0A28">
      <w:pPr>
        <w:spacing w:after="180"/>
      </w:pPr>
      <w:r>
        <w:rPr>
          <w:rFonts w:ascii="Arial" w:eastAsia="宋体" w:hAnsi="Arial" w:cs="Arial"/>
          <w:color w:val="262626"/>
          <w:sz w:val="18"/>
          <w:szCs w:val="18"/>
        </w:rPr>
        <w:t>We provide tax-qualified defined contribution plans for the benefit of eligible employees, former employees, and retirees in the US and certain other countries. The plans are designed to provide employees with an accumulation of funds for retirement on a t</w:t>
      </w:r>
      <w:r>
        <w:rPr>
          <w:rFonts w:ascii="Arial" w:eastAsia="宋体" w:hAnsi="Arial" w:cs="Arial"/>
          <w:color w:val="262626"/>
          <w:sz w:val="18"/>
          <w:szCs w:val="18"/>
        </w:rPr>
        <w:t xml:space="preserve">ax-deferred basis. For the benefit of eligible US employees, we also provide an unfunded non-tax-qualified supplemental deferred compensation plan for certain highly compensated employees. </w:t>
      </w:r>
    </w:p>
    <w:p w14:paraId="67537D9E" w14:textId="77777777" w:rsidR="001B77DD" w:rsidRDefault="00BF0A28">
      <w:pPr>
        <w:spacing w:after="180"/>
      </w:pPr>
      <w:r>
        <w:rPr>
          <w:rFonts w:ascii="Arial" w:eastAsia="宋体" w:hAnsi="Arial" w:cs="Arial"/>
          <w:color w:val="262626"/>
          <w:sz w:val="18"/>
          <w:szCs w:val="18"/>
        </w:rPr>
        <w:t>We expensed $444 million in 2021 and $398 million in 2020 for matc</w:t>
      </w:r>
      <w:r>
        <w:rPr>
          <w:rFonts w:ascii="Arial" w:eastAsia="宋体" w:hAnsi="Arial" w:cs="Arial"/>
          <w:color w:val="262626"/>
          <w:sz w:val="18"/>
          <w:szCs w:val="18"/>
        </w:rPr>
        <w:t>hing contributions based on the amount of employee contributions under the US qualified defined contribution and non-qualified deferred compensation plans. Prior to 2020, the contributions were discretionary and we expensed $379 million in 2019.</w:t>
      </w:r>
    </w:p>
    <w:p w14:paraId="67537D9F" w14:textId="77777777" w:rsidR="001B77DD" w:rsidRDefault="00BF0A28">
      <w:pPr>
        <w:spacing w:after="180"/>
      </w:pPr>
      <w:r>
        <w:rPr>
          <w:rFonts w:ascii="Arial" w:eastAsia="宋体" w:hAnsi="Arial" w:cs="Arial"/>
          <w:color w:val="0068B5"/>
        </w:rPr>
        <w:t xml:space="preserve">US </w:t>
      </w:r>
      <w:r>
        <w:rPr>
          <w:rFonts w:ascii="Arial" w:eastAsia="宋体" w:hAnsi="Arial" w:cs="Arial"/>
          <w:color w:val="0068B5"/>
        </w:rPr>
        <w:t>Retiree Medical Plan</w:t>
      </w:r>
    </w:p>
    <w:p w14:paraId="67537DA0" w14:textId="77777777" w:rsidR="001B77DD" w:rsidRDefault="00BF0A28">
      <w:pPr>
        <w:spacing w:after="180"/>
      </w:pPr>
      <w:r>
        <w:rPr>
          <w:rFonts w:ascii="Arial" w:eastAsia="宋体" w:hAnsi="Arial" w:cs="Arial"/>
          <w:color w:val="262626"/>
          <w:sz w:val="18"/>
          <w:szCs w:val="18"/>
        </w:rPr>
        <w:t>Upon retirement, we provide certain benefits to eligible US employees who were hired prior to 2014 under the US Retiree Medical Plan. The benefits can be used to pay all or a portion of the cost to purchase eligible coverage in a medic</w:t>
      </w:r>
      <w:r>
        <w:rPr>
          <w:rFonts w:ascii="Arial" w:eastAsia="宋体" w:hAnsi="Arial" w:cs="Arial"/>
          <w:color w:val="262626"/>
          <w:sz w:val="18"/>
          <w:szCs w:val="18"/>
        </w:rPr>
        <w:t>al plan.</w:t>
      </w:r>
    </w:p>
    <w:p w14:paraId="67537DA1" w14:textId="77777777" w:rsidR="001B77DD" w:rsidRDefault="00BF0A28">
      <w:pPr>
        <w:spacing w:after="180"/>
      </w:pPr>
      <w:r>
        <w:rPr>
          <w:rFonts w:ascii="Arial" w:eastAsia="宋体" w:hAnsi="Arial" w:cs="Arial"/>
          <w:color w:val="262626"/>
          <w:sz w:val="18"/>
          <w:szCs w:val="18"/>
        </w:rPr>
        <w:t>As of December 25, 2021 and December 26, 2020, the projected benefit obligation was $682 million and $741 million, which used the discount rate of 2.8% and 2.4%. The December 25, 2021 and December 26, 2020 corresponding fair value of plan assets w</w:t>
      </w:r>
      <w:r>
        <w:rPr>
          <w:rFonts w:ascii="Arial" w:eastAsia="宋体" w:hAnsi="Arial" w:cs="Arial"/>
          <w:color w:val="262626"/>
          <w:sz w:val="18"/>
          <w:szCs w:val="18"/>
        </w:rPr>
        <w:t>as $669 million and $600 million.</w:t>
      </w:r>
    </w:p>
    <w:p w14:paraId="67537DA2" w14:textId="77777777" w:rsidR="001B77DD" w:rsidRDefault="00BF0A28">
      <w:pPr>
        <w:spacing w:after="180"/>
      </w:pPr>
      <w:r>
        <w:rPr>
          <w:rFonts w:ascii="Arial" w:eastAsia="宋体" w:hAnsi="Arial" w:cs="Arial"/>
          <w:color w:val="262626"/>
          <w:sz w:val="18"/>
          <w:szCs w:val="18"/>
        </w:rPr>
        <w:t xml:space="preserve">The investment strategy for US Retiree Medical Plan assets is to invest primarily in liquid assets, due to the level of expected future benefit payments. The assets are invested in tax-aware global equity and fixed-income </w:t>
      </w:r>
      <w:r>
        <w:rPr>
          <w:rFonts w:ascii="Arial" w:eastAsia="宋体" w:hAnsi="Arial" w:cs="Arial"/>
          <w:color w:val="262626"/>
          <w:sz w:val="18"/>
          <w:szCs w:val="18"/>
        </w:rPr>
        <w:t>long credit portfolios. Both portfolios are actively managed by external managers. The tax-aware global equity portfolio is composed of a diversified mix of equities in developed countries. The tax-aware fixed-income long credit portfolio is composed of do</w:t>
      </w:r>
      <w:r>
        <w:rPr>
          <w:rFonts w:ascii="Arial" w:eastAsia="宋体" w:hAnsi="Arial" w:cs="Arial"/>
          <w:color w:val="262626"/>
          <w:sz w:val="18"/>
          <w:szCs w:val="18"/>
        </w:rPr>
        <w:t xml:space="preserve">mestic securities. The allocation to each asset class will fluctuate with market conditions, such as volatility and liquidity concerns, and will typically be rebalanced when outside the target ranges, which are 65% equity and 35% fixed income investments. </w:t>
      </w:r>
      <w:r>
        <w:rPr>
          <w:rFonts w:ascii="Arial" w:eastAsia="宋体" w:hAnsi="Arial" w:cs="Arial"/>
          <w:color w:val="262626"/>
          <w:sz w:val="18"/>
          <w:szCs w:val="18"/>
        </w:rPr>
        <w:t xml:space="preserve">As of December 25, 2021, the majority of the US Retiree Medical Plan assets were invested in exchange-traded equity securities and were measured at fair value using Level 1 inputs. The remaining US Retiree Medical Plan assets were invested in fixed income </w:t>
      </w:r>
      <w:r>
        <w:rPr>
          <w:rFonts w:ascii="Arial" w:eastAsia="宋体" w:hAnsi="Arial" w:cs="Arial"/>
          <w:color w:val="262626"/>
          <w:sz w:val="18"/>
          <w:szCs w:val="18"/>
        </w:rPr>
        <w:t>investments and were measured at fair value using Level 2 inputs.</w:t>
      </w:r>
    </w:p>
    <w:p w14:paraId="67537DA3" w14:textId="77777777" w:rsidR="001B77DD" w:rsidRDefault="00BF0A28">
      <w:pPr>
        <w:spacing w:after="180"/>
      </w:pPr>
      <w:r>
        <w:rPr>
          <w:rFonts w:ascii="Arial" w:eastAsia="宋体" w:hAnsi="Arial" w:cs="Arial"/>
          <w:color w:val="262626"/>
          <w:sz w:val="18"/>
          <w:szCs w:val="18"/>
        </w:rPr>
        <w:t xml:space="preserve">The estimated benefit payments for this plan over the next 10 years are as follows: </w:t>
      </w:r>
    </w:p>
    <w:tbl>
      <w:tblPr>
        <w:tblW w:w="4986" w:type="pct"/>
        <w:tblCellMar>
          <w:top w:w="15" w:type="dxa"/>
          <w:left w:w="15" w:type="dxa"/>
          <w:bottom w:w="15" w:type="dxa"/>
          <w:right w:w="15" w:type="dxa"/>
        </w:tblCellMar>
        <w:tblLook w:val="04A0" w:firstRow="1" w:lastRow="0" w:firstColumn="1" w:lastColumn="0" w:noHBand="0" w:noVBand="1"/>
      </w:tblPr>
      <w:tblGrid>
        <w:gridCol w:w="41"/>
        <w:gridCol w:w="2332"/>
        <w:gridCol w:w="36"/>
        <w:gridCol w:w="36"/>
        <w:gridCol w:w="36"/>
        <w:gridCol w:w="36"/>
        <w:gridCol w:w="122"/>
        <w:gridCol w:w="698"/>
        <w:gridCol w:w="36"/>
        <w:gridCol w:w="36"/>
        <w:gridCol w:w="36"/>
        <w:gridCol w:w="36"/>
        <w:gridCol w:w="122"/>
        <w:gridCol w:w="698"/>
        <w:gridCol w:w="36"/>
        <w:gridCol w:w="36"/>
        <w:gridCol w:w="36"/>
        <w:gridCol w:w="36"/>
        <w:gridCol w:w="122"/>
        <w:gridCol w:w="700"/>
        <w:gridCol w:w="36"/>
        <w:gridCol w:w="36"/>
        <w:gridCol w:w="36"/>
        <w:gridCol w:w="36"/>
        <w:gridCol w:w="122"/>
        <w:gridCol w:w="701"/>
        <w:gridCol w:w="36"/>
        <w:gridCol w:w="36"/>
        <w:gridCol w:w="36"/>
        <w:gridCol w:w="36"/>
        <w:gridCol w:w="122"/>
        <w:gridCol w:w="701"/>
        <w:gridCol w:w="36"/>
        <w:gridCol w:w="36"/>
        <w:gridCol w:w="36"/>
        <w:gridCol w:w="36"/>
        <w:gridCol w:w="122"/>
        <w:gridCol w:w="810"/>
        <w:gridCol w:w="36"/>
      </w:tblGrid>
      <w:tr w:rsidR="001B77DD" w14:paraId="67537DCB" w14:textId="77777777">
        <w:tc>
          <w:tcPr>
            <w:tcW w:w="50" w:type="pct"/>
            <w:shd w:val="clear" w:color="auto" w:fill="auto"/>
            <w:vAlign w:val="bottom"/>
          </w:tcPr>
          <w:p w14:paraId="67537DA4" w14:textId="77777777" w:rsidR="001B77DD" w:rsidRDefault="001B77DD">
            <w:pPr>
              <w:rPr>
                <w:rFonts w:ascii="宋体"/>
              </w:rPr>
            </w:pPr>
          </w:p>
        </w:tc>
        <w:tc>
          <w:tcPr>
            <w:tcW w:w="1451" w:type="pct"/>
            <w:shd w:val="clear" w:color="auto" w:fill="auto"/>
            <w:vAlign w:val="bottom"/>
          </w:tcPr>
          <w:p w14:paraId="67537DA5" w14:textId="77777777" w:rsidR="001B77DD" w:rsidRDefault="001B77DD">
            <w:pPr>
              <w:rPr>
                <w:rFonts w:ascii="宋体"/>
              </w:rPr>
            </w:pPr>
          </w:p>
        </w:tc>
        <w:tc>
          <w:tcPr>
            <w:tcW w:w="5" w:type="pct"/>
            <w:shd w:val="clear" w:color="auto" w:fill="auto"/>
            <w:vAlign w:val="bottom"/>
          </w:tcPr>
          <w:p w14:paraId="67537DA6" w14:textId="77777777" w:rsidR="001B77DD" w:rsidRDefault="001B77DD">
            <w:pPr>
              <w:rPr>
                <w:rFonts w:ascii="宋体"/>
              </w:rPr>
            </w:pPr>
          </w:p>
        </w:tc>
        <w:tc>
          <w:tcPr>
            <w:tcW w:w="5" w:type="pct"/>
            <w:shd w:val="clear" w:color="auto" w:fill="auto"/>
            <w:vAlign w:val="bottom"/>
          </w:tcPr>
          <w:p w14:paraId="67537DA7" w14:textId="77777777" w:rsidR="001B77DD" w:rsidRDefault="001B77DD">
            <w:pPr>
              <w:rPr>
                <w:rFonts w:ascii="宋体"/>
              </w:rPr>
            </w:pPr>
          </w:p>
        </w:tc>
        <w:tc>
          <w:tcPr>
            <w:tcW w:w="24" w:type="pct"/>
            <w:shd w:val="clear" w:color="auto" w:fill="auto"/>
            <w:vAlign w:val="bottom"/>
          </w:tcPr>
          <w:p w14:paraId="67537DA8" w14:textId="77777777" w:rsidR="001B77DD" w:rsidRDefault="001B77DD">
            <w:pPr>
              <w:rPr>
                <w:rFonts w:ascii="宋体"/>
              </w:rPr>
            </w:pPr>
          </w:p>
        </w:tc>
        <w:tc>
          <w:tcPr>
            <w:tcW w:w="5" w:type="pct"/>
            <w:shd w:val="clear" w:color="auto" w:fill="auto"/>
            <w:vAlign w:val="bottom"/>
          </w:tcPr>
          <w:p w14:paraId="67537DA9" w14:textId="77777777" w:rsidR="001B77DD" w:rsidRDefault="001B77DD">
            <w:pPr>
              <w:rPr>
                <w:rFonts w:ascii="宋体"/>
              </w:rPr>
            </w:pPr>
          </w:p>
        </w:tc>
        <w:tc>
          <w:tcPr>
            <w:tcW w:w="50" w:type="pct"/>
            <w:shd w:val="clear" w:color="auto" w:fill="auto"/>
            <w:vAlign w:val="bottom"/>
          </w:tcPr>
          <w:p w14:paraId="67537DAA" w14:textId="77777777" w:rsidR="001B77DD" w:rsidRDefault="001B77DD">
            <w:pPr>
              <w:rPr>
                <w:rFonts w:ascii="宋体"/>
              </w:rPr>
            </w:pPr>
          </w:p>
        </w:tc>
        <w:tc>
          <w:tcPr>
            <w:tcW w:w="492" w:type="pct"/>
            <w:shd w:val="clear" w:color="auto" w:fill="auto"/>
            <w:vAlign w:val="bottom"/>
          </w:tcPr>
          <w:p w14:paraId="67537DAB" w14:textId="77777777" w:rsidR="001B77DD" w:rsidRDefault="001B77DD">
            <w:pPr>
              <w:rPr>
                <w:rFonts w:ascii="宋体"/>
              </w:rPr>
            </w:pPr>
          </w:p>
        </w:tc>
        <w:tc>
          <w:tcPr>
            <w:tcW w:w="5" w:type="pct"/>
            <w:shd w:val="clear" w:color="auto" w:fill="auto"/>
            <w:vAlign w:val="bottom"/>
          </w:tcPr>
          <w:p w14:paraId="67537DAC" w14:textId="77777777" w:rsidR="001B77DD" w:rsidRDefault="001B77DD">
            <w:pPr>
              <w:rPr>
                <w:rFonts w:ascii="宋体"/>
              </w:rPr>
            </w:pPr>
          </w:p>
        </w:tc>
        <w:tc>
          <w:tcPr>
            <w:tcW w:w="5" w:type="pct"/>
            <w:shd w:val="clear" w:color="auto" w:fill="auto"/>
            <w:vAlign w:val="bottom"/>
          </w:tcPr>
          <w:p w14:paraId="67537DAD" w14:textId="77777777" w:rsidR="001B77DD" w:rsidRDefault="001B77DD">
            <w:pPr>
              <w:rPr>
                <w:rFonts w:ascii="宋体"/>
              </w:rPr>
            </w:pPr>
          </w:p>
        </w:tc>
        <w:tc>
          <w:tcPr>
            <w:tcW w:w="24" w:type="pct"/>
            <w:shd w:val="clear" w:color="auto" w:fill="auto"/>
            <w:vAlign w:val="bottom"/>
          </w:tcPr>
          <w:p w14:paraId="67537DAE" w14:textId="77777777" w:rsidR="001B77DD" w:rsidRDefault="001B77DD">
            <w:pPr>
              <w:rPr>
                <w:rFonts w:ascii="宋体"/>
              </w:rPr>
            </w:pPr>
          </w:p>
        </w:tc>
        <w:tc>
          <w:tcPr>
            <w:tcW w:w="5" w:type="pct"/>
            <w:shd w:val="clear" w:color="auto" w:fill="auto"/>
            <w:vAlign w:val="bottom"/>
          </w:tcPr>
          <w:p w14:paraId="67537DAF" w14:textId="77777777" w:rsidR="001B77DD" w:rsidRDefault="001B77DD">
            <w:pPr>
              <w:rPr>
                <w:rFonts w:ascii="宋体"/>
              </w:rPr>
            </w:pPr>
          </w:p>
        </w:tc>
        <w:tc>
          <w:tcPr>
            <w:tcW w:w="50" w:type="pct"/>
            <w:shd w:val="clear" w:color="auto" w:fill="auto"/>
            <w:vAlign w:val="bottom"/>
          </w:tcPr>
          <w:p w14:paraId="67537DB0" w14:textId="77777777" w:rsidR="001B77DD" w:rsidRDefault="001B77DD">
            <w:pPr>
              <w:rPr>
                <w:rFonts w:ascii="宋体"/>
              </w:rPr>
            </w:pPr>
          </w:p>
        </w:tc>
        <w:tc>
          <w:tcPr>
            <w:tcW w:w="492" w:type="pct"/>
            <w:shd w:val="clear" w:color="auto" w:fill="auto"/>
            <w:vAlign w:val="bottom"/>
          </w:tcPr>
          <w:p w14:paraId="67537DB1" w14:textId="77777777" w:rsidR="001B77DD" w:rsidRDefault="001B77DD">
            <w:pPr>
              <w:rPr>
                <w:rFonts w:ascii="宋体"/>
              </w:rPr>
            </w:pPr>
          </w:p>
        </w:tc>
        <w:tc>
          <w:tcPr>
            <w:tcW w:w="5" w:type="pct"/>
            <w:shd w:val="clear" w:color="auto" w:fill="auto"/>
            <w:vAlign w:val="bottom"/>
          </w:tcPr>
          <w:p w14:paraId="67537DB2" w14:textId="77777777" w:rsidR="001B77DD" w:rsidRDefault="001B77DD">
            <w:pPr>
              <w:rPr>
                <w:rFonts w:ascii="宋体"/>
              </w:rPr>
            </w:pPr>
          </w:p>
        </w:tc>
        <w:tc>
          <w:tcPr>
            <w:tcW w:w="5" w:type="pct"/>
            <w:shd w:val="clear" w:color="auto" w:fill="auto"/>
            <w:vAlign w:val="bottom"/>
          </w:tcPr>
          <w:p w14:paraId="67537DB3" w14:textId="77777777" w:rsidR="001B77DD" w:rsidRDefault="001B77DD">
            <w:pPr>
              <w:rPr>
                <w:rFonts w:ascii="宋体"/>
              </w:rPr>
            </w:pPr>
          </w:p>
        </w:tc>
        <w:tc>
          <w:tcPr>
            <w:tcW w:w="24" w:type="pct"/>
            <w:shd w:val="clear" w:color="auto" w:fill="auto"/>
            <w:vAlign w:val="bottom"/>
          </w:tcPr>
          <w:p w14:paraId="67537DB4" w14:textId="77777777" w:rsidR="001B77DD" w:rsidRDefault="001B77DD">
            <w:pPr>
              <w:rPr>
                <w:rFonts w:ascii="宋体"/>
              </w:rPr>
            </w:pPr>
          </w:p>
        </w:tc>
        <w:tc>
          <w:tcPr>
            <w:tcW w:w="5" w:type="pct"/>
            <w:shd w:val="clear" w:color="auto" w:fill="auto"/>
            <w:vAlign w:val="bottom"/>
          </w:tcPr>
          <w:p w14:paraId="67537DB5" w14:textId="77777777" w:rsidR="001B77DD" w:rsidRDefault="001B77DD">
            <w:pPr>
              <w:rPr>
                <w:rFonts w:ascii="宋体"/>
              </w:rPr>
            </w:pPr>
          </w:p>
        </w:tc>
        <w:tc>
          <w:tcPr>
            <w:tcW w:w="50" w:type="pct"/>
            <w:shd w:val="clear" w:color="auto" w:fill="auto"/>
            <w:vAlign w:val="bottom"/>
          </w:tcPr>
          <w:p w14:paraId="67537DB6" w14:textId="77777777" w:rsidR="001B77DD" w:rsidRDefault="001B77DD">
            <w:pPr>
              <w:rPr>
                <w:rFonts w:ascii="宋体"/>
              </w:rPr>
            </w:pPr>
          </w:p>
        </w:tc>
        <w:tc>
          <w:tcPr>
            <w:tcW w:w="492" w:type="pct"/>
            <w:shd w:val="clear" w:color="auto" w:fill="auto"/>
            <w:vAlign w:val="bottom"/>
          </w:tcPr>
          <w:p w14:paraId="67537DB7" w14:textId="77777777" w:rsidR="001B77DD" w:rsidRDefault="001B77DD">
            <w:pPr>
              <w:rPr>
                <w:rFonts w:ascii="宋体"/>
              </w:rPr>
            </w:pPr>
          </w:p>
        </w:tc>
        <w:tc>
          <w:tcPr>
            <w:tcW w:w="5" w:type="pct"/>
            <w:shd w:val="clear" w:color="auto" w:fill="auto"/>
            <w:vAlign w:val="bottom"/>
          </w:tcPr>
          <w:p w14:paraId="67537DB8" w14:textId="77777777" w:rsidR="001B77DD" w:rsidRDefault="001B77DD">
            <w:pPr>
              <w:rPr>
                <w:rFonts w:ascii="宋体"/>
              </w:rPr>
            </w:pPr>
          </w:p>
        </w:tc>
        <w:tc>
          <w:tcPr>
            <w:tcW w:w="5" w:type="pct"/>
            <w:shd w:val="clear" w:color="auto" w:fill="auto"/>
            <w:vAlign w:val="bottom"/>
          </w:tcPr>
          <w:p w14:paraId="67537DB9" w14:textId="77777777" w:rsidR="001B77DD" w:rsidRDefault="001B77DD">
            <w:pPr>
              <w:rPr>
                <w:rFonts w:ascii="宋体"/>
              </w:rPr>
            </w:pPr>
          </w:p>
        </w:tc>
        <w:tc>
          <w:tcPr>
            <w:tcW w:w="24" w:type="pct"/>
            <w:shd w:val="clear" w:color="auto" w:fill="auto"/>
            <w:vAlign w:val="bottom"/>
          </w:tcPr>
          <w:p w14:paraId="67537DBA" w14:textId="77777777" w:rsidR="001B77DD" w:rsidRDefault="001B77DD">
            <w:pPr>
              <w:rPr>
                <w:rFonts w:ascii="宋体"/>
              </w:rPr>
            </w:pPr>
          </w:p>
        </w:tc>
        <w:tc>
          <w:tcPr>
            <w:tcW w:w="5" w:type="pct"/>
            <w:shd w:val="clear" w:color="auto" w:fill="auto"/>
            <w:vAlign w:val="bottom"/>
          </w:tcPr>
          <w:p w14:paraId="67537DBB" w14:textId="77777777" w:rsidR="001B77DD" w:rsidRDefault="001B77DD">
            <w:pPr>
              <w:rPr>
                <w:rFonts w:ascii="宋体"/>
              </w:rPr>
            </w:pPr>
          </w:p>
        </w:tc>
        <w:tc>
          <w:tcPr>
            <w:tcW w:w="50" w:type="pct"/>
            <w:shd w:val="clear" w:color="auto" w:fill="auto"/>
            <w:vAlign w:val="bottom"/>
          </w:tcPr>
          <w:p w14:paraId="67537DBC" w14:textId="77777777" w:rsidR="001B77DD" w:rsidRDefault="001B77DD">
            <w:pPr>
              <w:rPr>
                <w:rFonts w:ascii="宋体"/>
              </w:rPr>
            </w:pPr>
          </w:p>
        </w:tc>
        <w:tc>
          <w:tcPr>
            <w:tcW w:w="492" w:type="pct"/>
            <w:shd w:val="clear" w:color="auto" w:fill="auto"/>
            <w:vAlign w:val="bottom"/>
          </w:tcPr>
          <w:p w14:paraId="67537DBD" w14:textId="77777777" w:rsidR="001B77DD" w:rsidRDefault="001B77DD">
            <w:pPr>
              <w:rPr>
                <w:rFonts w:ascii="宋体"/>
              </w:rPr>
            </w:pPr>
          </w:p>
        </w:tc>
        <w:tc>
          <w:tcPr>
            <w:tcW w:w="5" w:type="pct"/>
            <w:shd w:val="clear" w:color="auto" w:fill="auto"/>
            <w:vAlign w:val="bottom"/>
          </w:tcPr>
          <w:p w14:paraId="67537DBE" w14:textId="77777777" w:rsidR="001B77DD" w:rsidRDefault="001B77DD">
            <w:pPr>
              <w:rPr>
                <w:rFonts w:ascii="宋体"/>
              </w:rPr>
            </w:pPr>
          </w:p>
        </w:tc>
        <w:tc>
          <w:tcPr>
            <w:tcW w:w="5" w:type="pct"/>
            <w:shd w:val="clear" w:color="auto" w:fill="auto"/>
            <w:vAlign w:val="bottom"/>
          </w:tcPr>
          <w:p w14:paraId="67537DBF" w14:textId="77777777" w:rsidR="001B77DD" w:rsidRDefault="001B77DD">
            <w:pPr>
              <w:rPr>
                <w:rFonts w:ascii="宋体"/>
              </w:rPr>
            </w:pPr>
          </w:p>
        </w:tc>
        <w:tc>
          <w:tcPr>
            <w:tcW w:w="24" w:type="pct"/>
            <w:shd w:val="clear" w:color="auto" w:fill="auto"/>
            <w:vAlign w:val="bottom"/>
          </w:tcPr>
          <w:p w14:paraId="67537DC0" w14:textId="77777777" w:rsidR="001B77DD" w:rsidRDefault="001B77DD">
            <w:pPr>
              <w:rPr>
                <w:rFonts w:ascii="宋体"/>
              </w:rPr>
            </w:pPr>
          </w:p>
        </w:tc>
        <w:tc>
          <w:tcPr>
            <w:tcW w:w="5" w:type="pct"/>
            <w:shd w:val="clear" w:color="auto" w:fill="auto"/>
            <w:vAlign w:val="bottom"/>
          </w:tcPr>
          <w:p w14:paraId="67537DC1" w14:textId="77777777" w:rsidR="001B77DD" w:rsidRDefault="001B77DD">
            <w:pPr>
              <w:rPr>
                <w:rFonts w:ascii="宋体"/>
              </w:rPr>
            </w:pPr>
          </w:p>
        </w:tc>
        <w:tc>
          <w:tcPr>
            <w:tcW w:w="50" w:type="pct"/>
            <w:shd w:val="clear" w:color="auto" w:fill="auto"/>
            <w:vAlign w:val="bottom"/>
          </w:tcPr>
          <w:p w14:paraId="67537DC2" w14:textId="77777777" w:rsidR="001B77DD" w:rsidRDefault="001B77DD">
            <w:pPr>
              <w:rPr>
                <w:rFonts w:ascii="宋体"/>
              </w:rPr>
            </w:pPr>
          </w:p>
        </w:tc>
        <w:tc>
          <w:tcPr>
            <w:tcW w:w="492" w:type="pct"/>
            <w:shd w:val="clear" w:color="auto" w:fill="auto"/>
            <w:vAlign w:val="bottom"/>
          </w:tcPr>
          <w:p w14:paraId="67537DC3" w14:textId="77777777" w:rsidR="001B77DD" w:rsidRDefault="001B77DD">
            <w:pPr>
              <w:rPr>
                <w:rFonts w:ascii="宋体"/>
              </w:rPr>
            </w:pPr>
          </w:p>
        </w:tc>
        <w:tc>
          <w:tcPr>
            <w:tcW w:w="5" w:type="pct"/>
            <w:shd w:val="clear" w:color="auto" w:fill="auto"/>
            <w:vAlign w:val="bottom"/>
          </w:tcPr>
          <w:p w14:paraId="67537DC4" w14:textId="77777777" w:rsidR="001B77DD" w:rsidRDefault="001B77DD">
            <w:pPr>
              <w:rPr>
                <w:rFonts w:ascii="宋体"/>
              </w:rPr>
            </w:pPr>
          </w:p>
        </w:tc>
        <w:tc>
          <w:tcPr>
            <w:tcW w:w="5" w:type="pct"/>
            <w:shd w:val="clear" w:color="auto" w:fill="auto"/>
            <w:vAlign w:val="bottom"/>
          </w:tcPr>
          <w:p w14:paraId="67537DC5" w14:textId="77777777" w:rsidR="001B77DD" w:rsidRDefault="001B77DD">
            <w:pPr>
              <w:rPr>
                <w:rFonts w:ascii="宋体"/>
              </w:rPr>
            </w:pPr>
          </w:p>
        </w:tc>
        <w:tc>
          <w:tcPr>
            <w:tcW w:w="24" w:type="pct"/>
            <w:shd w:val="clear" w:color="auto" w:fill="auto"/>
            <w:vAlign w:val="bottom"/>
          </w:tcPr>
          <w:p w14:paraId="67537DC6" w14:textId="77777777" w:rsidR="001B77DD" w:rsidRDefault="001B77DD">
            <w:pPr>
              <w:rPr>
                <w:rFonts w:ascii="宋体"/>
              </w:rPr>
            </w:pPr>
          </w:p>
        </w:tc>
        <w:tc>
          <w:tcPr>
            <w:tcW w:w="5" w:type="pct"/>
            <w:shd w:val="clear" w:color="auto" w:fill="auto"/>
            <w:vAlign w:val="bottom"/>
          </w:tcPr>
          <w:p w14:paraId="67537DC7" w14:textId="77777777" w:rsidR="001B77DD" w:rsidRDefault="001B77DD">
            <w:pPr>
              <w:rPr>
                <w:rFonts w:ascii="宋体"/>
              </w:rPr>
            </w:pPr>
          </w:p>
        </w:tc>
        <w:tc>
          <w:tcPr>
            <w:tcW w:w="50" w:type="pct"/>
            <w:shd w:val="clear" w:color="auto" w:fill="auto"/>
            <w:vAlign w:val="bottom"/>
          </w:tcPr>
          <w:p w14:paraId="67537DC8" w14:textId="77777777" w:rsidR="001B77DD" w:rsidRDefault="001B77DD">
            <w:pPr>
              <w:rPr>
                <w:rFonts w:ascii="宋体"/>
              </w:rPr>
            </w:pPr>
          </w:p>
        </w:tc>
        <w:tc>
          <w:tcPr>
            <w:tcW w:w="493" w:type="pct"/>
            <w:shd w:val="clear" w:color="auto" w:fill="auto"/>
            <w:vAlign w:val="bottom"/>
          </w:tcPr>
          <w:p w14:paraId="67537DC9" w14:textId="77777777" w:rsidR="001B77DD" w:rsidRDefault="001B77DD">
            <w:pPr>
              <w:rPr>
                <w:rFonts w:ascii="宋体"/>
              </w:rPr>
            </w:pPr>
          </w:p>
        </w:tc>
        <w:tc>
          <w:tcPr>
            <w:tcW w:w="5" w:type="pct"/>
            <w:shd w:val="clear" w:color="auto" w:fill="auto"/>
            <w:vAlign w:val="bottom"/>
          </w:tcPr>
          <w:p w14:paraId="67537DCA" w14:textId="77777777" w:rsidR="001B77DD" w:rsidRDefault="001B77DD">
            <w:pPr>
              <w:rPr>
                <w:rFonts w:ascii="宋体"/>
              </w:rPr>
            </w:pPr>
          </w:p>
        </w:tc>
      </w:tr>
      <w:tr w:rsidR="001B77DD" w14:paraId="67537DD9" w14:textId="77777777">
        <w:tc>
          <w:tcPr>
            <w:tcW w:w="0" w:type="auto"/>
            <w:gridSpan w:val="3"/>
            <w:shd w:val="clear" w:color="auto" w:fill="auto"/>
            <w:tcMar>
              <w:top w:w="40" w:type="dxa"/>
              <w:left w:w="20" w:type="dxa"/>
              <w:bottom w:w="40" w:type="dxa"/>
              <w:right w:w="20" w:type="dxa"/>
            </w:tcMar>
            <w:vAlign w:val="bottom"/>
          </w:tcPr>
          <w:p w14:paraId="67537DCC"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7DC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CE" w14:textId="77777777" w:rsidR="001B77DD" w:rsidRDefault="00BF0A28">
            <w:pPr>
              <w:jc w:val="center"/>
              <w:textAlignment w:val="bottom"/>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vAlign w:val="bottom"/>
          </w:tcPr>
          <w:p w14:paraId="67537DC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D0" w14:textId="77777777" w:rsidR="001B77DD" w:rsidRDefault="00BF0A28">
            <w:pPr>
              <w:jc w:val="center"/>
              <w:textAlignment w:val="bottom"/>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67537D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D2" w14:textId="77777777" w:rsidR="001B77DD" w:rsidRDefault="00BF0A28">
            <w:pPr>
              <w:jc w:val="center"/>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67537DD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D4" w14:textId="77777777" w:rsidR="001B77DD" w:rsidRDefault="00BF0A28">
            <w:pPr>
              <w:jc w:val="center"/>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67537DD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D6" w14:textId="77777777" w:rsidR="001B77DD" w:rsidRDefault="00BF0A28">
            <w:pPr>
              <w:jc w:val="center"/>
              <w:textAlignment w:val="bottom"/>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67537DD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DD8" w14:textId="77777777" w:rsidR="001B77DD" w:rsidRDefault="00BF0A28">
            <w:pPr>
              <w:jc w:val="center"/>
              <w:textAlignment w:val="bottom"/>
            </w:pPr>
            <w:r>
              <w:rPr>
                <w:rFonts w:ascii="Arial" w:eastAsia="宋体" w:hAnsi="Arial" w:cs="Arial"/>
                <w:b/>
                <w:bCs/>
                <w:color w:val="262626"/>
                <w:sz w:val="18"/>
                <w:szCs w:val="18"/>
              </w:rPr>
              <w:t>2027-2031</w:t>
            </w:r>
          </w:p>
        </w:tc>
      </w:tr>
      <w:tr w:rsidR="001B77DD" w14:paraId="67537DF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DDA" w14:textId="77777777" w:rsidR="001B77DD" w:rsidRDefault="00BF0A28">
            <w:pPr>
              <w:textAlignment w:val="bottom"/>
            </w:pPr>
            <w:r>
              <w:rPr>
                <w:rFonts w:ascii="Arial" w:eastAsia="宋体" w:hAnsi="Arial" w:cs="Arial"/>
                <w:color w:val="262626"/>
                <w:sz w:val="18"/>
                <w:szCs w:val="18"/>
              </w:rPr>
              <w:t>Postretirement Medical Benefits</w:t>
            </w:r>
          </w:p>
        </w:tc>
        <w:tc>
          <w:tcPr>
            <w:tcW w:w="0" w:type="auto"/>
            <w:gridSpan w:val="3"/>
            <w:shd w:val="clear" w:color="auto" w:fill="auto"/>
            <w:tcMar>
              <w:top w:w="0" w:type="dxa"/>
              <w:left w:w="20" w:type="dxa"/>
              <w:bottom w:w="0" w:type="dxa"/>
              <w:right w:w="20" w:type="dxa"/>
            </w:tcMar>
            <w:vAlign w:val="bottom"/>
          </w:tcPr>
          <w:p w14:paraId="67537DD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DC"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DD" w14:textId="77777777" w:rsidR="001B77DD" w:rsidRDefault="00BF0A28">
            <w:pPr>
              <w:jc w:val="right"/>
              <w:textAlignment w:val="bottom"/>
            </w:pPr>
            <w:r>
              <w:rPr>
                <w:rFonts w:ascii="Arial" w:eastAsia="宋体" w:hAnsi="Arial" w:cs="Arial"/>
                <w:color w:val="0068B5"/>
                <w:sz w:val="18"/>
                <w:szCs w:val="18"/>
              </w:rPr>
              <w:t>37 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D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D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E0"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E1" w14:textId="77777777" w:rsidR="001B77DD" w:rsidRDefault="00BF0A28">
            <w:pPr>
              <w:jc w:val="right"/>
              <w:textAlignment w:val="bottom"/>
            </w:pPr>
            <w:r>
              <w:rPr>
                <w:rFonts w:ascii="Arial" w:eastAsia="宋体" w:hAnsi="Arial" w:cs="Arial"/>
                <w:color w:val="0068B5"/>
                <w:sz w:val="18"/>
                <w:szCs w:val="18"/>
              </w:rPr>
              <w:t>38 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E3"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E4"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E5" w14:textId="77777777" w:rsidR="001B77DD" w:rsidRDefault="00BF0A28">
            <w:pPr>
              <w:jc w:val="right"/>
              <w:textAlignment w:val="bottom"/>
            </w:pPr>
            <w:r>
              <w:rPr>
                <w:rFonts w:ascii="Arial" w:eastAsia="宋体" w:hAnsi="Arial" w:cs="Arial"/>
                <w:color w:val="0068B5"/>
                <w:sz w:val="18"/>
                <w:szCs w:val="18"/>
              </w:rPr>
              <w:t>39 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E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E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E8"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E9" w14:textId="77777777" w:rsidR="001B77DD" w:rsidRDefault="00BF0A28">
            <w:pPr>
              <w:jc w:val="right"/>
              <w:textAlignment w:val="bottom"/>
            </w:pPr>
            <w:r>
              <w:rPr>
                <w:rFonts w:ascii="Arial" w:eastAsia="宋体" w:hAnsi="Arial" w:cs="Arial"/>
                <w:color w:val="0068B5"/>
                <w:sz w:val="18"/>
                <w:szCs w:val="18"/>
              </w:rPr>
              <w:t>41 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E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EC"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ED" w14:textId="77777777" w:rsidR="001B77DD" w:rsidRDefault="00BF0A28">
            <w:pPr>
              <w:jc w:val="right"/>
              <w:textAlignment w:val="bottom"/>
            </w:pPr>
            <w:r>
              <w:rPr>
                <w:rFonts w:ascii="Arial" w:eastAsia="宋体" w:hAnsi="Arial" w:cs="Arial"/>
                <w:color w:val="0068B5"/>
                <w:sz w:val="18"/>
                <w:szCs w:val="18"/>
              </w:rPr>
              <w:t>42 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E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DE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DF0"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DF1" w14:textId="77777777" w:rsidR="001B77DD" w:rsidRDefault="00BF0A28">
            <w:pPr>
              <w:jc w:val="right"/>
              <w:textAlignment w:val="bottom"/>
            </w:pPr>
            <w:r>
              <w:rPr>
                <w:rFonts w:ascii="Arial" w:eastAsia="宋体" w:hAnsi="Arial" w:cs="Arial"/>
                <w:color w:val="0068B5"/>
                <w:sz w:val="18"/>
                <w:szCs w:val="18"/>
              </w:rPr>
              <w:t>219 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DF2" w14:textId="77777777" w:rsidR="001B77DD" w:rsidRDefault="001B77DD">
            <w:pPr>
              <w:jc w:val="right"/>
              <w:rPr>
                <w:rFonts w:ascii="宋体"/>
              </w:rPr>
            </w:pPr>
          </w:p>
        </w:tc>
      </w:tr>
    </w:tbl>
    <w:p w14:paraId="67537DF4" w14:textId="77777777" w:rsidR="001B77DD" w:rsidRDefault="00BF0A28">
      <w:pPr>
        <w:spacing w:before="140" w:after="180"/>
      </w:pPr>
      <w:r>
        <w:rPr>
          <w:rFonts w:ascii="Arial" w:eastAsia="宋体" w:hAnsi="Arial" w:cs="Arial"/>
          <w:color w:val="0068B5"/>
        </w:rPr>
        <w:t>Pension Benefit Plans</w:t>
      </w:r>
    </w:p>
    <w:p w14:paraId="67537DF5" w14:textId="77777777" w:rsidR="001B77DD" w:rsidRDefault="00BF0A28">
      <w:pPr>
        <w:spacing w:after="180"/>
      </w:pPr>
      <w:r>
        <w:rPr>
          <w:rFonts w:ascii="Arial" w:eastAsia="宋体" w:hAnsi="Arial" w:cs="Arial"/>
          <w:color w:val="262626"/>
          <w:sz w:val="18"/>
          <w:szCs w:val="18"/>
        </w:rPr>
        <w:t>We provide defined-benefit pension plans in certain countries, most significantly Ireland, the US, Israel, and Germany. The</w:t>
      </w:r>
      <w:r>
        <w:rPr>
          <w:rFonts w:ascii="Arial" w:eastAsia="宋体" w:hAnsi="Arial" w:cs="Arial"/>
          <w:color w:val="000000"/>
          <w:sz w:val="18"/>
          <w:szCs w:val="18"/>
        </w:rPr>
        <w:t xml:space="preserve"> majority</w:t>
      </w:r>
      <w:r>
        <w:rPr>
          <w:rFonts w:ascii="Arial" w:eastAsia="宋体" w:hAnsi="Arial" w:cs="Arial"/>
          <w:color w:val="262626"/>
          <w:sz w:val="18"/>
          <w:szCs w:val="18"/>
        </w:rPr>
        <w:t xml:space="preserve"> of the plans' benefits have been frozen. </w:t>
      </w:r>
    </w:p>
    <w:p w14:paraId="67537DF6" w14:textId="77777777" w:rsidR="001B77DD" w:rsidRDefault="00BF0A28">
      <w:pPr>
        <w:spacing w:after="180"/>
      </w:pPr>
      <w:r>
        <w:rPr>
          <w:rFonts w:ascii="Arial" w:eastAsia="宋体" w:hAnsi="Arial" w:cs="Arial"/>
          <w:color w:val="0068B5"/>
        </w:rPr>
        <w:t>Bene</w:t>
      </w:r>
      <w:r>
        <w:rPr>
          <w:rFonts w:ascii="Arial" w:eastAsia="宋体" w:hAnsi="Arial" w:cs="Arial"/>
          <w:color w:val="0068B5"/>
        </w:rPr>
        <w:t>fit Obligation and Plan Assets for Pension Benefit Plans</w:t>
      </w:r>
    </w:p>
    <w:p w14:paraId="67537DF7" w14:textId="77777777" w:rsidR="001B77DD" w:rsidRDefault="00BF0A28">
      <w:pPr>
        <w:spacing w:after="180"/>
      </w:pPr>
      <w:r>
        <w:rPr>
          <w:rFonts w:ascii="Arial" w:eastAsia="宋体" w:hAnsi="Arial" w:cs="Arial"/>
          <w:color w:val="262626"/>
          <w:sz w:val="18"/>
          <w:szCs w:val="18"/>
        </w:rPr>
        <w:t>The vested benefit obligation for a defined-benefit pension plan is the actuarial present value of the vested benefits to which the employee is currently entitled based on the employee's expected dat</w:t>
      </w:r>
      <w:r>
        <w:rPr>
          <w:rFonts w:ascii="Arial" w:eastAsia="宋体" w:hAnsi="Arial" w:cs="Arial"/>
          <w:color w:val="262626"/>
          <w:sz w:val="18"/>
          <w:szCs w:val="18"/>
        </w:rPr>
        <w:t>e of separation or retirement.</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E04" w14:textId="77777777">
        <w:tc>
          <w:tcPr>
            <w:tcW w:w="50" w:type="pct"/>
            <w:shd w:val="clear" w:color="auto" w:fill="auto"/>
            <w:vAlign w:val="bottom"/>
          </w:tcPr>
          <w:p w14:paraId="67537DF8" w14:textId="77777777" w:rsidR="001B77DD" w:rsidRDefault="001B77DD">
            <w:pPr>
              <w:rPr>
                <w:rFonts w:ascii="宋体"/>
              </w:rPr>
            </w:pPr>
          </w:p>
        </w:tc>
        <w:tc>
          <w:tcPr>
            <w:tcW w:w="276" w:type="pct"/>
            <w:shd w:val="clear" w:color="auto" w:fill="auto"/>
            <w:vAlign w:val="bottom"/>
          </w:tcPr>
          <w:p w14:paraId="67537DF9" w14:textId="77777777" w:rsidR="001B77DD" w:rsidRDefault="001B77DD">
            <w:pPr>
              <w:rPr>
                <w:rFonts w:ascii="宋体"/>
              </w:rPr>
            </w:pPr>
          </w:p>
        </w:tc>
        <w:tc>
          <w:tcPr>
            <w:tcW w:w="5" w:type="pct"/>
            <w:shd w:val="clear" w:color="auto" w:fill="auto"/>
            <w:vAlign w:val="bottom"/>
          </w:tcPr>
          <w:p w14:paraId="67537DFA" w14:textId="77777777" w:rsidR="001B77DD" w:rsidRDefault="001B77DD">
            <w:pPr>
              <w:rPr>
                <w:rFonts w:ascii="宋体"/>
              </w:rPr>
            </w:pPr>
          </w:p>
        </w:tc>
        <w:tc>
          <w:tcPr>
            <w:tcW w:w="50" w:type="pct"/>
            <w:shd w:val="clear" w:color="auto" w:fill="auto"/>
            <w:vAlign w:val="bottom"/>
          </w:tcPr>
          <w:p w14:paraId="67537DFB" w14:textId="77777777" w:rsidR="001B77DD" w:rsidRDefault="001B77DD">
            <w:pPr>
              <w:rPr>
                <w:rFonts w:ascii="宋体"/>
              </w:rPr>
            </w:pPr>
          </w:p>
        </w:tc>
        <w:tc>
          <w:tcPr>
            <w:tcW w:w="940" w:type="pct"/>
            <w:shd w:val="clear" w:color="auto" w:fill="auto"/>
            <w:vAlign w:val="bottom"/>
          </w:tcPr>
          <w:p w14:paraId="67537DFC" w14:textId="77777777" w:rsidR="001B77DD" w:rsidRDefault="001B77DD">
            <w:pPr>
              <w:rPr>
                <w:rFonts w:ascii="宋体"/>
              </w:rPr>
            </w:pPr>
          </w:p>
        </w:tc>
        <w:tc>
          <w:tcPr>
            <w:tcW w:w="5" w:type="pct"/>
            <w:shd w:val="clear" w:color="auto" w:fill="auto"/>
            <w:vAlign w:val="bottom"/>
          </w:tcPr>
          <w:p w14:paraId="67537DFD" w14:textId="77777777" w:rsidR="001B77DD" w:rsidRDefault="001B77DD">
            <w:pPr>
              <w:rPr>
                <w:rFonts w:ascii="宋体"/>
              </w:rPr>
            </w:pPr>
          </w:p>
        </w:tc>
        <w:tc>
          <w:tcPr>
            <w:tcW w:w="50" w:type="pct"/>
            <w:shd w:val="clear" w:color="auto" w:fill="auto"/>
            <w:vAlign w:val="bottom"/>
          </w:tcPr>
          <w:p w14:paraId="67537DFE" w14:textId="77777777" w:rsidR="001B77DD" w:rsidRDefault="001B77DD">
            <w:pPr>
              <w:rPr>
                <w:rFonts w:ascii="宋体"/>
              </w:rPr>
            </w:pPr>
          </w:p>
        </w:tc>
        <w:tc>
          <w:tcPr>
            <w:tcW w:w="1837" w:type="pct"/>
            <w:shd w:val="clear" w:color="auto" w:fill="auto"/>
            <w:vAlign w:val="bottom"/>
          </w:tcPr>
          <w:p w14:paraId="67537DFF" w14:textId="77777777" w:rsidR="001B77DD" w:rsidRDefault="001B77DD">
            <w:pPr>
              <w:rPr>
                <w:rFonts w:ascii="宋体"/>
              </w:rPr>
            </w:pPr>
          </w:p>
        </w:tc>
        <w:tc>
          <w:tcPr>
            <w:tcW w:w="5" w:type="pct"/>
            <w:shd w:val="clear" w:color="auto" w:fill="auto"/>
            <w:vAlign w:val="bottom"/>
          </w:tcPr>
          <w:p w14:paraId="67537E00" w14:textId="77777777" w:rsidR="001B77DD" w:rsidRDefault="001B77DD">
            <w:pPr>
              <w:rPr>
                <w:rFonts w:ascii="宋体"/>
              </w:rPr>
            </w:pPr>
          </w:p>
        </w:tc>
        <w:tc>
          <w:tcPr>
            <w:tcW w:w="50" w:type="pct"/>
            <w:shd w:val="clear" w:color="auto" w:fill="auto"/>
            <w:vAlign w:val="bottom"/>
          </w:tcPr>
          <w:p w14:paraId="67537E01" w14:textId="77777777" w:rsidR="001B77DD" w:rsidRDefault="001B77DD">
            <w:pPr>
              <w:rPr>
                <w:rFonts w:ascii="宋体"/>
              </w:rPr>
            </w:pPr>
          </w:p>
        </w:tc>
        <w:tc>
          <w:tcPr>
            <w:tcW w:w="1724" w:type="pct"/>
            <w:shd w:val="clear" w:color="auto" w:fill="auto"/>
            <w:vAlign w:val="bottom"/>
          </w:tcPr>
          <w:p w14:paraId="67537E02" w14:textId="77777777" w:rsidR="001B77DD" w:rsidRDefault="001B77DD">
            <w:pPr>
              <w:rPr>
                <w:rFonts w:ascii="宋体"/>
              </w:rPr>
            </w:pPr>
          </w:p>
        </w:tc>
        <w:tc>
          <w:tcPr>
            <w:tcW w:w="5" w:type="pct"/>
            <w:shd w:val="clear" w:color="auto" w:fill="auto"/>
            <w:vAlign w:val="bottom"/>
          </w:tcPr>
          <w:p w14:paraId="67537E03" w14:textId="77777777" w:rsidR="001B77DD" w:rsidRDefault="001B77DD">
            <w:pPr>
              <w:rPr>
                <w:rFonts w:ascii="宋体"/>
              </w:rPr>
            </w:pPr>
          </w:p>
        </w:tc>
      </w:tr>
      <w:tr w:rsidR="001B77DD" w14:paraId="67537E09"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E05"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6F" wp14:editId="67538F70">
                  <wp:extent cx="304800" cy="304800"/>
                  <wp:effectExtent l="0" t="0" r="0" b="0"/>
                  <wp:docPr id="159" name="图片 33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3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E06"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E07"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E08" w14:textId="77777777" w:rsidR="001B77DD" w:rsidRDefault="00BF0A28">
            <w:pPr>
              <w:jc w:val="right"/>
              <w:textAlignment w:val="center"/>
            </w:pPr>
            <w:r>
              <w:rPr>
                <w:rFonts w:ascii="Arial" w:eastAsia="宋体" w:hAnsi="Arial" w:cs="Arial"/>
                <w:color w:val="262626"/>
                <w:sz w:val="16"/>
                <w:szCs w:val="16"/>
              </w:rPr>
              <w:t>101</w:t>
            </w:r>
          </w:p>
        </w:tc>
      </w:tr>
    </w:tbl>
    <w:p w14:paraId="67537E0A" w14:textId="77777777" w:rsidR="001B77DD" w:rsidRDefault="00BF0A28">
      <w:r>
        <w:pict w14:anchorId="67538F71">
          <v:rect id="_x0000_i1127" style="width:415.3pt;height:1.5pt" o:hralign="center" o:hrstd="t" o:hr="t" fillcolor="#a0a0a0" stroked="f"/>
        </w:pict>
      </w:r>
    </w:p>
    <w:p w14:paraId="67537E0B" w14:textId="77777777" w:rsidR="001B77DD" w:rsidRDefault="00BF0A28">
      <w:pPr>
        <w:jc w:val="right"/>
      </w:pPr>
      <w:hyperlink r:id="rId189" w:anchor="i6c9ced68f6b24d58a3dcf326e8c3c699_16" w:history="1">
        <w:r>
          <w:rPr>
            <w:rStyle w:val="a5"/>
            <w:rFonts w:ascii="Arial" w:eastAsia="宋体" w:hAnsi="Arial" w:cs="Arial"/>
            <w:b/>
            <w:bCs/>
            <w:sz w:val="16"/>
            <w:szCs w:val="16"/>
          </w:rPr>
          <w:t>Table of Contents</w:t>
        </w:r>
      </w:hyperlink>
    </w:p>
    <w:p w14:paraId="67537E0C"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41"/>
        <w:gridCol w:w="6100"/>
        <w:gridCol w:w="40"/>
        <w:gridCol w:w="36"/>
        <w:gridCol w:w="36"/>
        <w:gridCol w:w="36"/>
        <w:gridCol w:w="121"/>
        <w:gridCol w:w="812"/>
        <w:gridCol w:w="36"/>
        <w:gridCol w:w="36"/>
        <w:gridCol w:w="36"/>
        <w:gridCol w:w="36"/>
        <w:gridCol w:w="121"/>
        <w:gridCol w:w="813"/>
        <w:gridCol w:w="36"/>
      </w:tblGrid>
      <w:tr w:rsidR="001B77DD" w14:paraId="67537E1C" w14:textId="77777777">
        <w:tc>
          <w:tcPr>
            <w:tcW w:w="50" w:type="pct"/>
            <w:shd w:val="clear" w:color="auto" w:fill="auto"/>
            <w:vAlign w:val="bottom"/>
          </w:tcPr>
          <w:p w14:paraId="67537E0D" w14:textId="77777777" w:rsidR="001B77DD" w:rsidRDefault="001B77DD">
            <w:pPr>
              <w:rPr>
                <w:rFonts w:ascii="宋体"/>
              </w:rPr>
            </w:pPr>
          </w:p>
        </w:tc>
        <w:tc>
          <w:tcPr>
            <w:tcW w:w="3688" w:type="pct"/>
            <w:shd w:val="clear" w:color="auto" w:fill="auto"/>
            <w:vAlign w:val="bottom"/>
          </w:tcPr>
          <w:p w14:paraId="67537E0E" w14:textId="77777777" w:rsidR="001B77DD" w:rsidRDefault="001B77DD">
            <w:pPr>
              <w:rPr>
                <w:rFonts w:ascii="宋体"/>
              </w:rPr>
            </w:pPr>
          </w:p>
        </w:tc>
        <w:tc>
          <w:tcPr>
            <w:tcW w:w="5" w:type="pct"/>
            <w:shd w:val="clear" w:color="auto" w:fill="auto"/>
            <w:vAlign w:val="bottom"/>
          </w:tcPr>
          <w:p w14:paraId="67537E0F" w14:textId="77777777" w:rsidR="001B77DD" w:rsidRDefault="001B77DD">
            <w:pPr>
              <w:rPr>
                <w:rFonts w:ascii="宋体"/>
              </w:rPr>
            </w:pPr>
          </w:p>
        </w:tc>
        <w:tc>
          <w:tcPr>
            <w:tcW w:w="5" w:type="pct"/>
            <w:shd w:val="clear" w:color="auto" w:fill="auto"/>
            <w:vAlign w:val="bottom"/>
          </w:tcPr>
          <w:p w14:paraId="67537E10" w14:textId="77777777" w:rsidR="001B77DD" w:rsidRDefault="001B77DD">
            <w:pPr>
              <w:rPr>
                <w:rFonts w:ascii="宋体"/>
              </w:rPr>
            </w:pPr>
          </w:p>
        </w:tc>
        <w:tc>
          <w:tcPr>
            <w:tcW w:w="24" w:type="pct"/>
            <w:shd w:val="clear" w:color="auto" w:fill="auto"/>
            <w:vAlign w:val="bottom"/>
          </w:tcPr>
          <w:p w14:paraId="67537E11" w14:textId="77777777" w:rsidR="001B77DD" w:rsidRDefault="001B77DD">
            <w:pPr>
              <w:rPr>
                <w:rFonts w:ascii="宋体"/>
              </w:rPr>
            </w:pPr>
          </w:p>
        </w:tc>
        <w:tc>
          <w:tcPr>
            <w:tcW w:w="5" w:type="pct"/>
            <w:shd w:val="clear" w:color="auto" w:fill="auto"/>
            <w:vAlign w:val="bottom"/>
          </w:tcPr>
          <w:p w14:paraId="67537E12" w14:textId="77777777" w:rsidR="001B77DD" w:rsidRDefault="001B77DD">
            <w:pPr>
              <w:rPr>
                <w:rFonts w:ascii="宋体"/>
              </w:rPr>
            </w:pPr>
          </w:p>
        </w:tc>
        <w:tc>
          <w:tcPr>
            <w:tcW w:w="50" w:type="pct"/>
            <w:shd w:val="clear" w:color="auto" w:fill="auto"/>
            <w:vAlign w:val="bottom"/>
          </w:tcPr>
          <w:p w14:paraId="67537E13" w14:textId="77777777" w:rsidR="001B77DD" w:rsidRDefault="001B77DD">
            <w:pPr>
              <w:rPr>
                <w:rFonts w:ascii="宋体"/>
              </w:rPr>
            </w:pPr>
          </w:p>
        </w:tc>
        <w:tc>
          <w:tcPr>
            <w:tcW w:w="539" w:type="pct"/>
            <w:shd w:val="clear" w:color="auto" w:fill="auto"/>
            <w:vAlign w:val="bottom"/>
          </w:tcPr>
          <w:p w14:paraId="67537E14" w14:textId="77777777" w:rsidR="001B77DD" w:rsidRDefault="001B77DD">
            <w:pPr>
              <w:rPr>
                <w:rFonts w:ascii="宋体"/>
              </w:rPr>
            </w:pPr>
          </w:p>
        </w:tc>
        <w:tc>
          <w:tcPr>
            <w:tcW w:w="5" w:type="pct"/>
            <w:shd w:val="clear" w:color="auto" w:fill="auto"/>
            <w:vAlign w:val="bottom"/>
          </w:tcPr>
          <w:p w14:paraId="67537E15" w14:textId="77777777" w:rsidR="001B77DD" w:rsidRDefault="001B77DD">
            <w:pPr>
              <w:rPr>
                <w:rFonts w:ascii="宋体"/>
              </w:rPr>
            </w:pPr>
          </w:p>
        </w:tc>
        <w:tc>
          <w:tcPr>
            <w:tcW w:w="5" w:type="pct"/>
            <w:shd w:val="clear" w:color="auto" w:fill="auto"/>
            <w:vAlign w:val="bottom"/>
          </w:tcPr>
          <w:p w14:paraId="67537E16" w14:textId="77777777" w:rsidR="001B77DD" w:rsidRDefault="001B77DD">
            <w:pPr>
              <w:rPr>
                <w:rFonts w:ascii="宋体"/>
              </w:rPr>
            </w:pPr>
          </w:p>
        </w:tc>
        <w:tc>
          <w:tcPr>
            <w:tcW w:w="24" w:type="pct"/>
            <w:shd w:val="clear" w:color="auto" w:fill="auto"/>
            <w:vAlign w:val="bottom"/>
          </w:tcPr>
          <w:p w14:paraId="67537E17" w14:textId="77777777" w:rsidR="001B77DD" w:rsidRDefault="001B77DD">
            <w:pPr>
              <w:rPr>
                <w:rFonts w:ascii="宋体"/>
              </w:rPr>
            </w:pPr>
          </w:p>
        </w:tc>
        <w:tc>
          <w:tcPr>
            <w:tcW w:w="5" w:type="pct"/>
            <w:shd w:val="clear" w:color="auto" w:fill="auto"/>
            <w:vAlign w:val="bottom"/>
          </w:tcPr>
          <w:p w14:paraId="67537E18" w14:textId="77777777" w:rsidR="001B77DD" w:rsidRDefault="001B77DD">
            <w:pPr>
              <w:rPr>
                <w:rFonts w:ascii="宋体"/>
              </w:rPr>
            </w:pPr>
          </w:p>
        </w:tc>
        <w:tc>
          <w:tcPr>
            <w:tcW w:w="50" w:type="pct"/>
            <w:shd w:val="clear" w:color="auto" w:fill="auto"/>
            <w:vAlign w:val="bottom"/>
          </w:tcPr>
          <w:p w14:paraId="67537E19" w14:textId="77777777" w:rsidR="001B77DD" w:rsidRDefault="001B77DD">
            <w:pPr>
              <w:rPr>
                <w:rFonts w:ascii="宋体"/>
              </w:rPr>
            </w:pPr>
          </w:p>
        </w:tc>
        <w:tc>
          <w:tcPr>
            <w:tcW w:w="539" w:type="pct"/>
            <w:shd w:val="clear" w:color="auto" w:fill="auto"/>
            <w:vAlign w:val="bottom"/>
          </w:tcPr>
          <w:p w14:paraId="67537E1A" w14:textId="77777777" w:rsidR="001B77DD" w:rsidRDefault="001B77DD">
            <w:pPr>
              <w:rPr>
                <w:rFonts w:ascii="宋体"/>
              </w:rPr>
            </w:pPr>
          </w:p>
        </w:tc>
        <w:tc>
          <w:tcPr>
            <w:tcW w:w="5" w:type="pct"/>
            <w:shd w:val="clear" w:color="auto" w:fill="auto"/>
            <w:vAlign w:val="bottom"/>
          </w:tcPr>
          <w:p w14:paraId="67537E1B" w14:textId="77777777" w:rsidR="001B77DD" w:rsidRDefault="001B77DD">
            <w:pPr>
              <w:rPr>
                <w:rFonts w:ascii="宋体"/>
              </w:rPr>
            </w:pPr>
          </w:p>
        </w:tc>
      </w:tr>
      <w:tr w:rsidR="001B77DD" w14:paraId="67537E22" w14:textId="77777777">
        <w:tc>
          <w:tcPr>
            <w:tcW w:w="0" w:type="auto"/>
            <w:gridSpan w:val="3"/>
            <w:shd w:val="clear" w:color="auto" w:fill="auto"/>
            <w:tcMar>
              <w:top w:w="40" w:type="dxa"/>
              <w:left w:w="20" w:type="dxa"/>
              <w:bottom w:w="40" w:type="dxa"/>
              <w:right w:w="20" w:type="dxa"/>
            </w:tcMar>
            <w:vAlign w:val="bottom"/>
          </w:tcPr>
          <w:p w14:paraId="67537E1D" w14:textId="77777777" w:rsidR="001B77DD" w:rsidRDefault="00BF0A28">
            <w:pPr>
              <w:textAlignment w:val="bottom"/>
            </w:pPr>
            <w:r>
              <w:rPr>
                <w:rFonts w:ascii="Arial" w:eastAsia="宋体" w:hAnsi="Arial" w:cs="Arial"/>
                <w:b/>
                <w:bCs/>
                <w:color w:val="262626"/>
                <w:sz w:val="18"/>
                <w:szCs w:val="18"/>
              </w:rPr>
              <w:t> </w:t>
            </w:r>
            <w:r>
              <w:rPr>
                <w:rFonts w:ascii="Arial" w:eastAsia="宋体" w:hAnsi="Arial" w:cs="Arial"/>
                <w:b/>
                <w:bCs/>
                <w:color w:val="262626"/>
                <w:sz w:val="18"/>
                <w:szCs w:val="18"/>
              </w:rPr>
              <w:br/>
              <w:t>(In Millions)</w:t>
            </w:r>
          </w:p>
        </w:tc>
        <w:tc>
          <w:tcPr>
            <w:tcW w:w="0" w:type="auto"/>
            <w:gridSpan w:val="3"/>
            <w:shd w:val="clear" w:color="auto" w:fill="auto"/>
            <w:tcMar>
              <w:top w:w="0" w:type="dxa"/>
              <w:left w:w="20" w:type="dxa"/>
              <w:bottom w:w="0" w:type="dxa"/>
              <w:right w:w="20" w:type="dxa"/>
            </w:tcMar>
            <w:vAlign w:val="bottom"/>
          </w:tcPr>
          <w:p w14:paraId="67537E1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E1F"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7E2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E21"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7E28"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E23" w14:textId="77777777" w:rsidR="001B77DD" w:rsidRDefault="00BF0A28">
            <w:pPr>
              <w:textAlignment w:val="bottom"/>
            </w:pPr>
            <w:r>
              <w:rPr>
                <w:rFonts w:ascii="Arial" w:eastAsia="宋体" w:hAnsi="Arial" w:cs="Arial"/>
                <w:b/>
                <w:bCs/>
                <w:color w:val="262626"/>
                <w:sz w:val="18"/>
                <w:szCs w:val="18"/>
              </w:rPr>
              <w:t xml:space="preserve">Changes in </w:t>
            </w:r>
            <w:r>
              <w:rPr>
                <w:rFonts w:ascii="Arial" w:eastAsia="宋体" w:hAnsi="Arial" w:cs="Arial"/>
                <w:b/>
                <w:bCs/>
                <w:color w:val="262626"/>
                <w:sz w:val="18"/>
                <w:szCs w:val="18"/>
              </w:rPr>
              <w:t>projected benefit obligation:</w:t>
            </w:r>
          </w:p>
        </w:tc>
        <w:tc>
          <w:tcPr>
            <w:tcW w:w="0" w:type="auto"/>
            <w:gridSpan w:val="3"/>
            <w:shd w:val="clear" w:color="auto" w:fill="auto"/>
            <w:tcMar>
              <w:top w:w="0" w:type="dxa"/>
              <w:left w:w="20" w:type="dxa"/>
              <w:bottom w:w="0" w:type="dxa"/>
              <w:right w:w="20" w:type="dxa"/>
            </w:tcMar>
            <w:vAlign w:val="bottom"/>
          </w:tcPr>
          <w:p w14:paraId="67537E24"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E2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E26"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E27" w14:textId="77777777" w:rsidR="001B77DD" w:rsidRDefault="001B77DD">
            <w:pPr>
              <w:rPr>
                <w:rFonts w:ascii="宋体"/>
              </w:rPr>
            </w:pPr>
          </w:p>
        </w:tc>
      </w:tr>
      <w:tr w:rsidR="001B77DD" w14:paraId="67537E32" w14:textId="77777777">
        <w:tc>
          <w:tcPr>
            <w:tcW w:w="0" w:type="auto"/>
            <w:gridSpan w:val="3"/>
            <w:shd w:val="clear" w:color="auto" w:fill="auto"/>
            <w:tcMar>
              <w:top w:w="40" w:type="dxa"/>
              <w:left w:w="155" w:type="dxa"/>
              <w:bottom w:w="40" w:type="dxa"/>
              <w:right w:w="20" w:type="dxa"/>
            </w:tcMar>
            <w:vAlign w:val="bottom"/>
          </w:tcPr>
          <w:p w14:paraId="67537E29" w14:textId="77777777" w:rsidR="001B77DD" w:rsidRDefault="00BF0A28">
            <w:pPr>
              <w:textAlignment w:val="bottom"/>
            </w:pPr>
            <w:r>
              <w:rPr>
                <w:rFonts w:ascii="Arial" w:eastAsia="宋体" w:hAnsi="Arial" w:cs="Arial"/>
                <w:b/>
                <w:bCs/>
                <w:color w:val="262626"/>
                <w:sz w:val="18"/>
                <w:szCs w:val="18"/>
              </w:rPr>
              <w:t>Beginning projected benefit obligation</w:t>
            </w:r>
          </w:p>
        </w:tc>
        <w:tc>
          <w:tcPr>
            <w:tcW w:w="0" w:type="auto"/>
            <w:gridSpan w:val="3"/>
            <w:shd w:val="clear" w:color="auto" w:fill="auto"/>
            <w:tcMar>
              <w:top w:w="0" w:type="dxa"/>
              <w:left w:w="20" w:type="dxa"/>
              <w:bottom w:w="0" w:type="dxa"/>
              <w:right w:w="20" w:type="dxa"/>
            </w:tcMar>
            <w:vAlign w:val="bottom"/>
          </w:tcPr>
          <w:p w14:paraId="67537E2A"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E2B" w14:textId="77777777" w:rsidR="001B77DD" w:rsidRDefault="00BF0A2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7537E2C" w14:textId="77777777" w:rsidR="001B77DD" w:rsidRDefault="00BF0A28">
            <w:pPr>
              <w:jc w:val="right"/>
              <w:textAlignment w:val="bottom"/>
            </w:pPr>
            <w:r>
              <w:rPr>
                <w:rFonts w:ascii="Arial" w:eastAsia="宋体" w:hAnsi="Arial" w:cs="Arial"/>
                <w:b/>
                <w:bCs/>
                <w:color w:val="0068B5"/>
                <w:sz w:val="18"/>
                <w:szCs w:val="18"/>
              </w:rPr>
              <w:t>4,929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E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2E"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E2F" w14:textId="77777777" w:rsidR="001B77DD" w:rsidRDefault="00BF0A2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7537E30" w14:textId="77777777" w:rsidR="001B77DD" w:rsidRDefault="00BF0A28">
            <w:pPr>
              <w:jc w:val="right"/>
              <w:textAlignment w:val="bottom"/>
            </w:pPr>
            <w:r>
              <w:rPr>
                <w:rFonts w:ascii="Arial" w:eastAsia="宋体" w:hAnsi="Arial" w:cs="Arial"/>
                <w:b/>
                <w:bCs/>
                <w:color w:val="262626"/>
                <w:sz w:val="18"/>
                <w:szCs w:val="18"/>
              </w:rPr>
              <w:t>4,284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E31" w14:textId="77777777" w:rsidR="001B77DD" w:rsidRDefault="001B77DD">
            <w:pPr>
              <w:jc w:val="right"/>
              <w:rPr>
                <w:rFonts w:ascii="宋体"/>
              </w:rPr>
            </w:pPr>
          </w:p>
        </w:tc>
      </w:tr>
      <w:tr w:rsidR="001B77DD" w14:paraId="67537E3A" w14:textId="77777777">
        <w:tc>
          <w:tcPr>
            <w:tcW w:w="0" w:type="auto"/>
            <w:gridSpan w:val="3"/>
            <w:shd w:val="clear" w:color="auto" w:fill="auto"/>
            <w:tcMar>
              <w:top w:w="40" w:type="dxa"/>
              <w:left w:w="155" w:type="dxa"/>
              <w:bottom w:w="40" w:type="dxa"/>
              <w:right w:w="20" w:type="dxa"/>
            </w:tcMar>
            <w:vAlign w:val="bottom"/>
          </w:tcPr>
          <w:p w14:paraId="67537E33" w14:textId="77777777" w:rsidR="001B77DD" w:rsidRDefault="00BF0A28">
            <w:pPr>
              <w:textAlignment w:val="bottom"/>
            </w:pPr>
            <w:r>
              <w:rPr>
                <w:rFonts w:ascii="Arial" w:eastAsia="宋体" w:hAnsi="Arial" w:cs="Arial"/>
                <w:color w:val="262626"/>
                <w:sz w:val="18"/>
                <w:szCs w:val="18"/>
              </w:rPr>
              <w:t>Service cost</w:t>
            </w:r>
          </w:p>
        </w:tc>
        <w:tc>
          <w:tcPr>
            <w:tcW w:w="0" w:type="auto"/>
            <w:gridSpan w:val="3"/>
            <w:shd w:val="clear" w:color="auto" w:fill="auto"/>
            <w:tcMar>
              <w:top w:w="0" w:type="dxa"/>
              <w:left w:w="20" w:type="dxa"/>
              <w:bottom w:w="0" w:type="dxa"/>
              <w:right w:w="20" w:type="dxa"/>
            </w:tcMar>
            <w:vAlign w:val="bottom"/>
          </w:tcPr>
          <w:p w14:paraId="67537E3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35" w14:textId="77777777" w:rsidR="001B77DD" w:rsidRDefault="00BF0A28">
            <w:pPr>
              <w:jc w:val="right"/>
              <w:textAlignment w:val="bottom"/>
            </w:pPr>
            <w:r>
              <w:rPr>
                <w:rFonts w:ascii="Arial" w:eastAsia="宋体" w:hAnsi="Arial" w:cs="Arial"/>
                <w:color w:val="0068B5"/>
                <w:sz w:val="18"/>
                <w:szCs w:val="18"/>
              </w:rPr>
              <w:t>54 </w:t>
            </w:r>
          </w:p>
        </w:tc>
        <w:tc>
          <w:tcPr>
            <w:tcW w:w="0" w:type="auto"/>
            <w:shd w:val="clear" w:color="auto" w:fill="auto"/>
            <w:tcMar>
              <w:top w:w="40" w:type="dxa"/>
              <w:left w:w="0" w:type="dxa"/>
              <w:bottom w:w="40" w:type="dxa"/>
              <w:right w:w="20" w:type="dxa"/>
            </w:tcMar>
            <w:vAlign w:val="bottom"/>
          </w:tcPr>
          <w:p w14:paraId="67537E3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3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38" w14:textId="77777777" w:rsidR="001B77DD" w:rsidRDefault="00BF0A28">
            <w:pPr>
              <w:jc w:val="right"/>
              <w:textAlignment w:val="bottom"/>
            </w:pPr>
            <w:r>
              <w:rPr>
                <w:rFonts w:ascii="Arial" w:eastAsia="宋体" w:hAnsi="Arial" w:cs="Arial"/>
                <w:color w:val="262626"/>
                <w:sz w:val="18"/>
                <w:szCs w:val="18"/>
              </w:rPr>
              <w:t>49 </w:t>
            </w:r>
          </w:p>
        </w:tc>
        <w:tc>
          <w:tcPr>
            <w:tcW w:w="0" w:type="auto"/>
            <w:shd w:val="clear" w:color="auto" w:fill="auto"/>
            <w:tcMar>
              <w:top w:w="40" w:type="dxa"/>
              <w:left w:w="0" w:type="dxa"/>
              <w:bottom w:w="40" w:type="dxa"/>
              <w:right w:w="20" w:type="dxa"/>
            </w:tcMar>
            <w:vAlign w:val="bottom"/>
          </w:tcPr>
          <w:p w14:paraId="67537E39" w14:textId="77777777" w:rsidR="001B77DD" w:rsidRDefault="001B77DD">
            <w:pPr>
              <w:jc w:val="right"/>
              <w:rPr>
                <w:rFonts w:ascii="宋体"/>
              </w:rPr>
            </w:pPr>
          </w:p>
        </w:tc>
      </w:tr>
      <w:tr w:rsidR="001B77DD" w14:paraId="67537E42" w14:textId="77777777">
        <w:tc>
          <w:tcPr>
            <w:tcW w:w="0" w:type="auto"/>
            <w:gridSpan w:val="3"/>
            <w:shd w:val="clear" w:color="auto" w:fill="auto"/>
            <w:tcMar>
              <w:top w:w="40" w:type="dxa"/>
              <w:left w:w="155" w:type="dxa"/>
              <w:bottom w:w="40" w:type="dxa"/>
              <w:right w:w="20" w:type="dxa"/>
            </w:tcMar>
            <w:vAlign w:val="bottom"/>
          </w:tcPr>
          <w:p w14:paraId="67537E3B" w14:textId="77777777" w:rsidR="001B77DD" w:rsidRDefault="00BF0A28">
            <w:pPr>
              <w:textAlignment w:val="bottom"/>
            </w:pPr>
            <w:r>
              <w:rPr>
                <w:rFonts w:ascii="Arial" w:eastAsia="宋体" w:hAnsi="Arial" w:cs="Arial"/>
                <w:color w:val="262626"/>
                <w:sz w:val="18"/>
                <w:szCs w:val="18"/>
              </w:rPr>
              <w:t>Interest cost</w:t>
            </w:r>
          </w:p>
        </w:tc>
        <w:tc>
          <w:tcPr>
            <w:tcW w:w="0" w:type="auto"/>
            <w:gridSpan w:val="3"/>
            <w:shd w:val="clear" w:color="auto" w:fill="auto"/>
            <w:tcMar>
              <w:top w:w="0" w:type="dxa"/>
              <w:left w:w="20" w:type="dxa"/>
              <w:bottom w:w="0" w:type="dxa"/>
              <w:right w:w="20" w:type="dxa"/>
            </w:tcMar>
            <w:vAlign w:val="bottom"/>
          </w:tcPr>
          <w:p w14:paraId="67537E3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3D" w14:textId="77777777" w:rsidR="001B77DD" w:rsidRDefault="00BF0A28">
            <w:pPr>
              <w:jc w:val="right"/>
              <w:textAlignment w:val="bottom"/>
            </w:pPr>
            <w:r>
              <w:rPr>
                <w:rFonts w:ascii="Arial" w:eastAsia="宋体" w:hAnsi="Arial" w:cs="Arial"/>
                <w:color w:val="0068B5"/>
                <w:sz w:val="18"/>
                <w:szCs w:val="18"/>
              </w:rPr>
              <w:t>91 </w:t>
            </w:r>
          </w:p>
        </w:tc>
        <w:tc>
          <w:tcPr>
            <w:tcW w:w="0" w:type="auto"/>
            <w:shd w:val="clear" w:color="auto" w:fill="auto"/>
            <w:tcMar>
              <w:top w:w="40" w:type="dxa"/>
              <w:left w:w="0" w:type="dxa"/>
              <w:bottom w:w="40" w:type="dxa"/>
              <w:right w:w="20" w:type="dxa"/>
            </w:tcMar>
            <w:vAlign w:val="bottom"/>
          </w:tcPr>
          <w:p w14:paraId="67537E3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3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40" w14:textId="77777777" w:rsidR="001B77DD" w:rsidRDefault="00BF0A28">
            <w:pPr>
              <w:jc w:val="right"/>
              <w:textAlignment w:val="bottom"/>
            </w:pPr>
            <w:r>
              <w:rPr>
                <w:rFonts w:ascii="Arial" w:eastAsia="宋体" w:hAnsi="Arial" w:cs="Arial"/>
                <w:color w:val="262626"/>
                <w:sz w:val="18"/>
                <w:szCs w:val="18"/>
              </w:rPr>
              <w:t>97 </w:t>
            </w:r>
          </w:p>
        </w:tc>
        <w:tc>
          <w:tcPr>
            <w:tcW w:w="0" w:type="auto"/>
            <w:shd w:val="clear" w:color="auto" w:fill="auto"/>
            <w:tcMar>
              <w:top w:w="40" w:type="dxa"/>
              <w:left w:w="0" w:type="dxa"/>
              <w:bottom w:w="40" w:type="dxa"/>
              <w:right w:w="20" w:type="dxa"/>
            </w:tcMar>
            <w:vAlign w:val="bottom"/>
          </w:tcPr>
          <w:p w14:paraId="67537E41" w14:textId="77777777" w:rsidR="001B77DD" w:rsidRDefault="001B77DD">
            <w:pPr>
              <w:jc w:val="right"/>
              <w:rPr>
                <w:rFonts w:ascii="宋体"/>
              </w:rPr>
            </w:pPr>
          </w:p>
        </w:tc>
      </w:tr>
      <w:tr w:rsidR="001B77DD" w14:paraId="67537E4A" w14:textId="77777777">
        <w:tc>
          <w:tcPr>
            <w:tcW w:w="0" w:type="auto"/>
            <w:gridSpan w:val="3"/>
            <w:shd w:val="clear" w:color="auto" w:fill="auto"/>
            <w:tcMar>
              <w:top w:w="40" w:type="dxa"/>
              <w:left w:w="155" w:type="dxa"/>
              <w:bottom w:w="40" w:type="dxa"/>
              <w:right w:w="20" w:type="dxa"/>
            </w:tcMar>
            <w:vAlign w:val="bottom"/>
          </w:tcPr>
          <w:p w14:paraId="67537E43" w14:textId="77777777" w:rsidR="001B77DD" w:rsidRDefault="00BF0A28">
            <w:pPr>
              <w:textAlignment w:val="bottom"/>
            </w:pPr>
            <w:r>
              <w:rPr>
                <w:rFonts w:ascii="Arial" w:eastAsia="宋体" w:hAnsi="Arial" w:cs="Arial"/>
                <w:color w:val="262626"/>
                <w:sz w:val="18"/>
                <w:szCs w:val="18"/>
              </w:rPr>
              <w:t>Actuarial (gain) loss</w:t>
            </w:r>
          </w:p>
        </w:tc>
        <w:tc>
          <w:tcPr>
            <w:tcW w:w="0" w:type="auto"/>
            <w:gridSpan w:val="3"/>
            <w:shd w:val="clear" w:color="auto" w:fill="auto"/>
            <w:tcMar>
              <w:top w:w="0" w:type="dxa"/>
              <w:left w:w="20" w:type="dxa"/>
              <w:bottom w:w="0" w:type="dxa"/>
              <w:right w:w="20" w:type="dxa"/>
            </w:tcMar>
            <w:vAlign w:val="bottom"/>
          </w:tcPr>
          <w:p w14:paraId="67537E4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45" w14:textId="77777777" w:rsidR="001B77DD" w:rsidRDefault="00BF0A28">
            <w:pPr>
              <w:jc w:val="right"/>
              <w:textAlignment w:val="bottom"/>
            </w:pPr>
            <w:r>
              <w:rPr>
                <w:rFonts w:ascii="Arial" w:eastAsia="宋体" w:hAnsi="Arial" w:cs="Arial"/>
                <w:color w:val="0068B5"/>
                <w:sz w:val="18"/>
                <w:szCs w:val="18"/>
              </w:rPr>
              <w:t>(284)</w:t>
            </w:r>
          </w:p>
        </w:tc>
        <w:tc>
          <w:tcPr>
            <w:tcW w:w="0" w:type="auto"/>
            <w:shd w:val="clear" w:color="auto" w:fill="auto"/>
            <w:tcMar>
              <w:top w:w="40" w:type="dxa"/>
              <w:left w:w="0" w:type="dxa"/>
              <w:bottom w:w="40" w:type="dxa"/>
              <w:right w:w="20" w:type="dxa"/>
            </w:tcMar>
            <w:vAlign w:val="bottom"/>
          </w:tcPr>
          <w:p w14:paraId="67537E4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4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48" w14:textId="77777777" w:rsidR="001B77DD" w:rsidRDefault="00BF0A28">
            <w:pPr>
              <w:jc w:val="right"/>
              <w:textAlignment w:val="bottom"/>
            </w:pPr>
            <w:r>
              <w:rPr>
                <w:rFonts w:ascii="Arial" w:eastAsia="宋体" w:hAnsi="Arial" w:cs="Arial"/>
                <w:color w:val="262626"/>
                <w:sz w:val="18"/>
                <w:szCs w:val="18"/>
              </w:rPr>
              <w:t>373 </w:t>
            </w:r>
          </w:p>
        </w:tc>
        <w:tc>
          <w:tcPr>
            <w:tcW w:w="0" w:type="auto"/>
            <w:shd w:val="clear" w:color="auto" w:fill="auto"/>
            <w:tcMar>
              <w:top w:w="40" w:type="dxa"/>
              <w:left w:w="0" w:type="dxa"/>
              <w:bottom w:w="40" w:type="dxa"/>
              <w:right w:w="20" w:type="dxa"/>
            </w:tcMar>
            <w:vAlign w:val="bottom"/>
          </w:tcPr>
          <w:p w14:paraId="67537E49" w14:textId="77777777" w:rsidR="001B77DD" w:rsidRDefault="001B77DD">
            <w:pPr>
              <w:jc w:val="right"/>
              <w:rPr>
                <w:rFonts w:ascii="宋体"/>
              </w:rPr>
            </w:pPr>
          </w:p>
        </w:tc>
      </w:tr>
      <w:tr w:rsidR="001B77DD" w14:paraId="67537E52" w14:textId="77777777">
        <w:tc>
          <w:tcPr>
            <w:tcW w:w="0" w:type="auto"/>
            <w:gridSpan w:val="3"/>
            <w:shd w:val="clear" w:color="auto" w:fill="auto"/>
            <w:tcMar>
              <w:top w:w="40" w:type="dxa"/>
              <w:left w:w="155" w:type="dxa"/>
              <w:bottom w:w="40" w:type="dxa"/>
              <w:right w:w="20" w:type="dxa"/>
            </w:tcMar>
            <w:vAlign w:val="bottom"/>
          </w:tcPr>
          <w:p w14:paraId="67537E4B" w14:textId="77777777" w:rsidR="001B77DD" w:rsidRDefault="00BF0A28">
            <w:pPr>
              <w:textAlignment w:val="bottom"/>
            </w:pPr>
            <w:r>
              <w:rPr>
                <w:rFonts w:ascii="Arial" w:eastAsia="宋体" w:hAnsi="Arial" w:cs="Arial"/>
                <w:color w:val="262626"/>
                <w:sz w:val="18"/>
                <w:szCs w:val="18"/>
              </w:rPr>
              <w:t>Currency exchange rate changes</w:t>
            </w:r>
          </w:p>
        </w:tc>
        <w:tc>
          <w:tcPr>
            <w:tcW w:w="0" w:type="auto"/>
            <w:gridSpan w:val="3"/>
            <w:shd w:val="clear" w:color="auto" w:fill="auto"/>
            <w:tcMar>
              <w:top w:w="0" w:type="dxa"/>
              <w:left w:w="20" w:type="dxa"/>
              <w:bottom w:w="0" w:type="dxa"/>
              <w:right w:w="20" w:type="dxa"/>
            </w:tcMar>
            <w:vAlign w:val="bottom"/>
          </w:tcPr>
          <w:p w14:paraId="67537E4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4D" w14:textId="77777777" w:rsidR="001B77DD" w:rsidRDefault="00BF0A28">
            <w:pPr>
              <w:jc w:val="right"/>
              <w:textAlignment w:val="bottom"/>
            </w:pPr>
            <w:r>
              <w:rPr>
                <w:rFonts w:ascii="Arial" w:eastAsia="宋体" w:hAnsi="Arial" w:cs="Arial"/>
                <w:color w:val="0068B5"/>
                <w:sz w:val="18"/>
                <w:szCs w:val="18"/>
              </w:rPr>
              <w:t>(150)</w:t>
            </w:r>
          </w:p>
        </w:tc>
        <w:tc>
          <w:tcPr>
            <w:tcW w:w="0" w:type="auto"/>
            <w:shd w:val="clear" w:color="auto" w:fill="auto"/>
            <w:tcMar>
              <w:top w:w="40" w:type="dxa"/>
              <w:left w:w="0" w:type="dxa"/>
              <w:bottom w:w="40" w:type="dxa"/>
              <w:right w:w="20" w:type="dxa"/>
            </w:tcMar>
            <w:vAlign w:val="bottom"/>
          </w:tcPr>
          <w:p w14:paraId="67537E4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4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50" w14:textId="77777777" w:rsidR="001B77DD" w:rsidRDefault="00BF0A28">
            <w:pPr>
              <w:jc w:val="right"/>
              <w:textAlignment w:val="bottom"/>
            </w:pPr>
            <w:r>
              <w:rPr>
                <w:rFonts w:ascii="Arial" w:eastAsia="宋体" w:hAnsi="Arial" w:cs="Arial"/>
                <w:color w:val="262626"/>
                <w:sz w:val="18"/>
                <w:szCs w:val="18"/>
              </w:rPr>
              <w:t>261 </w:t>
            </w:r>
          </w:p>
        </w:tc>
        <w:tc>
          <w:tcPr>
            <w:tcW w:w="0" w:type="auto"/>
            <w:shd w:val="clear" w:color="auto" w:fill="auto"/>
            <w:tcMar>
              <w:top w:w="40" w:type="dxa"/>
              <w:left w:w="0" w:type="dxa"/>
              <w:bottom w:w="40" w:type="dxa"/>
              <w:right w:w="20" w:type="dxa"/>
            </w:tcMar>
            <w:vAlign w:val="bottom"/>
          </w:tcPr>
          <w:p w14:paraId="67537E51" w14:textId="77777777" w:rsidR="001B77DD" w:rsidRDefault="001B77DD">
            <w:pPr>
              <w:jc w:val="right"/>
              <w:rPr>
                <w:rFonts w:ascii="宋体"/>
              </w:rPr>
            </w:pPr>
          </w:p>
        </w:tc>
      </w:tr>
      <w:tr w:rsidR="001B77DD" w14:paraId="67537E58" w14:textId="77777777">
        <w:trPr>
          <w:hidden/>
        </w:trPr>
        <w:tc>
          <w:tcPr>
            <w:tcW w:w="0" w:type="auto"/>
            <w:gridSpan w:val="3"/>
            <w:shd w:val="clear" w:color="auto" w:fill="auto"/>
            <w:vAlign w:val="bottom"/>
          </w:tcPr>
          <w:p w14:paraId="67537E53" w14:textId="77777777" w:rsidR="001B77DD" w:rsidRDefault="001B77DD">
            <w:pPr>
              <w:rPr>
                <w:rFonts w:ascii="宋体"/>
                <w:vanish/>
              </w:rPr>
            </w:pPr>
          </w:p>
        </w:tc>
        <w:tc>
          <w:tcPr>
            <w:tcW w:w="0" w:type="auto"/>
            <w:gridSpan w:val="3"/>
            <w:shd w:val="clear" w:color="auto" w:fill="auto"/>
            <w:vAlign w:val="bottom"/>
          </w:tcPr>
          <w:p w14:paraId="67537E54" w14:textId="77777777" w:rsidR="001B77DD" w:rsidRDefault="001B77DD">
            <w:pPr>
              <w:rPr>
                <w:rFonts w:ascii="宋体"/>
                <w:vanish/>
              </w:rPr>
            </w:pPr>
          </w:p>
        </w:tc>
        <w:tc>
          <w:tcPr>
            <w:tcW w:w="0" w:type="auto"/>
            <w:gridSpan w:val="3"/>
            <w:shd w:val="clear" w:color="auto" w:fill="auto"/>
            <w:vAlign w:val="bottom"/>
          </w:tcPr>
          <w:p w14:paraId="67537E55" w14:textId="77777777" w:rsidR="001B77DD" w:rsidRDefault="001B77DD">
            <w:pPr>
              <w:rPr>
                <w:rFonts w:ascii="宋体"/>
                <w:vanish/>
              </w:rPr>
            </w:pPr>
          </w:p>
        </w:tc>
        <w:tc>
          <w:tcPr>
            <w:tcW w:w="0" w:type="auto"/>
            <w:gridSpan w:val="3"/>
            <w:shd w:val="clear" w:color="auto" w:fill="auto"/>
            <w:vAlign w:val="bottom"/>
          </w:tcPr>
          <w:p w14:paraId="67537E56" w14:textId="77777777" w:rsidR="001B77DD" w:rsidRDefault="001B77DD">
            <w:pPr>
              <w:rPr>
                <w:rFonts w:ascii="宋体"/>
                <w:vanish/>
              </w:rPr>
            </w:pPr>
          </w:p>
        </w:tc>
        <w:tc>
          <w:tcPr>
            <w:tcW w:w="0" w:type="auto"/>
            <w:gridSpan w:val="3"/>
            <w:shd w:val="clear" w:color="auto" w:fill="auto"/>
            <w:vAlign w:val="bottom"/>
          </w:tcPr>
          <w:p w14:paraId="67537E57" w14:textId="77777777" w:rsidR="001B77DD" w:rsidRDefault="001B77DD">
            <w:pPr>
              <w:rPr>
                <w:rFonts w:ascii="宋体"/>
                <w:vanish/>
              </w:rPr>
            </w:pPr>
          </w:p>
        </w:tc>
      </w:tr>
      <w:tr w:rsidR="001B77DD" w14:paraId="67537E60" w14:textId="77777777">
        <w:tc>
          <w:tcPr>
            <w:tcW w:w="0" w:type="auto"/>
            <w:gridSpan w:val="3"/>
            <w:shd w:val="clear" w:color="auto" w:fill="auto"/>
            <w:tcMar>
              <w:top w:w="40" w:type="dxa"/>
              <w:left w:w="155" w:type="dxa"/>
              <w:bottom w:w="40" w:type="dxa"/>
              <w:right w:w="20" w:type="dxa"/>
            </w:tcMar>
            <w:vAlign w:val="bottom"/>
          </w:tcPr>
          <w:p w14:paraId="67537E59" w14:textId="77777777" w:rsidR="001B77DD" w:rsidRDefault="00BF0A28">
            <w:pPr>
              <w:textAlignment w:val="bottom"/>
            </w:pPr>
            <w:r>
              <w:rPr>
                <w:rFonts w:ascii="Arial" w:eastAsia="宋体" w:hAnsi="Arial" w:cs="Arial"/>
                <w:color w:val="262626"/>
                <w:sz w:val="18"/>
                <w:szCs w:val="18"/>
              </w:rPr>
              <w:t xml:space="preserve">Plan </w:t>
            </w:r>
            <w:r>
              <w:rPr>
                <w:rFonts w:ascii="Arial" w:eastAsia="宋体" w:hAnsi="Arial" w:cs="Arial"/>
                <w:color w:val="262626"/>
                <w:sz w:val="18"/>
                <w:szCs w:val="18"/>
              </w:rPr>
              <w:t>settlements</w:t>
            </w:r>
          </w:p>
        </w:tc>
        <w:tc>
          <w:tcPr>
            <w:tcW w:w="0" w:type="auto"/>
            <w:gridSpan w:val="3"/>
            <w:shd w:val="clear" w:color="auto" w:fill="auto"/>
            <w:tcMar>
              <w:top w:w="0" w:type="dxa"/>
              <w:left w:w="20" w:type="dxa"/>
              <w:bottom w:w="0" w:type="dxa"/>
              <w:right w:w="20" w:type="dxa"/>
            </w:tcMar>
            <w:vAlign w:val="bottom"/>
          </w:tcPr>
          <w:p w14:paraId="67537E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5B" w14:textId="77777777" w:rsidR="001B77DD" w:rsidRDefault="00BF0A28">
            <w:pPr>
              <w:jc w:val="right"/>
              <w:textAlignment w:val="bottom"/>
            </w:pPr>
            <w:r>
              <w:rPr>
                <w:rFonts w:ascii="Arial" w:eastAsia="宋体" w:hAnsi="Arial" w:cs="Arial"/>
                <w:color w:val="0068B5"/>
                <w:sz w:val="18"/>
                <w:szCs w:val="18"/>
              </w:rPr>
              <w:t>(126)</w:t>
            </w:r>
          </w:p>
        </w:tc>
        <w:tc>
          <w:tcPr>
            <w:tcW w:w="0" w:type="auto"/>
            <w:shd w:val="clear" w:color="auto" w:fill="auto"/>
            <w:tcMar>
              <w:top w:w="40" w:type="dxa"/>
              <w:left w:w="0" w:type="dxa"/>
              <w:bottom w:w="40" w:type="dxa"/>
              <w:right w:w="20" w:type="dxa"/>
            </w:tcMar>
            <w:vAlign w:val="bottom"/>
          </w:tcPr>
          <w:p w14:paraId="67537E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5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5E" w14:textId="77777777" w:rsidR="001B77DD" w:rsidRDefault="00BF0A28">
            <w:pPr>
              <w:jc w:val="right"/>
              <w:textAlignment w:val="bottom"/>
            </w:pPr>
            <w:r>
              <w:rPr>
                <w:rFonts w:ascii="Arial" w:eastAsia="宋体" w:hAnsi="Arial" w:cs="Arial"/>
                <w:color w:val="262626"/>
                <w:sz w:val="18"/>
                <w:szCs w:val="18"/>
              </w:rPr>
              <w:t>(79)</w:t>
            </w:r>
          </w:p>
        </w:tc>
        <w:tc>
          <w:tcPr>
            <w:tcW w:w="0" w:type="auto"/>
            <w:shd w:val="clear" w:color="auto" w:fill="auto"/>
            <w:tcMar>
              <w:top w:w="40" w:type="dxa"/>
              <w:left w:w="0" w:type="dxa"/>
              <w:bottom w:w="40" w:type="dxa"/>
              <w:right w:w="20" w:type="dxa"/>
            </w:tcMar>
            <w:vAlign w:val="bottom"/>
          </w:tcPr>
          <w:p w14:paraId="67537E5F" w14:textId="77777777" w:rsidR="001B77DD" w:rsidRDefault="001B77DD">
            <w:pPr>
              <w:jc w:val="right"/>
              <w:rPr>
                <w:rFonts w:ascii="宋体"/>
              </w:rPr>
            </w:pPr>
          </w:p>
        </w:tc>
      </w:tr>
      <w:tr w:rsidR="001B77DD" w14:paraId="67537E68" w14:textId="77777777">
        <w:tc>
          <w:tcPr>
            <w:tcW w:w="0" w:type="auto"/>
            <w:gridSpan w:val="3"/>
            <w:shd w:val="clear" w:color="auto" w:fill="auto"/>
            <w:tcMar>
              <w:top w:w="40" w:type="dxa"/>
              <w:left w:w="155" w:type="dxa"/>
              <w:bottom w:w="40" w:type="dxa"/>
              <w:right w:w="20" w:type="dxa"/>
            </w:tcMar>
            <w:vAlign w:val="bottom"/>
          </w:tcPr>
          <w:p w14:paraId="67537E61" w14:textId="77777777" w:rsidR="001B77DD" w:rsidRDefault="00BF0A28">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7537E6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63" w14:textId="77777777" w:rsidR="001B77DD" w:rsidRDefault="00BF0A28">
            <w:pPr>
              <w:jc w:val="right"/>
              <w:textAlignment w:val="bottom"/>
            </w:pPr>
            <w:r>
              <w:rPr>
                <w:rFonts w:ascii="Arial" w:eastAsia="宋体" w:hAnsi="Arial" w:cs="Arial"/>
                <w:color w:val="0068B5"/>
                <w:sz w:val="18"/>
                <w:szCs w:val="18"/>
              </w:rPr>
              <w:t>(58)</w:t>
            </w:r>
          </w:p>
        </w:tc>
        <w:tc>
          <w:tcPr>
            <w:tcW w:w="0" w:type="auto"/>
            <w:shd w:val="clear" w:color="auto" w:fill="auto"/>
            <w:tcMar>
              <w:top w:w="40" w:type="dxa"/>
              <w:left w:w="0" w:type="dxa"/>
              <w:bottom w:w="40" w:type="dxa"/>
              <w:right w:w="20" w:type="dxa"/>
            </w:tcMar>
            <w:vAlign w:val="bottom"/>
          </w:tcPr>
          <w:p w14:paraId="67537E6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6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66" w14:textId="77777777" w:rsidR="001B77DD" w:rsidRDefault="00BF0A28">
            <w:pPr>
              <w:jc w:val="right"/>
              <w:textAlignment w:val="bottom"/>
            </w:pPr>
            <w:r>
              <w:rPr>
                <w:rFonts w:ascii="Arial" w:eastAsia="宋体" w:hAnsi="Arial" w:cs="Arial"/>
                <w:color w:val="262626"/>
                <w:sz w:val="18"/>
                <w:szCs w:val="18"/>
              </w:rPr>
              <w:t>(56)</w:t>
            </w:r>
          </w:p>
        </w:tc>
        <w:tc>
          <w:tcPr>
            <w:tcW w:w="0" w:type="auto"/>
            <w:shd w:val="clear" w:color="auto" w:fill="auto"/>
            <w:tcMar>
              <w:top w:w="40" w:type="dxa"/>
              <w:left w:w="0" w:type="dxa"/>
              <w:bottom w:w="40" w:type="dxa"/>
              <w:right w:w="20" w:type="dxa"/>
            </w:tcMar>
            <w:vAlign w:val="bottom"/>
          </w:tcPr>
          <w:p w14:paraId="67537E67" w14:textId="77777777" w:rsidR="001B77DD" w:rsidRDefault="001B77DD">
            <w:pPr>
              <w:jc w:val="right"/>
              <w:rPr>
                <w:rFonts w:ascii="宋体"/>
              </w:rPr>
            </w:pPr>
          </w:p>
        </w:tc>
      </w:tr>
      <w:tr w:rsidR="001B77DD" w14:paraId="67537E70" w14:textId="77777777">
        <w:tc>
          <w:tcPr>
            <w:tcW w:w="0" w:type="auto"/>
            <w:gridSpan w:val="3"/>
            <w:shd w:val="clear" w:color="auto" w:fill="auto"/>
            <w:tcMar>
              <w:top w:w="40" w:type="dxa"/>
              <w:left w:w="20" w:type="dxa"/>
              <w:bottom w:w="40" w:type="dxa"/>
              <w:right w:w="20" w:type="dxa"/>
            </w:tcMar>
            <w:vAlign w:val="bottom"/>
          </w:tcPr>
          <w:p w14:paraId="67537E69" w14:textId="77777777" w:rsidR="001B77DD" w:rsidRDefault="00BF0A28">
            <w:pPr>
              <w:textAlignment w:val="bottom"/>
            </w:pPr>
            <w:r>
              <w:rPr>
                <w:rFonts w:ascii="Arial" w:eastAsia="宋体" w:hAnsi="Arial" w:cs="Arial"/>
                <w:b/>
                <w:bCs/>
                <w:color w:val="262626"/>
                <w:sz w:val="18"/>
                <w:szCs w:val="18"/>
              </w:rPr>
              <w:t>Ending projected benefit obligation</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67537E6A"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E6B" w14:textId="77777777" w:rsidR="001B77DD" w:rsidRDefault="00BF0A28">
            <w:pPr>
              <w:jc w:val="right"/>
              <w:textAlignment w:val="bottom"/>
            </w:pPr>
            <w:r>
              <w:rPr>
                <w:rFonts w:ascii="Arial" w:eastAsia="宋体" w:hAnsi="Arial" w:cs="Arial"/>
                <w:b/>
                <w:bCs/>
                <w:color w:val="0068B5"/>
                <w:sz w:val="18"/>
                <w:szCs w:val="18"/>
              </w:rPr>
              <w:t>4,456</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E6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6D"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E6E" w14:textId="77777777" w:rsidR="001B77DD" w:rsidRDefault="00BF0A28">
            <w:pPr>
              <w:jc w:val="right"/>
              <w:textAlignment w:val="bottom"/>
            </w:pPr>
            <w:r>
              <w:rPr>
                <w:rFonts w:ascii="Arial" w:eastAsia="宋体" w:hAnsi="Arial" w:cs="Arial"/>
                <w:b/>
                <w:bCs/>
                <w:color w:val="262626"/>
                <w:sz w:val="18"/>
                <w:szCs w:val="18"/>
              </w:rPr>
              <w:t>4,929</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E6F" w14:textId="77777777" w:rsidR="001B77DD" w:rsidRDefault="001B77DD">
            <w:pPr>
              <w:jc w:val="right"/>
              <w:rPr>
                <w:rFonts w:ascii="宋体"/>
              </w:rPr>
            </w:pPr>
          </w:p>
        </w:tc>
      </w:tr>
      <w:tr w:rsidR="001B77DD" w14:paraId="67537E76" w14:textId="77777777">
        <w:trPr>
          <w:hidden/>
        </w:trPr>
        <w:tc>
          <w:tcPr>
            <w:tcW w:w="0" w:type="auto"/>
            <w:gridSpan w:val="3"/>
            <w:shd w:val="clear" w:color="auto" w:fill="auto"/>
            <w:vAlign w:val="bottom"/>
          </w:tcPr>
          <w:p w14:paraId="67537E71" w14:textId="77777777" w:rsidR="001B77DD" w:rsidRDefault="001B77DD">
            <w:pPr>
              <w:rPr>
                <w:rFonts w:ascii="宋体"/>
                <w:vanish/>
              </w:rPr>
            </w:pPr>
          </w:p>
        </w:tc>
        <w:tc>
          <w:tcPr>
            <w:tcW w:w="0" w:type="auto"/>
            <w:gridSpan w:val="3"/>
            <w:shd w:val="clear" w:color="auto" w:fill="auto"/>
            <w:vAlign w:val="bottom"/>
          </w:tcPr>
          <w:p w14:paraId="67537E72" w14:textId="77777777" w:rsidR="001B77DD" w:rsidRDefault="001B77DD">
            <w:pPr>
              <w:rPr>
                <w:rFonts w:ascii="宋体"/>
                <w:vanish/>
              </w:rPr>
            </w:pPr>
          </w:p>
        </w:tc>
        <w:tc>
          <w:tcPr>
            <w:tcW w:w="0" w:type="auto"/>
            <w:gridSpan w:val="3"/>
            <w:shd w:val="clear" w:color="auto" w:fill="auto"/>
            <w:vAlign w:val="bottom"/>
          </w:tcPr>
          <w:p w14:paraId="67537E73" w14:textId="77777777" w:rsidR="001B77DD" w:rsidRDefault="001B77DD">
            <w:pPr>
              <w:rPr>
                <w:rFonts w:ascii="宋体"/>
                <w:vanish/>
              </w:rPr>
            </w:pPr>
          </w:p>
        </w:tc>
        <w:tc>
          <w:tcPr>
            <w:tcW w:w="0" w:type="auto"/>
            <w:gridSpan w:val="3"/>
            <w:shd w:val="clear" w:color="auto" w:fill="auto"/>
            <w:vAlign w:val="bottom"/>
          </w:tcPr>
          <w:p w14:paraId="67537E74" w14:textId="77777777" w:rsidR="001B77DD" w:rsidRDefault="001B77DD">
            <w:pPr>
              <w:rPr>
                <w:rFonts w:ascii="宋体"/>
                <w:vanish/>
              </w:rPr>
            </w:pPr>
          </w:p>
        </w:tc>
        <w:tc>
          <w:tcPr>
            <w:tcW w:w="0" w:type="auto"/>
            <w:gridSpan w:val="3"/>
            <w:shd w:val="clear" w:color="auto" w:fill="auto"/>
            <w:vAlign w:val="bottom"/>
          </w:tcPr>
          <w:p w14:paraId="67537E75" w14:textId="77777777" w:rsidR="001B77DD" w:rsidRDefault="001B77DD">
            <w:pPr>
              <w:rPr>
                <w:rFonts w:ascii="宋体"/>
                <w:vanish/>
              </w:rPr>
            </w:pPr>
          </w:p>
        </w:tc>
      </w:tr>
      <w:tr w:rsidR="001B77DD" w14:paraId="67537E7C" w14:textId="77777777">
        <w:tc>
          <w:tcPr>
            <w:tcW w:w="0" w:type="auto"/>
            <w:gridSpan w:val="3"/>
            <w:shd w:val="clear" w:color="auto" w:fill="auto"/>
            <w:tcMar>
              <w:top w:w="40" w:type="dxa"/>
              <w:left w:w="20" w:type="dxa"/>
              <w:bottom w:w="40" w:type="dxa"/>
              <w:right w:w="20" w:type="dxa"/>
            </w:tcMar>
            <w:vAlign w:val="bottom"/>
          </w:tcPr>
          <w:p w14:paraId="67537E77" w14:textId="77777777" w:rsidR="001B77DD" w:rsidRDefault="00BF0A28">
            <w:pPr>
              <w:textAlignment w:val="bottom"/>
            </w:pPr>
            <w:r>
              <w:rPr>
                <w:rFonts w:ascii="Arial" w:eastAsia="宋体" w:hAnsi="Arial" w:cs="Arial"/>
                <w:b/>
                <w:bCs/>
                <w:color w:val="262626"/>
                <w:sz w:val="18"/>
                <w:szCs w:val="18"/>
              </w:rPr>
              <w:t>Changes in fair value of plan assets:</w:t>
            </w:r>
          </w:p>
        </w:tc>
        <w:tc>
          <w:tcPr>
            <w:tcW w:w="0" w:type="auto"/>
            <w:gridSpan w:val="3"/>
            <w:shd w:val="clear" w:color="auto" w:fill="auto"/>
            <w:tcMar>
              <w:top w:w="0" w:type="dxa"/>
              <w:left w:w="20" w:type="dxa"/>
              <w:bottom w:w="0" w:type="dxa"/>
              <w:right w:w="20" w:type="dxa"/>
            </w:tcMar>
            <w:vAlign w:val="bottom"/>
          </w:tcPr>
          <w:p w14:paraId="67537E78"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7E7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E7A"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7E7B" w14:textId="77777777" w:rsidR="001B77DD" w:rsidRDefault="001B77DD">
            <w:pPr>
              <w:rPr>
                <w:rFonts w:ascii="宋体"/>
              </w:rPr>
            </w:pPr>
          </w:p>
        </w:tc>
      </w:tr>
      <w:tr w:rsidR="001B77DD" w14:paraId="67537E84" w14:textId="77777777">
        <w:tc>
          <w:tcPr>
            <w:tcW w:w="0" w:type="auto"/>
            <w:gridSpan w:val="3"/>
            <w:shd w:val="clear" w:color="auto" w:fill="auto"/>
            <w:tcMar>
              <w:top w:w="40" w:type="dxa"/>
              <w:left w:w="155" w:type="dxa"/>
              <w:bottom w:w="40" w:type="dxa"/>
              <w:right w:w="20" w:type="dxa"/>
            </w:tcMar>
            <w:vAlign w:val="bottom"/>
          </w:tcPr>
          <w:p w14:paraId="67537E7D" w14:textId="77777777" w:rsidR="001B77DD" w:rsidRDefault="00BF0A28">
            <w:pPr>
              <w:textAlignment w:val="bottom"/>
            </w:pPr>
            <w:r>
              <w:rPr>
                <w:rFonts w:ascii="Arial" w:eastAsia="宋体" w:hAnsi="Arial" w:cs="Arial"/>
                <w:b/>
                <w:bCs/>
                <w:color w:val="262626"/>
                <w:sz w:val="18"/>
                <w:szCs w:val="18"/>
              </w:rPr>
              <w:t>Beginning fair value of plan assets</w:t>
            </w:r>
          </w:p>
        </w:tc>
        <w:tc>
          <w:tcPr>
            <w:tcW w:w="0" w:type="auto"/>
            <w:gridSpan w:val="3"/>
            <w:shd w:val="clear" w:color="auto" w:fill="auto"/>
            <w:tcMar>
              <w:top w:w="0" w:type="dxa"/>
              <w:left w:w="20" w:type="dxa"/>
              <w:bottom w:w="0" w:type="dxa"/>
              <w:right w:w="20" w:type="dxa"/>
            </w:tcMar>
            <w:vAlign w:val="bottom"/>
          </w:tcPr>
          <w:p w14:paraId="67537E7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7F" w14:textId="77777777" w:rsidR="001B77DD" w:rsidRDefault="00BF0A28">
            <w:pPr>
              <w:jc w:val="right"/>
              <w:textAlignment w:val="bottom"/>
            </w:pPr>
            <w:r>
              <w:rPr>
                <w:rFonts w:ascii="Arial" w:eastAsia="宋体" w:hAnsi="Arial" w:cs="Arial"/>
                <w:b/>
                <w:bCs/>
                <w:color w:val="0068B5"/>
                <w:sz w:val="18"/>
                <w:szCs w:val="18"/>
              </w:rPr>
              <w:t>2,878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E8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8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82" w14:textId="77777777" w:rsidR="001B77DD" w:rsidRDefault="00BF0A28">
            <w:pPr>
              <w:jc w:val="right"/>
              <w:textAlignment w:val="bottom"/>
            </w:pPr>
            <w:r>
              <w:rPr>
                <w:rFonts w:ascii="Arial" w:eastAsia="宋体" w:hAnsi="Arial" w:cs="Arial"/>
                <w:b/>
                <w:bCs/>
                <w:color w:val="262626"/>
                <w:sz w:val="18"/>
                <w:szCs w:val="18"/>
              </w:rPr>
              <w:t>2,654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7537E83" w14:textId="77777777" w:rsidR="001B77DD" w:rsidRDefault="001B77DD">
            <w:pPr>
              <w:jc w:val="right"/>
              <w:rPr>
                <w:rFonts w:ascii="宋体"/>
              </w:rPr>
            </w:pPr>
          </w:p>
        </w:tc>
      </w:tr>
      <w:tr w:rsidR="001B77DD" w14:paraId="67537E8C" w14:textId="77777777">
        <w:tc>
          <w:tcPr>
            <w:tcW w:w="0" w:type="auto"/>
            <w:gridSpan w:val="3"/>
            <w:shd w:val="clear" w:color="auto" w:fill="auto"/>
            <w:tcMar>
              <w:top w:w="40" w:type="dxa"/>
              <w:left w:w="155" w:type="dxa"/>
              <w:bottom w:w="40" w:type="dxa"/>
              <w:right w:w="20" w:type="dxa"/>
            </w:tcMar>
            <w:vAlign w:val="bottom"/>
          </w:tcPr>
          <w:p w14:paraId="67537E85" w14:textId="77777777" w:rsidR="001B77DD" w:rsidRDefault="00BF0A28">
            <w:pPr>
              <w:textAlignment w:val="bottom"/>
            </w:pPr>
            <w:r>
              <w:rPr>
                <w:rFonts w:ascii="Arial" w:eastAsia="宋体" w:hAnsi="Arial" w:cs="Arial"/>
                <w:color w:val="262626"/>
                <w:sz w:val="18"/>
                <w:szCs w:val="18"/>
              </w:rPr>
              <w:t>Actual return on plan assets</w:t>
            </w:r>
          </w:p>
        </w:tc>
        <w:tc>
          <w:tcPr>
            <w:tcW w:w="0" w:type="auto"/>
            <w:gridSpan w:val="3"/>
            <w:shd w:val="clear" w:color="auto" w:fill="auto"/>
            <w:tcMar>
              <w:top w:w="0" w:type="dxa"/>
              <w:left w:w="20" w:type="dxa"/>
              <w:bottom w:w="0" w:type="dxa"/>
              <w:right w:w="20" w:type="dxa"/>
            </w:tcMar>
            <w:vAlign w:val="bottom"/>
          </w:tcPr>
          <w:p w14:paraId="67537E8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87" w14:textId="77777777" w:rsidR="001B77DD" w:rsidRDefault="00BF0A28">
            <w:pPr>
              <w:jc w:val="right"/>
              <w:textAlignment w:val="bottom"/>
            </w:pPr>
            <w:r>
              <w:rPr>
                <w:rFonts w:ascii="Arial" w:eastAsia="宋体" w:hAnsi="Arial" w:cs="Arial"/>
                <w:color w:val="0068B5"/>
                <w:sz w:val="18"/>
                <w:szCs w:val="18"/>
              </w:rPr>
              <w:t>145 </w:t>
            </w:r>
          </w:p>
        </w:tc>
        <w:tc>
          <w:tcPr>
            <w:tcW w:w="0" w:type="auto"/>
            <w:shd w:val="clear" w:color="auto" w:fill="auto"/>
            <w:tcMar>
              <w:top w:w="40" w:type="dxa"/>
              <w:left w:w="0" w:type="dxa"/>
              <w:bottom w:w="40" w:type="dxa"/>
              <w:right w:w="20" w:type="dxa"/>
            </w:tcMar>
            <w:vAlign w:val="bottom"/>
          </w:tcPr>
          <w:p w14:paraId="67537E8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8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8A" w14:textId="77777777" w:rsidR="001B77DD" w:rsidRDefault="00BF0A28">
            <w:pPr>
              <w:jc w:val="right"/>
              <w:textAlignment w:val="bottom"/>
            </w:pPr>
            <w:r>
              <w:rPr>
                <w:rFonts w:ascii="Arial" w:eastAsia="宋体" w:hAnsi="Arial" w:cs="Arial"/>
                <w:color w:val="262626"/>
                <w:sz w:val="18"/>
                <w:szCs w:val="18"/>
              </w:rPr>
              <w:t>203 </w:t>
            </w:r>
          </w:p>
        </w:tc>
        <w:tc>
          <w:tcPr>
            <w:tcW w:w="0" w:type="auto"/>
            <w:shd w:val="clear" w:color="auto" w:fill="auto"/>
            <w:tcMar>
              <w:top w:w="40" w:type="dxa"/>
              <w:left w:w="0" w:type="dxa"/>
              <w:bottom w:w="40" w:type="dxa"/>
              <w:right w:w="20" w:type="dxa"/>
            </w:tcMar>
            <w:vAlign w:val="bottom"/>
          </w:tcPr>
          <w:p w14:paraId="67537E8B" w14:textId="77777777" w:rsidR="001B77DD" w:rsidRDefault="001B77DD">
            <w:pPr>
              <w:jc w:val="right"/>
              <w:rPr>
                <w:rFonts w:ascii="宋体"/>
              </w:rPr>
            </w:pPr>
          </w:p>
        </w:tc>
      </w:tr>
      <w:tr w:rsidR="001B77DD" w14:paraId="67537E93" w14:textId="77777777">
        <w:tc>
          <w:tcPr>
            <w:tcW w:w="0" w:type="auto"/>
            <w:gridSpan w:val="3"/>
            <w:shd w:val="clear" w:color="auto" w:fill="auto"/>
            <w:tcMar>
              <w:top w:w="40" w:type="dxa"/>
              <w:left w:w="155" w:type="dxa"/>
              <w:bottom w:w="40" w:type="dxa"/>
              <w:right w:w="20" w:type="dxa"/>
            </w:tcMar>
            <w:vAlign w:val="bottom"/>
          </w:tcPr>
          <w:p w14:paraId="67537E8D" w14:textId="77777777" w:rsidR="001B77DD" w:rsidRDefault="00BF0A28">
            <w:pPr>
              <w:textAlignment w:val="bottom"/>
            </w:pPr>
            <w:r>
              <w:rPr>
                <w:rFonts w:ascii="Arial" w:eastAsia="宋体" w:hAnsi="Arial" w:cs="Arial"/>
                <w:color w:val="262626"/>
                <w:sz w:val="18"/>
                <w:szCs w:val="18"/>
              </w:rPr>
              <w:t>Currency exchange rate changes</w:t>
            </w:r>
          </w:p>
        </w:tc>
        <w:tc>
          <w:tcPr>
            <w:tcW w:w="0" w:type="auto"/>
            <w:gridSpan w:val="3"/>
            <w:shd w:val="clear" w:color="auto" w:fill="auto"/>
            <w:tcMar>
              <w:top w:w="0" w:type="dxa"/>
              <w:left w:w="20" w:type="dxa"/>
              <w:bottom w:w="0" w:type="dxa"/>
              <w:right w:w="20" w:type="dxa"/>
            </w:tcMar>
            <w:vAlign w:val="bottom"/>
          </w:tcPr>
          <w:p w14:paraId="67537E8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8F" w14:textId="77777777" w:rsidR="001B77DD" w:rsidRDefault="00BF0A28">
            <w:pPr>
              <w:jc w:val="right"/>
              <w:textAlignment w:val="bottom"/>
            </w:pPr>
            <w:r>
              <w:rPr>
                <w:rFonts w:ascii="Arial" w:eastAsia="宋体" w:hAnsi="Arial" w:cs="Arial"/>
                <w:color w:val="0068B5"/>
                <w:sz w:val="18"/>
                <w:szCs w:val="18"/>
              </w:rPr>
              <w:t>(63)</w:t>
            </w:r>
          </w:p>
        </w:tc>
        <w:tc>
          <w:tcPr>
            <w:tcW w:w="0" w:type="auto"/>
            <w:shd w:val="clear" w:color="auto" w:fill="auto"/>
            <w:tcMar>
              <w:top w:w="40" w:type="dxa"/>
              <w:left w:w="0" w:type="dxa"/>
              <w:bottom w:w="40" w:type="dxa"/>
              <w:right w:w="20" w:type="dxa"/>
            </w:tcMar>
            <w:vAlign w:val="bottom"/>
          </w:tcPr>
          <w:p w14:paraId="67537E9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9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E92" w14:textId="77777777" w:rsidR="001B77DD" w:rsidRDefault="00BF0A28">
            <w:pPr>
              <w:jc w:val="right"/>
              <w:textAlignment w:val="bottom"/>
            </w:pPr>
            <w:r>
              <w:rPr>
                <w:rFonts w:ascii="Arial" w:eastAsia="宋体" w:hAnsi="Arial" w:cs="Arial"/>
                <w:color w:val="000000"/>
                <w:sz w:val="18"/>
                <w:szCs w:val="18"/>
              </w:rPr>
              <w:t>113</w:t>
            </w:r>
          </w:p>
        </w:tc>
      </w:tr>
      <w:tr w:rsidR="001B77DD" w14:paraId="67537E99" w14:textId="77777777">
        <w:trPr>
          <w:hidden/>
        </w:trPr>
        <w:tc>
          <w:tcPr>
            <w:tcW w:w="0" w:type="auto"/>
            <w:gridSpan w:val="3"/>
            <w:shd w:val="clear" w:color="auto" w:fill="auto"/>
            <w:vAlign w:val="bottom"/>
          </w:tcPr>
          <w:p w14:paraId="67537E94" w14:textId="77777777" w:rsidR="001B77DD" w:rsidRDefault="001B77DD">
            <w:pPr>
              <w:rPr>
                <w:rFonts w:ascii="宋体"/>
                <w:vanish/>
              </w:rPr>
            </w:pPr>
          </w:p>
        </w:tc>
        <w:tc>
          <w:tcPr>
            <w:tcW w:w="0" w:type="auto"/>
            <w:gridSpan w:val="3"/>
            <w:shd w:val="clear" w:color="auto" w:fill="auto"/>
            <w:vAlign w:val="bottom"/>
          </w:tcPr>
          <w:p w14:paraId="67537E95" w14:textId="77777777" w:rsidR="001B77DD" w:rsidRDefault="001B77DD">
            <w:pPr>
              <w:rPr>
                <w:rFonts w:ascii="宋体"/>
                <w:vanish/>
              </w:rPr>
            </w:pPr>
          </w:p>
        </w:tc>
        <w:tc>
          <w:tcPr>
            <w:tcW w:w="0" w:type="auto"/>
            <w:gridSpan w:val="3"/>
            <w:shd w:val="clear" w:color="auto" w:fill="auto"/>
            <w:vAlign w:val="bottom"/>
          </w:tcPr>
          <w:p w14:paraId="67537E96" w14:textId="77777777" w:rsidR="001B77DD" w:rsidRDefault="001B77DD">
            <w:pPr>
              <w:rPr>
                <w:rFonts w:ascii="宋体"/>
                <w:vanish/>
              </w:rPr>
            </w:pPr>
          </w:p>
        </w:tc>
        <w:tc>
          <w:tcPr>
            <w:tcW w:w="0" w:type="auto"/>
            <w:gridSpan w:val="3"/>
            <w:shd w:val="clear" w:color="auto" w:fill="auto"/>
            <w:vAlign w:val="bottom"/>
          </w:tcPr>
          <w:p w14:paraId="67537E97" w14:textId="77777777" w:rsidR="001B77DD" w:rsidRDefault="001B77DD">
            <w:pPr>
              <w:rPr>
                <w:rFonts w:ascii="宋体"/>
                <w:vanish/>
              </w:rPr>
            </w:pPr>
          </w:p>
        </w:tc>
        <w:tc>
          <w:tcPr>
            <w:tcW w:w="0" w:type="auto"/>
            <w:gridSpan w:val="3"/>
            <w:shd w:val="clear" w:color="auto" w:fill="auto"/>
            <w:vAlign w:val="bottom"/>
          </w:tcPr>
          <w:p w14:paraId="67537E98" w14:textId="77777777" w:rsidR="001B77DD" w:rsidRDefault="001B77DD">
            <w:pPr>
              <w:rPr>
                <w:rFonts w:ascii="宋体"/>
                <w:vanish/>
              </w:rPr>
            </w:pPr>
          </w:p>
        </w:tc>
      </w:tr>
      <w:tr w:rsidR="001B77DD" w14:paraId="67537EA1" w14:textId="77777777">
        <w:tc>
          <w:tcPr>
            <w:tcW w:w="0" w:type="auto"/>
            <w:gridSpan w:val="3"/>
            <w:shd w:val="clear" w:color="auto" w:fill="auto"/>
            <w:tcMar>
              <w:top w:w="40" w:type="dxa"/>
              <w:left w:w="155" w:type="dxa"/>
              <w:bottom w:w="40" w:type="dxa"/>
              <w:right w:w="20" w:type="dxa"/>
            </w:tcMar>
            <w:vAlign w:val="bottom"/>
          </w:tcPr>
          <w:p w14:paraId="67537E9A" w14:textId="77777777" w:rsidR="001B77DD" w:rsidRDefault="00BF0A28">
            <w:pPr>
              <w:textAlignment w:val="bottom"/>
            </w:pPr>
            <w:r>
              <w:rPr>
                <w:rFonts w:ascii="Arial" w:eastAsia="宋体" w:hAnsi="Arial" w:cs="Arial"/>
                <w:color w:val="262626"/>
                <w:sz w:val="18"/>
                <w:szCs w:val="18"/>
              </w:rPr>
              <w:t>Plan settlements</w:t>
            </w:r>
          </w:p>
        </w:tc>
        <w:tc>
          <w:tcPr>
            <w:tcW w:w="0" w:type="auto"/>
            <w:gridSpan w:val="3"/>
            <w:shd w:val="clear" w:color="auto" w:fill="auto"/>
            <w:tcMar>
              <w:top w:w="0" w:type="dxa"/>
              <w:left w:w="20" w:type="dxa"/>
              <w:bottom w:w="0" w:type="dxa"/>
              <w:right w:w="20" w:type="dxa"/>
            </w:tcMar>
            <w:vAlign w:val="bottom"/>
          </w:tcPr>
          <w:p w14:paraId="67537E9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9C" w14:textId="77777777" w:rsidR="001B77DD" w:rsidRDefault="00BF0A28">
            <w:pPr>
              <w:jc w:val="right"/>
              <w:textAlignment w:val="bottom"/>
            </w:pPr>
            <w:r>
              <w:rPr>
                <w:rFonts w:ascii="Arial" w:eastAsia="宋体" w:hAnsi="Arial" w:cs="Arial"/>
                <w:color w:val="0068B5"/>
                <w:sz w:val="18"/>
                <w:szCs w:val="18"/>
              </w:rPr>
              <w:t>(126)</w:t>
            </w:r>
          </w:p>
        </w:tc>
        <w:tc>
          <w:tcPr>
            <w:tcW w:w="0" w:type="auto"/>
            <w:shd w:val="clear" w:color="auto" w:fill="auto"/>
            <w:tcMar>
              <w:top w:w="40" w:type="dxa"/>
              <w:left w:w="0" w:type="dxa"/>
              <w:bottom w:w="40" w:type="dxa"/>
              <w:right w:w="20" w:type="dxa"/>
            </w:tcMar>
            <w:vAlign w:val="bottom"/>
          </w:tcPr>
          <w:p w14:paraId="67537E9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9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9F" w14:textId="77777777" w:rsidR="001B77DD" w:rsidRDefault="00BF0A28">
            <w:pPr>
              <w:jc w:val="right"/>
              <w:textAlignment w:val="bottom"/>
            </w:pPr>
            <w:r>
              <w:rPr>
                <w:rFonts w:ascii="Arial" w:eastAsia="宋体" w:hAnsi="Arial" w:cs="Arial"/>
                <w:color w:val="262626"/>
                <w:sz w:val="18"/>
                <w:szCs w:val="18"/>
              </w:rPr>
              <w:t>(79)</w:t>
            </w:r>
          </w:p>
        </w:tc>
        <w:tc>
          <w:tcPr>
            <w:tcW w:w="0" w:type="auto"/>
            <w:shd w:val="clear" w:color="auto" w:fill="auto"/>
            <w:tcMar>
              <w:top w:w="40" w:type="dxa"/>
              <w:left w:w="0" w:type="dxa"/>
              <w:bottom w:w="40" w:type="dxa"/>
              <w:right w:w="20" w:type="dxa"/>
            </w:tcMar>
            <w:vAlign w:val="bottom"/>
          </w:tcPr>
          <w:p w14:paraId="67537EA0" w14:textId="77777777" w:rsidR="001B77DD" w:rsidRDefault="001B77DD">
            <w:pPr>
              <w:jc w:val="right"/>
              <w:rPr>
                <w:rFonts w:ascii="宋体"/>
              </w:rPr>
            </w:pPr>
          </w:p>
        </w:tc>
      </w:tr>
      <w:tr w:rsidR="001B77DD" w14:paraId="67537EA9" w14:textId="77777777">
        <w:tc>
          <w:tcPr>
            <w:tcW w:w="0" w:type="auto"/>
            <w:gridSpan w:val="3"/>
            <w:shd w:val="clear" w:color="auto" w:fill="auto"/>
            <w:tcMar>
              <w:top w:w="40" w:type="dxa"/>
              <w:left w:w="155" w:type="dxa"/>
              <w:bottom w:w="40" w:type="dxa"/>
              <w:right w:w="20" w:type="dxa"/>
            </w:tcMar>
            <w:vAlign w:val="bottom"/>
          </w:tcPr>
          <w:p w14:paraId="67537EA2" w14:textId="77777777" w:rsidR="001B77DD" w:rsidRDefault="00BF0A28">
            <w:pPr>
              <w:textAlignment w:val="bottom"/>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7537EA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A4" w14:textId="77777777" w:rsidR="001B77DD" w:rsidRDefault="00BF0A28">
            <w:pPr>
              <w:jc w:val="right"/>
              <w:textAlignment w:val="bottom"/>
            </w:pPr>
            <w:r>
              <w:rPr>
                <w:rFonts w:ascii="Arial" w:eastAsia="宋体" w:hAnsi="Arial" w:cs="Arial"/>
                <w:color w:val="0068B5"/>
                <w:sz w:val="18"/>
                <w:szCs w:val="18"/>
              </w:rPr>
              <w:t>(17)</w:t>
            </w:r>
          </w:p>
        </w:tc>
        <w:tc>
          <w:tcPr>
            <w:tcW w:w="0" w:type="auto"/>
            <w:shd w:val="clear" w:color="auto" w:fill="auto"/>
            <w:tcMar>
              <w:top w:w="40" w:type="dxa"/>
              <w:left w:w="0" w:type="dxa"/>
              <w:bottom w:w="40" w:type="dxa"/>
              <w:right w:w="20" w:type="dxa"/>
            </w:tcMar>
            <w:vAlign w:val="bottom"/>
          </w:tcPr>
          <w:p w14:paraId="67537EA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A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EA7" w14:textId="77777777" w:rsidR="001B77DD" w:rsidRDefault="00BF0A28">
            <w:pPr>
              <w:jc w:val="right"/>
              <w:textAlignment w:val="bottom"/>
            </w:pPr>
            <w:r>
              <w:rPr>
                <w:rFonts w:ascii="Arial" w:eastAsia="宋体" w:hAnsi="Arial" w:cs="Arial"/>
                <w:color w:val="262626"/>
                <w:sz w:val="18"/>
                <w:szCs w:val="18"/>
              </w:rPr>
              <w:t>(13)</w:t>
            </w:r>
          </w:p>
        </w:tc>
        <w:tc>
          <w:tcPr>
            <w:tcW w:w="0" w:type="auto"/>
            <w:shd w:val="clear" w:color="auto" w:fill="auto"/>
            <w:tcMar>
              <w:top w:w="40" w:type="dxa"/>
              <w:left w:w="0" w:type="dxa"/>
              <w:bottom w:w="40" w:type="dxa"/>
              <w:right w:w="20" w:type="dxa"/>
            </w:tcMar>
            <w:vAlign w:val="bottom"/>
          </w:tcPr>
          <w:p w14:paraId="67537EA8" w14:textId="77777777" w:rsidR="001B77DD" w:rsidRDefault="001B77DD">
            <w:pPr>
              <w:jc w:val="right"/>
              <w:rPr>
                <w:rFonts w:ascii="宋体"/>
              </w:rPr>
            </w:pPr>
          </w:p>
        </w:tc>
      </w:tr>
      <w:tr w:rsidR="001B77DD" w14:paraId="67537EB1" w14:textId="77777777">
        <w:tc>
          <w:tcPr>
            <w:tcW w:w="0" w:type="auto"/>
            <w:gridSpan w:val="3"/>
            <w:shd w:val="clear" w:color="auto" w:fill="auto"/>
            <w:tcMar>
              <w:top w:w="40" w:type="dxa"/>
              <w:left w:w="20" w:type="dxa"/>
              <w:bottom w:w="40" w:type="dxa"/>
              <w:right w:w="20" w:type="dxa"/>
            </w:tcMar>
            <w:vAlign w:val="bottom"/>
          </w:tcPr>
          <w:p w14:paraId="67537EAA" w14:textId="77777777" w:rsidR="001B77DD" w:rsidRDefault="00BF0A28">
            <w:pPr>
              <w:textAlignment w:val="bottom"/>
            </w:pPr>
            <w:r>
              <w:rPr>
                <w:rFonts w:ascii="Arial" w:eastAsia="宋体" w:hAnsi="Arial" w:cs="Arial"/>
                <w:b/>
                <w:bCs/>
                <w:color w:val="262626"/>
                <w:sz w:val="18"/>
                <w:szCs w:val="18"/>
              </w:rPr>
              <w:t>Ending fair value of plan assets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67537EAB"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EAC" w14:textId="77777777" w:rsidR="001B77DD" w:rsidRDefault="00BF0A28">
            <w:pPr>
              <w:jc w:val="right"/>
              <w:textAlignment w:val="bottom"/>
            </w:pPr>
            <w:r>
              <w:rPr>
                <w:rFonts w:ascii="Arial" w:eastAsia="宋体" w:hAnsi="Arial" w:cs="Arial"/>
                <w:b/>
                <w:bCs/>
                <w:color w:val="0068B5"/>
                <w:sz w:val="18"/>
                <w:szCs w:val="18"/>
              </w:rPr>
              <w:t>2,817</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EA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AE"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7EAF" w14:textId="77777777" w:rsidR="001B77DD" w:rsidRDefault="00BF0A28">
            <w:pPr>
              <w:jc w:val="right"/>
              <w:textAlignment w:val="bottom"/>
            </w:pPr>
            <w:r>
              <w:rPr>
                <w:rFonts w:ascii="Arial" w:eastAsia="宋体" w:hAnsi="Arial" w:cs="Arial"/>
                <w:b/>
                <w:bCs/>
                <w:color w:val="262626"/>
                <w:sz w:val="18"/>
                <w:szCs w:val="18"/>
              </w:rPr>
              <w:t>2,878</w:t>
            </w:r>
            <w:r>
              <w:rPr>
                <w:rFonts w:ascii="Arial" w:eastAsia="宋体" w:hAnsi="Arial" w:cs="Arial"/>
                <w:color w:val="262626"/>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7EB0" w14:textId="77777777" w:rsidR="001B77DD" w:rsidRDefault="001B77DD">
            <w:pPr>
              <w:jc w:val="right"/>
              <w:rPr>
                <w:rFonts w:ascii="宋体"/>
              </w:rPr>
            </w:pPr>
          </w:p>
        </w:tc>
      </w:tr>
      <w:tr w:rsidR="001B77DD" w14:paraId="67537EB7" w14:textId="77777777">
        <w:trPr>
          <w:hidden/>
        </w:trPr>
        <w:tc>
          <w:tcPr>
            <w:tcW w:w="0" w:type="auto"/>
            <w:gridSpan w:val="3"/>
            <w:shd w:val="clear" w:color="auto" w:fill="auto"/>
            <w:vAlign w:val="bottom"/>
          </w:tcPr>
          <w:p w14:paraId="67537EB2" w14:textId="77777777" w:rsidR="001B77DD" w:rsidRDefault="001B77DD">
            <w:pPr>
              <w:rPr>
                <w:rFonts w:ascii="宋体"/>
                <w:vanish/>
              </w:rPr>
            </w:pPr>
          </w:p>
        </w:tc>
        <w:tc>
          <w:tcPr>
            <w:tcW w:w="0" w:type="auto"/>
            <w:gridSpan w:val="3"/>
            <w:shd w:val="clear" w:color="auto" w:fill="auto"/>
            <w:vAlign w:val="bottom"/>
          </w:tcPr>
          <w:p w14:paraId="67537EB3" w14:textId="77777777" w:rsidR="001B77DD" w:rsidRDefault="001B77DD">
            <w:pPr>
              <w:rPr>
                <w:rFonts w:ascii="宋体"/>
                <w:vanish/>
              </w:rPr>
            </w:pPr>
          </w:p>
        </w:tc>
        <w:tc>
          <w:tcPr>
            <w:tcW w:w="0" w:type="auto"/>
            <w:gridSpan w:val="3"/>
            <w:shd w:val="clear" w:color="auto" w:fill="auto"/>
            <w:vAlign w:val="bottom"/>
          </w:tcPr>
          <w:p w14:paraId="67537EB4" w14:textId="77777777" w:rsidR="001B77DD" w:rsidRDefault="001B77DD">
            <w:pPr>
              <w:rPr>
                <w:rFonts w:ascii="宋体"/>
                <w:vanish/>
              </w:rPr>
            </w:pPr>
          </w:p>
        </w:tc>
        <w:tc>
          <w:tcPr>
            <w:tcW w:w="0" w:type="auto"/>
            <w:gridSpan w:val="3"/>
            <w:shd w:val="clear" w:color="auto" w:fill="auto"/>
            <w:vAlign w:val="bottom"/>
          </w:tcPr>
          <w:p w14:paraId="67537EB5" w14:textId="77777777" w:rsidR="001B77DD" w:rsidRDefault="001B77DD">
            <w:pPr>
              <w:rPr>
                <w:rFonts w:ascii="宋体"/>
                <w:vanish/>
              </w:rPr>
            </w:pPr>
          </w:p>
        </w:tc>
        <w:tc>
          <w:tcPr>
            <w:tcW w:w="0" w:type="auto"/>
            <w:gridSpan w:val="3"/>
            <w:shd w:val="clear" w:color="auto" w:fill="auto"/>
            <w:vAlign w:val="bottom"/>
          </w:tcPr>
          <w:p w14:paraId="67537EB6" w14:textId="77777777" w:rsidR="001B77DD" w:rsidRDefault="001B77DD">
            <w:pPr>
              <w:rPr>
                <w:rFonts w:ascii="宋体"/>
                <w:vanish/>
              </w:rPr>
            </w:pPr>
          </w:p>
        </w:tc>
      </w:tr>
      <w:tr w:rsidR="001B77DD" w14:paraId="67537EC1" w14:textId="77777777">
        <w:tc>
          <w:tcPr>
            <w:tcW w:w="0" w:type="auto"/>
            <w:gridSpan w:val="3"/>
            <w:shd w:val="clear" w:color="auto" w:fill="auto"/>
            <w:tcMar>
              <w:top w:w="40" w:type="dxa"/>
              <w:left w:w="20" w:type="dxa"/>
              <w:bottom w:w="40" w:type="dxa"/>
              <w:right w:w="20" w:type="dxa"/>
            </w:tcMar>
            <w:vAlign w:val="bottom"/>
          </w:tcPr>
          <w:p w14:paraId="67537EB8" w14:textId="77777777" w:rsidR="001B77DD" w:rsidRDefault="00BF0A28">
            <w:pPr>
              <w:textAlignment w:val="bottom"/>
            </w:pPr>
            <w:r>
              <w:rPr>
                <w:rFonts w:ascii="Arial" w:eastAsia="宋体" w:hAnsi="Arial" w:cs="Arial"/>
                <w:b/>
                <w:bCs/>
                <w:color w:val="262626"/>
                <w:sz w:val="18"/>
                <w:szCs w:val="18"/>
              </w:rPr>
              <w:t>Net unfunded status</w:t>
            </w:r>
          </w:p>
        </w:tc>
        <w:tc>
          <w:tcPr>
            <w:tcW w:w="0" w:type="auto"/>
            <w:gridSpan w:val="3"/>
            <w:shd w:val="clear" w:color="auto" w:fill="auto"/>
            <w:tcMar>
              <w:top w:w="0" w:type="dxa"/>
              <w:left w:w="20" w:type="dxa"/>
              <w:bottom w:w="0" w:type="dxa"/>
              <w:right w:w="20" w:type="dxa"/>
            </w:tcMar>
            <w:vAlign w:val="bottom"/>
          </w:tcPr>
          <w:p w14:paraId="67537EB9"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EBA"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EBB" w14:textId="77777777" w:rsidR="001B77DD" w:rsidRDefault="00BF0A28">
            <w:pPr>
              <w:jc w:val="right"/>
              <w:textAlignment w:val="bottom"/>
            </w:pPr>
            <w:r>
              <w:rPr>
                <w:rFonts w:ascii="Arial" w:eastAsia="宋体" w:hAnsi="Arial" w:cs="Arial"/>
                <w:b/>
                <w:bCs/>
                <w:color w:val="0068B5"/>
                <w:sz w:val="18"/>
                <w:szCs w:val="18"/>
              </w:rPr>
              <w:t>1,639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EB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BD"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EBE"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EBF" w14:textId="77777777" w:rsidR="001B77DD" w:rsidRDefault="00BF0A28">
            <w:pPr>
              <w:jc w:val="right"/>
              <w:textAlignment w:val="bottom"/>
            </w:pPr>
            <w:r>
              <w:rPr>
                <w:rFonts w:ascii="Arial" w:eastAsia="宋体" w:hAnsi="Arial" w:cs="Arial"/>
                <w:b/>
                <w:bCs/>
                <w:color w:val="262626"/>
                <w:sz w:val="18"/>
                <w:szCs w:val="18"/>
              </w:rPr>
              <w:t>2,051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EC0" w14:textId="77777777" w:rsidR="001B77DD" w:rsidRDefault="001B77DD">
            <w:pPr>
              <w:jc w:val="right"/>
              <w:rPr>
                <w:rFonts w:ascii="宋体"/>
              </w:rPr>
            </w:pPr>
          </w:p>
        </w:tc>
      </w:tr>
      <w:tr w:rsidR="001B77DD" w14:paraId="67537EC7" w14:textId="77777777">
        <w:trPr>
          <w:hidden/>
        </w:trPr>
        <w:tc>
          <w:tcPr>
            <w:tcW w:w="0" w:type="auto"/>
            <w:gridSpan w:val="3"/>
            <w:shd w:val="clear" w:color="auto" w:fill="auto"/>
            <w:vAlign w:val="bottom"/>
          </w:tcPr>
          <w:p w14:paraId="67537EC2" w14:textId="77777777" w:rsidR="001B77DD" w:rsidRDefault="001B77DD">
            <w:pPr>
              <w:rPr>
                <w:rFonts w:ascii="宋体"/>
                <w:vanish/>
              </w:rPr>
            </w:pPr>
          </w:p>
        </w:tc>
        <w:tc>
          <w:tcPr>
            <w:tcW w:w="0" w:type="auto"/>
            <w:gridSpan w:val="3"/>
            <w:shd w:val="clear" w:color="auto" w:fill="auto"/>
            <w:vAlign w:val="bottom"/>
          </w:tcPr>
          <w:p w14:paraId="67537EC3" w14:textId="77777777" w:rsidR="001B77DD" w:rsidRDefault="001B77DD">
            <w:pPr>
              <w:rPr>
                <w:rFonts w:ascii="宋体"/>
                <w:vanish/>
              </w:rPr>
            </w:pPr>
          </w:p>
        </w:tc>
        <w:tc>
          <w:tcPr>
            <w:tcW w:w="0" w:type="auto"/>
            <w:gridSpan w:val="3"/>
            <w:shd w:val="clear" w:color="auto" w:fill="auto"/>
            <w:vAlign w:val="bottom"/>
          </w:tcPr>
          <w:p w14:paraId="67537EC4" w14:textId="77777777" w:rsidR="001B77DD" w:rsidRDefault="001B77DD">
            <w:pPr>
              <w:rPr>
                <w:rFonts w:ascii="宋体"/>
                <w:vanish/>
              </w:rPr>
            </w:pPr>
          </w:p>
        </w:tc>
        <w:tc>
          <w:tcPr>
            <w:tcW w:w="0" w:type="auto"/>
            <w:gridSpan w:val="3"/>
            <w:shd w:val="clear" w:color="auto" w:fill="auto"/>
            <w:vAlign w:val="bottom"/>
          </w:tcPr>
          <w:p w14:paraId="67537EC5" w14:textId="77777777" w:rsidR="001B77DD" w:rsidRDefault="001B77DD">
            <w:pPr>
              <w:rPr>
                <w:rFonts w:ascii="宋体"/>
                <w:vanish/>
              </w:rPr>
            </w:pPr>
          </w:p>
        </w:tc>
        <w:tc>
          <w:tcPr>
            <w:tcW w:w="0" w:type="auto"/>
            <w:gridSpan w:val="3"/>
            <w:shd w:val="clear" w:color="auto" w:fill="auto"/>
            <w:vAlign w:val="bottom"/>
          </w:tcPr>
          <w:p w14:paraId="67537EC6" w14:textId="77777777" w:rsidR="001B77DD" w:rsidRDefault="001B77DD">
            <w:pPr>
              <w:rPr>
                <w:rFonts w:ascii="宋体"/>
                <w:vanish/>
              </w:rPr>
            </w:pPr>
          </w:p>
        </w:tc>
      </w:tr>
      <w:tr w:rsidR="001B77DD" w14:paraId="67537ECD" w14:textId="77777777">
        <w:tc>
          <w:tcPr>
            <w:tcW w:w="0" w:type="auto"/>
            <w:gridSpan w:val="3"/>
            <w:shd w:val="clear" w:color="auto" w:fill="auto"/>
            <w:tcMar>
              <w:top w:w="40" w:type="dxa"/>
              <w:left w:w="20" w:type="dxa"/>
              <w:bottom w:w="40" w:type="dxa"/>
              <w:right w:w="20" w:type="dxa"/>
            </w:tcMar>
            <w:vAlign w:val="bottom"/>
          </w:tcPr>
          <w:p w14:paraId="67537EC8" w14:textId="77777777" w:rsidR="001B77DD" w:rsidRDefault="00BF0A28">
            <w:pPr>
              <w:textAlignment w:val="bottom"/>
            </w:pPr>
            <w:r>
              <w:rPr>
                <w:rFonts w:ascii="Arial" w:eastAsia="宋体" w:hAnsi="Arial" w:cs="Arial"/>
                <w:b/>
                <w:bCs/>
                <w:color w:val="262626"/>
                <w:sz w:val="18"/>
                <w:szCs w:val="18"/>
              </w:rPr>
              <w:t xml:space="preserve">Amounts recognized in the </w:t>
            </w:r>
            <w:r>
              <w:rPr>
                <w:rFonts w:ascii="Arial" w:eastAsia="宋体" w:hAnsi="Arial" w:cs="Arial"/>
                <w:b/>
                <w:bCs/>
                <w:color w:val="262626"/>
                <w:sz w:val="18"/>
                <w:szCs w:val="18"/>
              </w:rPr>
              <w:t>Consolidated Balance Sheets</w:t>
            </w:r>
          </w:p>
        </w:tc>
        <w:tc>
          <w:tcPr>
            <w:tcW w:w="0" w:type="auto"/>
            <w:gridSpan w:val="3"/>
            <w:shd w:val="clear" w:color="auto" w:fill="auto"/>
            <w:tcMar>
              <w:top w:w="0" w:type="dxa"/>
              <w:left w:w="20" w:type="dxa"/>
              <w:bottom w:w="0" w:type="dxa"/>
              <w:right w:w="20" w:type="dxa"/>
            </w:tcMar>
            <w:vAlign w:val="bottom"/>
          </w:tcPr>
          <w:p w14:paraId="67537EC9"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EC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ECB" w14:textId="77777777" w:rsidR="001B77DD" w:rsidRDefault="001B77DD">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7537ECC" w14:textId="77777777" w:rsidR="001B77DD" w:rsidRDefault="001B77DD">
            <w:pPr>
              <w:rPr>
                <w:rFonts w:ascii="宋体"/>
              </w:rPr>
            </w:pPr>
          </w:p>
        </w:tc>
      </w:tr>
      <w:tr w:rsidR="001B77DD" w14:paraId="67537ED3" w14:textId="77777777">
        <w:trPr>
          <w:hidden/>
        </w:trPr>
        <w:tc>
          <w:tcPr>
            <w:tcW w:w="0" w:type="auto"/>
            <w:gridSpan w:val="3"/>
            <w:shd w:val="clear" w:color="auto" w:fill="auto"/>
            <w:vAlign w:val="bottom"/>
          </w:tcPr>
          <w:p w14:paraId="67537ECE" w14:textId="77777777" w:rsidR="001B77DD" w:rsidRDefault="001B77DD">
            <w:pPr>
              <w:rPr>
                <w:rFonts w:ascii="宋体"/>
                <w:vanish/>
              </w:rPr>
            </w:pPr>
          </w:p>
        </w:tc>
        <w:tc>
          <w:tcPr>
            <w:tcW w:w="0" w:type="auto"/>
            <w:gridSpan w:val="3"/>
            <w:shd w:val="clear" w:color="auto" w:fill="auto"/>
            <w:vAlign w:val="bottom"/>
          </w:tcPr>
          <w:p w14:paraId="67537ECF" w14:textId="77777777" w:rsidR="001B77DD" w:rsidRDefault="001B77DD">
            <w:pPr>
              <w:rPr>
                <w:rFonts w:ascii="宋体"/>
                <w:vanish/>
              </w:rPr>
            </w:pPr>
          </w:p>
        </w:tc>
        <w:tc>
          <w:tcPr>
            <w:tcW w:w="0" w:type="auto"/>
            <w:gridSpan w:val="3"/>
            <w:shd w:val="clear" w:color="auto" w:fill="auto"/>
            <w:vAlign w:val="bottom"/>
          </w:tcPr>
          <w:p w14:paraId="67537ED0" w14:textId="77777777" w:rsidR="001B77DD" w:rsidRDefault="001B77DD">
            <w:pPr>
              <w:rPr>
                <w:rFonts w:ascii="宋体"/>
                <w:vanish/>
              </w:rPr>
            </w:pPr>
          </w:p>
        </w:tc>
        <w:tc>
          <w:tcPr>
            <w:tcW w:w="0" w:type="auto"/>
            <w:gridSpan w:val="3"/>
            <w:shd w:val="clear" w:color="auto" w:fill="auto"/>
            <w:vAlign w:val="bottom"/>
          </w:tcPr>
          <w:p w14:paraId="67537ED1" w14:textId="77777777" w:rsidR="001B77DD" w:rsidRDefault="001B77DD">
            <w:pPr>
              <w:rPr>
                <w:rFonts w:ascii="宋体"/>
                <w:vanish/>
              </w:rPr>
            </w:pPr>
          </w:p>
        </w:tc>
        <w:tc>
          <w:tcPr>
            <w:tcW w:w="0" w:type="auto"/>
            <w:gridSpan w:val="3"/>
            <w:shd w:val="clear" w:color="auto" w:fill="auto"/>
            <w:vAlign w:val="bottom"/>
          </w:tcPr>
          <w:p w14:paraId="67537ED2" w14:textId="77777777" w:rsidR="001B77DD" w:rsidRDefault="001B77DD">
            <w:pPr>
              <w:rPr>
                <w:rFonts w:ascii="宋体"/>
                <w:vanish/>
              </w:rPr>
            </w:pPr>
          </w:p>
        </w:tc>
      </w:tr>
      <w:tr w:rsidR="001B77DD" w14:paraId="67537EDD" w14:textId="77777777">
        <w:tc>
          <w:tcPr>
            <w:tcW w:w="0" w:type="auto"/>
            <w:gridSpan w:val="3"/>
            <w:shd w:val="clear" w:color="auto" w:fill="auto"/>
            <w:tcMar>
              <w:top w:w="40" w:type="dxa"/>
              <w:left w:w="20" w:type="dxa"/>
              <w:bottom w:w="40" w:type="dxa"/>
              <w:right w:w="20" w:type="dxa"/>
            </w:tcMar>
            <w:vAlign w:val="bottom"/>
          </w:tcPr>
          <w:p w14:paraId="67537ED4" w14:textId="77777777" w:rsidR="001B77DD" w:rsidRDefault="00BF0A28">
            <w:pPr>
              <w:textAlignment w:val="bottom"/>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67537ED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ED6"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ED7" w14:textId="77777777" w:rsidR="001B77DD" w:rsidRDefault="00BF0A28">
            <w:pPr>
              <w:jc w:val="right"/>
              <w:textAlignment w:val="bottom"/>
            </w:pPr>
            <w:r>
              <w:rPr>
                <w:rFonts w:ascii="Arial" w:eastAsia="宋体" w:hAnsi="Arial" w:cs="Arial"/>
                <w:color w:val="0068B5"/>
                <w:sz w:val="18"/>
                <w:szCs w:val="18"/>
              </w:rPr>
              <w:t>1,639 </w:t>
            </w:r>
          </w:p>
        </w:tc>
        <w:tc>
          <w:tcPr>
            <w:tcW w:w="0" w:type="auto"/>
            <w:shd w:val="clear" w:color="auto" w:fill="auto"/>
            <w:tcMar>
              <w:top w:w="40" w:type="dxa"/>
              <w:left w:w="0" w:type="dxa"/>
              <w:bottom w:w="40" w:type="dxa"/>
              <w:right w:w="20" w:type="dxa"/>
            </w:tcMar>
            <w:vAlign w:val="bottom"/>
          </w:tcPr>
          <w:p w14:paraId="67537ED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D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EDA"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EDB" w14:textId="77777777" w:rsidR="001B77DD" w:rsidRDefault="00BF0A28">
            <w:pPr>
              <w:jc w:val="right"/>
              <w:textAlignment w:val="bottom"/>
            </w:pPr>
            <w:r>
              <w:rPr>
                <w:rFonts w:ascii="Arial" w:eastAsia="宋体" w:hAnsi="Arial" w:cs="Arial"/>
                <w:color w:val="262626"/>
                <w:sz w:val="18"/>
                <w:szCs w:val="18"/>
              </w:rPr>
              <w:t>2,051 </w:t>
            </w:r>
          </w:p>
        </w:tc>
        <w:tc>
          <w:tcPr>
            <w:tcW w:w="0" w:type="auto"/>
            <w:shd w:val="clear" w:color="auto" w:fill="auto"/>
            <w:tcMar>
              <w:top w:w="40" w:type="dxa"/>
              <w:left w:w="0" w:type="dxa"/>
              <w:bottom w:w="40" w:type="dxa"/>
              <w:right w:w="20" w:type="dxa"/>
            </w:tcMar>
            <w:vAlign w:val="bottom"/>
          </w:tcPr>
          <w:p w14:paraId="67537EDC" w14:textId="77777777" w:rsidR="001B77DD" w:rsidRDefault="001B77DD">
            <w:pPr>
              <w:jc w:val="right"/>
              <w:rPr>
                <w:rFonts w:ascii="宋体"/>
              </w:rPr>
            </w:pPr>
          </w:p>
        </w:tc>
      </w:tr>
      <w:tr w:rsidR="001B77DD" w14:paraId="67537EE7" w14:textId="77777777">
        <w:tc>
          <w:tcPr>
            <w:tcW w:w="0" w:type="auto"/>
            <w:gridSpan w:val="3"/>
            <w:shd w:val="clear" w:color="auto" w:fill="auto"/>
            <w:tcMar>
              <w:top w:w="40" w:type="dxa"/>
              <w:left w:w="20" w:type="dxa"/>
              <w:bottom w:w="40" w:type="dxa"/>
              <w:right w:w="20" w:type="dxa"/>
            </w:tcMar>
            <w:vAlign w:val="bottom"/>
          </w:tcPr>
          <w:p w14:paraId="67537EDE" w14:textId="77777777" w:rsidR="001B77DD" w:rsidRDefault="00BF0A28">
            <w:pPr>
              <w:textAlignment w:val="bottom"/>
            </w:pPr>
            <w:r>
              <w:rPr>
                <w:rFonts w:ascii="Arial" w:eastAsia="宋体" w:hAnsi="Arial" w:cs="Arial"/>
                <w:color w:val="262626"/>
                <w:sz w:val="18"/>
                <w:szCs w:val="18"/>
              </w:rPr>
              <w:t>Accumulated other comprehensive loss (income), before tax</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7537EDF"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EE0"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7EE1" w14:textId="77777777" w:rsidR="001B77DD" w:rsidRDefault="00BF0A28">
            <w:pPr>
              <w:jc w:val="right"/>
              <w:textAlignment w:val="bottom"/>
            </w:pPr>
            <w:r>
              <w:rPr>
                <w:rFonts w:ascii="Arial" w:eastAsia="宋体" w:hAnsi="Arial" w:cs="Arial"/>
                <w:color w:val="0068B5"/>
                <w:sz w:val="18"/>
                <w:szCs w:val="18"/>
              </w:rPr>
              <w:t>1,445 </w:t>
            </w:r>
          </w:p>
        </w:tc>
        <w:tc>
          <w:tcPr>
            <w:tcW w:w="0" w:type="auto"/>
            <w:shd w:val="clear" w:color="auto" w:fill="auto"/>
            <w:tcMar>
              <w:top w:w="40" w:type="dxa"/>
              <w:left w:w="0" w:type="dxa"/>
              <w:bottom w:w="40" w:type="dxa"/>
              <w:right w:w="20" w:type="dxa"/>
            </w:tcMar>
            <w:vAlign w:val="bottom"/>
          </w:tcPr>
          <w:p w14:paraId="67537E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E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EE4"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EE5" w14:textId="77777777" w:rsidR="001B77DD" w:rsidRDefault="00BF0A28">
            <w:pPr>
              <w:jc w:val="right"/>
              <w:textAlignment w:val="bottom"/>
            </w:pPr>
            <w:r>
              <w:rPr>
                <w:rFonts w:ascii="Arial" w:eastAsia="宋体" w:hAnsi="Arial" w:cs="Arial"/>
                <w:color w:val="262626"/>
                <w:sz w:val="18"/>
                <w:szCs w:val="18"/>
              </w:rPr>
              <w:t>1,911 </w:t>
            </w:r>
          </w:p>
        </w:tc>
        <w:tc>
          <w:tcPr>
            <w:tcW w:w="0" w:type="auto"/>
            <w:shd w:val="clear" w:color="auto" w:fill="auto"/>
            <w:tcMar>
              <w:top w:w="40" w:type="dxa"/>
              <w:left w:w="0" w:type="dxa"/>
              <w:bottom w:w="40" w:type="dxa"/>
              <w:right w:w="20" w:type="dxa"/>
            </w:tcMar>
            <w:vAlign w:val="bottom"/>
          </w:tcPr>
          <w:p w14:paraId="67537EE6" w14:textId="77777777" w:rsidR="001B77DD" w:rsidRDefault="001B77DD">
            <w:pPr>
              <w:jc w:val="right"/>
              <w:rPr>
                <w:rFonts w:ascii="宋体"/>
              </w:rPr>
            </w:pPr>
          </w:p>
        </w:tc>
      </w:tr>
      <w:tr w:rsidR="001B77DD" w14:paraId="67537EED" w14:textId="77777777">
        <w:trPr>
          <w:hidden/>
        </w:trPr>
        <w:tc>
          <w:tcPr>
            <w:tcW w:w="0" w:type="auto"/>
            <w:gridSpan w:val="3"/>
            <w:shd w:val="clear" w:color="auto" w:fill="auto"/>
            <w:vAlign w:val="bottom"/>
          </w:tcPr>
          <w:p w14:paraId="67537EE8" w14:textId="77777777" w:rsidR="001B77DD" w:rsidRDefault="001B77DD">
            <w:pPr>
              <w:rPr>
                <w:rFonts w:ascii="宋体"/>
                <w:vanish/>
              </w:rPr>
            </w:pPr>
          </w:p>
        </w:tc>
        <w:tc>
          <w:tcPr>
            <w:tcW w:w="0" w:type="auto"/>
            <w:gridSpan w:val="3"/>
            <w:shd w:val="clear" w:color="auto" w:fill="auto"/>
            <w:vAlign w:val="bottom"/>
          </w:tcPr>
          <w:p w14:paraId="67537EE9" w14:textId="77777777" w:rsidR="001B77DD" w:rsidRDefault="001B77DD">
            <w:pPr>
              <w:rPr>
                <w:rFonts w:ascii="宋体"/>
                <w:vanish/>
              </w:rPr>
            </w:pPr>
          </w:p>
        </w:tc>
        <w:tc>
          <w:tcPr>
            <w:tcW w:w="0" w:type="auto"/>
            <w:gridSpan w:val="3"/>
            <w:shd w:val="clear" w:color="auto" w:fill="auto"/>
            <w:vAlign w:val="bottom"/>
          </w:tcPr>
          <w:p w14:paraId="67537EEA" w14:textId="77777777" w:rsidR="001B77DD" w:rsidRDefault="001B77DD">
            <w:pPr>
              <w:rPr>
                <w:rFonts w:ascii="宋体"/>
                <w:vanish/>
              </w:rPr>
            </w:pPr>
          </w:p>
        </w:tc>
        <w:tc>
          <w:tcPr>
            <w:tcW w:w="0" w:type="auto"/>
            <w:gridSpan w:val="3"/>
            <w:shd w:val="clear" w:color="auto" w:fill="auto"/>
            <w:vAlign w:val="bottom"/>
          </w:tcPr>
          <w:p w14:paraId="67537EEB" w14:textId="77777777" w:rsidR="001B77DD" w:rsidRDefault="001B77DD">
            <w:pPr>
              <w:rPr>
                <w:rFonts w:ascii="宋体"/>
                <w:vanish/>
              </w:rPr>
            </w:pPr>
          </w:p>
        </w:tc>
        <w:tc>
          <w:tcPr>
            <w:tcW w:w="0" w:type="auto"/>
            <w:gridSpan w:val="3"/>
            <w:shd w:val="clear" w:color="auto" w:fill="auto"/>
            <w:vAlign w:val="bottom"/>
          </w:tcPr>
          <w:p w14:paraId="67537EEC" w14:textId="77777777" w:rsidR="001B77DD" w:rsidRDefault="001B77DD">
            <w:pPr>
              <w:rPr>
                <w:rFonts w:ascii="宋体"/>
                <w:vanish/>
              </w:rPr>
            </w:pPr>
          </w:p>
        </w:tc>
      </w:tr>
      <w:tr w:rsidR="001B77DD" w14:paraId="67537EF7" w14:textId="77777777">
        <w:tc>
          <w:tcPr>
            <w:tcW w:w="0" w:type="auto"/>
            <w:gridSpan w:val="3"/>
            <w:shd w:val="clear" w:color="auto" w:fill="auto"/>
            <w:tcMar>
              <w:top w:w="40" w:type="dxa"/>
              <w:left w:w="20" w:type="dxa"/>
              <w:bottom w:w="40" w:type="dxa"/>
              <w:right w:w="20" w:type="dxa"/>
            </w:tcMar>
            <w:vAlign w:val="bottom"/>
          </w:tcPr>
          <w:p w14:paraId="67537EEE" w14:textId="77777777" w:rsidR="001B77DD" w:rsidRDefault="00BF0A28">
            <w:pPr>
              <w:textAlignment w:val="bottom"/>
            </w:pPr>
            <w:r>
              <w:rPr>
                <w:rFonts w:ascii="Arial" w:eastAsia="宋体" w:hAnsi="Arial" w:cs="Arial"/>
                <w:b/>
                <w:bCs/>
                <w:color w:val="262626"/>
                <w:sz w:val="18"/>
                <w:szCs w:val="18"/>
              </w:rPr>
              <w:t>Accumulated benefit obligation</w:t>
            </w:r>
            <w:r>
              <w:rPr>
                <w:rFonts w:ascii="Arial" w:eastAsia="宋体" w:hAnsi="Arial" w:cs="Arial"/>
                <w:b/>
                <w:bCs/>
                <w:color w:val="262626"/>
                <w:sz w:val="11"/>
                <w:szCs w:val="11"/>
              </w:rPr>
              <w:t>4</w:t>
            </w:r>
          </w:p>
        </w:tc>
        <w:tc>
          <w:tcPr>
            <w:tcW w:w="0" w:type="auto"/>
            <w:gridSpan w:val="3"/>
            <w:shd w:val="clear" w:color="auto" w:fill="auto"/>
            <w:tcMar>
              <w:top w:w="0" w:type="dxa"/>
              <w:left w:w="20" w:type="dxa"/>
              <w:bottom w:w="0" w:type="dxa"/>
              <w:right w:w="20" w:type="dxa"/>
            </w:tcMar>
            <w:vAlign w:val="bottom"/>
          </w:tcPr>
          <w:p w14:paraId="67537EEF" w14:textId="77777777" w:rsidR="001B77DD" w:rsidRDefault="001B77DD">
            <w:pPr>
              <w:rPr>
                <w:rFonts w:ascii="宋体"/>
              </w:rPr>
            </w:pPr>
          </w:p>
        </w:tc>
        <w:tc>
          <w:tcPr>
            <w:tcW w:w="0" w:type="auto"/>
            <w:shd w:val="clear" w:color="auto" w:fill="FFFFFF"/>
            <w:tcMar>
              <w:top w:w="40" w:type="dxa"/>
              <w:left w:w="20" w:type="dxa"/>
              <w:bottom w:w="40" w:type="dxa"/>
              <w:right w:w="0" w:type="dxa"/>
            </w:tcMar>
            <w:vAlign w:val="bottom"/>
          </w:tcPr>
          <w:p w14:paraId="67537EF0" w14:textId="77777777" w:rsidR="001B77DD" w:rsidRDefault="00BF0A28">
            <w:pPr>
              <w:textAlignment w:val="bottom"/>
            </w:pPr>
            <w:r>
              <w:rPr>
                <w:rFonts w:ascii="Arial" w:eastAsia="宋体" w:hAnsi="Arial" w:cs="Arial"/>
                <w:color w:val="026DCE"/>
                <w:sz w:val="18"/>
                <w:szCs w:val="18"/>
              </w:rPr>
              <w:t>$</w:t>
            </w:r>
          </w:p>
        </w:tc>
        <w:tc>
          <w:tcPr>
            <w:tcW w:w="0" w:type="auto"/>
            <w:shd w:val="clear" w:color="auto" w:fill="FFFFFF"/>
            <w:tcMar>
              <w:top w:w="40" w:type="dxa"/>
              <w:left w:w="0" w:type="dxa"/>
              <w:bottom w:w="40" w:type="dxa"/>
              <w:right w:w="0" w:type="dxa"/>
            </w:tcMar>
            <w:vAlign w:val="bottom"/>
          </w:tcPr>
          <w:p w14:paraId="67537EF1" w14:textId="77777777" w:rsidR="001B77DD" w:rsidRDefault="00BF0A28">
            <w:pPr>
              <w:jc w:val="right"/>
              <w:textAlignment w:val="bottom"/>
            </w:pPr>
            <w:r>
              <w:rPr>
                <w:rFonts w:ascii="Arial" w:eastAsia="宋体" w:hAnsi="Arial" w:cs="Arial"/>
                <w:color w:val="026DCE"/>
                <w:sz w:val="18"/>
                <w:szCs w:val="18"/>
              </w:rPr>
              <w:t>4,086 </w:t>
            </w:r>
          </w:p>
        </w:tc>
        <w:tc>
          <w:tcPr>
            <w:tcW w:w="0" w:type="auto"/>
            <w:shd w:val="clear" w:color="auto" w:fill="FFFFFF"/>
            <w:tcMar>
              <w:top w:w="40" w:type="dxa"/>
              <w:left w:w="0" w:type="dxa"/>
              <w:bottom w:w="40" w:type="dxa"/>
              <w:right w:w="20" w:type="dxa"/>
            </w:tcMar>
            <w:vAlign w:val="bottom"/>
          </w:tcPr>
          <w:p w14:paraId="67537EF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EF3"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7EF4" w14:textId="77777777" w:rsidR="001B77DD" w:rsidRDefault="00BF0A2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7537EF5" w14:textId="77777777" w:rsidR="001B77DD" w:rsidRDefault="00BF0A28">
            <w:pPr>
              <w:jc w:val="right"/>
              <w:textAlignment w:val="bottom"/>
            </w:pPr>
            <w:r>
              <w:rPr>
                <w:rFonts w:ascii="Arial" w:eastAsia="宋体" w:hAnsi="Arial" w:cs="Arial"/>
                <w:color w:val="262626"/>
                <w:sz w:val="18"/>
                <w:szCs w:val="18"/>
              </w:rPr>
              <w:t>4,429 </w:t>
            </w:r>
          </w:p>
        </w:tc>
        <w:tc>
          <w:tcPr>
            <w:tcW w:w="0" w:type="auto"/>
            <w:shd w:val="clear" w:color="auto" w:fill="auto"/>
            <w:tcMar>
              <w:top w:w="40" w:type="dxa"/>
              <w:left w:w="0" w:type="dxa"/>
              <w:bottom w:w="40" w:type="dxa"/>
              <w:right w:w="20" w:type="dxa"/>
            </w:tcMar>
            <w:vAlign w:val="bottom"/>
          </w:tcPr>
          <w:p w14:paraId="67537EF6" w14:textId="77777777" w:rsidR="001B77DD" w:rsidRDefault="001B77DD">
            <w:pPr>
              <w:jc w:val="right"/>
              <w:rPr>
                <w:rFonts w:ascii="宋体"/>
              </w:rPr>
            </w:pPr>
          </w:p>
        </w:tc>
      </w:tr>
    </w:tbl>
    <w:p w14:paraId="67537EF8" w14:textId="77777777" w:rsidR="001B77DD" w:rsidRDefault="00BF0A28">
      <w:pPr>
        <w:spacing w:before="20"/>
        <w:ind w:hanging="180"/>
      </w:pPr>
      <w:r>
        <w:rPr>
          <w:rFonts w:ascii="Arial" w:eastAsia="宋体" w:hAnsi="Arial" w:cs="Arial"/>
          <w:color w:val="262626"/>
          <w:sz w:val="10"/>
          <w:szCs w:val="10"/>
        </w:rPr>
        <w:t>1    </w:t>
      </w:r>
      <w:r>
        <w:rPr>
          <w:rFonts w:ascii="Arial" w:eastAsia="宋体" w:hAnsi="Arial" w:cs="Arial"/>
          <w:i/>
          <w:iCs/>
          <w:color w:val="262626"/>
          <w:sz w:val="16"/>
          <w:szCs w:val="16"/>
        </w:rPr>
        <w:t xml:space="preserve">The </w:t>
      </w:r>
      <w:r>
        <w:rPr>
          <w:rFonts w:ascii="Arial" w:eastAsia="宋体" w:hAnsi="Arial" w:cs="Arial"/>
          <w:i/>
          <w:iCs/>
          <w:color w:val="262626"/>
          <w:sz w:val="16"/>
          <w:szCs w:val="16"/>
        </w:rPr>
        <w:t>projected benefit obligation was approximately 30% in the US and 70% outside of the US as of December 25, 2021 and approximately 35% in the US and 65% outside of the US as of December 26, 2020.</w:t>
      </w:r>
    </w:p>
    <w:p w14:paraId="67537EF9" w14:textId="77777777" w:rsidR="001B77DD" w:rsidRDefault="00BF0A28">
      <w:pPr>
        <w:ind w:hanging="180"/>
      </w:pPr>
      <w:r>
        <w:rPr>
          <w:rFonts w:ascii="Arial" w:eastAsia="宋体" w:hAnsi="Arial" w:cs="Arial"/>
          <w:color w:val="262626"/>
          <w:sz w:val="10"/>
          <w:szCs w:val="10"/>
        </w:rPr>
        <w:t>2    </w:t>
      </w:r>
      <w:r>
        <w:rPr>
          <w:rFonts w:ascii="Arial" w:eastAsia="宋体" w:hAnsi="Arial" w:cs="Arial"/>
          <w:i/>
          <w:iCs/>
          <w:color w:val="262626"/>
          <w:sz w:val="16"/>
          <w:szCs w:val="16"/>
        </w:rPr>
        <w:t>The fair value of plan assets was approximately 50% in th</w:t>
      </w:r>
      <w:r>
        <w:rPr>
          <w:rFonts w:ascii="Arial" w:eastAsia="宋体" w:hAnsi="Arial" w:cs="Arial"/>
          <w:i/>
          <w:iCs/>
          <w:color w:val="262626"/>
          <w:sz w:val="16"/>
          <w:szCs w:val="16"/>
        </w:rPr>
        <w:t>e US and 50% outside of the US as of December 25, 2021 and approximately 55% in the US and 45% outside of the US as of December 26, 2020.</w:t>
      </w:r>
    </w:p>
    <w:p w14:paraId="67537EFA" w14:textId="77777777" w:rsidR="001B77DD" w:rsidRDefault="00BF0A28">
      <w:pPr>
        <w:ind w:hanging="180"/>
      </w:pPr>
      <w:r>
        <w:rPr>
          <w:rFonts w:ascii="Arial" w:eastAsia="宋体" w:hAnsi="Arial" w:cs="Arial"/>
          <w:color w:val="262626"/>
          <w:sz w:val="10"/>
          <w:szCs w:val="10"/>
        </w:rPr>
        <w:t>3    </w:t>
      </w:r>
      <w:r>
        <w:rPr>
          <w:rFonts w:ascii="Arial" w:eastAsia="宋体" w:hAnsi="Arial" w:cs="Arial"/>
          <w:i/>
          <w:iCs/>
          <w:color w:val="262626"/>
          <w:sz w:val="16"/>
          <w:szCs w:val="16"/>
        </w:rPr>
        <w:t xml:space="preserve">The accumulated other comprehensive loss (income), before tax, was approximately 30% in the US and 70% outside of the US as of December 25, 2021 and approximately 35% in the US and 65% outside of the US as of December 26, 2020. </w:t>
      </w:r>
    </w:p>
    <w:p w14:paraId="67537EFB" w14:textId="77777777" w:rsidR="001B77DD" w:rsidRDefault="00BF0A28">
      <w:pPr>
        <w:spacing w:after="180"/>
        <w:ind w:hanging="180"/>
      </w:pPr>
      <w:r>
        <w:rPr>
          <w:rFonts w:ascii="Arial" w:eastAsia="宋体" w:hAnsi="Arial" w:cs="Arial"/>
          <w:color w:val="262626"/>
          <w:sz w:val="10"/>
          <w:szCs w:val="10"/>
        </w:rPr>
        <w:t>4    </w:t>
      </w:r>
      <w:r>
        <w:rPr>
          <w:rFonts w:ascii="Arial" w:eastAsia="宋体" w:hAnsi="Arial" w:cs="Arial"/>
          <w:i/>
          <w:iCs/>
          <w:color w:val="262626"/>
          <w:sz w:val="16"/>
          <w:szCs w:val="16"/>
        </w:rPr>
        <w:t>All plans had accumula</w:t>
      </w:r>
      <w:r>
        <w:rPr>
          <w:rFonts w:ascii="Arial" w:eastAsia="宋体" w:hAnsi="Arial" w:cs="Arial"/>
          <w:i/>
          <w:iCs/>
          <w:color w:val="262626"/>
          <w:sz w:val="16"/>
          <w:szCs w:val="16"/>
        </w:rPr>
        <w:t xml:space="preserve">ted benefit obligations and projected benefit obligations in excess of plan assets for all periods presented. </w:t>
      </w:r>
    </w:p>
    <w:p w14:paraId="67537EFC" w14:textId="77777777" w:rsidR="001B77DD" w:rsidRDefault="00BF0A28">
      <w:pPr>
        <w:spacing w:after="180"/>
      </w:pPr>
      <w:r>
        <w:rPr>
          <w:rFonts w:ascii="Arial" w:eastAsia="宋体" w:hAnsi="Arial" w:cs="Arial"/>
          <w:color w:val="262626"/>
          <w:sz w:val="18"/>
          <w:szCs w:val="18"/>
        </w:rPr>
        <w:t>Changes in actuarial gains and losses in the projected benefit obligation are generally driven by discount rate movement. We use the corridor app</w:t>
      </w:r>
      <w:r>
        <w:rPr>
          <w:rFonts w:ascii="Arial" w:eastAsia="宋体" w:hAnsi="Arial" w:cs="Arial"/>
          <w:color w:val="262626"/>
          <w:sz w:val="18"/>
          <w:szCs w:val="18"/>
        </w:rPr>
        <w:t>roach to amortize actuarial gains and losses. Under this approach, net actuarial gains or losses in excess of 10% of the larger of the projected benefit obligation or the fair value of plan assets are amortized on a straight-line basis.</w:t>
      </w:r>
    </w:p>
    <w:p w14:paraId="67537EFD" w14:textId="77777777" w:rsidR="001B77DD" w:rsidRDefault="00BF0A28">
      <w:pPr>
        <w:spacing w:after="180"/>
      </w:pPr>
      <w:r>
        <w:rPr>
          <w:rFonts w:ascii="Arial" w:eastAsia="宋体" w:hAnsi="Arial" w:cs="Arial"/>
          <w:color w:val="0068B5"/>
        </w:rPr>
        <w:t>Assumptions for Pen</w:t>
      </w:r>
      <w:r>
        <w:rPr>
          <w:rFonts w:ascii="Arial" w:eastAsia="宋体" w:hAnsi="Arial" w:cs="Arial"/>
          <w:color w:val="0068B5"/>
        </w:rPr>
        <w:t>sion Benefit Plans</w:t>
      </w:r>
    </w:p>
    <w:tbl>
      <w:tblPr>
        <w:tblW w:w="5000" w:type="pct"/>
        <w:tblCellMar>
          <w:top w:w="15" w:type="dxa"/>
          <w:left w:w="15" w:type="dxa"/>
          <w:bottom w:w="15" w:type="dxa"/>
          <w:right w:w="15" w:type="dxa"/>
        </w:tblCellMar>
        <w:tblLook w:val="04A0" w:firstRow="1" w:lastRow="0" w:firstColumn="1" w:lastColumn="0" w:noHBand="0" w:noVBand="1"/>
      </w:tblPr>
      <w:tblGrid>
        <w:gridCol w:w="37"/>
        <w:gridCol w:w="6074"/>
        <w:gridCol w:w="36"/>
        <w:gridCol w:w="36"/>
        <w:gridCol w:w="36"/>
        <w:gridCol w:w="36"/>
        <w:gridCol w:w="38"/>
        <w:gridCol w:w="767"/>
        <w:gridCol w:w="181"/>
        <w:gridCol w:w="36"/>
        <w:gridCol w:w="36"/>
        <w:gridCol w:w="36"/>
        <w:gridCol w:w="38"/>
        <w:gridCol w:w="768"/>
        <w:gridCol w:w="181"/>
      </w:tblGrid>
      <w:tr w:rsidR="001B77DD" w14:paraId="67537F0D" w14:textId="77777777">
        <w:tc>
          <w:tcPr>
            <w:tcW w:w="50" w:type="pct"/>
            <w:shd w:val="clear" w:color="auto" w:fill="auto"/>
            <w:vAlign w:val="bottom"/>
          </w:tcPr>
          <w:p w14:paraId="67537EFE" w14:textId="77777777" w:rsidR="001B77DD" w:rsidRDefault="001B77DD">
            <w:pPr>
              <w:rPr>
                <w:rFonts w:ascii="宋体"/>
              </w:rPr>
            </w:pPr>
          </w:p>
        </w:tc>
        <w:tc>
          <w:tcPr>
            <w:tcW w:w="3688" w:type="pct"/>
            <w:shd w:val="clear" w:color="auto" w:fill="auto"/>
            <w:vAlign w:val="bottom"/>
          </w:tcPr>
          <w:p w14:paraId="67537EFF" w14:textId="77777777" w:rsidR="001B77DD" w:rsidRDefault="001B77DD">
            <w:pPr>
              <w:rPr>
                <w:rFonts w:ascii="宋体"/>
              </w:rPr>
            </w:pPr>
          </w:p>
        </w:tc>
        <w:tc>
          <w:tcPr>
            <w:tcW w:w="5" w:type="pct"/>
            <w:shd w:val="clear" w:color="auto" w:fill="auto"/>
            <w:vAlign w:val="bottom"/>
          </w:tcPr>
          <w:p w14:paraId="67537F00" w14:textId="77777777" w:rsidR="001B77DD" w:rsidRDefault="001B77DD">
            <w:pPr>
              <w:rPr>
                <w:rFonts w:ascii="宋体"/>
              </w:rPr>
            </w:pPr>
          </w:p>
        </w:tc>
        <w:tc>
          <w:tcPr>
            <w:tcW w:w="5" w:type="pct"/>
            <w:shd w:val="clear" w:color="auto" w:fill="auto"/>
            <w:vAlign w:val="bottom"/>
          </w:tcPr>
          <w:p w14:paraId="67537F01" w14:textId="77777777" w:rsidR="001B77DD" w:rsidRDefault="001B77DD">
            <w:pPr>
              <w:rPr>
                <w:rFonts w:ascii="宋体"/>
              </w:rPr>
            </w:pPr>
          </w:p>
        </w:tc>
        <w:tc>
          <w:tcPr>
            <w:tcW w:w="24" w:type="pct"/>
            <w:shd w:val="clear" w:color="auto" w:fill="auto"/>
            <w:vAlign w:val="bottom"/>
          </w:tcPr>
          <w:p w14:paraId="67537F02" w14:textId="77777777" w:rsidR="001B77DD" w:rsidRDefault="001B77DD">
            <w:pPr>
              <w:rPr>
                <w:rFonts w:ascii="宋体"/>
              </w:rPr>
            </w:pPr>
          </w:p>
        </w:tc>
        <w:tc>
          <w:tcPr>
            <w:tcW w:w="5" w:type="pct"/>
            <w:shd w:val="clear" w:color="auto" w:fill="auto"/>
            <w:vAlign w:val="bottom"/>
          </w:tcPr>
          <w:p w14:paraId="67537F03" w14:textId="77777777" w:rsidR="001B77DD" w:rsidRDefault="001B77DD">
            <w:pPr>
              <w:rPr>
                <w:rFonts w:ascii="宋体"/>
              </w:rPr>
            </w:pPr>
          </w:p>
        </w:tc>
        <w:tc>
          <w:tcPr>
            <w:tcW w:w="50" w:type="pct"/>
            <w:shd w:val="clear" w:color="auto" w:fill="auto"/>
            <w:vAlign w:val="bottom"/>
          </w:tcPr>
          <w:p w14:paraId="67537F04" w14:textId="77777777" w:rsidR="001B77DD" w:rsidRDefault="001B77DD">
            <w:pPr>
              <w:rPr>
                <w:rFonts w:ascii="宋体"/>
              </w:rPr>
            </w:pPr>
          </w:p>
        </w:tc>
        <w:tc>
          <w:tcPr>
            <w:tcW w:w="539" w:type="pct"/>
            <w:shd w:val="clear" w:color="auto" w:fill="auto"/>
            <w:vAlign w:val="bottom"/>
          </w:tcPr>
          <w:p w14:paraId="67537F05" w14:textId="77777777" w:rsidR="001B77DD" w:rsidRDefault="001B77DD">
            <w:pPr>
              <w:rPr>
                <w:rFonts w:ascii="宋体"/>
              </w:rPr>
            </w:pPr>
          </w:p>
        </w:tc>
        <w:tc>
          <w:tcPr>
            <w:tcW w:w="5" w:type="pct"/>
            <w:shd w:val="clear" w:color="auto" w:fill="auto"/>
            <w:vAlign w:val="bottom"/>
          </w:tcPr>
          <w:p w14:paraId="67537F06" w14:textId="77777777" w:rsidR="001B77DD" w:rsidRDefault="001B77DD">
            <w:pPr>
              <w:rPr>
                <w:rFonts w:ascii="宋体"/>
              </w:rPr>
            </w:pPr>
          </w:p>
        </w:tc>
        <w:tc>
          <w:tcPr>
            <w:tcW w:w="5" w:type="pct"/>
            <w:shd w:val="clear" w:color="auto" w:fill="auto"/>
            <w:vAlign w:val="bottom"/>
          </w:tcPr>
          <w:p w14:paraId="67537F07" w14:textId="77777777" w:rsidR="001B77DD" w:rsidRDefault="001B77DD">
            <w:pPr>
              <w:rPr>
                <w:rFonts w:ascii="宋体"/>
              </w:rPr>
            </w:pPr>
          </w:p>
        </w:tc>
        <w:tc>
          <w:tcPr>
            <w:tcW w:w="24" w:type="pct"/>
            <w:shd w:val="clear" w:color="auto" w:fill="auto"/>
            <w:vAlign w:val="bottom"/>
          </w:tcPr>
          <w:p w14:paraId="67537F08" w14:textId="77777777" w:rsidR="001B77DD" w:rsidRDefault="001B77DD">
            <w:pPr>
              <w:rPr>
                <w:rFonts w:ascii="宋体"/>
              </w:rPr>
            </w:pPr>
          </w:p>
        </w:tc>
        <w:tc>
          <w:tcPr>
            <w:tcW w:w="5" w:type="pct"/>
            <w:shd w:val="clear" w:color="auto" w:fill="auto"/>
            <w:vAlign w:val="bottom"/>
          </w:tcPr>
          <w:p w14:paraId="67537F09" w14:textId="77777777" w:rsidR="001B77DD" w:rsidRDefault="001B77DD">
            <w:pPr>
              <w:rPr>
                <w:rFonts w:ascii="宋体"/>
              </w:rPr>
            </w:pPr>
          </w:p>
        </w:tc>
        <w:tc>
          <w:tcPr>
            <w:tcW w:w="50" w:type="pct"/>
            <w:shd w:val="clear" w:color="auto" w:fill="auto"/>
            <w:vAlign w:val="bottom"/>
          </w:tcPr>
          <w:p w14:paraId="67537F0A" w14:textId="77777777" w:rsidR="001B77DD" w:rsidRDefault="001B77DD">
            <w:pPr>
              <w:rPr>
                <w:rFonts w:ascii="宋体"/>
              </w:rPr>
            </w:pPr>
          </w:p>
        </w:tc>
        <w:tc>
          <w:tcPr>
            <w:tcW w:w="539" w:type="pct"/>
            <w:shd w:val="clear" w:color="auto" w:fill="auto"/>
            <w:vAlign w:val="bottom"/>
          </w:tcPr>
          <w:p w14:paraId="67537F0B" w14:textId="77777777" w:rsidR="001B77DD" w:rsidRDefault="001B77DD">
            <w:pPr>
              <w:rPr>
                <w:rFonts w:ascii="宋体"/>
              </w:rPr>
            </w:pPr>
          </w:p>
        </w:tc>
        <w:tc>
          <w:tcPr>
            <w:tcW w:w="5" w:type="pct"/>
            <w:shd w:val="clear" w:color="auto" w:fill="auto"/>
            <w:vAlign w:val="bottom"/>
          </w:tcPr>
          <w:p w14:paraId="67537F0C" w14:textId="77777777" w:rsidR="001B77DD" w:rsidRDefault="001B77DD">
            <w:pPr>
              <w:rPr>
                <w:rFonts w:ascii="宋体"/>
              </w:rPr>
            </w:pPr>
          </w:p>
        </w:tc>
      </w:tr>
      <w:tr w:rsidR="001B77DD" w14:paraId="67537F13" w14:textId="77777777">
        <w:tc>
          <w:tcPr>
            <w:tcW w:w="0" w:type="auto"/>
            <w:gridSpan w:val="3"/>
            <w:shd w:val="clear" w:color="auto" w:fill="auto"/>
            <w:tcMar>
              <w:top w:w="0" w:type="dxa"/>
              <w:left w:w="20" w:type="dxa"/>
              <w:bottom w:w="0" w:type="dxa"/>
              <w:right w:w="20" w:type="dxa"/>
            </w:tcMar>
            <w:vAlign w:val="bottom"/>
          </w:tcPr>
          <w:p w14:paraId="67537F0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F0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F10"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7F1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F12"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7F19"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F14" w14:textId="77777777" w:rsidR="001B77DD" w:rsidRDefault="00BF0A28">
            <w:pPr>
              <w:textAlignment w:val="bottom"/>
            </w:pPr>
            <w:r>
              <w:rPr>
                <w:rFonts w:ascii="Arial" w:eastAsia="宋体" w:hAnsi="Arial" w:cs="Arial"/>
                <w:b/>
                <w:bCs/>
                <w:color w:val="262626"/>
                <w:sz w:val="18"/>
                <w:szCs w:val="18"/>
              </w:rPr>
              <w:t>Weighted average actuarial assumptions used to determine benefit obligations</w:t>
            </w:r>
          </w:p>
        </w:tc>
        <w:tc>
          <w:tcPr>
            <w:tcW w:w="0" w:type="auto"/>
            <w:gridSpan w:val="3"/>
            <w:shd w:val="clear" w:color="auto" w:fill="auto"/>
            <w:tcMar>
              <w:top w:w="0" w:type="dxa"/>
              <w:left w:w="20" w:type="dxa"/>
              <w:bottom w:w="0" w:type="dxa"/>
              <w:right w:w="20" w:type="dxa"/>
            </w:tcMar>
            <w:vAlign w:val="bottom"/>
          </w:tcPr>
          <w:p w14:paraId="67537F15"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F1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F17"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F18" w14:textId="77777777" w:rsidR="001B77DD" w:rsidRDefault="001B77DD">
            <w:pPr>
              <w:rPr>
                <w:rFonts w:ascii="宋体"/>
              </w:rPr>
            </w:pPr>
          </w:p>
        </w:tc>
      </w:tr>
      <w:tr w:rsidR="001B77DD" w14:paraId="67537F21" w14:textId="77777777">
        <w:tc>
          <w:tcPr>
            <w:tcW w:w="0" w:type="auto"/>
            <w:gridSpan w:val="3"/>
            <w:shd w:val="clear" w:color="auto" w:fill="auto"/>
            <w:tcMar>
              <w:top w:w="40" w:type="dxa"/>
              <w:left w:w="20" w:type="dxa"/>
              <w:bottom w:w="40" w:type="dxa"/>
              <w:right w:w="20" w:type="dxa"/>
            </w:tcMar>
            <w:vAlign w:val="bottom"/>
          </w:tcPr>
          <w:p w14:paraId="67537F1A" w14:textId="77777777" w:rsidR="001B77DD" w:rsidRDefault="00BF0A28">
            <w:pPr>
              <w:textAlignment w:val="bottom"/>
            </w:pPr>
            <w:r>
              <w:rPr>
                <w:rFonts w:ascii="Arial" w:eastAsia="宋体" w:hAnsi="Arial" w:cs="Arial"/>
                <w:color w:val="262626"/>
                <w:sz w:val="18"/>
                <w:szCs w:val="18"/>
              </w:rPr>
              <w:t>Discount rate</w:t>
            </w:r>
          </w:p>
        </w:tc>
        <w:tc>
          <w:tcPr>
            <w:tcW w:w="0" w:type="auto"/>
            <w:gridSpan w:val="3"/>
            <w:shd w:val="clear" w:color="auto" w:fill="auto"/>
            <w:tcMar>
              <w:top w:w="0" w:type="dxa"/>
              <w:left w:w="20" w:type="dxa"/>
              <w:bottom w:w="0" w:type="dxa"/>
              <w:right w:w="20" w:type="dxa"/>
            </w:tcMar>
            <w:vAlign w:val="bottom"/>
          </w:tcPr>
          <w:p w14:paraId="67537F1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1C" w14:textId="77777777" w:rsidR="001B77DD" w:rsidRDefault="00BF0A28">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67537F1D"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7F1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1F" w14:textId="77777777" w:rsidR="001B77DD" w:rsidRDefault="00BF0A28">
            <w:pPr>
              <w:jc w:val="right"/>
              <w:textAlignment w:val="bottom"/>
            </w:pPr>
            <w:r>
              <w:rPr>
                <w:rFonts w:ascii="Arial" w:eastAsia="宋体" w:hAnsi="Arial" w:cs="Arial"/>
                <w:color w:val="262626"/>
                <w:sz w:val="18"/>
                <w:szCs w:val="18"/>
              </w:rPr>
              <w:t>1.9 </w:t>
            </w:r>
          </w:p>
        </w:tc>
        <w:tc>
          <w:tcPr>
            <w:tcW w:w="0" w:type="auto"/>
            <w:shd w:val="clear" w:color="auto" w:fill="auto"/>
            <w:tcMar>
              <w:top w:w="40" w:type="dxa"/>
              <w:left w:w="0" w:type="dxa"/>
              <w:bottom w:w="40" w:type="dxa"/>
              <w:right w:w="20" w:type="dxa"/>
            </w:tcMar>
            <w:vAlign w:val="bottom"/>
          </w:tcPr>
          <w:p w14:paraId="67537F20" w14:textId="77777777" w:rsidR="001B77DD" w:rsidRDefault="00BF0A28">
            <w:pPr>
              <w:jc w:val="right"/>
              <w:textAlignment w:val="bottom"/>
            </w:pPr>
            <w:r>
              <w:rPr>
                <w:rFonts w:ascii="Arial" w:eastAsia="宋体" w:hAnsi="Arial" w:cs="Arial"/>
                <w:color w:val="262626"/>
                <w:sz w:val="18"/>
                <w:szCs w:val="18"/>
              </w:rPr>
              <w:t>%</w:t>
            </w:r>
          </w:p>
        </w:tc>
      </w:tr>
      <w:tr w:rsidR="001B77DD" w14:paraId="67537F29" w14:textId="77777777">
        <w:tc>
          <w:tcPr>
            <w:tcW w:w="0" w:type="auto"/>
            <w:gridSpan w:val="3"/>
            <w:shd w:val="clear" w:color="auto" w:fill="auto"/>
            <w:tcMar>
              <w:top w:w="40" w:type="dxa"/>
              <w:left w:w="20" w:type="dxa"/>
              <w:bottom w:w="40" w:type="dxa"/>
              <w:right w:w="20" w:type="dxa"/>
            </w:tcMar>
            <w:vAlign w:val="bottom"/>
          </w:tcPr>
          <w:p w14:paraId="67537F22" w14:textId="77777777" w:rsidR="001B77DD" w:rsidRDefault="00BF0A28">
            <w:pPr>
              <w:textAlignment w:val="bottom"/>
            </w:pPr>
            <w:r>
              <w:rPr>
                <w:rFonts w:ascii="Arial" w:eastAsia="宋体" w:hAnsi="Arial" w:cs="Arial"/>
                <w:color w:val="262626"/>
                <w:sz w:val="18"/>
                <w:szCs w:val="18"/>
              </w:rPr>
              <w:t>Rate of compensation increase</w:t>
            </w:r>
          </w:p>
        </w:tc>
        <w:tc>
          <w:tcPr>
            <w:tcW w:w="0" w:type="auto"/>
            <w:gridSpan w:val="3"/>
            <w:shd w:val="clear" w:color="auto" w:fill="auto"/>
            <w:tcMar>
              <w:top w:w="0" w:type="dxa"/>
              <w:left w:w="20" w:type="dxa"/>
              <w:bottom w:w="0" w:type="dxa"/>
              <w:right w:w="20" w:type="dxa"/>
            </w:tcMar>
            <w:vAlign w:val="bottom"/>
          </w:tcPr>
          <w:p w14:paraId="67537F2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24" w14:textId="77777777" w:rsidR="001B77DD" w:rsidRDefault="00BF0A28">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67537F25"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7F2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27" w14:textId="77777777" w:rsidR="001B77DD" w:rsidRDefault="00BF0A28">
            <w:pPr>
              <w:jc w:val="right"/>
              <w:textAlignment w:val="bottom"/>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vAlign w:val="bottom"/>
          </w:tcPr>
          <w:p w14:paraId="67537F28" w14:textId="77777777" w:rsidR="001B77DD" w:rsidRDefault="00BF0A28">
            <w:pPr>
              <w:jc w:val="right"/>
              <w:textAlignment w:val="bottom"/>
            </w:pPr>
            <w:r>
              <w:rPr>
                <w:rFonts w:ascii="Arial" w:eastAsia="宋体" w:hAnsi="Arial" w:cs="Arial"/>
                <w:color w:val="262626"/>
                <w:sz w:val="18"/>
                <w:szCs w:val="18"/>
              </w:rPr>
              <w:t>%</w:t>
            </w:r>
          </w:p>
        </w:tc>
      </w:tr>
    </w:tbl>
    <w:p w14:paraId="67537F2A"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5018"/>
        <w:gridCol w:w="36"/>
        <w:gridCol w:w="36"/>
        <w:gridCol w:w="36"/>
        <w:gridCol w:w="36"/>
        <w:gridCol w:w="38"/>
        <w:gridCol w:w="753"/>
        <w:gridCol w:w="181"/>
        <w:gridCol w:w="36"/>
        <w:gridCol w:w="36"/>
        <w:gridCol w:w="36"/>
        <w:gridCol w:w="38"/>
        <w:gridCol w:w="755"/>
        <w:gridCol w:w="181"/>
        <w:gridCol w:w="36"/>
        <w:gridCol w:w="36"/>
        <w:gridCol w:w="36"/>
        <w:gridCol w:w="38"/>
        <w:gridCol w:w="756"/>
        <w:gridCol w:w="181"/>
      </w:tblGrid>
      <w:tr w:rsidR="001B77DD" w14:paraId="67537F40" w14:textId="77777777">
        <w:tc>
          <w:tcPr>
            <w:tcW w:w="50" w:type="pct"/>
            <w:shd w:val="clear" w:color="auto" w:fill="auto"/>
            <w:vAlign w:val="bottom"/>
          </w:tcPr>
          <w:p w14:paraId="67537F2B" w14:textId="77777777" w:rsidR="001B77DD" w:rsidRDefault="001B77DD">
            <w:pPr>
              <w:rPr>
                <w:rFonts w:ascii="宋体"/>
              </w:rPr>
            </w:pPr>
          </w:p>
        </w:tc>
        <w:tc>
          <w:tcPr>
            <w:tcW w:w="3059" w:type="pct"/>
            <w:shd w:val="clear" w:color="auto" w:fill="auto"/>
            <w:vAlign w:val="bottom"/>
          </w:tcPr>
          <w:p w14:paraId="67537F2C" w14:textId="77777777" w:rsidR="001B77DD" w:rsidRDefault="001B77DD">
            <w:pPr>
              <w:rPr>
                <w:rFonts w:ascii="宋体"/>
              </w:rPr>
            </w:pPr>
          </w:p>
        </w:tc>
        <w:tc>
          <w:tcPr>
            <w:tcW w:w="5" w:type="pct"/>
            <w:shd w:val="clear" w:color="auto" w:fill="auto"/>
            <w:vAlign w:val="bottom"/>
          </w:tcPr>
          <w:p w14:paraId="67537F2D" w14:textId="77777777" w:rsidR="001B77DD" w:rsidRDefault="001B77DD">
            <w:pPr>
              <w:rPr>
                <w:rFonts w:ascii="宋体"/>
              </w:rPr>
            </w:pPr>
          </w:p>
        </w:tc>
        <w:tc>
          <w:tcPr>
            <w:tcW w:w="5" w:type="pct"/>
            <w:shd w:val="clear" w:color="auto" w:fill="auto"/>
            <w:vAlign w:val="bottom"/>
          </w:tcPr>
          <w:p w14:paraId="67537F2E" w14:textId="77777777" w:rsidR="001B77DD" w:rsidRDefault="001B77DD">
            <w:pPr>
              <w:rPr>
                <w:rFonts w:ascii="宋体"/>
              </w:rPr>
            </w:pPr>
          </w:p>
        </w:tc>
        <w:tc>
          <w:tcPr>
            <w:tcW w:w="24" w:type="pct"/>
            <w:shd w:val="clear" w:color="auto" w:fill="auto"/>
            <w:vAlign w:val="bottom"/>
          </w:tcPr>
          <w:p w14:paraId="67537F2F" w14:textId="77777777" w:rsidR="001B77DD" w:rsidRDefault="001B77DD">
            <w:pPr>
              <w:rPr>
                <w:rFonts w:ascii="宋体"/>
              </w:rPr>
            </w:pPr>
          </w:p>
        </w:tc>
        <w:tc>
          <w:tcPr>
            <w:tcW w:w="5" w:type="pct"/>
            <w:shd w:val="clear" w:color="auto" w:fill="auto"/>
            <w:vAlign w:val="bottom"/>
          </w:tcPr>
          <w:p w14:paraId="67537F30" w14:textId="77777777" w:rsidR="001B77DD" w:rsidRDefault="001B77DD">
            <w:pPr>
              <w:rPr>
                <w:rFonts w:ascii="宋体"/>
              </w:rPr>
            </w:pPr>
          </w:p>
        </w:tc>
        <w:tc>
          <w:tcPr>
            <w:tcW w:w="50" w:type="pct"/>
            <w:shd w:val="clear" w:color="auto" w:fill="auto"/>
            <w:vAlign w:val="bottom"/>
          </w:tcPr>
          <w:p w14:paraId="67537F31" w14:textId="77777777" w:rsidR="001B77DD" w:rsidRDefault="001B77DD">
            <w:pPr>
              <w:rPr>
                <w:rFonts w:ascii="宋体"/>
              </w:rPr>
            </w:pPr>
          </w:p>
        </w:tc>
        <w:tc>
          <w:tcPr>
            <w:tcW w:w="539" w:type="pct"/>
            <w:shd w:val="clear" w:color="auto" w:fill="auto"/>
            <w:vAlign w:val="bottom"/>
          </w:tcPr>
          <w:p w14:paraId="67537F32" w14:textId="77777777" w:rsidR="001B77DD" w:rsidRDefault="001B77DD">
            <w:pPr>
              <w:rPr>
                <w:rFonts w:ascii="宋体"/>
              </w:rPr>
            </w:pPr>
          </w:p>
        </w:tc>
        <w:tc>
          <w:tcPr>
            <w:tcW w:w="5" w:type="pct"/>
            <w:shd w:val="clear" w:color="auto" w:fill="auto"/>
            <w:vAlign w:val="bottom"/>
          </w:tcPr>
          <w:p w14:paraId="67537F33" w14:textId="77777777" w:rsidR="001B77DD" w:rsidRDefault="001B77DD">
            <w:pPr>
              <w:rPr>
                <w:rFonts w:ascii="宋体"/>
              </w:rPr>
            </w:pPr>
          </w:p>
        </w:tc>
        <w:tc>
          <w:tcPr>
            <w:tcW w:w="5" w:type="pct"/>
            <w:shd w:val="clear" w:color="auto" w:fill="auto"/>
            <w:vAlign w:val="bottom"/>
          </w:tcPr>
          <w:p w14:paraId="67537F34" w14:textId="77777777" w:rsidR="001B77DD" w:rsidRDefault="001B77DD">
            <w:pPr>
              <w:rPr>
                <w:rFonts w:ascii="宋体"/>
              </w:rPr>
            </w:pPr>
          </w:p>
        </w:tc>
        <w:tc>
          <w:tcPr>
            <w:tcW w:w="24" w:type="pct"/>
            <w:shd w:val="clear" w:color="auto" w:fill="auto"/>
            <w:vAlign w:val="bottom"/>
          </w:tcPr>
          <w:p w14:paraId="67537F35" w14:textId="77777777" w:rsidR="001B77DD" w:rsidRDefault="001B77DD">
            <w:pPr>
              <w:rPr>
                <w:rFonts w:ascii="宋体"/>
              </w:rPr>
            </w:pPr>
          </w:p>
        </w:tc>
        <w:tc>
          <w:tcPr>
            <w:tcW w:w="5" w:type="pct"/>
            <w:shd w:val="clear" w:color="auto" w:fill="auto"/>
            <w:vAlign w:val="bottom"/>
          </w:tcPr>
          <w:p w14:paraId="67537F36" w14:textId="77777777" w:rsidR="001B77DD" w:rsidRDefault="001B77DD">
            <w:pPr>
              <w:rPr>
                <w:rFonts w:ascii="宋体"/>
              </w:rPr>
            </w:pPr>
          </w:p>
        </w:tc>
        <w:tc>
          <w:tcPr>
            <w:tcW w:w="50" w:type="pct"/>
            <w:shd w:val="clear" w:color="auto" w:fill="auto"/>
            <w:vAlign w:val="bottom"/>
          </w:tcPr>
          <w:p w14:paraId="67537F37" w14:textId="77777777" w:rsidR="001B77DD" w:rsidRDefault="001B77DD">
            <w:pPr>
              <w:rPr>
                <w:rFonts w:ascii="宋体"/>
              </w:rPr>
            </w:pPr>
          </w:p>
        </w:tc>
        <w:tc>
          <w:tcPr>
            <w:tcW w:w="539" w:type="pct"/>
            <w:shd w:val="clear" w:color="auto" w:fill="auto"/>
            <w:vAlign w:val="bottom"/>
          </w:tcPr>
          <w:p w14:paraId="67537F38" w14:textId="77777777" w:rsidR="001B77DD" w:rsidRDefault="001B77DD">
            <w:pPr>
              <w:rPr>
                <w:rFonts w:ascii="宋体"/>
              </w:rPr>
            </w:pPr>
          </w:p>
        </w:tc>
        <w:tc>
          <w:tcPr>
            <w:tcW w:w="5" w:type="pct"/>
            <w:shd w:val="clear" w:color="auto" w:fill="auto"/>
            <w:vAlign w:val="bottom"/>
          </w:tcPr>
          <w:p w14:paraId="67537F39" w14:textId="77777777" w:rsidR="001B77DD" w:rsidRDefault="001B77DD">
            <w:pPr>
              <w:rPr>
                <w:rFonts w:ascii="宋体"/>
              </w:rPr>
            </w:pPr>
          </w:p>
        </w:tc>
        <w:tc>
          <w:tcPr>
            <w:tcW w:w="5" w:type="pct"/>
            <w:shd w:val="clear" w:color="auto" w:fill="auto"/>
            <w:vAlign w:val="bottom"/>
          </w:tcPr>
          <w:p w14:paraId="67537F3A" w14:textId="77777777" w:rsidR="001B77DD" w:rsidRDefault="001B77DD">
            <w:pPr>
              <w:rPr>
                <w:rFonts w:ascii="宋体"/>
              </w:rPr>
            </w:pPr>
          </w:p>
        </w:tc>
        <w:tc>
          <w:tcPr>
            <w:tcW w:w="24" w:type="pct"/>
            <w:shd w:val="clear" w:color="auto" w:fill="auto"/>
            <w:vAlign w:val="bottom"/>
          </w:tcPr>
          <w:p w14:paraId="67537F3B" w14:textId="77777777" w:rsidR="001B77DD" w:rsidRDefault="001B77DD">
            <w:pPr>
              <w:rPr>
                <w:rFonts w:ascii="宋体"/>
              </w:rPr>
            </w:pPr>
          </w:p>
        </w:tc>
        <w:tc>
          <w:tcPr>
            <w:tcW w:w="5" w:type="pct"/>
            <w:shd w:val="clear" w:color="auto" w:fill="auto"/>
            <w:vAlign w:val="bottom"/>
          </w:tcPr>
          <w:p w14:paraId="67537F3C" w14:textId="77777777" w:rsidR="001B77DD" w:rsidRDefault="001B77DD">
            <w:pPr>
              <w:rPr>
                <w:rFonts w:ascii="宋体"/>
              </w:rPr>
            </w:pPr>
          </w:p>
        </w:tc>
        <w:tc>
          <w:tcPr>
            <w:tcW w:w="50" w:type="pct"/>
            <w:shd w:val="clear" w:color="auto" w:fill="auto"/>
            <w:vAlign w:val="bottom"/>
          </w:tcPr>
          <w:p w14:paraId="67537F3D" w14:textId="77777777" w:rsidR="001B77DD" w:rsidRDefault="001B77DD">
            <w:pPr>
              <w:rPr>
                <w:rFonts w:ascii="宋体"/>
              </w:rPr>
            </w:pPr>
          </w:p>
        </w:tc>
        <w:tc>
          <w:tcPr>
            <w:tcW w:w="539" w:type="pct"/>
            <w:shd w:val="clear" w:color="auto" w:fill="auto"/>
            <w:vAlign w:val="bottom"/>
          </w:tcPr>
          <w:p w14:paraId="67537F3E" w14:textId="77777777" w:rsidR="001B77DD" w:rsidRDefault="001B77DD">
            <w:pPr>
              <w:rPr>
                <w:rFonts w:ascii="宋体"/>
              </w:rPr>
            </w:pPr>
          </w:p>
        </w:tc>
        <w:tc>
          <w:tcPr>
            <w:tcW w:w="5" w:type="pct"/>
            <w:shd w:val="clear" w:color="auto" w:fill="auto"/>
            <w:vAlign w:val="bottom"/>
          </w:tcPr>
          <w:p w14:paraId="67537F3F" w14:textId="77777777" w:rsidR="001B77DD" w:rsidRDefault="001B77DD">
            <w:pPr>
              <w:rPr>
                <w:rFonts w:ascii="宋体"/>
              </w:rPr>
            </w:pPr>
          </w:p>
        </w:tc>
      </w:tr>
      <w:tr w:rsidR="001B77DD" w14:paraId="67537F48" w14:textId="77777777">
        <w:tc>
          <w:tcPr>
            <w:tcW w:w="0" w:type="auto"/>
            <w:gridSpan w:val="3"/>
            <w:shd w:val="clear" w:color="auto" w:fill="auto"/>
            <w:tcMar>
              <w:top w:w="0" w:type="dxa"/>
              <w:left w:w="20" w:type="dxa"/>
              <w:bottom w:w="0" w:type="dxa"/>
              <w:right w:w="20" w:type="dxa"/>
            </w:tcMar>
            <w:vAlign w:val="bottom"/>
          </w:tcPr>
          <w:p w14:paraId="67537F4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F4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F43" w14:textId="77777777" w:rsidR="001B77DD" w:rsidRDefault="00BF0A28">
            <w:pPr>
              <w:jc w:val="center"/>
              <w:textAlignment w:val="bottom"/>
            </w:pPr>
            <w:r>
              <w:rPr>
                <w:rFonts w:ascii="Arial" w:eastAsia="宋体" w:hAnsi="Arial" w:cs="Arial"/>
                <w:b/>
                <w:bCs/>
                <w:color w:val="262626"/>
                <w:sz w:val="18"/>
                <w:szCs w:val="18"/>
              </w:rPr>
              <w:t>2021</w:t>
            </w:r>
          </w:p>
        </w:tc>
        <w:tc>
          <w:tcPr>
            <w:tcW w:w="0" w:type="auto"/>
            <w:gridSpan w:val="3"/>
            <w:shd w:val="clear" w:color="auto" w:fill="auto"/>
            <w:tcMar>
              <w:top w:w="0" w:type="dxa"/>
              <w:left w:w="20" w:type="dxa"/>
              <w:bottom w:w="0" w:type="dxa"/>
              <w:right w:w="20" w:type="dxa"/>
            </w:tcMar>
            <w:vAlign w:val="bottom"/>
          </w:tcPr>
          <w:p w14:paraId="67537F4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F45" w14:textId="77777777" w:rsidR="001B77DD" w:rsidRDefault="00BF0A28">
            <w:pPr>
              <w:jc w:val="center"/>
              <w:textAlignment w:val="bottom"/>
            </w:pPr>
            <w:r>
              <w:rPr>
                <w:rFonts w:ascii="Arial" w:eastAsia="宋体" w:hAnsi="Arial" w:cs="Arial"/>
                <w:b/>
                <w:bCs/>
                <w:color w:val="262626"/>
                <w:sz w:val="18"/>
                <w:szCs w:val="18"/>
              </w:rPr>
              <w:t>2020</w:t>
            </w:r>
          </w:p>
        </w:tc>
        <w:tc>
          <w:tcPr>
            <w:tcW w:w="0" w:type="auto"/>
            <w:gridSpan w:val="3"/>
            <w:shd w:val="clear" w:color="auto" w:fill="auto"/>
            <w:tcMar>
              <w:top w:w="0" w:type="dxa"/>
              <w:left w:w="20" w:type="dxa"/>
              <w:bottom w:w="0" w:type="dxa"/>
              <w:right w:w="20" w:type="dxa"/>
            </w:tcMar>
            <w:vAlign w:val="bottom"/>
          </w:tcPr>
          <w:p w14:paraId="67537F4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F47" w14:textId="77777777" w:rsidR="001B77DD" w:rsidRDefault="00BF0A28">
            <w:pPr>
              <w:jc w:val="center"/>
              <w:textAlignment w:val="bottom"/>
            </w:pPr>
            <w:r>
              <w:rPr>
                <w:rFonts w:ascii="Arial" w:eastAsia="宋体" w:hAnsi="Arial" w:cs="Arial"/>
                <w:b/>
                <w:bCs/>
                <w:color w:val="262626"/>
                <w:sz w:val="18"/>
                <w:szCs w:val="18"/>
              </w:rPr>
              <w:t>2019</w:t>
            </w:r>
          </w:p>
        </w:tc>
      </w:tr>
      <w:tr w:rsidR="001B77DD" w14:paraId="67537F5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F49" w14:textId="77777777" w:rsidR="001B77DD" w:rsidRDefault="00BF0A28">
            <w:pPr>
              <w:textAlignment w:val="bottom"/>
            </w:pPr>
            <w:r>
              <w:rPr>
                <w:rFonts w:ascii="Arial" w:eastAsia="宋体" w:hAnsi="Arial" w:cs="Arial"/>
                <w:b/>
                <w:bCs/>
                <w:color w:val="262626"/>
                <w:sz w:val="18"/>
                <w:szCs w:val="18"/>
              </w:rPr>
              <w:t>Weighted average actuarial assumptions used to determine costs</w:t>
            </w:r>
          </w:p>
        </w:tc>
        <w:tc>
          <w:tcPr>
            <w:tcW w:w="0" w:type="auto"/>
            <w:gridSpan w:val="3"/>
            <w:shd w:val="clear" w:color="auto" w:fill="auto"/>
            <w:tcMar>
              <w:top w:w="0" w:type="dxa"/>
              <w:left w:w="20" w:type="dxa"/>
              <w:bottom w:w="0" w:type="dxa"/>
              <w:right w:w="20" w:type="dxa"/>
            </w:tcMar>
            <w:vAlign w:val="bottom"/>
          </w:tcPr>
          <w:p w14:paraId="67537F4A"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F4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F4C"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F4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F4E"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7F4F" w14:textId="77777777" w:rsidR="001B77DD" w:rsidRDefault="001B77DD">
            <w:pPr>
              <w:rPr>
                <w:rFonts w:ascii="宋体"/>
              </w:rPr>
            </w:pPr>
          </w:p>
        </w:tc>
      </w:tr>
      <w:tr w:rsidR="001B77DD" w14:paraId="67537F5B" w14:textId="77777777">
        <w:tc>
          <w:tcPr>
            <w:tcW w:w="0" w:type="auto"/>
            <w:gridSpan w:val="3"/>
            <w:shd w:val="clear" w:color="auto" w:fill="auto"/>
            <w:tcMar>
              <w:top w:w="40" w:type="dxa"/>
              <w:left w:w="20" w:type="dxa"/>
              <w:bottom w:w="40" w:type="dxa"/>
              <w:right w:w="20" w:type="dxa"/>
            </w:tcMar>
            <w:vAlign w:val="bottom"/>
          </w:tcPr>
          <w:p w14:paraId="67537F51" w14:textId="77777777" w:rsidR="001B77DD" w:rsidRDefault="00BF0A28">
            <w:pPr>
              <w:textAlignment w:val="bottom"/>
            </w:pPr>
            <w:r>
              <w:rPr>
                <w:rFonts w:ascii="Arial" w:eastAsia="宋体" w:hAnsi="Arial" w:cs="Arial"/>
                <w:color w:val="262626"/>
                <w:sz w:val="18"/>
                <w:szCs w:val="18"/>
              </w:rPr>
              <w:t>Discount rate</w:t>
            </w:r>
          </w:p>
        </w:tc>
        <w:tc>
          <w:tcPr>
            <w:tcW w:w="0" w:type="auto"/>
            <w:gridSpan w:val="3"/>
            <w:shd w:val="clear" w:color="auto" w:fill="auto"/>
            <w:tcMar>
              <w:top w:w="0" w:type="dxa"/>
              <w:left w:w="20" w:type="dxa"/>
              <w:bottom w:w="0" w:type="dxa"/>
              <w:right w:w="20" w:type="dxa"/>
            </w:tcMar>
            <w:vAlign w:val="bottom"/>
          </w:tcPr>
          <w:p w14:paraId="67537F5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53" w14:textId="77777777" w:rsidR="001B77DD" w:rsidRDefault="00BF0A28">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67537F54"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7F5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56" w14:textId="77777777" w:rsidR="001B77DD" w:rsidRDefault="00BF0A28">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67537F57"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F5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59" w14:textId="77777777" w:rsidR="001B77DD" w:rsidRDefault="00BF0A28">
            <w:pPr>
              <w:jc w:val="right"/>
              <w:textAlignment w:val="bottom"/>
            </w:pPr>
            <w:r>
              <w:rPr>
                <w:rFonts w:ascii="Arial" w:eastAsia="宋体" w:hAnsi="Arial" w:cs="Arial"/>
                <w:color w:val="262626"/>
                <w:sz w:val="18"/>
                <w:szCs w:val="18"/>
              </w:rPr>
              <w:t>3.4 </w:t>
            </w:r>
          </w:p>
        </w:tc>
        <w:tc>
          <w:tcPr>
            <w:tcW w:w="0" w:type="auto"/>
            <w:shd w:val="clear" w:color="auto" w:fill="auto"/>
            <w:tcMar>
              <w:top w:w="40" w:type="dxa"/>
              <w:left w:w="0" w:type="dxa"/>
              <w:bottom w:w="40" w:type="dxa"/>
              <w:right w:w="20" w:type="dxa"/>
            </w:tcMar>
            <w:vAlign w:val="bottom"/>
          </w:tcPr>
          <w:p w14:paraId="67537F5A" w14:textId="77777777" w:rsidR="001B77DD" w:rsidRDefault="00BF0A28">
            <w:pPr>
              <w:jc w:val="right"/>
              <w:textAlignment w:val="bottom"/>
            </w:pPr>
            <w:r>
              <w:rPr>
                <w:rFonts w:ascii="Arial" w:eastAsia="宋体" w:hAnsi="Arial" w:cs="Arial"/>
                <w:color w:val="262626"/>
                <w:sz w:val="18"/>
                <w:szCs w:val="18"/>
              </w:rPr>
              <w:t>%</w:t>
            </w:r>
          </w:p>
        </w:tc>
      </w:tr>
      <w:tr w:rsidR="001B77DD" w14:paraId="67537F66" w14:textId="77777777">
        <w:tc>
          <w:tcPr>
            <w:tcW w:w="0" w:type="auto"/>
            <w:gridSpan w:val="3"/>
            <w:shd w:val="clear" w:color="auto" w:fill="auto"/>
            <w:tcMar>
              <w:top w:w="40" w:type="dxa"/>
              <w:left w:w="20" w:type="dxa"/>
              <w:bottom w:w="40" w:type="dxa"/>
              <w:right w:w="20" w:type="dxa"/>
            </w:tcMar>
            <w:vAlign w:val="bottom"/>
          </w:tcPr>
          <w:p w14:paraId="67537F5C" w14:textId="77777777" w:rsidR="001B77DD" w:rsidRDefault="00BF0A28">
            <w:pPr>
              <w:textAlignment w:val="bottom"/>
            </w:pPr>
            <w:r>
              <w:rPr>
                <w:rFonts w:ascii="Arial" w:eastAsia="宋体" w:hAnsi="Arial" w:cs="Arial"/>
                <w:color w:val="262626"/>
                <w:sz w:val="18"/>
                <w:szCs w:val="18"/>
              </w:rPr>
              <w:t>Expected long-term rate of return on plan assets</w:t>
            </w:r>
          </w:p>
        </w:tc>
        <w:tc>
          <w:tcPr>
            <w:tcW w:w="0" w:type="auto"/>
            <w:gridSpan w:val="3"/>
            <w:shd w:val="clear" w:color="auto" w:fill="auto"/>
            <w:tcMar>
              <w:top w:w="0" w:type="dxa"/>
              <w:left w:w="20" w:type="dxa"/>
              <w:bottom w:w="0" w:type="dxa"/>
              <w:right w:w="20" w:type="dxa"/>
            </w:tcMar>
            <w:vAlign w:val="bottom"/>
          </w:tcPr>
          <w:p w14:paraId="67537F5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5E" w14:textId="77777777" w:rsidR="001B77DD" w:rsidRDefault="00BF0A28">
            <w:pPr>
              <w:jc w:val="right"/>
              <w:textAlignment w:val="bottom"/>
            </w:pPr>
            <w:r>
              <w:rPr>
                <w:rFonts w:ascii="Arial" w:eastAsia="宋体" w:hAnsi="Arial" w:cs="Arial"/>
                <w:color w:val="0068B5"/>
                <w:sz w:val="18"/>
                <w:szCs w:val="18"/>
              </w:rPr>
              <w:t>2.7 </w:t>
            </w:r>
          </w:p>
        </w:tc>
        <w:tc>
          <w:tcPr>
            <w:tcW w:w="0" w:type="auto"/>
            <w:shd w:val="clear" w:color="auto" w:fill="auto"/>
            <w:tcMar>
              <w:top w:w="40" w:type="dxa"/>
              <w:left w:w="0" w:type="dxa"/>
              <w:bottom w:w="40" w:type="dxa"/>
              <w:right w:w="20" w:type="dxa"/>
            </w:tcMar>
            <w:vAlign w:val="bottom"/>
          </w:tcPr>
          <w:p w14:paraId="67537F5F"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7F6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61" w14:textId="77777777" w:rsidR="001B77DD" w:rsidRDefault="00BF0A28">
            <w:pPr>
              <w:jc w:val="right"/>
              <w:textAlignment w:val="bottom"/>
            </w:pPr>
            <w:r>
              <w:rPr>
                <w:rFonts w:ascii="Arial" w:eastAsia="宋体" w:hAnsi="Arial" w:cs="Arial"/>
                <w:color w:val="262626"/>
                <w:sz w:val="18"/>
                <w:szCs w:val="18"/>
              </w:rPr>
              <w:t>3.3 </w:t>
            </w:r>
          </w:p>
        </w:tc>
        <w:tc>
          <w:tcPr>
            <w:tcW w:w="0" w:type="auto"/>
            <w:shd w:val="clear" w:color="auto" w:fill="auto"/>
            <w:tcMar>
              <w:top w:w="40" w:type="dxa"/>
              <w:left w:w="0" w:type="dxa"/>
              <w:bottom w:w="40" w:type="dxa"/>
              <w:right w:w="20" w:type="dxa"/>
            </w:tcMar>
            <w:vAlign w:val="bottom"/>
          </w:tcPr>
          <w:p w14:paraId="67537F62"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F6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64" w14:textId="77777777" w:rsidR="001B77DD" w:rsidRDefault="00BF0A28">
            <w:pPr>
              <w:jc w:val="right"/>
              <w:textAlignment w:val="bottom"/>
            </w:pPr>
            <w:r>
              <w:rPr>
                <w:rFonts w:ascii="Arial" w:eastAsia="宋体" w:hAnsi="Arial" w:cs="Arial"/>
                <w:color w:val="262626"/>
                <w:sz w:val="18"/>
                <w:szCs w:val="18"/>
              </w:rPr>
              <w:t>4.7 </w:t>
            </w:r>
          </w:p>
        </w:tc>
        <w:tc>
          <w:tcPr>
            <w:tcW w:w="0" w:type="auto"/>
            <w:shd w:val="clear" w:color="auto" w:fill="auto"/>
            <w:tcMar>
              <w:top w:w="40" w:type="dxa"/>
              <w:left w:w="0" w:type="dxa"/>
              <w:bottom w:w="40" w:type="dxa"/>
              <w:right w:w="20" w:type="dxa"/>
            </w:tcMar>
            <w:vAlign w:val="bottom"/>
          </w:tcPr>
          <w:p w14:paraId="67537F65" w14:textId="77777777" w:rsidR="001B77DD" w:rsidRDefault="00BF0A28">
            <w:pPr>
              <w:jc w:val="right"/>
              <w:textAlignment w:val="bottom"/>
            </w:pPr>
            <w:r>
              <w:rPr>
                <w:rFonts w:ascii="Arial" w:eastAsia="宋体" w:hAnsi="Arial" w:cs="Arial"/>
                <w:color w:val="262626"/>
                <w:sz w:val="18"/>
                <w:szCs w:val="18"/>
              </w:rPr>
              <w:t>%</w:t>
            </w:r>
          </w:p>
        </w:tc>
      </w:tr>
      <w:tr w:rsidR="001B77DD" w14:paraId="67537F71" w14:textId="77777777">
        <w:tc>
          <w:tcPr>
            <w:tcW w:w="0" w:type="auto"/>
            <w:gridSpan w:val="3"/>
            <w:shd w:val="clear" w:color="auto" w:fill="auto"/>
            <w:tcMar>
              <w:top w:w="40" w:type="dxa"/>
              <w:left w:w="20" w:type="dxa"/>
              <w:bottom w:w="40" w:type="dxa"/>
              <w:right w:w="20" w:type="dxa"/>
            </w:tcMar>
            <w:vAlign w:val="bottom"/>
          </w:tcPr>
          <w:p w14:paraId="67537F67" w14:textId="77777777" w:rsidR="001B77DD" w:rsidRDefault="00BF0A28">
            <w:pPr>
              <w:textAlignment w:val="bottom"/>
            </w:pPr>
            <w:r>
              <w:rPr>
                <w:rFonts w:ascii="Arial" w:eastAsia="宋体" w:hAnsi="Arial" w:cs="Arial"/>
                <w:color w:val="262626"/>
                <w:sz w:val="18"/>
                <w:szCs w:val="18"/>
              </w:rPr>
              <w:t>Rate of compensation increase</w:t>
            </w:r>
          </w:p>
        </w:tc>
        <w:tc>
          <w:tcPr>
            <w:tcW w:w="0" w:type="auto"/>
            <w:gridSpan w:val="3"/>
            <w:shd w:val="clear" w:color="auto" w:fill="auto"/>
            <w:tcMar>
              <w:top w:w="0" w:type="dxa"/>
              <w:left w:w="20" w:type="dxa"/>
              <w:bottom w:w="0" w:type="dxa"/>
              <w:right w:w="20" w:type="dxa"/>
            </w:tcMar>
            <w:vAlign w:val="bottom"/>
          </w:tcPr>
          <w:p w14:paraId="67537F6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69" w14:textId="77777777" w:rsidR="001B77DD" w:rsidRDefault="00BF0A28">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67537F6A"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7F6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6C" w14:textId="77777777" w:rsidR="001B77DD" w:rsidRDefault="00BF0A28">
            <w:pPr>
              <w:jc w:val="right"/>
              <w:textAlignment w:val="bottom"/>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vAlign w:val="bottom"/>
          </w:tcPr>
          <w:p w14:paraId="67537F6D"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7F6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6F" w14:textId="77777777" w:rsidR="001B77DD" w:rsidRDefault="00BF0A28">
            <w:pPr>
              <w:jc w:val="right"/>
              <w:textAlignment w:val="bottom"/>
            </w:pPr>
            <w:r>
              <w:rPr>
                <w:rFonts w:ascii="Arial" w:eastAsia="宋体" w:hAnsi="Arial" w:cs="Arial"/>
                <w:color w:val="262626"/>
                <w:sz w:val="18"/>
                <w:szCs w:val="18"/>
              </w:rPr>
              <w:t>3.5 </w:t>
            </w:r>
          </w:p>
        </w:tc>
        <w:tc>
          <w:tcPr>
            <w:tcW w:w="0" w:type="auto"/>
            <w:shd w:val="clear" w:color="auto" w:fill="auto"/>
            <w:tcMar>
              <w:top w:w="40" w:type="dxa"/>
              <w:left w:w="0" w:type="dxa"/>
              <w:bottom w:w="40" w:type="dxa"/>
              <w:right w:w="20" w:type="dxa"/>
            </w:tcMar>
            <w:vAlign w:val="bottom"/>
          </w:tcPr>
          <w:p w14:paraId="67537F70" w14:textId="77777777" w:rsidR="001B77DD" w:rsidRDefault="00BF0A28">
            <w:pPr>
              <w:jc w:val="right"/>
              <w:textAlignment w:val="bottom"/>
            </w:pPr>
            <w:r>
              <w:rPr>
                <w:rFonts w:ascii="Arial" w:eastAsia="宋体" w:hAnsi="Arial" w:cs="Arial"/>
                <w:color w:val="262626"/>
                <w:sz w:val="18"/>
                <w:szCs w:val="18"/>
              </w:rPr>
              <w:t>%</w:t>
            </w:r>
          </w:p>
        </w:tc>
      </w:tr>
    </w:tbl>
    <w:p w14:paraId="67537F72" w14:textId="77777777" w:rsidR="001B77DD" w:rsidRDefault="00BF0A28">
      <w:pPr>
        <w:spacing w:before="140" w:after="180"/>
      </w:pPr>
      <w:r>
        <w:rPr>
          <w:rFonts w:ascii="Arial" w:eastAsia="宋体" w:hAnsi="Arial" w:cs="Arial"/>
          <w:color w:val="262626"/>
          <w:sz w:val="18"/>
          <w:szCs w:val="18"/>
        </w:rPr>
        <w:t xml:space="preserve">We establish the discount rate for each pension plan by analyzing current market long-term bond rates and matching the bond maturity with the average duration of the pension liabilities. </w:t>
      </w:r>
    </w:p>
    <w:p w14:paraId="67537F73" w14:textId="77777777" w:rsidR="001B77DD" w:rsidRDefault="00BF0A28">
      <w:pPr>
        <w:spacing w:after="180"/>
      </w:pPr>
      <w:r>
        <w:rPr>
          <w:rFonts w:ascii="Arial" w:eastAsia="宋体" w:hAnsi="Arial" w:cs="Arial"/>
          <w:color w:val="262626"/>
          <w:sz w:val="18"/>
          <w:szCs w:val="18"/>
        </w:rPr>
        <w:t>We establish the long-term expected rate of return by developing a f</w:t>
      </w:r>
      <w:r>
        <w:rPr>
          <w:rFonts w:ascii="Arial" w:eastAsia="宋体" w:hAnsi="Arial" w:cs="Arial"/>
          <w:color w:val="262626"/>
          <w:sz w:val="18"/>
          <w:szCs w:val="18"/>
        </w:rPr>
        <w:t>orward-looking, long-term return assumption for each pension fund asset class, taking into account factors such as the expected real return for the specific asset class and inflation. A single, long-term rate of return is then calculated as the weighted av</w:t>
      </w:r>
      <w:r>
        <w:rPr>
          <w:rFonts w:ascii="Arial" w:eastAsia="宋体" w:hAnsi="Arial" w:cs="Arial"/>
          <w:color w:val="262626"/>
          <w:sz w:val="18"/>
          <w:szCs w:val="18"/>
        </w:rPr>
        <w:t>erage of the target asset allocation percentages and the long-term return assumption for each asset class.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7F80" w14:textId="77777777">
        <w:tc>
          <w:tcPr>
            <w:tcW w:w="50" w:type="pct"/>
            <w:shd w:val="clear" w:color="auto" w:fill="auto"/>
            <w:vAlign w:val="bottom"/>
          </w:tcPr>
          <w:p w14:paraId="67537F74" w14:textId="77777777" w:rsidR="001B77DD" w:rsidRDefault="001B77DD">
            <w:pPr>
              <w:rPr>
                <w:rFonts w:ascii="宋体"/>
              </w:rPr>
            </w:pPr>
          </w:p>
        </w:tc>
        <w:tc>
          <w:tcPr>
            <w:tcW w:w="276" w:type="pct"/>
            <w:shd w:val="clear" w:color="auto" w:fill="auto"/>
            <w:vAlign w:val="bottom"/>
          </w:tcPr>
          <w:p w14:paraId="67537F75" w14:textId="77777777" w:rsidR="001B77DD" w:rsidRDefault="001B77DD">
            <w:pPr>
              <w:rPr>
                <w:rFonts w:ascii="宋体"/>
              </w:rPr>
            </w:pPr>
          </w:p>
        </w:tc>
        <w:tc>
          <w:tcPr>
            <w:tcW w:w="5" w:type="pct"/>
            <w:shd w:val="clear" w:color="auto" w:fill="auto"/>
            <w:vAlign w:val="bottom"/>
          </w:tcPr>
          <w:p w14:paraId="67537F76" w14:textId="77777777" w:rsidR="001B77DD" w:rsidRDefault="001B77DD">
            <w:pPr>
              <w:rPr>
                <w:rFonts w:ascii="宋体"/>
              </w:rPr>
            </w:pPr>
          </w:p>
        </w:tc>
        <w:tc>
          <w:tcPr>
            <w:tcW w:w="50" w:type="pct"/>
            <w:shd w:val="clear" w:color="auto" w:fill="auto"/>
            <w:vAlign w:val="bottom"/>
          </w:tcPr>
          <w:p w14:paraId="67537F77" w14:textId="77777777" w:rsidR="001B77DD" w:rsidRDefault="001B77DD">
            <w:pPr>
              <w:rPr>
                <w:rFonts w:ascii="宋体"/>
              </w:rPr>
            </w:pPr>
          </w:p>
        </w:tc>
        <w:tc>
          <w:tcPr>
            <w:tcW w:w="940" w:type="pct"/>
            <w:shd w:val="clear" w:color="auto" w:fill="auto"/>
            <w:vAlign w:val="bottom"/>
          </w:tcPr>
          <w:p w14:paraId="67537F78" w14:textId="77777777" w:rsidR="001B77DD" w:rsidRDefault="001B77DD">
            <w:pPr>
              <w:rPr>
                <w:rFonts w:ascii="宋体"/>
              </w:rPr>
            </w:pPr>
          </w:p>
        </w:tc>
        <w:tc>
          <w:tcPr>
            <w:tcW w:w="5" w:type="pct"/>
            <w:shd w:val="clear" w:color="auto" w:fill="auto"/>
            <w:vAlign w:val="bottom"/>
          </w:tcPr>
          <w:p w14:paraId="67537F79" w14:textId="77777777" w:rsidR="001B77DD" w:rsidRDefault="001B77DD">
            <w:pPr>
              <w:rPr>
                <w:rFonts w:ascii="宋体"/>
              </w:rPr>
            </w:pPr>
          </w:p>
        </w:tc>
        <w:tc>
          <w:tcPr>
            <w:tcW w:w="50" w:type="pct"/>
            <w:shd w:val="clear" w:color="auto" w:fill="auto"/>
            <w:vAlign w:val="bottom"/>
          </w:tcPr>
          <w:p w14:paraId="67537F7A" w14:textId="77777777" w:rsidR="001B77DD" w:rsidRDefault="001B77DD">
            <w:pPr>
              <w:rPr>
                <w:rFonts w:ascii="宋体"/>
              </w:rPr>
            </w:pPr>
          </w:p>
        </w:tc>
        <w:tc>
          <w:tcPr>
            <w:tcW w:w="1837" w:type="pct"/>
            <w:shd w:val="clear" w:color="auto" w:fill="auto"/>
            <w:vAlign w:val="bottom"/>
          </w:tcPr>
          <w:p w14:paraId="67537F7B" w14:textId="77777777" w:rsidR="001B77DD" w:rsidRDefault="001B77DD">
            <w:pPr>
              <w:rPr>
                <w:rFonts w:ascii="宋体"/>
              </w:rPr>
            </w:pPr>
          </w:p>
        </w:tc>
        <w:tc>
          <w:tcPr>
            <w:tcW w:w="5" w:type="pct"/>
            <w:shd w:val="clear" w:color="auto" w:fill="auto"/>
            <w:vAlign w:val="bottom"/>
          </w:tcPr>
          <w:p w14:paraId="67537F7C" w14:textId="77777777" w:rsidR="001B77DD" w:rsidRDefault="001B77DD">
            <w:pPr>
              <w:rPr>
                <w:rFonts w:ascii="宋体"/>
              </w:rPr>
            </w:pPr>
          </w:p>
        </w:tc>
        <w:tc>
          <w:tcPr>
            <w:tcW w:w="50" w:type="pct"/>
            <w:shd w:val="clear" w:color="auto" w:fill="auto"/>
            <w:vAlign w:val="bottom"/>
          </w:tcPr>
          <w:p w14:paraId="67537F7D" w14:textId="77777777" w:rsidR="001B77DD" w:rsidRDefault="001B77DD">
            <w:pPr>
              <w:rPr>
                <w:rFonts w:ascii="宋体"/>
              </w:rPr>
            </w:pPr>
          </w:p>
        </w:tc>
        <w:tc>
          <w:tcPr>
            <w:tcW w:w="1724" w:type="pct"/>
            <w:shd w:val="clear" w:color="auto" w:fill="auto"/>
            <w:vAlign w:val="bottom"/>
          </w:tcPr>
          <w:p w14:paraId="67537F7E" w14:textId="77777777" w:rsidR="001B77DD" w:rsidRDefault="001B77DD">
            <w:pPr>
              <w:rPr>
                <w:rFonts w:ascii="宋体"/>
              </w:rPr>
            </w:pPr>
          </w:p>
        </w:tc>
        <w:tc>
          <w:tcPr>
            <w:tcW w:w="5" w:type="pct"/>
            <w:shd w:val="clear" w:color="auto" w:fill="auto"/>
            <w:vAlign w:val="bottom"/>
          </w:tcPr>
          <w:p w14:paraId="67537F7F" w14:textId="77777777" w:rsidR="001B77DD" w:rsidRDefault="001B77DD">
            <w:pPr>
              <w:rPr>
                <w:rFonts w:ascii="宋体"/>
              </w:rPr>
            </w:pPr>
          </w:p>
        </w:tc>
      </w:tr>
      <w:tr w:rsidR="001B77DD" w14:paraId="67537F85"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F81"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72" wp14:editId="67538F73">
                  <wp:extent cx="304800" cy="304800"/>
                  <wp:effectExtent l="0" t="0" r="0" b="0"/>
                  <wp:docPr id="129" name="图片 33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3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F82"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7F83"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7F84" w14:textId="77777777" w:rsidR="001B77DD" w:rsidRDefault="00BF0A28">
            <w:pPr>
              <w:jc w:val="right"/>
              <w:textAlignment w:val="center"/>
            </w:pPr>
            <w:r>
              <w:rPr>
                <w:rFonts w:ascii="Arial" w:eastAsia="宋体" w:hAnsi="Arial" w:cs="Arial"/>
                <w:color w:val="262626"/>
                <w:sz w:val="16"/>
                <w:szCs w:val="16"/>
              </w:rPr>
              <w:t>102</w:t>
            </w:r>
          </w:p>
        </w:tc>
      </w:tr>
    </w:tbl>
    <w:p w14:paraId="67537F86" w14:textId="77777777" w:rsidR="001B77DD" w:rsidRDefault="00BF0A28">
      <w:r>
        <w:pict w14:anchorId="67538F74">
          <v:rect id="_x0000_i1128" style="width:415.3pt;height:1.5pt" o:hralign="center" o:hrstd="t" o:hr="t" fillcolor="#a0a0a0" stroked="f"/>
        </w:pict>
      </w:r>
    </w:p>
    <w:p w14:paraId="67537F87" w14:textId="77777777" w:rsidR="001B77DD" w:rsidRDefault="00BF0A28">
      <w:pPr>
        <w:jc w:val="right"/>
      </w:pPr>
      <w:hyperlink r:id="rId190" w:anchor="i6c9ced68f6b24d58a3dcf326e8c3c699_16" w:history="1">
        <w:r>
          <w:rPr>
            <w:rStyle w:val="a5"/>
            <w:rFonts w:ascii="Arial" w:eastAsia="宋体" w:hAnsi="Arial" w:cs="Arial"/>
            <w:b/>
            <w:bCs/>
            <w:sz w:val="16"/>
            <w:szCs w:val="16"/>
          </w:rPr>
          <w:t>Table of Contents</w:t>
        </w:r>
      </w:hyperlink>
    </w:p>
    <w:p w14:paraId="67537F88" w14:textId="77777777" w:rsidR="001B77DD" w:rsidRDefault="001B77DD">
      <w:pPr>
        <w:jc w:val="right"/>
      </w:pPr>
    </w:p>
    <w:p w14:paraId="67537F89" w14:textId="77777777" w:rsidR="001B77DD" w:rsidRDefault="00BF0A28">
      <w:pPr>
        <w:spacing w:after="180"/>
      </w:pPr>
      <w:r>
        <w:rPr>
          <w:rFonts w:ascii="Arial" w:eastAsia="宋体" w:hAnsi="Arial" w:cs="Arial"/>
          <w:color w:val="0068B5"/>
        </w:rPr>
        <w:t>Funding</w:t>
      </w:r>
    </w:p>
    <w:p w14:paraId="67537F8A" w14:textId="77777777" w:rsidR="001B77DD" w:rsidRDefault="00BF0A28">
      <w:pPr>
        <w:spacing w:after="180"/>
      </w:pPr>
      <w:r>
        <w:rPr>
          <w:rFonts w:ascii="Arial" w:eastAsia="宋体" w:hAnsi="Arial" w:cs="Arial"/>
          <w:color w:val="262626"/>
          <w:sz w:val="18"/>
          <w:szCs w:val="18"/>
        </w:rPr>
        <w:t xml:space="preserve">Our practice is to fund the various pension plans in amounts </w:t>
      </w:r>
      <w:r>
        <w:rPr>
          <w:rFonts w:ascii="Arial" w:eastAsia="宋体" w:hAnsi="Arial" w:cs="Arial"/>
          <w:color w:val="262626"/>
          <w:sz w:val="18"/>
          <w:szCs w:val="18"/>
        </w:rPr>
        <w:t>sufficient to meet the minimum requirements of applicable local laws and regulations. Additional funding may be provided as deemed appropriate. Funding for the US Retiree Medical Plan is discretionary under applicable laws and regulations; additional fundi</w:t>
      </w:r>
      <w:r>
        <w:rPr>
          <w:rFonts w:ascii="Arial" w:eastAsia="宋体" w:hAnsi="Arial" w:cs="Arial"/>
          <w:color w:val="262626"/>
          <w:sz w:val="18"/>
          <w:szCs w:val="18"/>
        </w:rPr>
        <w:t>ng may be provided as deemed appropriate.</w:t>
      </w:r>
    </w:p>
    <w:p w14:paraId="67537F8B" w14:textId="77777777" w:rsidR="001B77DD" w:rsidRDefault="00BF0A28">
      <w:pPr>
        <w:spacing w:after="180"/>
      </w:pPr>
      <w:r>
        <w:rPr>
          <w:rFonts w:ascii="Arial" w:eastAsia="宋体" w:hAnsi="Arial" w:cs="Arial"/>
          <w:color w:val="262626"/>
          <w:sz w:val="18"/>
          <w:szCs w:val="18"/>
        </w:rPr>
        <w:t>On a worldwide basis, our pension and retiree medical plans were 68% funded as of December 25, 2021. The US Pension Plan, which accounts for 28% of the worldwide pension and retiree medical benefit obligations, was</w:t>
      </w:r>
      <w:r>
        <w:rPr>
          <w:rFonts w:ascii="Arial" w:eastAsia="宋体" w:hAnsi="Arial" w:cs="Arial"/>
          <w:color w:val="262626"/>
          <w:sz w:val="18"/>
          <w:szCs w:val="18"/>
        </w:rPr>
        <w:t xml:space="preserve"> 99% funded. Funded status is not indicative of our ability to pay ongoing pension benefits or of our obligation to fund retirement trusts. Required pension funding for US retirement plans is determined in accordance with ERISA, which sets required minimum</w:t>
      </w:r>
      <w:r>
        <w:rPr>
          <w:rFonts w:ascii="Arial" w:eastAsia="宋体" w:hAnsi="Arial" w:cs="Arial"/>
          <w:color w:val="262626"/>
          <w:sz w:val="18"/>
          <w:szCs w:val="18"/>
        </w:rPr>
        <w:t xml:space="preserve"> contributions. Cumulative company funding to the US Pension Plan currently exceeds the minimum ERISA funding requirements.</w:t>
      </w:r>
    </w:p>
    <w:p w14:paraId="67537F8C" w14:textId="77777777" w:rsidR="001B77DD" w:rsidRDefault="00BF0A28">
      <w:pPr>
        <w:spacing w:after="180"/>
      </w:pPr>
      <w:r>
        <w:rPr>
          <w:rFonts w:ascii="Arial" w:eastAsia="宋体" w:hAnsi="Arial" w:cs="Arial"/>
          <w:color w:val="0068B5"/>
        </w:rPr>
        <w:t>Net Periodic Benefit Cost</w:t>
      </w:r>
    </w:p>
    <w:p w14:paraId="67537F8D" w14:textId="77777777" w:rsidR="001B77DD" w:rsidRDefault="00BF0A28">
      <w:pPr>
        <w:spacing w:after="180"/>
      </w:pPr>
      <w:r>
        <w:rPr>
          <w:rFonts w:ascii="Arial" w:eastAsia="宋体" w:hAnsi="Arial" w:cs="Arial"/>
          <w:color w:val="262626"/>
          <w:sz w:val="18"/>
          <w:szCs w:val="18"/>
        </w:rPr>
        <w:t>The net periodic benefit cost for pension and US retiree medical benefits was $162 million in 2021 ($164 m</w:t>
      </w:r>
      <w:r>
        <w:rPr>
          <w:rFonts w:ascii="Arial" w:eastAsia="宋体" w:hAnsi="Arial" w:cs="Arial"/>
          <w:color w:val="262626"/>
          <w:sz w:val="18"/>
          <w:szCs w:val="18"/>
        </w:rPr>
        <w:t xml:space="preserve">illion in 2020 and $135 million in 2019). </w:t>
      </w:r>
    </w:p>
    <w:p w14:paraId="67537F8E" w14:textId="77777777" w:rsidR="001B77DD" w:rsidRDefault="00BF0A28">
      <w:r>
        <w:rPr>
          <w:rFonts w:ascii="Arial" w:eastAsia="宋体" w:hAnsi="Arial" w:cs="Arial"/>
          <w:color w:val="0068B5"/>
        </w:rPr>
        <w:t>Pension Plan Assets</w:t>
      </w:r>
    </w:p>
    <w:tbl>
      <w:tblPr>
        <w:tblW w:w="5000" w:type="pct"/>
        <w:tblCellMar>
          <w:top w:w="15" w:type="dxa"/>
          <w:left w:w="15" w:type="dxa"/>
          <w:bottom w:w="15" w:type="dxa"/>
          <w:right w:w="15" w:type="dxa"/>
        </w:tblCellMar>
        <w:tblLook w:val="04A0" w:firstRow="1" w:lastRow="0" w:firstColumn="1" w:lastColumn="0" w:noHBand="0" w:noVBand="1"/>
      </w:tblPr>
      <w:tblGrid>
        <w:gridCol w:w="39"/>
        <w:gridCol w:w="2944"/>
        <w:gridCol w:w="38"/>
        <w:gridCol w:w="36"/>
        <w:gridCol w:w="36"/>
        <w:gridCol w:w="36"/>
        <w:gridCol w:w="122"/>
        <w:gridCol w:w="797"/>
        <w:gridCol w:w="37"/>
        <w:gridCol w:w="36"/>
        <w:gridCol w:w="36"/>
        <w:gridCol w:w="36"/>
        <w:gridCol w:w="121"/>
        <w:gridCol w:w="797"/>
        <w:gridCol w:w="36"/>
        <w:gridCol w:w="36"/>
        <w:gridCol w:w="36"/>
        <w:gridCol w:w="36"/>
        <w:gridCol w:w="122"/>
        <w:gridCol w:w="797"/>
        <w:gridCol w:w="37"/>
        <w:gridCol w:w="36"/>
        <w:gridCol w:w="36"/>
        <w:gridCol w:w="36"/>
        <w:gridCol w:w="121"/>
        <w:gridCol w:w="797"/>
        <w:gridCol w:w="36"/>
        <w:gridCol w:w="36"/>
        <w:gridCol w:w="36"/>
        <w:gridCol w:w="36"/>
        <w:gridCol w:w="121"/>
        <w:gridCol w:w="798"/>
        <w:gridCol w:w="36"/>
      </w:tblGrid>
      <w:tr w:rsidR="001B77DD" w14:paraId="67537FB0" w14:textId="77777777">
        <w:tc>
          <w:tcPr>
            <w:tcW w:w="50" w:type="pct"/>
            <w:shd w:val="clear" w:color="auto" w:fill="auto"/>
            <w:vAlign w:val="bottom"/>
          </w:tcPr>
          <w:p w14:paraId="67537F8F" w14:textId="77777777" w:rsidR="001B77DD" w:rsidRDefault="001B77DD">
            <w:pPr>
              <w:rPr>
                <w:rFonts w:ascii="宋体"/>
              </w:rPr>
            </w:pPr>
          </w:p>
        </w:tc>
        <w:tc>
          <w:tcPr>
            <w:tcW w:w="1802" w:type="pct"/>
            <w:shd w:val="clear" w:color="auto" w:fill="auto"/>
            <w:vAlign w:val="bottom"/>
          </w:tcPr>
          <w:p w14:paraId="67537F90" w14:textId="77777777" w:rsidR="001B77DD" w:rsidRDefault="001B77DD">
            <w:pPr>
              <w:rPr>
                <w:rFonts w:ascii="宋体"/>
              </w:rPr>
            </w:pPr>
          </w:p>
        </w:tc>
        <w:tc>
          <w:tcPr>
            <w:tcW w:w="5" w:type="pct"/>
            <w:shd w:val="clear" w:color="auto" w:fill="auto"/>
            <w:vAlign w:val="bottom"/>
          </w:tcPr>
          <w:p w14:paraId="67537F91" w14:textId="77777777" w:rsidR="001B77DD" w:rsidRDefault="001B77DD">
            <w:pPr>
              <w:rPr>
                <w:rFonts w:ascii="宋体"/>
              </w:rPr>
            </w:pPr>
          </w:p>
        </w:tc>
        <w:tc>
          <w:tcPr>
            <w:tcW w:w="5" w:type="pct"/>
            <w:shd w:val="clear" w:color="auto" w:fill="auto"/>
            <w:vAlign w:val="bottom"/>
          </w:tcPr>
          <w:p w14:paraId="67537F92" w14:textId="77777777" w:rsidR="001B77DD" w:rsidRDefault="001B77DD">
            <w:pPr>
              <w:rPr>
                <w:rFonts w:ascii="宋体"/>
              </w:rPr>
            </w:pPr>
          </w:p>
        </w:tc>
        <w:tc>
          <w:tcPr>
            <w:tcW w:w="24" w:type="pct"/>
            <w:shd w:val="clear" w:color="auto" w:fill="auto"/>
            <w:vAlign w:val="bottom"/>
          </w:tcPr>
          <w:p w14:paraId="67537F93" w14:textId="77777777" w:rsidR="001B77DD" w:rsidRDefault="001B77DD">
            <w:pPr>
              <w:rPr>
                <w:rFonts w:ascii="宋体"/>
              </w:rPr>
            </w:pPr>
          </w:p>
        </w:tc>
        <w:tc>
          <w:tcPr>
            <w:tcW w:w="5" w:type="pct"/>
            <w:shd w:val="clear" w:color="auto" w:fill="auto"/>
            <w:vAlign w:val="bottom"/>
          </w:tcPr>
          <w:p w14:paraId="67537F94" w14:textId="77777777" w:rsidR="001B77DD" w:rsidRDefault="001B77DD">
            <w:pPr>
              <w:rPr>
                <w:rFonts w:ascii="宋体"/>
              </w:rPr>
            </w:pPr>
          </w:p>
        </w:tc>
        <w:tc>
          <w:tcPr>
            <w:tcW w:w="50" w:type="pct"/>
            <w:shd w:val="clear" w:color="auto" w:fill="auto"/>
            <w:vAlign w:val="bottom"/>
          </w:tcPr>
          <w:p w14:paraId="67537F95" w14:textId="77777777" w:rsidR="001B77DD" w:rsidRDefault="001B77DD">
            <w:pPr>
              <w:rPr>
                <w:rFonts w:ascii="宋体"/>
              </w:rPr>
            </w:pPr>
          </w:p>
        </w:tc>
        <w:tc>
          <w:tcPr>
            <w:tcW w:w="539" w:type="pct"/>
            <w:shd w:val="clear" w:color="auto" w:fill="auto"/>
            <w:vAlign w:val="bottom"/>
          </w:tcPr>
          <w:p w14:paraId="67537F96" w14:textId="77777777" w:rsidR="001B77DD" w:rsidRDefault="001B77DD">
            <w:pPr>
              <w:rPr>
                <w:rFonts w:ascii="宋体"/>
              </w:rPr>
            </w:pPr>
          </w:p>
        </w:tc>
        <w:tc>
          <w:tcPr>
            <w:tcW w:w="5" w:type="pct"/>
            <w:shd w:val="clear" w:color="auto" w:fill="auto"/>
            <w:vAlign w:val="bottom"/>
          </w:tcPr>
          <w:p w14:paraId="67537F97" w14:textId="77777777" w:rsidR="001B77DD" w:rsidRDefault="001B77DD">
            <w:pPr>
              <w:rPr>
                <w:rFonts w:ascii="宋体"/>
              </w:rPr>
            </w:pPr>
          </w:p>
        </w:tc>
        <w:tc>
          <w:tcPr>
            <w:tcW w:w="5" w:type="pct"/>
            <w:shd w:val="clear" w:color="auto" w:fill="auto"/>
            <w:vAlign w:val="bottom"/>
          </w:tcPr>
          <w:p w14:paraId="67537F98" w14:textId="77777777" w:rsidR="001B77DD" w:rsidRDefault="001B77DD">
            <w:pPr>
              <w:rPr>
                <w:rFonts w:ascii="宋体"/>
              </w:rPr>
            </w:pPr>
          </w:p>
        </w:tc>
        <w:tc>
          <w:tcPr>
            <w:tcW w:w="24" w:type="pct"/>
            <w:shd w:val="clear" w:color="auto" w:fill="auto"/>
            <w:vAlign w:val="bottom"/>
          </w:tcPr>
          <w:p w14:paraId="67537F99" w14:textId="77777777" w:rsidR="001B77DD" w:rsidRDefault="001B77DD">
            <w:pPr>
              <w:rPr>
                <w:rFonts w:ascii="宋体"/>
              </w:rPr>
            </w:pPr>
          </w:p>
        </w:tc>
        <w:tc>
          <w:tcPr>
            <w:tcW w:w="5" w:type="pct"/>
            <w:shd w:val="clear" w:color="auto" w:fill="auto"/>
            <w:vAlign w:val="bottom"/>
          </w:tcPr>
          <w:p w14:paraId="67537F9A" w14:textId="77777777" w:rsidR="001B77DD" w:rsidRDefault="001B77DD">
            <w:pPr>
              <w:rPr>
                <w:rFonts w:ascii="宋体"/>
              </w:rPr>
            </w:pPr>
          </w:p>
        </w:tc>
        <w:tc>
          <w:tcPr>
            <w:tcW w:w="50" w:type="pct"/>
            <w:shd w:val="clear" w:color="auto" w:fill="auto"/>
            <w:vAlign w:val="bottom"/>
          </w:tcPr>
          <w:p w14:paraId="67537F9B" w14:textId="77777777" w:rsidR="001B77DD" w:rsidRDefault="001B77DD">
            <w:pPr>
              <w:rPr>
                <w:rFonts w:ascii="宋体"/>
              </w:rPr>
            </w:pPr>
          </w:p>
        </w:tc>
        <w:tc>
          <w:tcPr>
            <w:tcW w:w="539" w:type="pct"/>
            <w:shd w:val="clear" w:color="auto" w:fill="auto"/>
            <w:vAlign w:val="bottom"/>
          </w:tcPr>
          <w:p w14:paraId="67537F9C" w14:textId="77777777" w:rsidR="001B77DD" w:rsidRDefault="001B77DD">
            <w:pPr>
              <w:rPr>
                <w:rFonts w:ascii="宋体"/>
              </w:rPr>
            </w:pPr>
          </w:p>
        </w:tc>
        <w:tc>
          <w:tcPr>
            <w:tcW w:w="5" w:type="pct"/>
            <w:shd w:val="clear" w:color="auto" w:fill="auto"/>
            <w:vAlign w:val="bottom"/>
          </w:tcPr>
          <w:p w14:paraId="67537F9D" w14:textId="77777777" w:rsidR="001B77DD" w:rsidRDefault="001B77DD">
            <w:pPr>
              <w:rPr>
                <w:rFonts w:ascii="宋体"/>
              </w:rPr>
            </w:pPr>
          </w:p>
        </w:tc>
        <w:tc>
          <w:tcPr>
            <w:tcW w:w="5" w:type="pct"/>
            <w:shd w:val="clear" w:color="auto" w:fill="auto"/>
            <w:vAlign w:val="bottom"/>
          </w:tcPr>
          <w:p w14:paraId="67537F9E" w14:textId="77777777" w:rsidR="001B77DD" w:rsidRDefault="001B77DD">
            <w:pPr>
              <w:rPr>
                <w:rFonts w:ascii="宋体"/>
              </w:rPr>
            </w:pPr>
          </w:p>
        </w:tc>
        <w:tc>
          <w:tcPr>
            <w:tcW w:w="24" w:type="pct"/>
            <w:shd w:val="clear" w:color="auto" w:fill="auto"/>
            <w:vAlign w:val="bottom"/>
          </w:tcPr>
          <w:p w14:paraId="67537F9F" w14:textId="77777777" w:rsidR="001B77DD" w:rsidRDefault="001B77DD">
            <w:pPr>
              <w:rPr>
                <w:rFonts w:ascii="宋体"/>
              </w:rPr>
            </w:pPr>
          </w:p>
        </w:tc>
        <w:tc>
          <w:tcPr>
            <w:tcW w:w="5" w:type="pct"/>
            <w:shd w:val="clear" w:color="auto" w:fill="auto"/>
            <w:vAlign w:val="bottom"/>
          </w:tcPr>
          <w:p w14:paraId="67537FA0" w14:textId="77777777" w:rsidR="001B77DD" w:rsidRDefault="001B77DD">
            <w:pPr>
              <w:rPr>
                <w:rFonts w:ascii="宋体"/>
              </w:rPr>
            </w:pPr>
          </w:p>
        </w:tc>
        <w:tc>
          <w:tcPr>
            <w:tcW w:w="50" w:type="pct"/>
            <w:shd w:val="clear" w:color="auto" w:fill="auto"/>
            <w:vAlign w:val="bottom"/>
          </w:tcPr>
          <w:p w14:paraId="67537FA1" w14:textId="77777777" w:rsidR="001B77DD" w:rsidRDefault="001B77DD">
            <w:pPr>
              <w:rPr>
                <w:rFonts w:ascii="宋体"/>
              </w:rPr>
            </w:pPr>
          </w:p>
        </w:tc>
        <w:tc>
          <w:tcPr>
            <w:tcW w:w="539" w:type="pct"/>
            <w:shd w:val="clear" w:color="auto" w:fill="auto"/>
            <w:vAlign w:val="bottom"/>
          </w:tcPr>
          <w:p w14:paraId="67537FA2" w14:textId="77777777" w:rsidR="001B77DD" w:rsidRDefault="001B77DD">
            <w:pPr>
              <w:rPr>
                <w:rFonts w:ascii="宋体"/>
              </w:rPr>
            </w:pPr>
          </w:p>
        </w:tc>
        <w:tc>
          <w:tcPr>
            <w:tcW w:w="5" w:type="pct"/>
            <w:shd w:val="clear" w:color="auto" w:fill="auto"/>
            <w:vAlign w:val="bottom"/>
          </w:tcPr>
          <w:p w14:paraId="67537FA3" w14:textId="77777777" w:rsidR="001B77DD" w:rsidRDefault="001B77DD">
            <w:pPr>
              <w:rPr>
                <w:rFonts w:ascii="宋体"/>
              </w:rPr>
            </w:pPr>
          </w:p>
        </w:tc>
        <w:tc>
          <w:tcPr>
            <w:tcW w:w="5" w:type="pct"/>
            <w:shd w:val="clear" w:color="auto" w:fill="auto"/>
            <w:vAlign w:val="bottom"/>
          </w:tcPr>
          <w:p w14:paraId="67537FA4" w14:textId="77777777" w:rsidR="001B77DD" w:rsidRDefault="001B77DD">
            <w:pPr>
              <w:rPr>
                <w:rFonts w:ascii="宋体"/>
              </w:rPr>
            </w:pPr>
          </w:p>
        </w:tc>
        <w:tc>
          <w:tcPr>
            <w:tcW w:w="24" w:type="pct"/>
            <w:shd w:val="clear" w:color="auto" w:fill="auto"/>
            <w:vAlign w:val="bottom"/>
          </w:tcPr>
          <w:p w14:paraId="67537FA5" w14:textId="77777777" w:rsidR="001B77DD" w:rsidRDefault="001B77DD">
            <w:pPr>
              <w:rPr>
                <w:rFonts w:ascii="宋体"/>
              </w:rPr>
            </w:pPr>
          </w:p>
        </w:tc>
        <w:tc>
          <w:tcPr>
            <w:tcW w:w="5" w:type="pct"/>
            <w:shd w:val="clear" w:color="auto" w:fill="auto"/>
            <w:vAlign w:val="bottom"/>
          </w:tcPr>
          <w:p w14:paraId="67537FA6" w14:textId="77777777" w:rsidR="001B77DD" w:rsidRDefault="001B77DD">
            <w:pPr>
              <w:rPr>
                <w:rFonts w:ascii="宋体"/>
              </w:rPr>
            </w:pPr>
          </w:p>
        </w:tc>
        <w:tc>
          <w:tcPr>
            <w:tcW w:w="50" w:type="pct"/>
            <w:shd w:val="clear" w:color="auto" w:fill="auto"/>
            <w:vAlign w:val="bottom"/>
          </w:tcPr>
          <w:p w14:paraId="67537FA7" w14:textId="77777777" w:rsidR="001B77DD" w:rsidRDefault="001B77DD">
            <w:pPr>
              <w:rPr>
                <w:rFonts w:ascii="宋体"/>
              </w:rPr>
            </w:pPr>
          </w:p>
        </w:tc>
        <w:tc>
          <w:tcPr>
            <w:tcW w:w="539" w:type="pct"/>
            <w:shd w:val="clear" w:color="auto" w:fill="auto"/>
            <w:vAlign w:val="bottom"/>
          </w:tcPr>
          <w:p w14:paraId="67537FA8" w14:textId="77777777" w:rsidR="001B77DD" w:rsidRDefault="001B77DD">
            <w:pPr>
              <w:rPr>
                <w:rFonts w:ascii="宋体"/>
              </w:rPr>
            </w:pPr>
          </w:p>
        </w:tc>
        <w:tc>
          <w:tcPr>
            <w:tcW w:w="5" w:type="pct"/>
            <w:shd w:val="clear" w:color="auto" w:fill="auto"/>
            <w:vAlign w:val="bottom"/>
          </w:tcPr>
          <w:p w14:paraId="67537FA9" w14:textId="77777777" w:rsidR="001B77DD" w:rsidRDefault="001B77DD">
            <w:pPr>
              <w:rPr>
                <w:rFonts w:ascii="宋体"/>
              </w:rPr>
            </w:pPr>
          </w:p>
        </w:tc>
        <w:tc>
          <w:tcPr>
            <w:tcW w:w="5" w:type="pct"/>
            <w:shd w:val="clear" w:color="auto" w:fill="auto"/>
            <w:vAlign w:val="bottom"/>
          </w:tcPr>
          <w:p w14:paraId="67537FAA" w14:textId="77777777" w:rsidR="001B77DD" w:rsidRDefault="001B77DD">
            <w:pPr>
              <w:rPr>
                <w:rFonts w:ascii="宋体"/>
              </w:rPr>
            </w:pPr>
          </w:p>
        </w:tc>
        <w:tc>
          <w:tcPr>
            <w:tcW w:w="24" w:type="pct"/>
            <w:shd w:val="clear" w:color="auto" w:fill="auto"/>
            <w:vAlign w:val="bottom"/>
          </w:tcPr>
          <w:p w14:paraId="67537FAB" w14:textId="77777777" w:rsidR="001B77DD" w:rsidRDefault="001B77DD">
            <w:pPr>
              <w:rPr>
                <w:rFonts w:ascii="宋体"/>
              </w:rPr>
            </w:pPr>
          </w:p>
        </w:tc>
        <w:tc>
          <w:tcPr>
            <w:tcW w:w="5" w:type="pct"/>
            <w:shd w:val="clear" w:color="auto" w:fill="auto"/>
            <w:vAlign w:val="bottom"/>
          </w:tcPr>
          <w:p w14:paraId="67537FAC" w14:textId="77777777" w:rsidR="001B77DD" w:rsidRDefault="001B77DD">
            <w:pPr>
              <w:rPr>
                <w:rFonts w:ascii="宋体"/>
              </w:rPr>
            </w:pPr>
          </w:p>
        </w:tc>
        <w:tc>
          <w:tcPr>
            <w:tcW w:w="50" w:type="pct"/>
            <w:shd w:val="clear" w:color="auto" w:fill="auto"/>
            <w:vAlign w:val="bottom"/>
          </w:tcPr>
          <w:p w14:paraId="67537FAD" w14:textId="77777777" w:rsidR="001B77DD" w:rsidRDefault="001B77DD">
            <w:pPr>
              <w:rPr>
                <w:rFonts w:ascii="宋体"/>
              </w:rPr>
            </w:pPr>
          </w:p>
        </w:tc>
        <w:tc>
          <w:tcPr>
            <w:tcW w:w="539" w:type="pct"/>
            <w:shd w:val="clear" w:color="auto" w:fill="auto"/>
            <w:vAlign w:val="bottom"/>
          </w:tcPr>
          <w:p w14:paraId="67537FAE" w14:textId="77777777" w:rsidR="001B77DD" w:rsidRDefault="001B77DD">
            <w:pPr>
              <w:rPr>
                <w:rFonts w:ascii="宋体"/>
              </w:rPr>
            </w:pPr>
          </w:p>
        </w:tc>
        <w:tc>
          <w:tcPr>
            <w:tcW w:w="5" w:type="pct"/>
            <w:shd w:val="clear" w:color="auto" w:fill="auto"/>
            <w:vAlign w:val="bottom"/>
          </w:tcPr>
          <w:p w14:paraId="67537FAF" w14:textId="77777777" w:rsidR="001B77DD" w:rsidRDefault="001B77DD">
            <w:pPr>
              <w:rPr>
                <w:rFonts w:ascii="宋体"/>
              </w:rPr>
            </w:pPr>
          </w:p>
        </w:tc>
      </w:tr>
      <w:tr w:rsidR="001B77DD" w14:paraId="67537FB6" w14:textId="77777777">
        <w:tc>
          <w:tcPr>
            <w:tcW w:w="0" w:type="auto"/>
            <w:gridSpan w:val="3"/>
            <w:shd w:val="clear" w:color="auto" w:fill="auto"/>
            <w:tcMar>
              <w:top w:w="0" w:type="dxa"/>
              <w:left w:w="20" w:type="dxa"/>
              <w:bottom w:w="0" w:type="dxa"/>
              <w:right w:w="20" w:type="dxa"/>
            </w:tcMar>
            <w:vAlign w:val="bottom"/>
          </w:tcPr>
          <w:p w14:paraId="67537FB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FB2" w14:textId="77777777" w:rsidR="001B77DD" w:rsidRDefault="001B77DD">
            <w:pPr>
              <w:rPr>
                <w:rFonts w:ascii="宋体"/>
              </w:rPr>
            </w:pPr>
          </w:p>
        </w:tc>
        <w:tc>
          <w:tcPr>
            <w:tcW w:w="0" w:type="auto"/>
            <w:gridSpan w:val="21"/>
            <w:shd w:val="clear" w:color="auto" w:fill="auto"/>
            <w:tcMar>
              <w:top w:w="40" w:type="dxa"/>
              <w:left w:w="20" w:type="dxa"/>
              <w:bottom w:w="40" w:type="dxa"/>
              <w:right w:w="20" w:type="dxa"/>
            </w:tcMar>
            <w:vAlign w:val="bottom"/>
          </w:tcPr>
          <w:p w14:paraId="67537FB3" w14:textId="77777777" w:rsidR="001B77DD" w:rsidRDefault="00BF0A28">
            <w:pPr>
              <w:jc w:val="cente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67537FB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FB5" w14:textId="77777777" w:rsidR="001B77DD" w:rsidRDefault="00BF0A28">
            <w:pPr>
              <w:jc w:val="center"/>
              <w:textAlignment w:val="bottom"/>
            </w:pPr>
            <w:r>
              <w:rPr>
                <w:rFonts w:ascii="Arial" w:eastAsia="宋体" w:hAnsi="Arial" w:cs="Arial"/>
                <w:b/>
                <w:bCs/>
                <w:color w:val="262626"/>
                <w:sz w:val="18"/>
                <w:szCs w:val="18"/>
              </w:rPr>
              <w:t>Dec 26, 2020</w:t>
            </w:r>
          </w:p>
        </w:tc>
      </w:tr>
      <w:tr w:rsidR="001B77DD" w14:paraId="67537FBE" w14:textId="77777777">
        <w:tc>
          <w:tcPr>
            <w:tcW w:w="0" w:type="auto"/>
            <w:gridSpan w:val="3"/>
            <w:shd w:val="clear" w:color="auto" w:fill="auto"/>
            <w:tcMar>
              <w:top w:w="0" w:type="dxa"/>
              <w:left w:w="20" w:type="dxa"/>
              <w:bottom w:w="0" w:type="dxa"/>
              <w:right w:w="20" w:type="dxa"/>
            </w:tcMar>
            <w:vAlign w:val="bottom"/>
          </w:tcPr>
          <w:p w14:paraId="67537FB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FB8" w14:textId="77777777" w:rsidR="001B77DD" w:rsidRDefault="001B77DD">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67537FB9" w14:textId="77777777" w:rsidR="001B77DD" w:rsidRDefault="00BF0A28">
            <w:pPr>
              <w:jc w:val="center"/>
              <w:textAlignment w:val="bottom"/>
            </w:pPr>
            <w:r>
              <w:rPr>
                <w:rFonts w:ascii="Arial" w:eastAsia="宋体" w:hAnsi="Arial" w:cs="Arial"/>
                <w:b/>
                <w:bCs/>
                <w:color w:val="262626"/>
                <w:sz w:val="18"/>
                <w:szCs w:val="18"/>
              </w:rPr>
              <w:t>Fair Value Measured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FBA"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FB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7FBC" w14:textId="77777777" w:rsidR="001B77DD" w:rsidRDefault="001B77DD">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FBD" w14:textId="77777777" w:rsidR="001B77DD" w:rsidRDefault="001B77DD">
            <w:pPr>
              <w:rPr>
                <w:rFonts w:ascii="宋体"/>
              </w:rPr>
            </w:pPr>
          </w:p>
        </w:tc>
      </w:tr>
      <w:tr w:rsidR="001B77DD" w14:paraId="67537FCA" w14:textId="77777777">
        <w:tc>
          <w:tcPr>
            <w:tcW w:w="0" w:type="auto"/>
            <w:gridSpan w:val="3"/>
            <w:shd w:val="clear" w:color="auto" w:fill="auto"/>
            <w:tcMar>
              <w:top w:w="40" w:type="dxa"/>
              <w:left w:w="20" w:type="dxa"/>
              <w:bottom w:w="40" w:type="dxa"/>
              <w:right w:w="20" w:type="dxa"/>
            </w:tcMar>
            <w:vAlign w:val="bottom"/>
          </w:tcPr>
          <w:p w14:paraId="67537FBF"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7FC0"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FC1" w14:textId="77777777" w:rsidR="001B77DD" w:rsidRDefault="00BF0A28">
            <w:pPr>
              <w:jc w:val="center"/>
              <w:textAlignment w:val="bottom"/>
            </w:pPr>
            <w:r>
              <w:rPr>
                <w:rFonts w:ascii="Arial" w:eastAsia="宋体" w:hAnsi="Arial" w:cs="Arial"/>
                <w:b/>
                <w:bCs/>
                <w:color w:val="262626"/>
                <w:sz w:val="18"/>
                <w:szCs w:val="18"/>
              </w:rPr>
              <w:t>Level 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FC2"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FC3" w14:textId="77777777" w:rsidR="001B77DD" w:rsidRDefault="00BF0A28">
            <w:pPr>
              <w:jc w:val="center"/>
              <w:textAlignment w:val="bottom"/>
            </w:pPr>
            <w:r>
              <w:rPr>
                <w:rFonts w:ascii="Arial" w:eastAsia="宋体" w:hAnsi="Arial" w:cs="Arial"/>
                <w:b/>
                <w:bCs/>
                <w:color w:val="262626"/>
                <w:sz w:val="18"/>
                <w:szCs w:val="18"/>
              </w:rPr>
              <w:t>Level 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7FC4" w14:textId="77777777" w:rsidR="001B77DD" w:rsidRDefault="001B77DD">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7537FC5" w14:textId="77777777" w:rsidR="001B77DD" w:rsidRDefault="00BF0A2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67537FC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FC7" w14:textId="77777777" w:rsidR="001B77DD" w:rsidRDefault="00BF0A28">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7537FC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7FC9" w14:textId="77777777" w:rsidR="001B77DD" w:rsidRDefault="00BF0A28">
            <w:pPr>
              <w:jc w:val="center"/>
              <w:textAlignment w:val="bottom"/>
            </w:pPr>
            <w:r>
              <w:rPr>
                <w:rFonts w:ascii="Arial" w:eastAsia="宋体" w:hAnsi="Arial" w:cs="Arial"/>
                <w:b/>
                <w:bCs/>
                <w:color w:val="262626"/>
                <w:sz w:val="18"/>
                <w:szCs w:val="18"/>
              </w:rPr>
              <w:t>Total</w:t>
            </w:r>
          </w:p>
        </w:tc>
      </w:tr>
      <w:tr w:rsidR="001B77DD" w14:paraId="67537FE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7FCB" w14:textId="77777777" w:rsidR="001B77DD" w:rsidRDefault="00BF0A28">
            <w:pPr>
              <w:textAlignment w:val="bottom"/>
            </w:pPr>
            <w:r>
              <w:rPr>
                <w:rFonts w:ascii="Arial" w:eastAsia="宋体" w:hAnsi="Arial" w:cs="Arial"/>
                <w:color w:val="262626"/>
                <w:sz w:val="18"/>
                <w:szCs w:val="18"/>
              </w:rPr>
              <w:t>Equity securities</w:t>
            </w:r>
          </w:p>
        </w:tc>
        <w:tc>
          <w:tcPr>
            <w:tcW w:w="0" w:type="auto"/>
            <w:gridSpan w:val="3"/>
            <w:shd w:val="clear" w:color="auto" w:fill="auto"/>
            <w:tcMar>
              <w:top w:w="0" w:type="dxa"/>
              <w:left w:w="20" w:type="dxa"/>
              <w:bottom w:w="0" w:type="dxa"/>
              <w:right w:w="20" w:type="dxa"/>
            </w:tcMar>
            <w:vAlign w:val="bottom"/>
          </w:tcPr>
          <w:p w14:paraId="67537FC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FCD"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FCE" w14:textId="77777777" w:rsidR="001B77DD" w:rsidRDefault="00BF0A28">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FC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D0"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FD1"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FD2" w14:textId="77777777" w:rsidR="001B77DD" w:rsidRDefault="00BF0A28">
            <w:pPr>
              <w:jc w:val="right"/>
              <w:textAlignment w:val="bottom"/>
            </w:pPr>
            <w:r>
              <w:rPr>
                <w:rFonts w:ascii="Arial" w:eastAsia="宋体" w:hAnsi="Arial" w:cs="Arial"/>
                <w:color w:val="0068B5"/>
                <w:sz w:val="18"/>
                <w:szCs w:val="18"/>
              </w:rPr>
              <w:t>342 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FD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D4"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FD5"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FD6" w14:textId="77777777" w:rsidR="001B77DD" w:rsidRDefault="00BF0A28">
            <w:pPr>
              <w:jc w:val="right"/>
              <w:textAlignment w:val="bottom"/>
            </w:pP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FD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D8"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FD9"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FDA" w14:textId="77777777" w:rsidR="001B77DD" w:rsidRDefault="00BF0A28">
            <w:pPr>
              <w:jc w:val="right"/>
              <w:textAlignment w:val="bottom"/>
            </w:pPr>
            <w:r>
              <w:rPr>
                <w:rFonts w:ascii="Arial" w:eastAsia="宋体" w:hAnsi="Arial" w:cs="Arial"/>
                <w:color w:val="0068B5"/>
                <w:sz w:val="18"/>
                <w:szCs w:val="18"/>
              </w:rPr>
              <w:t>342 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FD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DC"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7FDD"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7FDE" w14:textId="77777777" w:rsidR="001B77DD" w:rsidRDefault="00BF0A28">
            <w:pPr>
              <w:jc w:val="right"/>
              <w:textAlignment w:val="bottom"/>
            </w:pPr>
            <w:r>
              <w:rPr>
                <w:rFonts w:ascii="Arial" w:eastAsia="宋体" w:hAnsi="Arial" w:cs="Arial"/>
                <w:color w:val="262626"/>
                <w:sz w:val="18"/>
                <w:szCs w:val="18"/>
              </w:rPr>
              <w:t>320 </w:t>
            </w:r>
          </w:p>
        </w:tc>
        <w:tc>
          <w:tcPr>
            <w:tcW w:w="0" w:type="auto"/>
            <w:tcBorders>
              <w:top w:val="single" w:sz="8" w:space="0" w:color="0068B5"/>
            </w:tcBorders>
            <w:shd w:val="clear" w:color="auto" w:fill="auto"/>
            <w:tcMar>
              <w:top w:w="40" w:type="dxa"/>
              <w:left w:w="0" w:type="dxa"/>
              <w:bottom w:w="40" w:type="dxa"/>
              <w:right w:w="20" w:type="dxa"/>
            </w:tcMar>
            <w:vAlign w:val="bottom"/>
          </w:tcPr>
          <w:p w14:paraId="67537FDF" w14:textId="77777777" w:rsidR="001B77DD" w:rsidRDefault="001B77DD">
            <w:pPr>
              <w:jc w:val="right"/>
              <w:rPr>
                <w:rFonts w:ascii="宋体"/>
              </w:rPr>
            </w:pPr>
          </w:p>
        </w:tc>
      </w:tr>
      <w:tr w:rsidR="001B77DD" w14:paraId="67537FF1" w14:textId="77777777">
        <w:tc>
          <w:tcPr>
            <w:tcW w:w="0" w:type="auto"/>
            <w:gridSpan w:val="3"/>
            <w:shd w:val="clear" w:color="auto" w:fill="auto"/>
            <w:tcMar>
              <w:top w:w="40" w:type="dxa"/>
              <w:left w:w="20" w:type="dxa"/>
              <w:bottom w:w="40" w:type="dxa"/>
              <w:right w:w="20" w:type="dxa"/>
            </w:tcMar>
            <w:vAlign w:val="bottom"/>
          </w:tcPr>
          <w:p w14:paraId="67537FE1" w14:textId="77777777" w:rsidR="001B77DD" w:rsidRDefault="00BF0A28">
            <w:pPr>
              <w:textAlignment w:val="bottom"/>
            </w:pPr>
            <w:r>
              <w:rPr>
                <w:rFonts w:ascii="Arial" w:eastAsia="宋体" w:hAnsi="Arial" w:cs="Arial"/>
                <w:color w:val="262626"/>
                <w:sz w:val="18"/>
                <w:szCs w:val="18"/>
              </w:rPr>
              <w:t>Fixed income</w:t>
            </w:r>
          </w:p>
        </w:tc>
        <w:tc>
          <w:tcPr>
            <w:tcW w:w="0" w:type="auto"/>
            <w:gridSpan w:val="3"/>
            <w:shd w:val="clear" w:color="auto" w:fill="auto"/>
            <w:tcMar>
              <w:top w:w="0" w:type="dxa"/>
              <w:left w:w="20" w:type="dxa"/>
              <w:bottom w:w="0" w:type="dxa"/>
              <w:right w:w="20" w:type="dxa"/>
            </w:tcMar>
            <w:vAlign w:val="bottom"/>
          </w:tcPr>
          <w:p w14:paraId="67537FE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E3" w14:textId="77777777" w:rsidR="001B77DD" w:rsidRDefault="00BF0A2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7FE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E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E6" w14:textId="77777777" w:rsidR="001B77DD" w:rsidRDefault="00BF0A28">
            <w:pPr>
              <w:jc w:val="right"/>
              <w:textAlignment w:val="bottom"/>
            </w:pPr>
            <w:r>
              <w:rPr>
                <w:rFonts w:ascii="Arial" w:eastAsia="宋体" w:hAnsi="Arial" w:cs="Arial"/>
                <w:color w:val="0068B5"/>
                <w:sz w:val="18"/>
                <w:szCs w:val="18"/>
              </w:rPr>
              <w:t>122 </w:t>
            </w:r>
          </w:p>
        </w:tc>
        <w:tc>
          <w:tcPr>
            <w:tcW w:w="0" w:type="auto"/>
            <w:shd w:val="clear" w:color="auto" w:fill="auto"/>
            <w:tcMar>
              <w:top w:w="40" w:type="dxa"/>
              <w:left w:w="0" w:type="dxa"/>
              <w:bottom w:w="40" w:type="dxa"/>
              <w:right w:w="20" w:type="dxa"/>
            </w:tcMar>
            <w:vAlign w:val="bottom"/>
          </w:tcPr>
          <w:p w14:paraId="67537FE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E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E9" w14:textId="77777777" w:rsidR="001B77DD" w:rsidRDefault="00BF0A28">
            <w:pPr>
              <w:jc w:val="right"/>
              <w:textAlignment w:val="bottom"/>
            </w:pPr>
            <w:r>
              <w:rPr>
                <w:rFonts w:ascii="Arial" w:eastAsia="宋体" w:hAnsi="Arial" w:cs="Arial"/>
                <w:color w:val="0068B5"/>
                <w:sz w:val="18"/>
                <w:szCs w:val="18"/>
              </w:rPr>
              <w:t>20 </w:t>
            </w:r>
          </w:p>
        </w:tc>
        <w:tc>
          <w:tcPr>
            <w:tcW w:w="0" w:type="auto"/>
            <w:shd w:val="clear" w:color="auto" w:fill="auto"/>
            <w:tcMar>
              <w:top w:w="40" w:type="dxa"/>
              <w:left w:w="0" w:type="dxa"/>
              <w:bottom w:w="40" w:type="dxa"/>
              <w:right w:w="20" w:type="dxa"/>
            </w:tcMar>
            <w:vAlign w:val="bottom"/>
          </w:tcPr>
          <w:p w14:paraId="67537F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EC" w14:textId="77777777" w:rsidR="001B77DD" w:rsidRDefault="00BF0A28">
            <w:pPr>
              <w:jc w:val="right"/>
              <w:textAlignment w:val="bottom"/>
            </w:pPr>
            <w:r>
              <w:rPr>
                <w:rFonts w:ascii="Arial" w:eastAsia="宋体" w:hAnsi="Arial" w:cs="Arial"/>
                <w:color w:val="0068B5"/>
                <w:sz w:val="18"/>
                <w:szCs w:val="18"/>
              </w:rPr>
              <w:t>142 </w:t>
            </w:r>
          </w:p>
        </w:tc>
        <w:tc>
          <w:tcPr>
            <w:tcW w:w="0" w:type="auto"/>
            <w:shd w:val="clear" w:color="auto" w:fill="auto"/>
            <w:tcMar>
              <w:top w:w="40" w:type="dxa"/>
              <w:left w:w="0" w:type="dxa"/>
              <w:bottom w:w="40" w:type="dxa"/>
              <w:right w:w="20" w:type="dxa"/>
            </w:tcMar>
            <w:vAlign w:val="bottom"/>
          </w:tcPr>
          <w:p w14:paraId="67537FE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E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7FEF" w14:textId="77777777" w:rsidR="001B77DD" w:rsidRDefault="00BF0A28">
            <w:pPr>
              <w:jc w:val="right"/>
              <w:textAlignment w:val="bottom"/>
            </w:pPr>
            <w:r>
              <w:rPr>
                <w:rFonts w:ascii="Arial" w:eastAsia="宋体" w:hAnsi="Arial" w:cs="Arial"/>
                <w:color w:val="262626"/>
                <w:sz w:val="18"/>
                <w:szCs w:val="18"/>
              </w:rPr>
              <w:t>135 </w:t>
            </w:r>
          </w:p>
        </w:tc>
        <w:tc>
          <w:tcPr>
            <w:tcW w:w="0" w:type="auto"/>
            <w:shd w:val="clear" w:color="auto" w:fill="auto"/>
            <w:tcMar>
              <w:top w:w="40" w:type="dxa"/>
              <w:left w:w="0" w:type="dxa"/>
              <w:bottom w:w="40" w:type="dxa"/>
              <w:right w:w="20" w:type="dxa"/>
            </w:tcMar>
            <w:vAlign w:val="bottom"/>
          </w:tcPr>
          <w:p w14:paraId="67537FF0" w14:textId="77777777" w:rsidR="001B77DD" w:rsidRDefault="001B77DD">
            <w:pPr>
              <w:jc w:val="right"/>
              <w:rPr>
                <w:rFonts w:ascii="宋体"/>
              </w:rPr>
            </w:pPr>
          </w:p>
        </w:tc>
      </w:tr>
      <w:tr w:rsidR="001B77DD" w14:paraId="67538007" w14:textId="77777777">
        <w:tc>
          <w:tcPr>
            <w:tcW w:w="0" w:type="auto"/>
            <w:gridSpan w:val="3"/>
            <w:shd w:val="clear" w:color="auto" w:fill="auto"/>
            <w:tcMar>
              <w:top w:w="40" w:type="dxa"/>
              <w:left w:w="20" w:type="dxa"/>
              <w:bottom w:w="40" w:type="dxa"/>
              <w:right w:w="20" w:type="dxa"/>
            </w:tcMar>
            <w:vAlign w:val="bottom"/>
          </w:tcPr>
          <w:p w14:paraId="67537FF2" w14:textId="77777777" w:rsidR="001B77DD" w:rsidRDefault="00BF0A28">
            <w:pPr>
              <w:textAlignment w:val="bottom"/>
            </w:pPr>
            <w:r>
              <w:rPr>
                <w:rFonts w:ascii="Arial" w:eastAsia="宋体" w:hAnsi="Arial" w:cs="Arial"/>
                <w:b/>
                <w:bCs/>
                <w:color w:val="262626"/>
                <w:sz w:val="18"/>
                <w:szCs w:val="18"/>
              </w:rPr>
              <w:t>Assets measured by fair value hierarchy</w:t>
            </w:r>
          </w:p>
        </w:tc>
        <w:tc>
          <w:tcPr>
            <w:tcW w:w="0" w:type="auto"/>
            <w:gridSpan w:val="3"/>
            <w:shd w:val="clear" w:color="auto" w:fill="auto"/>
            <w:tcMar>
              <w:top w:w="0" w:type="dxa"/>
              <w:left w:w="20" w:type="dxa"/>
              <w:bottom w:w="0" w:type="dxa"/>
              <w:right w:w="20" w:type="dxa"/>
            </w:tcMar>
            <w:vAlign w:val="bottom"/>
          </w:tcPr>
          <w:p w14:paraId="67537FF3"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FF4"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FF5" w14:textId="77777777" w:rsidR="001B77DD" w:rsidRDefault="00BF0A2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FF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F7"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FF8"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FF9" w14:textId="77777777" w:rsidR="001B77DD" w:rsidRDefault="00BF0A28">
            <w:pPr>
              <w:jc w:val="right"/>
              <w:textAlignment w:val="bottom"/>
            </w:pPr>
            <w:r>
              <w:rPr>
                <w:rFonts w:ascii="Arial" w:eastAsia="宋体" w:hAnsi="Arial" w:cs="Arial"/>
                <w:b/>
                <w:bCs/>
                <w:color w:val="0068B5"/>
                <w:sz w:val="18"/>
                <w:szCs w:val="18"/>
              </w:rPr>
              <w:t>464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FF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FB"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7FFC"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7FFD" w14:textId="77777777" w:rsidR="001B77DD" w:rsidRDefault="00BF0A28">
            <w:pPr>
              <w:jc w:val="right"/>
              <w:textAlignment w:val="bottom"/>
            </w:pPr>
            <w:r>
              <w:rPr>
                <w:rFonts w:ascii="Arial" w:eastAsia="宋体" w:hAnsi="Arial" w:cs="Arial"/>
                <w:b/>
                <w:bCs/>
                <w:color w:val="0068B5"/>
                <w:sz w:val="18"/>
                <w:szCs w:val="18"/>
              </w:rPr>
              <w:t>20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7FF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7FFF"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8000"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8001" w14:textId="77777777" w:rsidR="001B77DD" w:rsidRDefault="00BF0A28">
            <w:pPr>
              <w:jc w:val="right"/>
              <w:textAlignment w:val="bottom"/>
            </w:pPr>
            <w:r>
              <w:rPr>
                <w:rFonts w:ascii="Arial" w:eastAsia="宋体" w:hAnsi="Arial" w:cs="Arial"/>
                <w:b/>
                <w:bCs/>
                <w:color w:val="0068B5"/>
                <w:sz w:val="18"/>
                <w:szCs w:val="18"/>
              </w:rPr>
              <w:t>484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800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03"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8004"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8005" w14:textId="77777777" w:rsidR="001B77DD" w:rsidRDefault="00BF0A28">
            <w:pPr>
              <w:jc w:val="right"/>
              <w:textAlignment w:val="bottom"/>
            </w:pPr>
            <w:r>
              <w:rPr>
                <w:rFonts w:ascii="Arial" w:eastAsia="宋体" w:hAnsi="Arial" w:cs="Arial"/>
                <w:b/>
                <w:bCs/>
                <w:color w:val="262626"/>
                <w:sz w:val="18"/>
                <w:szCs w:val="18"/>
              </w:rPr>
              <w:t>455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8006" w14:textId="77777777" w:rsidR="001B77DD" w:rsidRDefault="001B77DD">
            <w:pPr>
              <w:jc w:val="right"/>
              <w:rPr>
                <w:rFonts w:ascii="宋体"/>
              </w:rPr>
            </w:pPr>
          </w:p>
        </w:tc>
      </w:tr>
      <w:tr w:rsidR="001B77DD" w14:paraId="67538015" w14:textId="77777777">
        <w:tc>
          <w:tcPr>
            <w:tcW w:w="0" w:type="auto"/>
            <w:gridSpan w:val="3"/>
            <w:shd w:val="clear" w:color="auto" w:fill="auto"/>
            <w:tcMar>
              <w:top w:w="40" w:type="dxa"/>
              <w:left w:w="20" w:type="dxa"/>
              <w:bottom w:w="40" w:type="dxa"/>
              <w:right w:w="20" w:type="dxa"/>
            </w:tcMar>
            <w:vAlign w:val="bottom"/>
          </w:tcPr>
          <w:p w14:paraId="67538008" w14:textId="77777777" w:rsidR="001B77DD" w:rsidRDefault="00BF0A28">
            <w:pPr>
              <w:textAlignment w:val="bottom"/>
            </w:pPr>
            <w:r>
              <w:rPr>
                <w:rFonts w:ascii="Arial" w:eastAsia="宋体" w:hAnsi="Arial" w:cs="Arial"/>
                <w:color w:val="262626"/>
                <w:sz w:val="18"/>
                <w:szCs w:val="18"/>
              </w:rPr>
              <w:t>Assets measured at net asset value</w:t>
            </w:r>
          </w:p>
        </w:tc>
        <w:tc>
          <w:tcPr>
            <w:tcW w:w="0" w:type="auto"/>
            <w:gridSpan w:val="3"/>
            <w:shd w:val="clear" w:color="auto" w:fill="auto"/>
            <w:tcMar>
              <w:top w:w="0" w:type="dxa"/>
              <w:left w:w="20" w:type="dxa"/>
              <w:bottom w:w="0" w:type="dxa"/>
              <w:right w:w="20" w:type="dxa"/>
            </w:tcMar>
            <w:vAlign w:val="bottom"/>
          </w:tcPr>
          <w:p w14:paraId="6753800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0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0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0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0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0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0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010" w14:textId="77777777" w:rsidR="001B77DD" w:rsidRDefault="00BF0A28">
            <w:pPr>
              <w:jc w:val="right"/>
              <w:textAlignment w:val="bottom"/>
            </w:pPr>
            <w:r>
              <w:rPr>
                <w:rFonts w:ascii="Arial" w:eastAsia="宋体" w:hAnsi="Arial" w:cs="Arial"/>
                <w:color w:val="0068B5"/>
                <w:sz w:val="18"/>
                <w:szCs w:val="18"/>
              </w:rPr>
              <w:t>2,311 </w:t>
            </w:r>
          </w:p>
        </w:tc>
        <w:tc>
          <w:tcPr>
            <w:tcW w:w="0" w:type="auto"/>
            <w:shd w:val="clear" w:color="auto" w:fill="auto"/>
            <w:tcMar>
              <w:top w:w="40" w:type="dxa"/>
              <w:left w:w="0" w:type="dxa"/>
              <w:bottom w:w="40" w:type="dxa"/>
              <w:right w:w="20" w:type="dxa"/>
            </w:tcMar>
            <w:vAlign w:val="bottom"/>
          </w:tcPr>
          <w:p w14:paraId="6753801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1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013" w14:textId="77777777" w:rsidR="001B77DD" w:rsidRDefault="00BF0A28">
            <w:pPr>
              <w:jc w:val="right"/>
              <w:textAlignment w:val="bottom"/>
            </w:pPr>
            <w:r>
              <w:rPr>
                <w:rFonts w:ascii="Arial" w:eastAsia="宋体" w:hAnsi="Arial" w:cs="Arial"/>
                <w:color w:val="262626"/>
                <w:sz w:val="18"/>
                <w:szCs w:val="18"/>
              </w:rPr>
              <w:t>2,401 </w:t>
            </w:r>
          </w:p>
        </w:tc>
        <w:tc>
          <w:tcPr>
            <w:tcW w:w="0" w:type="auto"/>
            <w:shd w:val="clear" w:color="auto" w:fill="auto"/>
            <w:tcMar>
              <w:top w:w="40" w:type="dxa"/>
              <w:left w:w="0" w:type="dxa"/>
              <w:bottom w:w="40" w:type="dxa"/>
              <w:right w:w="20" w:type="dxa"/>
            </w:tcMar>
            <w:vAlign w:val="bottom"/>
          </w:tcPr>
          <w:p w14:paraId="67538014" w14:textId="77777777" w:rsidR="001B77DD" w:rsidRDefault="001B77DD">
            <w:pPr>
              <w:jc w:val="right"/>
              <w:rPr>
                <w:rFonts w:ascii="宋体"/>
              </w:rPr>
            </w:pPr>
          </w:p>
        </w:tc>
      </w:tr>
      <w:tr w:rsidR="001B77DD" w14:paraId="67538023" w14:textId="77777777">
        <w:tc>
          <w:tcPr>
            <w:tcW w:w="0" w:type="auto"/>
            <w:gridSpan w:val="3"/>
            <w:shd w:val="clear" w:color="auto" w:fill="auto"/>
            <w:tcMar>
              <w:top w:w="40" w:type="dxa"/>
              <w:left w:w="20" w:type="dxa"/>
              <w:bottom w:w="40" w:type="dxa"/>
              <w:right w:w="20" w:type="dxa"/>
            </w:tcMar>
            <w:vAlign w:val="bottom"/>
          </w:tcPr>
          <w:p w14:paraId="67538016" w14:textId="77777777" w:rsidR="001B77DD" w:rsidRDefault="00BF0A28">
            <w:pPr>
              <w:textAlignment w:val="bottom"/>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6753801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1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1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1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1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1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1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01E" w14:textId="77777777" w:rsidR="001B77DD" w:rsidRDefault="00BF0A28">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6753801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2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021" w14:textId="77777777" w:rsidR="001B77DD" w:rsidRDefault="00BF0A28">
            <w:pPr>
              <w:jc w:val="right"/>
              <w:textAlignment w:val="bottom"/>
            </w:pPr>
            <w:r>
              <w:rPr>
                <w:rFonts w:ascii="Arial" w:eastAsia="宋体" w:hAnsi="Arial" w:cs="Arial"/>
                <w:color w:val="262626"/>
                <w:sz w:val="18"/>
                <w:szCs w:val="18"/>
              </w:rPr>
              <w:t>22 </w:t>
            </w:r>
          </w:p>
        </w:tc>
        <w:tc>
          <w:tcPr>
            <w:tcW w:w="0" w:type="auto"/>
            <w:shd w:val="clear" w:color="auto" w:fill="auto"/>
            <w:tcMar>
              <w:top w:w="40" w:type="dxa"/>
              <w:left w:w="0" w:type="dxa"/>
              <w:bottom w:w="40" w:type="dxa"/>
              <w:right w:w="20" w:type="dxa"/>
            </w:tcMar>
            <w:vAlign w:val="bottom"/>
          </w:tcPr>
          <w:p w14:paraId="67538022" w14:textId="77777777" w:rsidR="001B77DD" w:rsidRDefault="001B77DD">
            <w:pPr>
              <w:jc w:val="right"/>
              <w:rPr>
                <w:rFonts w:ascii="宋体"/>
              </w:rPr>
            </w:pPr>
          </w:p>
        </w:tc>
      </w:tr>
      <w:tr w:rsidR="001B77DD" w14:paraId="67538033" w14:textId="77777777">
        <w:tc>
          <w:tcPr>
            <w:tcW w:w="0" w:type="auto"/>
            <w:gridSpan w:val="3"/>
            <w:shd w:val="clear" w:color="auto" w:fill="auto"/>
            <w:tcMar>
              <w:top w:w="40" w:type="dxa"/>
              <w:left w:w="20" w:type="dxa"/>
              <w:bottom w:w="40" w:type="dxa"/>
              <w:right w:w="20" w:type="dxa"/>
            </w:tcMar>
            <w:vAlign w:val="bottom"/>
          </w:tcPr>
          <w:p w14:paraId="67538024" w14:textId="77777777" w:rsidR="001B77DD" w:rsidRDefault="00BF0A28">
            <w:pPr>
              <w:textAlignment w:val="bottom"/>
            </w:pPr>
            <w:r>
              <w:rPr>
                <w:rFonts w:ascii="Arial" w:eastAsia="宋体" w:hAnsi="Arial" w:cs="Arial"/>
                <w:b/>
                <w:bCs/>
                <w:color w:val="262626"/>
                <w:sz w:val="18"/>
                <w:szCs w:val="18"/>
              </w:rPr>
              <w:t>Total pension plan assets at fair value</w:t>
            </w:r>
          </w:p>
        </w:tc>
        <w:tc>
          <w:tcPr>
            <w:tcW w:w="0" w:type="auto"/>
            <w:gridSpan w:val="3"/>
            <w:shd w:val="clear" w:color="auto" w:fill="auto"/>
            <w:tcMar>
              <w:top w:w="0" w:type="dxa"/>
              <w:left w:w="20" w:type="dxa"/>
              <w:bottom w:w="0" w:type="dxa"/>
              <w:right w:w="20" w:type="dxa"/>
            </w:tcMar>
            <w:vAlign w:val="bottom"/>
          </w:tcPr>
          <w:p w14:paraId="6753802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2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2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2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2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2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2B"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802C"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802D" w14:textId="77777777" w:rsidR="001B77DD" w:rsidRDefault="00BF0A28">
            <w:pPr>
              <w:jc w:val="right"/>
              <w:textAlignment w:val="bottom"/>
            </w:pPr>
            <w:r>
              <w:rPr>
                <w:rFonts w:ascii="Arial" w:eastAsia="宋体" w:hAnsi="Arial" w:cs="Arial"/>
                <w:b/>
                <w:bCs/>
                <w:color w:val="0068B5"/>
                <w:sz w:val="18"/>
                <w:szCs w:val="18"/>
              </w:rPr>
              <w:t>2,817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802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2F"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8030"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8031" w14:textId="77777777" w:rsidR="001B77DD" w:rsidRDefault="00BF0A28">
            <w:pPr>
              <w:jc w:val="right"/>
              <w:textAlignment w:val="bottom"/>
            </w:pPr>
            <w:r>
              <w:rPr>
                <w:rFonts w:ascii="Arial" w:eastAsia="宋体" w:hAnsi="Arial" w:cs="Arial"/>
                <w:b/>
                <w:bCs/>
                <w:color w:val="262626"/>
                <w:sz w:val="18"/>
                <w:szCs w:val="18"/>
              </w:rPr>
              <w:t>2,878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8032" w14:textId="77777777" w:rsidR="001B77DD" w:rsidRDefault="001B77DD">
            <w:pPr>
              <w:jc w:val="right"/>
              <w:rPr>
                <w:rFonts w:ascii="宋体"/>
              </w:rPr>
            </w:pPr>
          </w:p>
        </w:tc>
      </w:tr>
    </w:tbl>
    <w:p w14:paraId="67538034" w14:textId="77777777" w:rsidR="001B77DD" w:rsidRDefault="00BF0A28">
      <w:pPr>
        <w:spacing w:after="120"/>
      </w:pPr>
      <w:r>
        <w:rPr>
          <w:rFonts w:ascii="Arial" w:eastAsia="宋体" w:hAnsi="Arial" w:cs="Arial"/>
          <w:color w:val="0068B5"/>
          <w:sz w:val="20"/>
          <w:szCs w:val="20"/>
        </w:rPr>
        <w:t>US Plan Assets</w:t>
      </w:r>
    </w:p>
    <w:p w14:paraId="67538035" w14:textId="77777777" w:rsidR="001B77DD" w:rsidRDefault="00BF0A28">
      <w:pPr>
        <w:spacing w:after="180"/>
      </w:pPr>
      <w:r>
        <w:rPr>
          <w:rFonts w:ascii="Arial" w:eastAsia="宋体" w:hAnsi="Arial" w:cs="Arial"/>
          <w:color w:val="262626"/>
          <w:sz w:val="18"/>
          <w:szCs w:val="18"/>
        </w:rPr>
        <w:t>The investment strategy for US Pension Plan assets is to manage the funded status volatility, taking into consideration the investment horizon and expected volatility to help ensure that sufficient assets are avai</w:t>
      </w:r>
      <w:r>
        <w:rPr>
          <w:rFonts w:ascii="Arial" w:eastAsia="宋体" w:hAnsi="Arial" w:cs="Arial"/>
          <w:color w:val="262626"/>
          <w:sz w:val="18"/>
          <w:szCs w:val="18"/>
        </w:rPr>
        <w:t>lable to pay pension benefits as they come due. The allocation to each asset class will fluctuate with market conditions, such as volatility and liquidity concerns, and will typically be rebalanced when outside the target ranges, which are 90% fixed income</w:t>
      </w:r>
      <w:r>
        <w:rPr>
          <w:rFonts w:ascii="Arial" w:eastAsia="宋体" w:hAnsi="Arial" w:cs="Arial"/>
          <w:color w:val="262626"/>
          <w:sz w:val="18"/>
          <w:szCs w:val="18"/>
        </w:rPr>
        <w:t xml:space="preserve"> and 10% equity investments. During 2021, the US Pension Plan assets were invested in collective investment trust funds, which are measured at net asset value. </w:t>
      </w:r>
    </w:p>
    <w:p w14:paraId="67538036" w14:textId="77777777" w:rsidR="001B77DD" w:rsidRDefault="00BF0A28">
      <w:pPr>
        <w:spacing w:after="120"/>
      </w:pPr>
      <w:r>
        <w:rPr>
          <w:rFonts w:ascii="Arial" w:eastAsia="宋体" w:hAnsi="Arial" w:cs="Arial"/>
          <w:color w:val="0068B5"/>
          <w:sz w:val="20"/>
          <w:szCs w:val="20"/>
        </w:rPr>
        <w:t>Non-US Plan Assets</w:t>
      </w:r>
    </w:p>
    <w:p w14:paraId="67538037" w14:textId="77777777" w:rsidR="001B77DD" w:rsidRDefault="00BF0A28">
      <w:pPr>
        <w:spacing w:after="180"/>
      </w:pPr>
      <w:r>
        <w:rPr>
          <w:rFonts w:ascii="Arial" w:eastAsia="宋体" w:hAnsi="Arial" w:cs="Arial"/>
          <w:color w:val="262626"/>
          <w:sz w:val="18"/>
          <w:szCs w:val="18"/>
        </w:rPr>
        <w:t>The investments of the non-US plans are managed by insurance companies, pens</w:t>
      </w:r>
      <w:r>
        <w:rPr>
          <w:rFonts w:ascii="Arial" w:eastAsia="宋体" w:hAnsi="Arial" w:cs="Arial"/>
          <w:color w:val="262626"/>
          <w:sz w:val="18"/>
          <w:szCs w:val="18"/>
        </w:rPr>
        <w:t xml:space="preserve">ion funds, or third-party trustees, consistent with regulations or market practice of the country where the assets are invested. The investment manager makes investment decisions within the guidelines set by Intel or local regulations. Investments managed </w:t>
      </w:r>
      <w:r>
        <w:rPr>
          <w:rFonts w:ascii="Arial" w:eastAsia="宋体" w:hAnsi="Arial" w:cs="Arial"/>
          <w:color w:val="262626"/>
          <w:sz w:val="18"/>
          <w:szCs w:val="18"/>
        </w:rPr>
        <w:t>by qualified insurance companies or pension funds under standard contracts follow local regulations, and we are not actively involved in their investment strategies. For the assets that we have discretion to set investment guidelines, the assets are invest</w:t>
      </w:r>
      <w:r>
        <w:rPr>
          <w:rFonts w:ascii="Arial" w:eastAsia="宋体" w:hAnsi="Arial" w:cs="Arial"/>
          <w:color w:val="262626"/>
          <w:sz w:val="18"/>
          <w:szCs w:val="18"/>
        </w:rPr>
        <w:t>ed in developed country equity investments and fixed-income investments, either through index funds or direct investment. In general, the investment strategy is designed to accumulate a diversified portfolio among markets, asset classes, or individual secu</w:t>
      </w:r>
      <w:r>
        <w:rPr>
          <w:rFonts w:ascii="Arial" w:eastAsia="宋体" w:hAnsi="Arial" w:cs="Arial"/>
          <w:color w:val="262626"/>
          <w:sz w:val="18"/>
          <w:szCs w:val="18"/>
        </w:rPr>
        <w:t xml:space="preserve">rities to reduce market risk and to help ensure that the pension assets are available to pay benefits as they come due. The target allocation of the non-US plan assets that we have control over was approximately 45% fixed income, 35% equity, and 20% hedge </w:t>
      </w:r>
      <w:r>
        <w:rPr>
          <w:rFonts w:ascii="Arial" w:eastAsia="宋体" w:hAnsi="Arial" w:cs="Arial"/>
          <w:color w:val="262626"/>
          <w:sz w:val="18"/>
          <w:szCs w:val="18"/>
        </w:rPr>
        <w:t>fund investments in 2021.</w:t>
      </w:r>
    </w:p>
    <w:p w14:paraId="67538038" w14:textId="77777777" w:rsidR="001B77DD" w:rsidRDefault="00BF0A28">
      <w:pPr>
        <w:spacing w:after="180"/>
      </w:pPr>
      <w:r>
        <w:rPr>
          <w:rFonts w:ascii="Arial" w:eastAsia="宋体" w:hAnsi="Arial" w:cs="Arial"/>
          <w:color w:val="262626"/>
          <w:sz w:val="18"/>
          <w:szCs w:val="18"/>
        </w:rPr>
        <w:t>The equity investments in the non-US plan assets are invested in a diversified mix of equities of developed countries, including the US, and emerging markets throughout the world.</w:t>
      </w:r>
    </w:p>
    <w:p w14:paraId="67538039" w14:textId="77777777" w:rsidR="001B77DD" w:rsidRDefault="00BF0A28">
      <w:pPr>
        <w:spacing w:after="180"/>
      </w:pPr>
      <w:r>
        <w:rPr>
          <w:rFonts w:ascii="Arial" w:eastAsia="宋体" w:hAnsi="Arial" w:cs="Arial"/>
          <w:color w:val="262626"/>
          <w:sz w:val="18"/>
          <w:szCs w:val="18"/>
        </w:rPr>
        <w:t>We have control over the investment strategy relat</w:t>
      </w:r>
      <w:r>
        <w:rPr>
          <w:rFonts w:ascii="Arial" w:eastAsia="宋体" w:hAnsi="Arial" w:cs="Arial"/>
          <w:color w:val="262626"/>
          <w:sz w:val="18"/>
          <w:szCs w:val="18"/>
        </w:rPr>
        <w:t>ed to the majority of the assets measured at net asset value, which are invested in hedge funds, bond index funds, and equity index funds.</w:t>
      </w:r>
    </w:p>
    <w:p w14:paraId="6753803A" w14:textId="77777777" w:rsidR="001B77DD" w:rsidRDefault="00BF0A28">
      <w:pPr>
        <w:spacing w:after="180"/>
      </w:pPr>
      <w:r>
        <w:rPr>
          <w:rFonts w:ascii="Arial" w:eastAsia="宋体" w:hAnsi="Arial" w:cs="Arial"/>
          <w:color w:val="0068B5"/>
        </w:rPr>
        <w:t>Estimated Future Benefit Payments for Pension Benefit Plans</w:t>
      </w:r>
    </w:p>
    <w:p w14:paraId="6753803B" w14:textId="77777777" w:rsidR="001B77DD" w:rsidRDefault="00BF0A28">
      <w:pPr>
        <w:spacing w:after="120"/>
      </w:pPr>
      <w:r>
        <w:rPr>
          <w:rFonts w:ascii="Arial" w:eastAsia="宋体" w:hAnsi="Arial" w:cs="Arial"/>
          <w:color w:val="262626"/>
          <w:sz w:val="18"/>
          <w:szCs w:val="18"/>
        </w:rPr>
        <w:t xml:space="preserve">Estimated benefit payments over the next 10 years are </w:t>
      </w:r>
      <w:r>
        <w:rPr>
          <w:rFonts w:ascii="Arial" w:eastAsia="宋体" w:hAnsi="Arial" w:cs="Arial"/>
          <w:color w:val="262626"/>
          <w:sz w:val="18"/>
          <w:szCs w:val="18"/>
        </w:rPr>
        <w:t>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893"/>
        <w:gridCol w:w="36"/>
        <w:gridCol w:w="36"/>
        <w:gridCol w:w="36"/>
        <w:gridCol w:w="36"/>
        <w:gridCol w:w="121"/>
        <w:gridCol w:w="791"/>
        <w:gridCol w:w="36"/>
        <w:gridCol w:w="36"/>
        <w:gridCol w:w="36"/>
        <w:gridCol w:w="36"/>
        <w:gridCol w:w="121"/>
        <w:gridCol w:w="791"/>
        <w:gridCol w:w="36"/>
        <w:gridCol w:w="36"/>
        <w:gridCol w:w="36"/>
        <w:gridCol w:w="36"/>
        <w:gridCol w:w="121"/>
        <w:gridCol w:w="792"/>
        <w:gridCol w:w="36"/>
        <w:gridCol w:w="36"/>
        <w:gridCol w:w="36"/>
        <w:gridCol w:w="36"/>
        <w:gridCol w:w="121"/>
        <w:gridCol w:w="793"/>
        <w:gridCol w:w="36"/>
        <w:gridCol w:w="36"/>
        <w:gridCol w:w="36"/>
        <w:gridCol w:w="36"/>
        <w:gridCol w:w="121"/>
        <w:gridCol w:w="794"/>
        <w:gridCol w:w="36"/>
        <w:gridCol w:w="36"/>
        <w:gridCol w:w="36"/>
        <w:gridCol w:w="36"/>
        <w:gridCol w:w="122"/>
        <w:gridCol w:w="818"/>
        <w:gridCol w:w="36"/>
      </w:tblGrid>
      <w:tr w:rsidR="001B77DD" w14:paraId="67538063" w14:textId="77777777">
        <w:tc>
          <w:tcPr>
            <w:tcW w:w="50" w:type="pct"/>
            <w:shd w:val="clear" w:color="auto" w:fill="auto"/>
            <w:vAlign w:val="bottom"/>
          </w:tcPr>
          <w:p w14:paraId="6753803C" w14:textId="77777777" w:rsidR="001B77DD" w:rsidRDefault="001B77DD">
            <w:pPr>
              <w:rPr>
                <w:rFonts w:ascii="宋体"/>
              </w:rPr>
            </w:pPr>
          </w:p>
        </w:tc>
        <w:tc>
          <w:tcPr>
            <w:tcW w:w="1174" w:type="pct"/>
            <w:shd w:val="clear" w:color="auto" w:fill="auto"/>
            <w:vAlign w:val="bottom"/>
          </w:tcPr>
          <w:p w14:paraId="6753803D" w14:textId="77777777" w:rsidR="001B77DD" w:rsidRDefault="001B77DD">
            <w:pPr>
              <w:rPr>
                <w:rFonts w:ascii="宋体"/>
              </w:rPr>
            </w:pPr>
          </w:p>
        </w:tc>
        <w:tc>
          <w:tcPr>
            <w:tcW w:w="5" w:type="pct"/>
            <w:shd w:val="clear" w:color="auto" w:fill="auto"/>
            <w:vAlign w:val="bottom"/>
          </w:tcPr>
          <w:p w14:paraId="6753803E" w14:textId="77777777" w:rsidR="001B77DD" w:rsidRDefault="001B77DD">
            <w:pPr>
              <w:rPr>
                <w:rFonts w:ascii="宋体"/>
              </w:rPr>
            </w:pPr>
          </w:p>
        </w:tc>
        <w:tc>
          <w:tcPr>
            <w:tcW w:w="5" w:type="pct"/>
            <w:shd w:val="clear" w:color="auto" w:fill="auto"/>
            <w:vAlign w:val="bottom"/>
          </w:tcPr>
          <w:p w14:paraId="6753803F" w14:textId="77777777" w:rsidR="001B77DD" w:rsidRDefault="001B77DD">
            <w:pPr>
              <w:rPr>
                <w:rFonts w:ascii="宋体"/>
              </w:rPr>
            </w:pPr>
          </w:p>
        </w:tc>
        <w:tc>
          <w:tcPr>
            <w:tcW w:w="24" w:type="pct"/>
            <w:shd w:val="clear" w:color="auto" w:fill="auto"/>
            <w:vAlign w:val="bottom"/>
          </w:tcPr>
          <w:p w14:paraId="67538040" w14:textId="77777777" w:rsidR="001B77DD" w:rsidRDefault="001B77DD">
            <w:pPr>
              <w:rPr>
                <w:rFonts w:ascii="宋体"/>
              </w:rPr>
            </w:pPr>
          </w:p>
        </w:tc>
        <w:tc>
          <w:tcPr>
            <w:tcW w:w="5" w:type="pct"/>
            <w:shd w:val="clear" w:color="auto" w:fill="auto"/>
            <w:vAlign w:val="bottom"/>
          </w:tcPr>
          <w:p w14:paraId="67538041" w14:textId="77777777" w:rsidR="001B77DD" w:rsidRDefault="001B77DD">
            <w:pPr>
              <w:rPr>
                <w:rFonts w:ascii="宋体"/>
              </w:rPr>
            </w:pPr>
          </w:p>
        </w:tc>
        <w:tc>
          <w:tcPr>
            <w:tcW w:w="50" w:type="pct"/>
            <w:shd w:val="clear" w:color="auto" w:fill="auto"/>
            <w:vAlign w:val="bottom"/>
          </w:tcPr>
          <w:p w14:paraId="67538042" w14:textId="77777777" w:rsidR="001B77DD" w:rsidRDefault="001B77DD">
            <w:pPr>
              <w:rPr>
                <w:rFonts w:ascii="宋体"/>
              </w:rPr>
            </w:pPr>
          </w:p>
        </w:tc>
        <w:tc>
          <w:tcPr>
            <w:tcW w:w="539" w:type="pct"/>
            <w:shd w:val="clear" w:color="auto" w:fill="auto"/>
            <w:vAlign w:val="bottom"/>
          </w:tcPr>
          <w:p w14:paraId="67538043" w14:textId="77777777" w:rsidR="001B77DD" w:rsidRDefault="001B77DD">
            <w:pPr>
              <w:rPr>
                <w:rFonts w:ascii="宋体"/>
              </w:rPr>
            </w:pPr>
          </w:p>
        </w:tc>
        <w:tc>
          <w:tcPr>
            <w:tcW w:w="5" w:type="pct"/>
            <w:shd w:val="clear" w:color="auto" w:fill="auto"/>
            <w:vAlign w:val="bottom"/>
          </w:tcPr>
          <w:p w14:paraId="67538044" w14:textId="77777777" w:rsidR="001B77DD" w:rsidRDefault="001B77DD">
            <w:pPr>
              <w:rPr>
                <w:rFonts w:ascii="宋体"/>
              </w:rPr>
            </w:pPr>
          </w:p>
        </w:tc>
        <w:tc>
          <w:tcPr>
            <w:tcW w:w="5" w:type="pct"/>
            <w:shd w:val="clear" w:color="auto" w:fill="auto"/>
            <w:vAlign w:val="bottom"/>
          </w:tcPr>
          <w:p w14:paraId="67538045" w14:textId="77777777" w:rsidR="001B77DD" w:rsidRDefault="001B77DD">
            <w:pPr>
              <w:rPr>
                <w:rFonts w:ascii="宋体"/>
              </w:rPr>
            </w:pPr>
          </w:p>
        </w:tc>
        <w:tc>
          <w:tcPr>
            <w:tcW w:w="24" w:type="pct"/>
            <w:shd w:val="clear" w:color="auto" w:fill="auto"/>
            <w:vAlign w:val="bottom"/>
          </w:tcPr>
          <w:p w14:paraId="67538046" w14:textId="77777777" w:rsidR="001B77DD" w:rsidRDefault="001B77DD">
            <w:pPr>
              <w:rPr>
                <w:rFonts w:ascii="宋体"/>
              </w:rPr>
            </w:pPr>
          </w:p>
        </w:tc>
        <w:tc>
          <w:tcPr>
            <w:tcW w:w="5" w:type="pct"/>
            <w:shd w:val="clear" w:color="auto" w:fill="auto"/>
            <w:vAlign w:val="bottom"/>
          </w:tcPr>
          <w:p w14:paraId="67538047" w14:textId="77777777" w:rsidR="001B77DD" w:rsidRDefault="001B77DD">
            <w:pPr>
              <w:rPr>
                <w:rFonts w:ascii="宋体"/>
              </w:rPr>
            </w:pPr>
          </w:p>
        </w:tc>
        <w:tc>
          <w:tcPr>
            <w:tcW w:w="50" w:type="pct"/>
            <w:shd w:val="clear" w:color="auto" w:fill="auto"/>
            <w:vAlign w:val="bottom"/>
          </w:tcPr>
          <w:p w14:paraId="67538048" w14:textId="77777777" w:rsidR="001B77DD" w:rsidRDefault="001B77DD">
            <w:pPr>
              <w:rPr>
                <w:rFonts w:ascii="宋体"/>
              </w:rPr>
            </w:pPr>
          </w:p>
        </w:tc>
        <w:tc>
          <w:tcPr>
            <w:tcW w:w="539" w:type="pct"/>
            <w:shd w:val="clear" w:color="auto" w:fill="auto"/>
            <w:vAlign w:val="bottom"/>
          </w:tcPr>
          <w:p w14:paraId="67538049" w14:textId="77777777" w:rsidR="001B77DD" w:rsidRDefault="001B77DD">
            <w:pPr>
              <w:rPr>
                <w:rFonts w:ascii="宋体"/>
              </w:rPr>
            </w:pPr>
          </w:p>
        </w:tc>
        <w:tc>
          <w:tcPr>
            <w:tcW w:w="5" w:type="pct"/>
            <w:shd w:val="clear" w:color="auto" w:fill="auto"/>
            <w:vAlign w:val="bottom"/>
          </w:tcPr>
          <w:p w14:paraId="6753804A" w14:textId="77777777" w:rsidR="001B77DD" w:rsidRDefault="001B77DD">
            <w:pPr>
              <w:rPr>
                <w:rFonts w:ascii="宋体"/>
              </w:rPr>
            </w:pPr>
          </w:p>
        </w:tc>
        <w:tc>
          <w:tcPr>
            <w:tcW w:w="5" w:type="pct"/>
            <w:shd w:val="clear" w:color="auto" w:fill="auto"/>
            <w:vAlign w:val="bottom"/>
          </w:tcPr>
          <w:p w14:paraId="6753804B" w14:textId="77777777" w:rsidR="001B77DD" w:rsidRDefault="001B77DD">
            <w:pPr>
              <w:rPr>
                <w:rFonts w:ascii="宋体"/>
              </w:rPr>
            </w:pPr>
          </w:p>
        </w:tc>
        <w:tc>
          <w:tcPr>
            <w:tcW w:w="24" w:type="pct"/>
            <w:shd w:val="clear" w:color="auto" w:fill="auto"/>
            <w:vAlign w:val="bottom"/>
          </w:tcPr>
          <w:p w14:paraId="6753804C" w14:textId="77777777" w:rsidR="001B77DD" w:rsidRDefault="001B77DD">
            <w:pPr>
              <w:rPr>
                <w:rFonts w:ascii="宋体"/>
              </w:rPr>
            </w:pPr>
          </w:p>
        </w:tc>
        <w:tc>
          <w:tcPr>
            <w:tcW w:w="5" w:type="pct"/>
            <w:shd w:val="clear" w:color="auto" w:fill="auto"/>
            <w:vAlign w:val="bottom"/>
          </w:tcPr>
          <w:p w14:paraId="6753804D" w14:textId="77777777" w:rsidR="001B77DD" w:rsidRDefault="001B77DD">
            <w:pPr>
              <w:rPr>
                <w:rFonts w:ascii="宋体"/>
              </w:rPr>
            </w:pPr>
          </w:p>
        </w:tc>
        <w:tc>
          <w:tcPr>
            <w:tcW w:w="50" w:type="pct"/>
            <w:shd w:val="clear" w:color="auto" w:fill="auto"/>
            <w:vAlign w:val="bottom"/>
          </w:tcPr>
          <w:p w14:paraId="6753804E" w14:textId="77777777" w:rsidR="001B77DD" w:rsidRDefault="001B77DD">
            <w:pPr>
              <w:rPr>
                <w:rFonts w:ascii="宋体"/>
              </w:rPr>
            </w:pPr>
          </w:p>
        </w:tc>
        <w:tc>
          <w:tcPr>
            <w:tcW w:w="539" w:type="pct"/>
            <w:shd w:val="clear" w:color="auto" w:fill="auto"/>
            <w:vAlign w:val="bottom"/>
          </w:tcPr>
          <w:p w14:paraId="6753804F" w14:textId="77777777" w:rsidR="001B77DD" w:rsidRDefault="001B77DD">
            <w:pPr>
              <w:rPr>
                <w:rFonts w:ascii="宋体"/>
              </w:rPr>
            </w:pPr>
          </w:p>
        </w:tc>
        <w:tc>
          <w:tcPr>
            <w:tcW w:w="5" w:type="pct"/>
            <w:shd w:val="clear" w:color="auto" w:fill="auto"/>
            <w:vAlign w:val="bottom"/>
          </w:tcPr>
          <w:p w14:paraId="67538050" w14:textId="77777777" w:rsidR="001B77DD" w:rsidRDefault="001B77DD">
            <w:pPr>
              <w:rPr>
                <w:rFonts w:ascii="宋体"/>
              </w:rPr>
            </w:pPr>
          </w:p>
        </w:tc>
        <w:tc>
          <w:tcPr>
            <w:tcW w:w="5" w:type="pct"/>
            <w:shd w:val="clear" w:color="auto" w:fill="auto"/>
            <w:vAlign w:val="bottom"/>
          </w:tcPr>
          <w:p w14:paraId="67538051" w14:textId="77777777" w:rsidR="001B77DD" w:rsidRDefault="001B77DD">
            <w:pPr>
              <w:rPr>
                <w:rFonts w:ascii="宋体"/>
              </w:rPr>
            </w:pPr>
          </w:p>
        </w:tc>
        <w:tc>
          <w:tcPr>
            <w:tcW w:w="24" w:type="pct"/>
            <w:shd w:val="clear" w:color="auto" w:fill="auto"/>
            <w:vAlign w:val="bottom"/>
          </w:tcPr>
          <w:p w14:paraId="67538052" w14:textId="77777777" w:rsidR="001B77DD" w:rsidRDefault="001B77DD">
            <w:pPr>
              <w:rPr>
                <w:rFonts w:ascii="宋体"/>
              </w:rPr>
            </w:pPr>
          </w:p>
        </w:tc>
        <w:tc>
          <w:tcPr>
            <w:tcW w:w="5" w:type="pct"/>
            <w:shd w:val="clear" w:color="auto" w:fill="auto"/>
            <w:vAlign w:val="bottom"/>
          </w:tcPr>
          <w:p w14:paraId="67538053" w14:textId="77777777" w:rsidR="001B77DD" w:rsidRDefault="001B77DD">
            <w:pPr>
              <w:rPr>
                <w:rFonts w:ascii="宋体"/>
              </w:rPr>
            </w:pPr>
          </w:p>
        </w:tc>
        <w:tc>
          <w:tcPr>
            <w:tcW w:w="50" w:type="pct"/>
            <w:shd w:val="clear" w:color="auto" w:fill="auto"/>
            <w:vAlign w:val="bottom"/>
          </w:tcPr>
          <w:p w14:paraId="67538054" w14:textId="77777777" w:rsidR="001B77DD" w:rsidRDefault="001B77DD">
            <w:pPr>
              <w:rPr>
                <w:rFonts w:ascii="宋体"/>
              </w:rPr>
            </w:pPr>
          </w:p>
        </w:tc>
        <w:tc>
          <w:tcPr>
            <w:tcW w:w="539" w:type="pct"/>
            <w:shd w:val="clear" w:color="auto" w:fill="auto"/>
            <w:vAlign w:val="bottom"/>
          </w:tcPr>
          <w:p w14:paraId="67538055" w14:textId="77777777" w:rsidR="001B77DD" w:rsidRDefault="001B77DD">
            <w:pPr>
              <w:rPr>
                <w:rFonts w:ascii="宋体"/>
              </w:rPr>
            </w:pPr>
          </w:p>
        </w:tc>
        <w:tc>
          <w:tcPr>
            <w:tcW w:w="5" w:type="pct"/>
            <w:shd w:val="clear" w:color="auto" w:fill="auto"/>
            <w:vAlign w:val="bottom"/>
          </w:tcPr>
          <w:p w14:paraId="67538056" w14:textId="77777777" w:rsidR="001B77DD" w:rsidRDefault="001B77DD">
            <w:pPr>
              <w:rPr>
                <w:rFonts w:ascii="宋体"/>
              </w:rPr>
            </w:pPr>
          </w:p>
        </w:tc>
        <w:tc>
          <w:tcPr>
            <w:tcW w:w="5" w:type="pct"/>
            <w:shd w:val="clear" w:color="auto" w:fill="auto"/>
            <w:vAlign w:val="bottom"/>
          </w:tcPr>
          <w:p w14:paraId="67538057" w14:textId="77777777" w:rsidR="001B77DD" w:rsidRDefault="001B77DD">
            <w:pPr>
              <w:rPr>
                <w:rFonts w:ascii="宋体"/>
              </w:rPr>
            </w:pPr>
          </w:p>
        </w:tc>
        <w:tc>
          <w:tcPr>
            <w:tcW w:w="24" w:type="pct"/>
            <w:shd w:val="clear" w:color="auto" w:fill="auto"/>
            <w:vAlign w:val="bottom"/>
          </w:tcPr>
          <w:p w14:paraId="67538058" w14:textId="77777777" w:rsidR="001B77DD" w:rsidRDefault="001B77DD">
            <w:pPr>
              <w:rPr>
                <w:rFonts w:ascii="宋体"/>
              </w:rPr>
            </w:pPr>
          </w:p>
        </w:tc>
        <w:tc>
          <w:tcPr>
            <w:tcW w:w="5" w:type="pct"/>
            <w:shd w:val="clear" w:color="auto" w:fill="auto"/>
            <w:vAlign w:val="bottom"/>
          </w:tcPr>
          <w:p w14:paraId="67538059" w14:textId="77777777" w:rsidR="001B77DD" w:rsidRDefault="001B77DD">
            <w:pPr>
              <w:rPr>
                <w:rFonts w:ascii="宋体"/>
              </w:rPr>
            </w:pPr>
          </w:p>
        </w:tc>
        <w:tc>
          <w:tcPr>
            <w:tcW w:w="50" w:type="pct"/>
            <w:shd w:val="clear" w:color="auto" w:fill="auto"/>
            <w:vAlign w:val="bottom"/>
          </w:tcPr>
          <w:p w14:paraId="6753805A" w14:textId="77777777" w:rsidR="001B77DD" w:rsidRDefault="001B77DD">
            <w:pPr>
              <w:rPr>
                <w:rFonts w:ascii="宋体"/>
              </w:rPr>
            </w:pPr>
          </w:p>
        </w:tc>
        <w:tc>
          <w:tcPr>
            <w:tcW w:w="539" w:type="pct"/>
            <w:shd w:val="clear" w:color="auto" w:fill="auto"/>
            <w:vAlign w:val="bottom"/>
          </w:tcPr>
          <w:p w14:paraId="6753805B" w14:textId="77777777" w:rsidR="001B77DD" w:rsidRDefault="001B77DD">
            <w:pPr>
              <w:rPr>
                <w:rFonts w:ascii="宋体"/>
              </w:rPr>
            </w:pPr>
          </w:p>
        </w:tc>
        <w:tc>
          <w:tcPr>
            <w:tcW w:w="5" w:type="pct"/>
            <w:shd w:val="clear" w:color="auto" w:fill="auto"/>
            <w:vAlign w:val="bottom"/>
          </w:tcPr>
          <w:p w14:paraId="6753805C" w14:textId="77777777" w:rsidR="001B77DD" w:rsidRDefault="001B77DD">
            <w:pPr>
              <w:rPr>
                <w:rFonts w:ascii="宋体"/>
              </w:rPr>
            </w:pPr>
          </w:p>
        </w:tc>
        <w:tc>
          <w:tcPr>
            <w:tcW w:w="5" w:type="pct"/>
            <w:shd w:val="clear" w:color="auto" w:fill="auto"/>
            <w:vAlign w:val="bottom"/>
          </w:tcPr>
          <w:p w14:paraId="6753805D" w14:textId="77777777" w:rsidR="001B77DD" w:rsidRDefault="001B77DD">
            <w:pPr>
              <w:rPr>
                <w:rFonts w:ascii="宋体"/>
              </w:rPr>
            </w:pPr>
          </w:p>
        </w:tc>
        <w:tc>
          <w:tcPr>
            <w:tcW w:w="24" w:type="pct"/>
            <w:shd w:val="clear" w:color="auto" w:fill="auto"/>
            <w:vAlign w:val="bottom"/>
          </w:tcPr>
          <w:p w14:paraId="6753805E" w14:textId="77777777" w:rsidR="001B77DD" w:rsidRDefault="001B77DD">
            <w:pPr>
              <w:rPr>
                <w:rFonts w:ascii="宋体"/>
              </w:rPr>
            </w:pPr>
          </w:p>
        </w:tc>
        <w:tc>
          <w:tcPr>
            <w:tcW w:w="5" w:type="pct"/>
            <w:shd w:val="clear" w:color="auto" w:fill="auto"/>
            <w:vAlign w:val="bottom"/>
          </w:tcPr>
          <w:p w14:paraId="6753805F" w14:textId="77777777" w:rsidR="001B77DD" w:rsidRDefault="001B77DD">
            <w:pPr>
              <w:rPr>
                <w:rFonts w:ascii="宋体"/>
              </w:rPr>
            </w:pPr>
          </w:p>
        </w:tc>
        <w:tc>
          <w:tcPr>
            <w:tcW w:w="50" w:type="pct"/>
            <w:shd w:val="clear" w:color="auto" w:fill="auto"/>
            <w:vAlign w:val="bottom"/>
          </w:tcPr>
          <w:p w14:paraId="67538060" w14:textId="77777777" w:rsidR="001B77DD" w:rsidRDefault="001B77DD">
            <w:pPr>
              <w:rPr>
                <w:rFonts w:ascii="宋体"/>
              </w:rPr>
            </w:pPr>
          </w:p>
        </w:tc>
        <w:tc>
          <w:tcPr>
            <w:tcW w:w="539" w:type="pct"/>
            <w:shd w:val="clear" w:color="auto" w:fill="auto"/>
            <w:vAlign w:val="bottom"/>
          </w:tcPr>
          <w:p w14:paraId="67538061" w14:textId="77777777" w:rsidR="001B77DD" w:rsidRDefault="001B77DD">
            <w:pPr>
              <w:rPr>
                <w:rFonts w:ascii="宋体"/>
              </w:rPr>
            </w:pPr>
          </w:p>
        </w:tc>
        <w:tc>
          <w:tcPr>
            <w:tcW w:w="5" w:type="pct"/>
            <w:shd w:val="clear" w:color="auto" w:fill="auto"/>
            <w:vAlign w:val="bottom"/>
          </w:tcPr>
          <w:p w14:paraId="67538062" w14:textId="77777777" w:rsidR="001B77DD" w:rsidRDefault="001B77DD">
            <w:pPr>
              <w:rPr>
                <w:rFonts w:ascii="宋体"/>
              </w:rPr>
            </w:pPr>
          </w:p>
        </w:tc>
      </w:tr>
      <w:tr w:rsidR="001B77DD" w14:paraId="67538071" w14:textId="77777777">
        <w:tc>
          <w:tcPr>
            <w:tcW w:w="0" w:type="auto"/>
            <w:gridSpan w:val="3"/>
            <w:shd w:val="clear" w:color="auto" w:fill="auto"/>
            <w:tcMar>
              <w:top w:w="40" w:type="dxa"/>
              <w:left w:w="20" w:type="dxa"/>
              <w:bottom w:w="40" w:type="dxa"/>
              <w:right w:w="20" w:type="dxa"/>
            </w:tcMar>
            <w:vAlign w:val="bottom"/>
          </w:tcPr>
          <w:p w14:paraId="67538064"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806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066" w14:textId="77777777" w:rsidR="001B77DD" w:rsidRDefault="00BF0A28">
            <w:pPr>
              <w:jc w:val="center"/>
              <w:textAlignment w:val="top"/>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vAlign w:val="bottom"/>
          </w:tcPr>
          <w:p w14:paraId="6753806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068" w14:textId="77777777" w:rsidR="001B77DD" w:rsidRDefault="00BF0A28">
            <w:pPr>
              <w:jc w:val="center"/>
              <w:textAlignment w:val="top"/>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6753806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06A" w14:textId="77777777" w:rsidR="001B77DD" w:rsidRDefault="00BF0A28">
            <w:pPr>
              <w:jc w:val="center"/>
              <w:textAlignment w:val="top"/>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6753806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06C" w14:textId="77777777" w:rsidR="001B77DD" w:rsidRDefault="00BF0A28">
            <w:pPr>
              <w:jc w:val="center"/>
              <w:textAlignment w:val="top"/>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6753806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06E" w14:textId="77777777" w:rsidR="001B77DD" w:rsidRDefault="00BF0A28">
            <w:pPr>
              <w:jc w:val="center"/>
              <w:textAlignment w:val="top"/>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6753806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070" w14:textId="77777777" w:rsidR="001B77DD" w:rsidRDefault="00BF0A28">
            <w:pPr>
              <w:jc w:val="center"/>
              <w:textAlignment w:val="top"/>
            </w:pPr>
            <w:r>
              <w:rPr>
                <w:rFonts w:ascii="Arial" w:eastAsia="宋体" w:hAnsi="Arial" w:cs="Arial"/>
                <w:b/>
                <w:bCs/>
                <w:color w:val="262626"/>
                <w:sz w:val="18"/>
                <w:szCs w:val="18"/>
              </w:rPr>
              <w:t>2027-2031</w:t>
            </w:r>
          </w:p>
        </w:tc>
      </w:tr>
      <w:tr w:rsidR="001B77DD" w14:paraId="6753808B"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8072" w14:textId="77777777" w:rsidR="001B77DD" w:rsidRDefault="00BF0A28">
            <w:pPr>
              <w:textAlignment w:val="bottom"/>
            </w:pPr>
            <w:r>
              <w:rPr>
                <w:rFonts w:ascii="Arial" w:eastAsia="宋体" w:hAnsi="Arial" w:cs="Arial"/>
                <w:color w:val="262626"/>
                <w:sz w:val="18"/>
                <w:szCs w:val="18"/>
              </w:rPr>
              <w:t>Pension benefits</w:t>
            </w:r>
          </w:p>
        </w:tc>
        <w:tc>
          <w:tcPr>
            <w:tcW w:w="0" w:type="auto"/>
            <w:gridSpan w:val="3"/>
            <w:shd w:val="clear" w:color="auto" w:fill="auto"/>
            <w:tcMar>
              <w:top w:w="0" w:type="dxa"/>
              <w:left w:w="20" w:type="dxa"/>
              <w:bottom w:w="0" w:type="dxa"/>
              <w:right w:w="20" w:type="dxa"/>
            </w:tcMar>
            <w:vAlign w:val="bottom"/>
          </w:tcPr>
          <w:p w14:paraId="67538073"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74"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75" w14:textId="77777777" w:rsidR="001B77DD" w:rsidRDefault="00BF0A28">
            <w:pPr>
              <w:jc w:val="right"/>
              <w:textAlignment w:val="bottom"/>
            </w:pPr>
            <w:r>
              <w:rPr>
                <w:rFonts w:ascii="Arial" w:eastAsia="宋体" w:hAnsi="Arial" w:cs="Arial"/>
                <w:color w:val="0068B5"/>
                <w:sz w:val="18"/>
                <w:szCs w:val="18"/>
              </w:rPr>
              <w:t>147 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7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7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78"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79" w14:textId="77777777" w:rsidR="001B77DD" w:rsidRDefault="00BF0A28">
            <w:pPr>
              <w:jc w:val="right"/>
              <w:textAlignment w:val="bottom"/>
            </w:pPr>
            <w:r>
              <w:rPr>
                <w:rFonts w:ascii="Arial" w:eastAsia="宋体" w:hAnsi="Arial" w:cs="Arial"/>
                <w:color w:val="0068B5"/>
                <w:sz w:val="18"/>
                <w:szCs w:val="18"/>
              </w:rPr>
              <w:t>144 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7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7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7C"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7D" w14:textId="77777777" w:rsidR="001B77DD" w:rsidRDefault="00BF0A28">
            <w:pPr>
              <w:jc w:val="right"/>
              <w:textAlignment w:val="bottom"/>
            </w:pPr>
            <w:r>
              <w:rPr>
                <w:rFonts w:ascii="Arial" w:eastAsia="宋体" w:hAnsi="Arial" w:cs="Arial"/>
                <w:color w:val="0068B5"/>
                <w:sz w:val="18"/>
                <w:szCs w:val="18"/>
              </w:rPr>
              <w:t>141 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7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7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80"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81" w14:textId="77777777" w:rsidR="001B77DD" w:rsidRDefault="00BF0A28">
            <w:pPr>
              <w:jc w:val="right"/>
              <w:textAlignment w:val="bottom"/>
            </w:pPr>
            <w:r>
              <w:rPr>
                <w:rFonts w:ascii="Arial" w:eastAsia="宋体" w:hAnsi="Arial" w:cs="Arial"/>
                <w:color w:val="0068B5"/>
                <w:sz w:val="18"/>
                <w:szCs w:val="18"/>
              </w:rPr>
              <w:t>142 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8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83"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84"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85" w14:textId="77777777" w:rsidR="001B77DD" w:rsidRDefault="00BF0A28">
            <w:pPr>
              <w:jc w:val="right"/>
              <w:textAlignment w:val="bottom"/>
            </w:pPr>
            <w:r>
              <w:rPr>
                <w:rFonts w:ascii="Arial" w:eastAsia="宋体" w:hAnsi="Arial" w:cs="Arial"/>
                <w:color w:val="0068B5"/>
                <w:sz w:val="18"/>
                <w:szCs w:val="18"/>
              </w:rPr>
              <w:t>146 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8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8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88"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89" w14:textId="77777777" w:rsidR="001B77DD" w:rsidRDefault="00BF0A28">
            <w:pPr>
              <w:jc w:val="right"/>
              <w:textAlignment w:val="bottom"/>
            </w:pPr>
            <w:r>
              <w:rPr>
                <w:rFonts w:ascii="Arial" w:eastAsia="宋体" w:hAnsi="Arial" w:cs="Arial"/>
                <w:color w:val="0068B5"/>
                <w:sz w:val="18"/>
                <w:szCs w:val="18"/>
              </w:rPr>
              <w:t>765 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8A" w14:textId="77777777" w:rsidR="001B77DD" w:rsidRDefault="001B77DD">
            <w:pPr>
              <w:jc w:val="right"/>
              <w:rPr>
                <w:rFonts w:ascii="宋体"/>
              </w:rPr>
            </w:pPr>
          </w:p>
        </w:tc>
      </w:tr>
    </w:tbl>
    <w:p w14:paraId="6753808C" w14:textId="77777777" w:rsidR="001B77DD" w:rsidRDefault="001B77DD">
      <w:pPr>
        <w:rPr>
          <w:vanish/>
        </w:rPr>
      </w:pP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8099" w14:textId="77777777">
        <w:tc>
          <w:tcPr>
            <w:tcW w:w="50" w:type="pct"/>
            <w:shd w:val="clear" w:color="auto" w:fill="auto"/>
            <w:vAlign w:val="bottom"/>
          </w:tcPr>
          <w:p w14:paraId="6753808D" w14:textId="77777777" w:rsidR="001B77DD" w:rsidRDefault="001B77DD">
            <w:pPr>
              <w:rPr>
                <w:rFonts w:ascii="宋体"/>
              </w:rPr>
            </w:pPr>
          </w:p>
        </w:tc>
        <w:tc>
          <w:tcPr>
            <w:tcW w:w="276" w:type="pct"/>
            <w:shd w:val="clear" w:color="auto" w:fill="auto"/>
            <w:vAlign w:val="bottom"/>
          </w:tcPr>
          <w:p w14:paraId="6753808E" w14:textId="77777777" w:rsidR="001B77DD" w:rsidRDefault="001B77DD">
            <w:pPr>
              <w:rPr>
                <w:rFonts w:ascii="宋体"/>
              </w:rPr>
            </w:pPr>
          </w:p>
        </w:tc>
        <w:tc>
          <w:tcPr>
            <w:tcW w:w="5" w:type="pct"/>
            <w:shd w:val="clear" w:color="auto" w:fill="auto"/>
            <w:vAlign w:val="bottom"/>
          </w:tcPr>
          <w:p w14:paraId="6753808F" w14:textId="77777777" w:rsidR="001B77DD" w:rsidRDefault="001B77DD">
            <w:pPr>
              <w:rPr>
                <w:rFonts w:ascii="宋体"/>
              </w:rPr>
            </w:pPr>
          </w:p>
        </w:tc>
        <w:tc>
          <w:tcPr>
            <w:tcW w:w="50" w:type="pct"/>
            <w:shd w:val="clear" w:color="auto" w:fill="auto"/>
            <w:vAlign w:val="bottom"/>
          </w:tcPr>
          <w:p w14:paraId="67538090" w14:textId="77777777" w:rsidR="001B77DD" w:rsidRDefault="001B77DD">
            <w:pPr>
              <w:rPr>
                <w:rFonts w:ascii="宋体"/>
              </w:rPr>
            </w:pPr>
          </w:p>
        </w:tc>
        <w:tc>
          <w:tcPr>
            <w:tcW w:w="940" w:type="pct"/>
            <w:shd w:val="clear" w:color="auto" w:fill="auto"/>
            <w:vAlign w:val="bottom"/>
          </w:tcPr>
          <w:p w14:paraId="67538091" w14:textId="77777777" w:rsidR="001B77DD" w:rsidRDefault="001B77DD">
            <w:pPr>
              <w:rPr>
                <w:rFonts w:ascii="宋体"/>
              </w:rPr>
            </w:pPr>
          </w:p>
        </w:tc>
        <w:tc>
          <w:tcPr>
            <w:tcW w:w="5" w:type="pct"/>
            <w:shd w:val="clear" w:color="auto" w:fill="auto"/>
            <w:vAlign w:val="bottom"/>
          </w:tcPr>
          <w:p w14:paraId="67538092" w14:textId="77777777" w:rsidR="001B77DD" w:rsidRDefault="001B77DD">
            <w:pPr>
              <w:rPr>
                <w:rFonts w:ascii="宋体"/>
              </w:rPr>
            </w:pPr>
          </w:p>
        </w:tc>
        <w:tc>
          <w:tcPr>
            <w:tcW w:w="50" w:type="pct"/>
            <w:shd w:val="clear" w:color="auto" w:fill="auto"/>
            <w:vAlign w:val="bottom"/>
          </w:tcPr>
          <w:p w14:paraId="67538093" w14:textId="77777777" w:rsidR="001B77DD" w:rsidRDefault="001B77DD">
            <w:pPr>
              <w:rPr>
                <w:rFonts w:ascii="宋体"/>
              </w:rPr>
            </w:pPr>
          </w:p>
        </w:tc>
        <w:tc>
          <w:tcPr>
            <w:tcW w:w="1837" w:type="pct"/>
            <w:shd w:val="clear" w:color="auto" w:fill="auto"/>
            <w:vAlign w:val="bottom"/>
          </w:tcPr>
          <w:p w14:paraId="67538094" w14:textId="77777777" w:rsidR="001B77DD" w:rsidRDefault="001B77DD">
            <w:pPr>
              <w:rPr>
                <w:rFonts w:ascii="宋体"/>
              </w:rPr>
            </w:pPr>
          </w:p>
        </w:tc>
        <w:tc>
          <w:tcPr>
            <w:tcW w:w="5" w:type="pct"/>
            <w:shd w:val="clear" w:color="auto" w:fill="auto"/>
            <w:vAlign w:val="bottom"/>
          </w:tcPr>
          <w:p w14:paraId="67538095" w14:textId="77777777" w:rsidR="001B77DD" w:rsidRDefault="001B77DD">
            <w:pPr>
              <w:rPr>
                <w:rFonts w:ascii="宋体"/>
              </w:rPr>
            </w:pPr>
          </w:p>
        </w:tc>
        <w:tc>
          <w:tcPr>
            <w:tcW w:w="50" w:type="pct"/>
            <w:shd w:val="clear" w:color="auto" w:fill="auto"/>
            <w:vAlign w:val="bottom"/>
          </w:tcPr>
          <w:p w14:paraId="67538096" w14:textId="77777777" w:rsidR="001B77DD" w:rsidRDefault="001B77DD">
            <w:pPr>
              <w:rPr>
                <w:rFonts w:ascii="宋体"/>
              </w:rPr>
            </w:pPr>
          </w:p>
        </w:tc>
        <w:tc>
          <w:tcPr>
            <w:tcW w:w="1724" w:type="pct"/>
            <w:shd w:val="clear" w:color="auto" w:fill="auto"/>
            <w:vAlign w:val="bottom"/>
          </w:tcPr>
          <w:p w14:paraId="67538097" w14:textId="77777777" w:rsidR="001B77DD" w:rsidRDefault="001B77DD">
            <w:pPr>
              <w:rPr>
                <w:rFonts w:ascii="宋体"/>
              </w:rPr>
            </w:pPr>
          </w:p>
        </w:tc>
        <w:tc>
          <w:tcPr>
            <w:tcW w:w="5" w:type="pct"/>
            <w:shd w:val="clear" w:color="auto" w:fill="auto"/>
            <w:vAlign w:val="bottom"/>
          </w:tcPr>
          <w:p w14:paraId="67538098" w14:textId="77777777" w:rsidR="001B77DD" w:rsidRDefault="001B77DD">
            <w:pPr>
              <w:rPr>
                <w:rFonts w:ascii="宋体"/>
              </w:rPr>
            </w:pPr>
          </w:p>
        </w:tc>
      </w:tr>
      <w:tr w:rsidR="001B77DD" w14:paraId="6753809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09A"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75" wp14:editId="67538F76">
                  <wp:extent cx="304800" cy="304800"/>
                  <wp:effectExtent l="0" t="0" r="0" b="0"/>
                  <wp:docPr id="172" name="图片 33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33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09B"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809C"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09D" w14:textId="77777777" w:rsidR="001B77DD" w:rsidRDefault="00BF0A28">
            <w:pPr>
              <w:jc w:val="right"/>
              <w:textAlignment w:val="center"/>
            </w:pPr>
            <w:r>
              <w:rPr>
                <w:rFonts w:ascii="Arial" w:eastAsia="宋体" w:hAnsi="Arial" w:cs="Arial"/>
                <w:color w:val="262626"/>
                <w:sz w:val="16"/>
                <w:szCs w:val="16"/>
              </w:rPr>
              <w:t>103</w:t>
            </w:r>
          </w:p>
        </w:tc>
      </w:tr>
    </w:tbl>
    <w:p w14:paraId="6753809F" w14:textId="77777777" w:rsidR="001B77DD" w:rsidRDefault="00BF0A28">
      <w:r>
        <w:pict w14:anchorId="67538F77">
          <v:rect id="_x0000_i1129" style="width:415.3pt;height:1.5pt" o:hralign="center" o:hrstd="t" o:hr="t" fillcolor="#a0a0a0" stroked="f"/>
        </w:pict>
      </w:r>
    </w:p>
    <w:p w14:paraId="675380A0" w14:textId="77777777" w:rsidR="001B77DD" w:rsidRDefault="00BF0A28">
      <w:pPr>
        <w:jc w:val="right"/>
      </w:pPr>
      <w:hyperlink r:id="rId191" w:anchor="i6c9ced68f6b24d58a3dcf326e8c3c699_16" w:history="1">
        <w:r>
          <w:rPr>
            <w:rStyle w:val="a5"/>
            <w:rFonts w:ascii="Arial" w:eastAsia="宋体" w:hAnsi="Arial" w:cs="Arial"/>
            <w:b/>
            <w:bCs/>
            <w:sz w:val="16"/>
            <w:szCs w:val="16"/>
          </w:rPr>
          <w:t>Table of Contents</w:t>
        </w:r>
      </w:hyperlink>
    </w:p>
    <w:p w14:paraId="675380A1"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80A8" w14:textId="77777777">
        <w:tc>
          <w:tcPr>
            <w:tcW w:w="50" w:type="pct"/>
            <w:shd w:val="clear" w:color="auto" w:fill="auto"/>
            <w:vAlign w:val="bottom"/>
          </w:tcPr>
          <w:p w14:paraId="675380A2" w14:textId="77777777" w:rsidR="001B77DD" w:rsidRDefault="001B77DD">
            <w:pPr>
              <w:rPr>
                <w:rFonts w:ascii="宋体"/>
              </w:rPr>
            </w:pPr>
          </w:p>
        </w:tc>
        <w:tc>
          <w:tcPr>
            <w:tcW w:w="539" w:type="pct"/>
            <w:shd w:val="clear" w:color="auto" w:fill="auto"/>
            <w:vAlign w:val="bottom"/>
          </w:tcPr>
          <w:p w14:paraId="675380A3" w14:textId="77777777" w:rsidR="001B77DD" w:rsidRDefault="001B77DD">
            <w:pPr>
              <w:rPr>
                <w:rFonts w:ascii="宋体"/>
              </w:rPr>
            </w:pPr>
          </w:p>
        </w:tc>
        <w:tc>
          <w:tcPr>
            <w:tcW w:w="5" w:type="pct"/>
            <w:shd w:val="clear" w:color="auto" w:fill="auto"/>
            <w:vAlign w:val="bottom"/>
          </w:tcPr>
          <w:p w14:paraId="675380A4" w14:textId="77777777" w:rsidR="001B77DD" w:rsidRDefault="001B77DD">
            <w:pPr>
              <w:rPr>
                <w:rFonts w:ascii="宋体"/>
              </w:rPr>
            </w:pPr>
          </w:p>
        </w:tc>
        <w:tc>
          <w:tcPr>
            <w:tcW w:w="50" w:type="pct"/>
            <w:shd w:val="clear" w:color="auto" w:fill="auto"/>
            <w:vAlign w:val="bottom"/>
          </w:tcPr>
          <w:p w14:paraId="675380A5" w14:textId="77777777" w:rsidR="001B77DD" w:rsidRDefault="001B77DD">
            <w:pPr>
              <w:rPr>
                <w:rFonts w:ascii="宋体"/>
              </w:rPr>
            </w:pPr>
          </w:p>
        </w:tc>
        <w:tc>
          <w:tcPr>
            <w:tcW w:w="4350" w:type="pct"/>
            <w:shd w:val="clear" w:color="auto" w:fill="auto"/>
            <w:vAlign w:val="bottom"/>
          </w:tcPr>
          <w:p w14:paraId="675380A6" w14:textId="77777777" w:rsidR="001B77DD" w:rsidRDefault="001B77DD">
            <w:pPr>
              <w:rPr>
                <w:rFonts w:ascii="宋体"/>
              </w:rPr>
            </w:pPr>
          </w:p>
        </w:tc>
        <w:tc>
          <w:tcPr>
            <w:tcW w:w="5" w:type="pct"/>
            <w:shd w:val="clear" w:color="auto" w:fill="auto"/>
            <w:vAlign w:val="bottom"/>
          </w:tcPr>
          <w:p w14:paraId="675380A7" w14:textId="77777777" w:rsidR="001B77DD" w:rsidRDefault="001B77DD">
            <w:pPr>
              <w:rPr>
                <w:rFonts w:ascii="宋体"/>
              </w:rPr>
            </w:pPr>
          </w:p>
        </w:tc>
      </w:tr>
      <w:tr w:rsidR="001B77DD" w14:paraId="675380A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80A9" w14:textId="77777777" w:rsidR="001B77DD" w:rsidRDefault="00BF0A28">
            <w:pPr>
              <w:textAlignment w:val="bottom"/>
            </w:pPr>
            <w:r>
              <w:rPr>
                <w:rFonts w:ascii="Arial" w:eastAsia="宋体" w:hAnsi="Arial" w:cs="Arial"/>
                <w:color w:val="FFFFFF"/>
                <w:sz w:val="28"/>
                <w:szCs w:val="28"/>
              </w:rPr>
              <w:t xml:space="preserve">Note 18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80AA" w14:textId="77777777" w:rsidR="001B77DD" w:rsidRDefault="00BF0A28">
            <w:pPr>
              <w:textAlignment w:val="bottom"/>
            </w:pPr>
            <w:r>
              <w:rPr>
                <w:rFonts w:ascii="Arial" w:eastAsia="宋体" w:hAnsi="Arial" w:cs="Arial"/>
                <w:color w:val="0068B5"/>
                <w:sz w:val="28"/>
                <w:szCs w:val="28"/>
              </w:rPr>
              <w:t>Employee Equity Incentive Plans</w:t>
            </w:r>
          </w:p>
        </w:tc>
      </w:tr>
    </w:tbl>
    <w:p w14:paraId="675380AC" w14:textId="77777777" w:rsidR="001B77DD" w:rsidRDefault="00BF0A28">
      <w:pPr>
        <w:spacing w:after="180"/>
      </w:pPr>
      <w:r>
        <w:rPr>
          <w:rFonts w:ascii="Arial" w:eastAsia="宋体" w:hAnsi="Arial" w:cs="Arial"/>
          <w:color w:val="262626"/>
          <w:sz w:val="18"/>
          <w:szCs w:val="18"/>
        </w:rPr>
        <w:t xml:space="preserve">Our equity incentive plans </w:t>
      </w:r>
      <w:r>
        <w:rPr>
          <w:rFonts w:ascii="Arial" w:eastAsia="宋体" w:hAnsi="Arial" w:cs="Arial"/>
          <w:color w:val="262626"/>
          <w:sz w:val="18"/>
          <w:szCs w:val="18"/>
        </w:rPr>
        <w:t>are broad-based, long-term programs intended to attract and retain talented employees and align stockholder and employee interests. Our plans include our 2006 Plan and our 2006 ESPP.</w:t>
      </w:r>
    </w:p>
    <w:p w14:paraId="675380AD" w14:textId="77777777" w:rsidR="001B77DD" w:rsidRDefault="00BF0A28">
      <w:pPr>
        <w:spacing w:after="180"/>
      </w:pPr>
      <w:r>
        <w:rPr>
          <w:rFonts w:ascii="Arial" w:eastAsia="宋体" w:hAnsi="Arial" w:cs="Arial"/>
          <w:color w:val="262626"/>
          <w:sz w:val="18"/>
          <w:szCs w:val="18"/>
        </w:rPr>
        <w:t xml:space="preserve">Under the 2006 Plan, 866 million shares of common stock have been </w:t>
      </w:r>
      <w:r>
        <w:rPr>
          <w:rFonts w:ascii="Arial" w:eastAsia="宋体" w:hAnsi="Arial" w:cs="Arial"/>
          <w:color w:val="262626"/>
          <w:sz w:val="18"/>
          <w:szCs w:val="18"/>
        </w:rPr>
        <w:t>authorized for issuance as equity awards to employees and non-employee directors through June 2023. As of December 25, 2021, 128 million shares of common stock remained available for future grants.</w:t>
      </w:r>
    </w:p>
    <w:p w14:paraId="675380AE" w14:textId="77777777" w:rsidR="001B77DD" w:rsidRDefault="00BF0A28">
      <w:pPr>
        <w:spacing w:after="180"/>
      </w:pPr>
      <w:r>
        <w:rPr>
          <w:rFonts w:ascii="Arial" w:eastAsia="宋体" w:hAnsi="Arial" w:cs="Arial"/>
          <w:color w:val="262626"/>
          <w:sz w:val="18"/>
          <w:szCs w:val="18"/>
        </w:rPr>
        <w:t>Under the 2006 Plan, we grant RSUs and stock options. We g</w:t>
      </w:r>
      <w:r>
        <w:rPr>
          <w:rFonts w:ascii="Arial" w:eastAsia="宋体" w:hAnsi="Arial" w:cs="Arial"/>
          <w:color w:val="262626"/>
          <w:sz w:val="18"/>
          <w:szCs w:val="18"/>
        </w:rPr>
        <w:t xml:space="preserve">rant RSUs with a service condition as well as RSUs with a market condition, performance condition, and a service condition, which we call PSUs. PSUs are granted to a group of senior officers and employees. For PSUs granted in 2021, the number of shares of </w:t>
      </w:r>
      <w:r>
        <w:rPr>
          <w:rFonts w:ascii="Arial" w:eastAsia="宋体" w:hAnsi="Arial" w:cs="Arial"/>
          <w:color w:val="262626"/>
          <w:sz w:val="18"/>
          <w:szCs w:val="18"/>
        </w:rPr>
        <w:t>our common stock to be received at vesting will range from 0% to 200% of the target grant amount, equally based on two metrics: our three-year cumulative non-GAAP EPS growth relative to a target rate and TSR of our common stock measured against the benchma</w:t>
      </w:r>
      <w:r>
        <w:rPr>
          <w:rFonts w:ascii="Arial" w:eastAsia="宋体" w:hAnsi="Arial" w:cs="Arial"/>
          <w:color w:val="262626"/>
          <w:sz w:val="18"/>
          <w:szCs w:val="18"/>
        </w:rPr>
        <w:t>rk TSR of the S&amp;P 500 IT Sector Index over a three-year period. TSR is a measure of stock price appreciation plus any dividends paid in this performance period. As of December 25, 2021, 15 million PSUs were outstanding. PSUs vest three years from the grant</w:t>
      </w:r>
      <w:r>
        <w:rPr>
          <w:rFonts w:ascii="Arial" w:eastAsia="宋体" w:hAnsi="Arial" w:cs="Arial"/>
          <w:color w:val="262626"/>
          <w:sz w:val="18"/>
          <w:szCs w:val="18"/>
        </w:rPr>
        <w:t xml:space="preserve"> date. Other RSU awards and option awards generally vest over four years from the grant date. Stock options generally expire 10 years from the date of grant. </w:t>
      </w:r>
    </w:p>
    <w:p w14:paraId="675380AF" w14:textId="77777777" w:rsidR="001B77DD" w:rsidRDefault="00BF0A28">
      <w:pPr>
        <w:spacing w:after="180"/>
      </w:pPr>
      <w:r>
        <w:rPr>
          <w:rFonts w:ascii="Arial" w:eastAsia="宋体" w:hAnsi="Arial" w:cs="Arial"/>
          <w:color w:val="0068B5"/>
        </w:rPr>
        <w:t>Share-Based Compensation</w:t>
      </w:r>
    </w:p>
    <w:p w14:paraId="675380B0" w14:textId="77777777" w:rsidR="001B77DD" w:rsidRDefault="00BF0A28">
      <w:pPr>
        <w:spacing w:after="180"/>
      </w:pPr>
      <w:r>
        <w:rPr>
          <w:rFonts w:ascii="Arial" w:eastAsia="宋体" w:hAnsi="Arial" w:cs="Arial"/>
          <w:color w:val="262626"/>
          <w:sz w:val="18"/>
          <w:szCs w:val="18"/>
        </w:rPr>
        <w:t xml:space="preserve">Share-based compensation recognized in 2021 was $2.0 billion ($1.9 </w:t>
      </w:r>
      <w:r>
        <w:rPr>
          <w:rFonts w:ascii="Arial" w:eastAsia="宋体" w:hAnsi="Arial" w:cs="Arial"/>
          <w:color w:val="262626"/>
          <w:sz w:val="18"/>
          <w:szCs w:val="18"/>
        </w:rPr>
        <w:t>billion in 2020 and $1.7 billion in 2019). During 2021, the tax benefit that we realized for the tax deduction from share-based awards totaled $377 million ($380 million in 2020 and $359 million in 2019).</w:t>
      </w:r>
    </w:p>
    <w:p w14:paraId="675380B1" w14:textId="77777777" w:rsidR="001B77DD" w:rsidRDefault="00BF0A28">
      <w:pPr>
        <w:spacing w:after="180"/>
      </w:pPr>
      <w:r>
        <w:rPr>
          <w:rFonts w:ascii="Arial" w:eastAsia="宋体" w:hAnsi="Arial" w:cs="Arial"/>
          <w:color w:val="262626"/>
          <w:sz w:val="18"/>
          <w:szCs w:val="18"/>
        </w:rPr>
        <w:t>We estimate the fair value of RSUs with a service c</w:t>
      </w:r>
      <w:r>
        <w:rPr>
          <w:rFonts w:ascii="Arial" w:eastAsia="宋体" w:hAnsi="Arial" w:cs="Arial"/>
          <w:color w:val="262626"/>
          <w:sz w:val="18"/>
          <w:szCs w:val="18"/>
        </w:rPr>
        <w:t>ondition or performance condition using the value of our common stock on the date of grant, reduced by the present value of dividends expected to be paid on our shares of common stock prior to vesting. We estimate the fair value of RSUs with a market condi</w:t>
      </w:r>
      <w:r>
        <w:rPr>
          <w:rFonts w:ascii="Arial" w:eastAsia="宋体" w:hAnsi="Arial" w:cs="Arial"/>
          <w:color w:val="262626"/>
          <w:sz w:val="18"/>
          <w:szCs w:val="18"/>
        </w:rPr>
        <w:t>tion using a Monte Carlo simulation model as of the date of grant using historical volatility. </w:t>
      </w:r>
    </w:p>
    <w:p w14:paraId="675380B2" w14:textId="77777777" w:rsidR="001B77DD" w:rsidRDefault="00BF0A28">
      <w:pPr>
        <w:spacing w:after="180"/>
      </w:pPr>
      <w:r>
        <w:rPr>
          <w:rFonts w:ascii="Arial" w:eastAsia="宋体" w:hAnsi="Arial" w:cs="Arial"/>
          <w:color w:val="0068B5"/>
        </w:rPr>
        <w:t>Restricted Stock Units</w:t>
      </w:r>
    </w:p>
    <w:p w14:paraId="675380B3" w14:textId="77777777" w:rsidR="001B77DD" w:rsidRDefault="00BF0A28">
      <w:r>
        <w:rPr>
          <w:rFonts w:ascii="Arial" w:eastAsia="宋体" w:hAnsi="Arial" w:cs="Arial"/>
          <w:color w:val="262626"/>
          <w:sz w:val="18"/>
          <w:szCs w:val="18"/>
        </w:rPr>
        <w:t>Weighted average assumptions used in estimating grant values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942"/>
        <w:gridCol w:w="36"/>
        <w:gridCol w:w="36"/>
        <w:gridCol w:w="36"/>
        <w:gridCol w:w="36"/>
        <w:gridCol w:w="121"/>
        <w:gridCol w:w="697"/>
        <w:gridCol w:w="181"/>
        <w:gridCol w:w="36"/>
        <w:gridCol w:w="36"/>
        <w:gridCol w:w="36"/>
        <w:gridCol w:w="121"/>
        <w:gridCol w:w="697"/>
        <w:gridCol w:w="181"/>
        <w:gridCol w:w="36"/>
        <w:gridCol w:w="36"/>
        <w:gridCol w:w="36"/>
        <w:gridCol w:w="121"/>
        <w:gridCol w:w="697"/>
        <w:gridCol w:w="181"/>
      </w:tblGrid>
      <w:tr w:rsidR="001B77DD" w14:paraId="675380C9" w14:textId="77777777">
        <w:tc>
          <w:tcPr>
            <w:tcW w:w="50" w:type="pct"/>
            <w:shd w:val="clear" w:color="auto" w:fill="auto"/>
            <w:vAlign w:val="bottom"/>
          </w:tcPr>
          <w:p w14:paraId="675380B4" w14:textId="77777777" w:rsidR="001B77DD" w:rsidRDefault="001B77DD">
            <w:pPr>
              <w:rPr>
                <w:rFonts w:ascii="宋体"/>
              </w:rPr>
            </w:pPr>
          </w:p>
        </w:tc>
        <w:tc>
          <w:tcPr>
            <w:tcW w:w="3059" w:type="pct"/>
            <w:shd w:val="clear" w:color="auto" w:fill="auto"/>
            <w:vAlign w:val="bottom"/>
          </w:tcPr>
          <w:p w14:paraId="675380B5" w14:textId="77777777" w:rsidR="001B77DD" w:rsidRDefault="001B77DD">
            <w:pPr>
              <w:rPr>
                <w:rFonts w:ascii="宋体"/>
              </w:rPr>
            </w:pPr>
          </w:p>
        </w:tc>
        <w:tc>
          <w:tcPr>
            <w:tcW w:w="5" w:type="pct"/>
            <w:shd w:val="clear" w:color="auto" w:fill="auto"/>
            <w:vAlign w:val="bottom"/>
          </w:tcPr>
          <w:p w14:paraId="675380B6" w14:textId="77777777" w:rsidR="001B77DD" w:rsidRDefault="001B77DD">
            <w:pPr>
              <w:rPr>
                <w:rFonts w:ascii="宋体"/>
              </w:rPr>
            </w:pPr>
          </w:p>
        </w:tc>
        <w:tc>
          <w:tcPr>
            <w:tcW w:w="5" w:type="pct"/>
            <w:shd w:val="clear" w:color="auto" w:fill="auto"/>
            <w:vAlign w:val="bottom"/>
          </w:tcPr>
          <w:p w14:paraId="675380B7" w14:textId="77777777" w:rsidR="001B77DD" w:rsidRDefault="001B77DD">
            <w:pPr>
              <w:rPr>
                <w:rFonts w:ascii="宋体"/>
              </w:rPr>
            </w:pPr>
          </w:p>
        </w:tc>
        <w:tc>
          <w:tcPr>
            <w:tcW w:w="24" w:type="pct"/>
            <w:shd w:val="clear" w:color="auto" w:fill="auto"/>
            <w:vAlign w:val="bottom"/>
          </w:tcPr>
          <w:p w14:paraId="675380B8" w14:textId="77777777" w:rsidR="001B77DD" w:rsidRDefault="001B77DD">
            <w:pPr>
              <w:rPr>
                <w:rFonts w:ascii="宋体"/>
              </w:rPr>
            </w:pPr>
          </w:p>
        </w:tc>
        <w:tc>
          <w:tcPr>
            <w:tcW w:w="5" w:type="pct"/>
            <w:shd w:val="clear" w:color="auto" w:fill="auto"/>
            <w:vAlign w:val="bottom"/>
          </w:tcPr>
          <w:p w14:paraId="675380B9" w14:textId="77777777" w:rsidR="001B77DD" w:rsidRDefault="001B77DD">
            <w:pPr>
              <w:rPr>
                <w:rFonts w:ascii="宋体"/>
              </w:rPr>
            </w:pPr>
          </w:p>
        </w:tc>
        <w:tc>
          <w:tcPr>
            <w:tcW w:w="50" w:type="pct"/>
            <w:shd w:val="clear" w:color="auto" w:fill="auto"/>
            <w:vAlign w:val="bottom"/>
          </w:tcPr>
          <w:p w14:paraId="675380BA" w14:textId="77777777" w:rsidR="001B77DD" w:rsidRDefault="001B77DD">
            <w:pPr>
              <w:rPr>
                <w:rFonts w:ascii="宋体"/>
              </w:rPr>
            </w:pPr>
          </w:p>
        </w:tc>
        <w:tc>
          <w:tcPr>
            <w:tcW w:w="539" w:type="pct"/>
            <w:shd w:val="clear" w:color="auto" w:fill="auto"/>
            <w:vAlign w:val="bottom"/>
          </w:tcPr>
          <w:p w14:paraId="675380BB" w14:textId="77777777" w:rsidR="001B77DD" w:rsidRDefault="001B77DD">
            <w:pPr>
              <w:rPr>
                <w:rFonts w:ascii="宋体"/>
              </w:rPr>
            </w:pPr>
          </w:p>
        </w:tc>
        <w:tc>
          <w:tcPr>
            <w:tcW w:w="5" w:type="pct"/>
            <w:shd w:val="clear" w:color="auto" w:fill="auto"/>
            <w:vAlign w:val="bottom"/>
          </w:tcPr>
          <w:p w14:paraId="675380BC" w14:textId="77777777" w:rsidR="001B77DD" w:rsidRDefault="001B77DD">
            <w:pPr>
              <w:rPr>
                <w:rFonts w:ascii="宋体"/>
              </w:rPr>
            </w:pPr>
          </w:p>
        </w:tc>
        <w:tc>
          <w:tcPr>
            <w:tcW w:w="5" w:type="pct"/>
            <w:shd w:val="clear" w:color="auto" w:fill="auto"/>
            <w:vAlign w:val="bottom"/>
          </w:tcPr>
          <w:p w14:paraId="675380BD" w14:textId="77777777" w:rsidR="001B77DD" w:rsidRDefault="001B77DD">
            <w:pPr>
              <w:rPr>
                <w:rFonts w:ascii="宋体"/>
              </w:rPr>
            </w:pPr>
          </w:p>
        </w:tc>
        <w:tc>
          <w:tcPr>
            <w:tcW w:w="24" w:type="pct"/>
            <w:shd w:val="clear" w:color="auto" w:fill="auto"/>
            <w:vAlign w:val="bottom"/>
          </w:tcPr>
          <w:p w14:paraId="675380BE" w14:textId="77777777" w:rsidR="001B77DD" w:rsidRDefault="001B77DD">
            <w:pPr>
              <w:rPr>
                <w:rFonts w:ascii="宋体"/>
              </w:rPr>
            </w:pPr>
          </w:p>
        </w:tc>
        <w:tc>
          <w:tcPr>
            <w:tcW w:w="5" w:type="pct"/>
            <w:shd w:val="clear" w:color="auto" w:fill="auto"/>
            <w:vAlign w:val="bottom"/>
          </w:tcPr>
          <w:p w14:paraId="675380BF" w14:textId="77777777" w:rsidR="001B77DD" w:rsidRDefault="001B77DD">
            <w:pPr>
              <w:rPr>
                <w:rFonts w:ascii="宋体"/>
              </w:rPr>
            </w:pPr>
          </w:p>
        </w:tc>
        <w:tc>
          <w:tcPr>
            <w:tcW w:w="50" w:type="pct"/>
            <w:shd w:val="clear" w:color="auto" w:fill="auto"/>
            <w:vAlign w:val="bottom"/>
          </w:tcPr>
          <w:p w14:paraId="675380C0" w14:textId="77777777" w:rsidR="001B77DD" w:rsidRDefault="001B77DD">
            <w:pPr>
              <w:rPr>
                <w:rFonts w:ascii="宋体"/>
              </w:rPr>
            </w:pPr>
          </w:p>
        </w:tc>
        <w:tc>
          <w:tcPr>
            <w:tcW w:w="539" w:type="pct"/>
            <w:shd w:val="clear" w:color="auto" w:fill="auto"/>
            <w:vAlign w:val="bottom"/>
          </w:tcPr>
          <w:p w14:paraId="675380C1" w14:textId="77777777" w:rsidR="001B77DD" w:rsidRDefault="001B77DD">
            <w:pPr>
              <w:rPr>
                <w:rFonts w:ascii="宋体"/>
              </w:rPr>
            </w:pPr>
          </w:p>
        </w:tc>
        <w:tc>
          <w:tcPr>
            <w:tcW w:w="5" w:type="pct"/>
            <w:shd w:val="clear" w:color="auto" w:fill="auto"/>
            <w:vAlign w:val="bottom"/>
          </w:tcPr>
          <w:p w14:paraId="675380C2" w14:textId="77777777" w:rsidR="001B77DD" w:rsidRDefault="001B77DD">
            <w:pPr>
              <w:rPr>
                <w:rFonts w:ascii="宋体"/>
              </w:rPr>
            </w:pPr>
          </w:p>
        </w:tc>
        <w:tc>
          <w:tcPr>
            <w:tcW w:w="5" w:type="pct"/>
            <w:shd w:val="clear" w:color="auto" w:fill="auto"/>
            <w:vAlign w:val="bottom"/>
          </w:tcPr>
          <w:p w14:paraId="675380C3" w14:textId="77777777" w:rsidR="001B77DD" w:rsidRDefault="001B77DD">
            <w:pPr>
              <w:rPr>
                <w:rFonts w:ascii="宋体"/>
              </w:rPr>
            </w:pPr>
          </w:p>
        </w:tc>
        <w:tc>
          <w:tcPr>
            <w:tcW w:w="24" w:type="pct"/>
            <w:shd w:val="clear" w:color="auto" w:fill="auto"/>
            <w:vAlign w:val="bottom"/>
          </w:tcPr>
          <w:p w14:paraId="675380C4" w14:textId="77777777" w:rsidR="001B77DD" w:rsidRDefault="001B77DD">
            <w:pPr>
              <w:rPr>
                <w:rFonts w:ascii="宋体"/>
              </w:rPr>
            </w:pPr>
          </w:p>
        </w:tc>
        <w:tc>
          <w:tcPr>
            <w:tcW w:w="5" w:type="pct"/>
            <w:shd w:val="clear" w:color="auto" w:fill="auto"/>
            <w:vAlign w:val="bottom"/>
          </w:tcPr>
          <w:p w14:paraId="675380C5" w14:textId="77777777" w:rsidR="001B77DD" w:rsidRDefault="001B77DD">
            <w:pPr>
              <w:rPr>
                <w:rFonts w:ascii="宋体"/>
              </w:rPr>
            </w:pPr>
          </w:p>
        </w:tc>
        <w:tc>
          <w:tcPr>
            <w:tcW w:w="50" w:type="pct"/>
            <w:shd w:val="clear" w:color="auto" w:fill="auto"/>
            <w:vAlign w:val="bottom"/>
          </w:tcPr>
          <w:p w14:paraId="675380C6" w14:textId="77777777" w:rsidR="001B77DD" w:rsidRDefault="001B77DD">
            <w:pPr>
              <w:rPr>
                <w:rFonts w:ascii="宋体"/>
              </w:rPr>
            </w:pPr>
          </w:p>
        </w:tc>
        <w:tc>
          <w:tcPr>
            <w:tcW w:w="539" w:type="pct"/>
            <w:shd w:val="clear" w:color="auto" w:fill="auto"/>
            <w:vAlign w:val="bottom"/>
          </w:tcPr>
          <w:p w14:paraId="675380C7" w14:textId="77777777" w:rsidR="001B77DD" w:rsidRDefault="001B77DD">
            <w:pPr>
              <w:rPr>
                <w:rFonts w:ascii="宋体"/>
              </w:rPr>
            </w:pPr>
          </w:p>
        </w:tc>
        <w:tc>
          <w:tcPr>
            <w:tcW w:w="5" w:type="pct"/>
            <w:shd w:val="clear" w:color="auto" w:fill="auto"/>
            <w:vAlign w:val="bottom"/>
          </w:tcPr>
          <w:p w14:paraId="675380C8" w14:textId="77777777" w:rsidR="001B77DD" w:rsidRDefault="001B77DD">
            <w:pPr>
              <w:rPr>
                <w:rFonts w:ascii="宋体"/>
              </w:rPr>
            </w:pPr>
          </w:p>
        </w:tc>
      </w:tr>
      <w:tr w:rsidR="001B77DD" w14:paraId="675380D9" w14:textId="77777777">
        <w:trPr>
          <w:hidden/>
        </w:trPr>
        <w:tc>
          <w:tcPr>
            <w:tcW w:w="0" w:type="auto"/>
            <w:gridSpan w:val="3"/>
            <w:shd w:val="clear" w:color="auto" w:fill="auto"/>
            <w:vAlign w:val="bottom"/>
          </w:tcPr>
          <w:p w14:paraId="675380CA" w14:textId="77777777" w:rsidR="001B77DD" w:rsidRDefault="001B77DD">
            <w:pPr>
              <w:rPr>
                <w:rFonts w:ascii="宋体"/>
                <w:vanish/>
              </w:rPr>
            </w:pPr>
          </w:p>
        </w:tc>
        <w:tc>
          <w:tcPr>
            <w:tcW w:w="0" w:type="auto"/>
            <w:gridSpan w:val="3"/>
            <w:shd w:val="clear" w:color="auto" w:fill="auto"/>
            <w:vAlign w:val="bottom"/>
          </w:tcPr>
          <w:p w14:paraId="675380CB" w14:textId="77777777" w:rsidR="001B77DD" w:rsidRDefault="001B77DD">
            <w:pPr>
              <w:rPr>
                <w:rFonts w:ascii="宋体"/>
                <w:vanish/>
              </w:rPr>
            </w:pPr>
          </w:p>
        </w:tc>
        <w:tc>
          <w:tcPr>
            <w:tcW w:w="0" w:type="auto"/>
            <w:gridSpan w:val="3"/>
            <w:shd w:val="clear" w:color="auto" w:fill="auto"/>
            <w:vAlign w:val="bottom"/>
          </w:tcPr>
          <w:p w14:paraId="675380CC" w14:textId="77777777" w:rsidR="001B77DD" w:rsidRDefault="001B77DD">
            <w:pPr>
              <w:rPr>
                <w:rFonts w:ascii="宋体"/>
                <w:vanish/>
              </w:rPr>
            </w:pPr>
          </w:p>
        </w:tc>
        <w:tc>
          <w:tcPr>
            <w:tcW w:w="0" w:type="auto"/>
            <w:shd w:val="clear" w:color="auto" w:fill="auto"/>
            <w:vAlign w:val="bottom"/>
          </w:tcPr>
          <w:p w14:paraId="675380CD" w14:textId="77777777" w:rsidR="001B77DD" w:rsidRDefault="001B77DD">
            <w:pPr>
              <w:rPr>
                <w:rFonts w:ascii="宋体"/>
              </w:rPr>
            </w:pPr>
          </w:p>
        </w:tc>
        <w:tc>
          <w:tcPr>
            <w:tcW w:w="0" w:type="auto"/>
            <w:shd w:val="clear" w:color="auto" w:fill="auto"/>
            <w:vAlign w:val="bottom"/>
          </w:tcPr>
          <w:p w14:paraId="675380CE" w14:textId="77777777" w:rsidR="001B77DD" w:rsidRDefault="001B77DD">
            <w:pPr>
              <w:rPr>
                <w:rFonts w:ascii="宋体"/>
              </w:rPr>
            </w:pPr>
          </w:p>
        </w:tc>
        <w:tc>
          <w:tcPr>
            <w:tcW w:w="0" w:type="auto"/>
            <w:shd w:val="clear" w:color="auto" w:fill="auto"/>
            <w:vAlign w:val="bottom"/>
          </w:tcPr>
          <w:p w14:paraId="675380CF" w14:textId="77777777" w:rsidR="001B77DD" w:rsidRDefault="001B77DD">
            <w:pPr>
              <w:rPr>
                <w:rFonts w:ascii="宋体"/>
              </w:rPr>
            </w:pPr>
          </w:p>
        </w:tc>
        <w:tc>
          <w:tcPr>
            <w:tcW w:w="0" w:type="auto"/>
            <w:shd w:val="clear" w:color="auto" w:fill="auto"/>
            <w:vAlign w:val="bottom"/>
          </w:tcPr>
          <w:p w14:paraId="675380D0" w14:textId="77777777" w:rsidR="001B77DD" w:rsidRDefault="001B77DD">
            <w:pPr>
              <w:rPr>
                <w:rFonts w:ascii="宋体"/>
              </w:rPr>
            </w:pPr>
          </w:p>
        </w:tc>
        <w:tc>
          <w:tcPr>
            <w:tcW w:w="0" w:type="auto"/>
            <w:shd w:val="clear" w:color="auto" w:fill="auto"/>
            <w:vAlign w:val="bottom"/>
          </w:tcPr>
          <w:p w14:paraId="675380D1" w14:textId="77777777" w:rsidR="001B77DD" w:rsidRDefault="001B77DD">
            <w:pPr>
              <w:rPr>
                <w:rFonts w:ascii="宋体"/>
              </w:rPr>
            </w:pPr>
          </w:p>
        </w:tc>
        <w:tc>
          <w:tcPr>
            <w:tcW w:w="0" w:type="auto"/>
            <w:shd w:val="clear" w:color="auto" w:fill="auto"/>
            <w:vAlign w:val="bottom"/>
          </w:tcPr>
          <w:p w14:paraId="675380D2" w14:textId="77777777" w:rsidR="001B77DD" w:rsidRDefault="001B77DD">
            <w:pPr>
              <w:rPr>
                <w:rFonts w:ascii="宋体"/>
              </w:rPr>
            </w:pPr>
          </w:p>
        </w:tc>
        <w:tc>
          <w:tcPr>
            <w:tcW w:w="0" w:type="auto"/>
            <w:shd w:val="clear" w:color="auto" w:fill="auto"/>
            <w:vAlign w:val="bottom"/>
          </w:tcPr>
          <w:p w14:paraId="675380D3" w14:textId="77777777" w:rsidR="001B77DD" w:rsidRDefault="001B77DD">
            <w:pPr>
              <w:rPr>
                <w:rFonts w:ascii="宋体"/>
              </w:rPr>
            </w:pPr>
          </w:p>
        </w:tc>
        <w:tc>
          <w:tcPr>
            <w:tcW w:w="0" w:type="auto"/>
            <w:shd w:val="clear" w:color="auto" w:fill="auto"/>
            <w:vAlign w:val="bottom"/>
          </w:tcPr>
          <w:p w14:paraId="675380D4" w14:textId="77777777" w:rsidR="001B77DD" w:rsidRDefault="001B77DD">
            <w:pPr>
              <w:rPr>
                <w:rFonts w:ascii="宋体"/>
              </w:rPr>
            </w:pPr>
          </w:p>
        </w:tc>
        <w:tc>
          <w:tcPr>
            <w:tcW w:w="0" w:type="auto"/>
            <w:shd w:val="clear" w:color="auto" w:fill="auto"/>
            <w:vAlign w:val="bottom"/>
          </w:tcPr>
          <w:p w14:paraId="675380D5" w14:textId="77777777" w:rsidR="001B77DD" w:rsidRDefault="001B77DD">
            <w:pPr>
              <w:rPr>
                <w:rFonts w:ascii="宋体"/>
              </w:rPr>
            </w:pPr>
          </w:p>
        </w:tc>
        <w:tc>
          <w:tcPr>
            <w:tcW w:w="0" w:type="auto"/>
            <w:shd w:val="clear" w:color="auto" w:fill="auto"/>
            <w:vAlign w:val="bottom"/>
          </w:tcPr>
          <w:p w14:paraId="675380D6" w14:textId="77777777" w:rsidR="001B77DD" w:rsidRDefault="001B77DD">
            <w:pPr>
              <w:rPr>
                <w:rFonts w:ascii="宋体"/>
              </w:rPr>
            </w:pPr>
          </w:p>
        </w:tc>
        <w:tc>
          <w:tcPr>
            <w:tcW w:w="0" w:type="auto"/>
            <w:shd w:val="clear" w:color="auto" w:fill="auto"/>
            <w:vAlign w:val="bottom"/>
          </w:tcPr>
          <w:p w14:paraId="675380D7" w14:textId="77777777" w:rsidR="001B77DD" w:rsidRDefault="001B77DD">
            <w:pPr>
              <w:rPr>
                <w:rFonts w:ascii="宋体"/>
              </w:rPr>
            </w:pPr>
          </w:p>
        </w:tc>
        <w:tc>
          <w:tcPr>
            <w:tcW w:w="0" w:type="auto"/>
            <w:shd w:val="clear" w:color="auto" w:fill="auto"/>
            <w:vAlign w:val="bottom"/>
          </w:tcPr>
          <w:p w14:paraId="675380D8" w14:textId="77777777" w:rsidR="001B77DD" w:rsidRDefault="001B77DD">
            <w:pPr>
              <w:rPr>
                <w:rFonts w:ascii="宋体"/>
              </w:rPr>
            </w:pPr>
          </w:p>
        </w:tc>
      </w:tr>
      <w:tr w:rsidR="001B77DD" w14:paraId="675380E1" w14:textId="77777777">
        <w:tc>
          <w:tcPr>
            <w:tcW w:w="0" w:type="auto"/>
            <w:gridSpan w:val="3"/>
            <w:shd w:val="clear" w:color="auto" w:fill="auto"/>
            <w:tcMar>
              <w:top w:w="0" w:type="dxa"/>
              <w:left w:w="20" w:type="dxa"/>
              <w:bottom w:w="0" w:type="dxa"/>
              <w:right w:w="20" w:type="dxa"/>
            </w:tcMar>
            <w:vAlign w:val="bottom"/>
          </w:tcPr>
          <w:p w14:paraId="675380D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0D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0DC" w14:textId="77777777" w:rsidR="001B77DD" w:rsidRDefault="00BF0A2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75380D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0DE" w14:textId="77777777" w:rsidR="001B77DD" w:rsidRDefault="00BF0A28">
            <w:pPr>
              <w:jc w:val="center"/>
              <w:textAlignment w:val="bottom"/>
            </w:pPr>
            <w:r>
              <w:rPr>
                <w:rFonts w:ascii="Arial" w:eastAsia="宋体" w:hAnsi="Arial" w:cs="Arial"/>
                <w:b/>
                <w:bCs/>
                <w:color w:val="262626"/>
                <w:sz w:val="18"/>
                <w:szCs w:val="18"/>
              </w:rPr>
              <w:t xml:space="preserve">Dec 26, </w:t>
            </w:r>
            <w:r>
              <w:rPr>
                <w:rFonts w:ascii="Arial" w:eastAsia="宋体" w:hAnsi="Arial" w:cs="Arial"/>
                <w:b/>
                <w:bCs/>
                <w:color w:val="262626"/>
                <w:sz w:val="18"/>
                <w:szCs w:val="18"/>
              </w:rPr>
              <w:t>2020</w:t>
            </w:r>
          </w:p>
        </w:tc>
        <w:tc>
          <w:tcPr>
            <w:tcW w:w="0" w:type="auto"/>
            <w:gridSpan w:val="3"/>
            <w:shd w:val="clear" w:color="auto" w:fill="auto"/>
            <w:tcMar>
              <w:top w:w="0" w:type="dxa"/>
              <w:left w:w="20" w:type="dxa"/>
              <w:bottom w:w="0" w:type="dxa"/>
              <w:right w:w="20" w:type="dxa"/>
            </w:tcMar>
            <w:vAlign w:val="bottom"/>
          </w:tcPr>
          <w:p w14:paraId="675380D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0E0" w14:textId="77777777" w:rsidR="001B77DD" w:rsidRDefault="00BF0A28">
            <w:pPr>
              <w:jc w:val="center"/>
              <w:textAlignment w:val="bottom"/>
            </w:pPr>
            <w:r>
              <w:rPr>
                <w:rFonts w:ascii="Arial" w:eastAsia="宋体" w:hAnsi="Arial" w:cs="Arial"/>
                <w:b/>
                <w:bCs/>
                <w:color w:val="262626"/>
                <w:sz w:val="18"/>
                <w:szCs w:val="18"/>
              </w:rPr>
              <w:t>Dec 28, 2019</w:t>
            </w:r>
          </w:p>
        </w:tc>
      </w:tr>
      <w:tr w:rsidR="001B77DD" w14:paraId="675380EF"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80E2" w14:textId="77777777" w:rsidR="001B77DD" w:rsidRDefault="00BF0A28">
            <w:pPr>
              <w:textAlignment w:val="bottom"/>
            </w:pPr>
            <w:r>
              <w:rPr>
                <w:rFonts w:ascii="Arial" w:eastAsia="宋体" w:hAnsi="Arial" w:cs="Arial"/>
                <w:color w:val="262626"/>
                <w:sz w:val="18"/>
                <w:szCs w:val="18"/>
              </w:rPr>
              <w:t>Estimated values</w:t>
            </w:r>
          </w:p>
        </w:tc>
        <w:tc>
          <w:tcPr>
            <w:tcW w:w="0" w:type="auto"/>
            <w:gridSpan w:val="3"/>
            <w:shd w:val="clear" w:color="auto" w:fill="auto"/>
            <w:tcMar>
              <w:top w:w="0" w:type="dxa"/>
              <w:left w:w="20" w:type="dxa"/>
              <w:bottom w:w="0" w:type="dxa"/>
              <w:right w:w="20" w:type="dxa"/>
            </w:tcMar>
            <w:vAlign w:val="bottom"/>
          </w:tcPr>
          <w:p w14:paraId="675380E3"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E4"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E5" w14:textId="77777777" w:rsidR="001B77DD" w:rsidRDefault="00BF0A28">
            <w:pPr>
              <w:jc w:val="right"/>
              <w:textAlignment w:val="bottom"/>
            </w:pPr>
            <w:r>
              <w:rPr>
                <w:rFonts w:ascii="Arial" w:eastAsia="宋体" w:hAnsi="Arial" w:cs="Arial"/>
                <w:color w:val="0068B5"/>
                <w:sz w:val="18"/>
                <w:szCs w:val="18"/>
              </w:rPr>
              <w:t>50.82 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E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E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E8"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E9" w14:textId="77777777" w:rsidR="001B77DD" w:rsidRDefault="00BF0A28">
            <w:pPr>
              <w:jc w:val="right"/>
              <w:textAlignment w:val="bottom"/>
            </w:pPr>
            <w:r>
              <w:rPr>
                <w:rFonts w:ascii="Arial" w:eastAsia="宋体" w:hAnsi="Arial" w:cs="Arial"/>
                <w:color w:val="262626"/>
                <w:sz w:val="18"/>
                <w:szCs w:val="18"/>
              </w:rPr>
              <w:t>54.82 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E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0E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0EC" w14:textId="77777777" w:rsidR="001B77DD" w:rsidRDefault="00BF0A2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0ED" w14:textId="77777777" w:rsidR="001B77DD" w:rsidRDefault="00BF0A28">
            <w:pPr>
              <w:jc w:val="right"/>
              <w:textAlignment w:val="bottom"/>
            </w:pPr>
            <w:r>
              <w:rPr>
                <w:rFonts w:ascii="Arial" w:eastAsia="宋体" w:hAnsi="Arial" w:cs="Arial"/>
                <w:color w:val="262626"/>
                <w:sz w:val="18"/>
                <w:szCs w:val="18"/>
              </w:rPr>
              <w:t>48.06 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0EE" w14:textId="77777777" w:rsidR="001B77DD" w:rsidRDefault="001B77DD">
            <w:pPr>
              <w:jc w:val="right"/>
              <w:rPr>
                <w:rFonts w:ascii="宋体"/>
              </w:rPr>
            </w:pPr>
          </w:p>
        </w:tc>
      </w:tr>
      <w:tr w:rsidR="001B77DD" w14:paraId="675380FA" w14:textId="77777777">
        <w:tc>
          <w:tcPr>
            <w:tcW w:w="0" w:type="auto"/>
            <w:gridSpan w:val="3"/>
            <w:shd w:val="clear" w:color="auto" w:fill="auto"/>
            <w:tcMar>
              <w:top w:w="40" w:type="dxa"/>
              <w:left w:w="20" w:type="dxa"/>
              <w:bottom w:w="40" w:type="dxa"/>
              <w:right w:w="20" w:type="dxa"/>
            </w:tcMar>
            <w:vAlign w:val="bottom"/>
          </w:tcPr>
          <w:p w14:paraId="675380F0" w14:textId="77777777" w:rsidR="001B77DD" w:rsidRDefault="00BF0A28">
            <w:pPr>
              <w:textAlignment w:val="bottom"/>
            </w:pPr>
            <w:r>
              <w:rPr>
                <w:rFonts w:ascii="Arial" w:eastAsia="宋体" w:hAnsi="Arial" w:cs="Arial"/>
                <w:color w:val="262626"/>
                <w:sz w:val="18"/>
                <w:szCs w:val="18"/>
              </w:rPr>
              <w:t>Risk-free interest rate</w:t>
            </w:r>
          </w:p>
        </w:tc>
        <w:tc>
          <w:tcPr>
            <w:tcW w:w="0" w:type="auto"/>
            <w:gridSpan w:val="3"/>
            <w:shd w:val="clear" w:color="auto" w:fill="auto"/>
            <w:tcMar>
              <w:top w:w="0" w:type="dxa"/>
              <w:left w:w="20" w:type="dxa"/>
              <w:bottom w:w="0" w:type="dxa"/>
              <w:right w:w="20" w:type="dxa"/>
            </w:tcMar>
            <w:vAlign w:val="bottom"/>
          </w:tcPr>
          <w:p w14:paraId="675380F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0F2" w14:textId="77777777" w:rsidR="001B77DD" w:rsidRDefault="00BF0A28">
            <w:pPr>
              <w:jc w:val="right"/>
              <w:textAlignment w:val="bottom"/>
            </w:pPr>
            <w:r>
              <w:rPr>
                <w:rFonts w:ascii="Arial" w:eastAsia="宋体" w:hAnsi="Arial" w:cs="Arial"/>
                <w:color w:val="0068B5"/>
                <w:sz w:val="18"/>
                <w:szCs w:val="18"/>
              </w:rPr>
              <w:t>0.2 </w:t>
            </w:r>
          </w:p>
        </w:tc>
        <w:tc>
          <w:tcPr>
            <w:tcW w:w="0" w:type="auto"/>
            <w:shd w:val="clear" w:color="auto" w:fill="auto"/>
            <w:tcMar>
              <w:top w:w="40" w:type="dxa"/>
              <w:left w:w="0" w:type="dxa"/>
              <w:bottom w:w="40" w:type="dxa"/>
              <w:right w:w="20" w:type="dxa"/>
            </w:tcMar>
            <w:vAlign w:val="bottom"/>
          </w:tcPr>
          <w:p w14:paraId="675380F3"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80F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0F5" w14:textId="77777777" w:rsidR="001B77DD" w:rsidRDefault="00BF0A28">
            <w:pPr>
              <w:jc w:val="right"/>
              <w:textAlignment w:val="bottom"/>
            </w:pPr>
            <w:r>
              <w:rPr>
                <w:rFonts w:ascii="Arial" w:eastAsia="宋体" w:hAnsi="Arial" w:cs="Arial"/>
                <w:color w:val="262626"/>
                <w:sz w:val="18"/>
                <w:szCs w:val="18"/>
              </w:rPr>
              <w:t>0.4 </w:t>
            </w:r>
          </w:p>
        </w:tc>
        <w:tc>
          <w:tcPr>
            <w:tcW w:w="0" w:type="auto"/>
            <w:shd w:val="clear" w:color="auto" w:fill="auto"/>
            <w:tcMar>
              <w:top w:w="40" w:type="dxa"/>
              <w:left w:w="0" w:type="dxa"/>
              <w:bottom w:w="40" w:type="dxa"/>
              <w:right w:w="20" w:type="dxa"/>
            </w:tcMar>
            <w:vAlign w:val="bottom"/>
          </w:tcPr>
          <w:p w14:paraId="675380F6"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80F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0F8" w14:textId="77777777" w:rsidR="001B77DD" w:rsidRDefault="00BF0A28">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675380F9" w14:textId="77777777" w:rsidR="001B77DD" w:rsidRDefault="00BF0A28">
            <w:pPr>
              <w:jc w:val="right"/>
              <w:textAlignment w:val="bottom"/>
            </w:pPr>
            <w:r>
              <w:rPr>
                <w:rFonts w:ascii="Arial" w:eastAsia="宋体" w:hAnsi="Arial" w:cs="Arial"/>
                <w:color w:val="262626"/>
                <w:sz w:val="18"/>
                <w:szCs w:val="18"/>
              </w:rPr>
              <w:t>%</w:t>
            </w:r>
          </w:p>
        </w:tc>
      </w:tr>
      <w:tr w:rsidR="001B77DD" w14:paraId="67538105" w14:textId="77777777">
        <w:tc>
          <w:tcPr>
            <w:tcW w:w="0" w:type="auto"/>
            <w:gridSpan w:val="3"/>
            <w:shd w:val="clear" w:color="auto" w:fill="auto"/>
            <w:tcMar>
              <w:top w:w="40" w:type="dxa"/>
              <w:left w:w="20" w:type="dxa"/>
              <w:bottom w:w="40" w:type="dxa"/>
              <w:right w:w="20" w:type="dxa"/>
            </w:tcMar>
            <w:vAlign w:val="bottom"/>
          </w:tcPr>
          <w:p w14:paraId="675380FB" w14:textId="77777777" w:rsidR="001B77DD" w:rsidRDefault="00BF0A28">
            <w:pPr>
              <w:textAlignment w:val="bottom"/>
            </w:pPr>
            <w:r>
              <w:rPr>
                <w:rFonts w:ascii="Arial" w:eastAsia="宋体" w:hAnsi="Arial" w:cs="Arial"/>
                <w:color w:val="262626"/>
                <w:sz w:val="18"/>
                <w:szCs w:val="18"/>
              </w:rPr>
              <w:t>Dividend yield</w:t>
            </w:r>
          </w:p>
        </w:tc>
        <w:tc>
          <w:tcPr>
            <w:tcW w:w="0" w:type="auto"/>
            <w:gridSpan w:val="3"/>
            <w:shd w:val="clear" w:color="auto" w:fill="auto"/>
            <w:tcMar>
              <w:top w:w="0" w:type="dxa"/>
              <w:left w:w="20" w:type="dxa"/>
              <w:bottom w:w="0" w:type="dxa"/>
              <w:right w:w="20" w:type="dxa"/>
            </w:tcMar>
            <w:vAlign w:val="bottom"/>
          </w:tcPr>
          <w:p w14:paraId="675380F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0FD" w14:textId="77777777" w:rsidR="001B77DD" w:rsidRDefault="00BF0A28">
            <w:pPr>
              <w:jc w:val="right"/>
              <w:textAlignment w:val="bottom"/>
            </w:pPr>
            <w:r>
              <w:rPr>
                <w:rFonts w:ascii="Arial" w:eastAsia="宋体" w:hAnsi="Arial" w:cs="Arial"/>
                <w:color w:val="0068B5"/>
                <w:sz w:val="18"/>
                <w:szCs w:val="18"/>
              </w:rPr>
              <w:t>2.6 </w:t>
            </w:r>
          </w:p>
        </w:tc>
        <w:tc>
          <w:tcPr>
            <w:tcW w:w="0" w:type="auto"/>
            <w:shd w:val="clear" w:color="auto" w:fill="auto"/>
            <w:tcMar>
              <w:top w:w="40" w:type="dxa"/>
              <w:left w:w="0" w:type="dxa"/>
              <w:bottom w:w="40" w:type="dxa"/>
              <w:right w:w="20" w:type="dxa"/>
            </w:tcMar>
            <w:vAlign w:val="bottom"/>
          </w:tcPr>
          <w:p w14:paraId="675380FE"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80F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100" w14:textId="77777777" w:rsidR="001B77DD" w:rsidRDefault="00BF0A28">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67538101"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810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103" w14:textId="77777777" w:rsidR="001B77DD" w:rsidRDefault="00BF0A28">
            <w:pPr>
              <w:jc w:val="right"/>
              <w:textAlignment w:val="bottom"/>
            </w:pPr>
            <w:r>
              <w:rPr>
                <w:rFonts w:ascii="Arial" w:eastAsia="宋体" w:hAnsi="Arial" w:cs="Arial"/>
                <w:color w:val="262626"/>
                <w:sz w:val="18"/>
                <w:szCs w:val="18"/>
              </w:rPr>
              <w:t>2.5 </w:t>
            </w:r>
          </w:p>
        </w:tc>
        <w:tc>
          <w:tcPr>
            <w:tcW w:w="0" w:type="auto"/>
            <w:shd w:val="clear" w:color="auto" w:fill="auto"/>
            <w:tcMar>
              <w:top w:w="40" w:type="dxa"/>
              <w:left w:w="0" w:type="dxa"/>
              <w:bottom w:w="40" w:type="dxa"/>
              <w:right w:w="20" w:type="dxa"/>
            </w:tcMar>
            <w:vAlign w:val="bottom"/>
          </w:tcPr>
          <w:p w14:paraId="67538104" w14:textId="77777777" w:rsidR="001B77DD" w:rsidRDefault="00BF0A28">
            <w:pPr>
              <w:jc w:val="right"/>
              <w:textAlignment w:val="bottom"/>
            </w:pPr>
            <w:r>
              <w:rPr>
                <w:rFonts w:ascii="Arial" w:eastAsia="宋体" w:hAnsi="Arial" w:cs="Arial"/>
                <w:color w:val="262626"/>
                <w:sz w:val="18"/>
                <w:szCs w:val="18"/>
              </w:rPr>
              <w:t>%</w:t>
            </w:r>
          </w:p>
        </w:tc>
      </w:tr>
      <w:tr w:rsidR="001B77DD" w14:paraId="67538110" w14:textId="77777777">
        <w:tc>
          <w:tcPr>
            <w:tcW w:w="0" w:type="auto"/>
            <w:gridSpan w:val="3"/>
            <w:shd w:val="clear" w:color="auto" w:fill="auto"/>
            <w:tcMar>
              <w:top w:w="40" w:type="dxa"/>
              <w:left w:w="20" w:type="dxa"/>
              <w:bottom w:w="40" w:type="dxa"/>
              <w:right w:w="20" w:type="dxa"/>
            </w:tcMar>
            <w:vAlign w:val="bottom"/>
          </w:tcPr>
          <w:p w14:paraId="67538106" w14:textId="77777777" w:rsidR="001B77DD" w:rsidRDefault="00BF0A28">
            <w:pPr>
              <w:textAlignment w:val="bottom"/>
            </w:pPr>
            <w:r>
              <w:rPr>
                <w:rFonts w:ascii="Arial" w:eastAsia="宋体" w:hAnsi="Arial" w:cs="Arial"/>
                <w:color w:val="262626"/>
                <w:sz w:val="18"/>
                <w:szCs w:val="18"/>
              </w:rPr>
              <w:t>Volatility</w:t>
            </w:r>
          </w:p>
        </w:tc>
        <w:tc>
          <w:tcPr>
            <w:tcW w:w="0" w:type="auto"/>
            <w:gridSpan w:val="3"/>
            <w:shd w:val="clear" w:color="auto" w:fill="auto"/>
            <w:tcMar>
              <w:top w:w="0" w:type="dxa"/>
              <w:left w:w="20" w:type="dxa"/>
              <w:bottom w:w="0" w:type="dxa"/>
              <w:right w:w="20" w:type="dxa"/>
            </w:tcMar>
            <w:vAlign w:val="bottom"/>
          </w:tcPr>
          <w:p w14:paraId="6753810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108" w14:textId="77777777" w:rsidR="001B77DD" w:rsidRDefault="00BF0A28">
            <w:pPr>
              <w:jc w:val="right"/>
              <w:textAlignment w:val="bottom"/>
            </w:pPr>
            <w:r>
              <w:rPr>
                <w:rFonts w:ascii="Arial" w:eastAsia="宋体" w:hAnsi="Arial" w:cs="Arial"/>
                <w:color w:val="0068B5"/>
                <w:sz w:val="18"/>
                <w:szCs w:val="18"/>
              </w:rPr>
              <w:t>37 </w:t>
            </w:r>
          </w:p>
        </w:tc>
        <w:tc>
          <w:tcPr>
            <w:tcW w:w="0" w:type="auto"/>
            <w:shd w:val="clear" w:color="auto" w:fill="auto"/>
            <w:tcMar>
              <w:top w:w="40" w:type="dxa"/>
              <w:left w:w="0" w:type="dxa"/>
              <w:bottom w:w="40" w:type="dxa"/>
              <w:right w:w="20" w:type="dxa"/>
            </w:tcMar>
            <w:vAlign w:val="bottom"/>
          </w:tcPr>
          <w:p w14:paraId="67538109" w14:textId="77777777" w:rsidR="001B77DD" w:rsidRDefault="00BF0A2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753810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10B" w14:textId="77777777" w:rsidR="001B77DD" w:rsidRDefault="00BF0A28">
            <w:pPr>
              <w:jc w:val="right"/>
              <w:textAlignment w:val="bottom"/>
            </w:pPr>
            <w:r>
              <w:rPr>
                <w:rFonts w:ascii="Arial" w:eastAsia="宋体" w:hAnsi="Arial" w:cs="Arial"/>
                <w:color w:val="262626"/>
                <w:sz w:val="18"/>
                <w:szCs w:val="18"/>
              </w:rPr>
              <w:t>30 </w:t>
            </w:r>
          </w:p>
        </w:tc>
        <w:tc>
          <w:tcPr>
            <w:tcW w:w="0" w:type="auto"/>
            <w:shd w:val="clear" w:color="auto" w:fill="auto"/>
            <w:tcMar>
              <w:top w:w="40" w:type="dxa"/>
              <w:left w:w="0" w:type="dxa"/>
              <w:bottom w:w="40" w:type="dxa"/>
              <w:right w:w="20" w:type="dxa"/>
            </w:tcMar>
            <w:vAlign w:val="bottom"/>
          </w:tcPr>
          <w:p w14:paraId="6753810C" w14:textId="77777777" w:rsidR="001B77DD" w:rsidRDefault="00BF0A2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753810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10E" w14:textId="77777777" w:rsidR="001B77DD" w:rsidRDefault="00BF0A28">
            <w:pPr>
              <w:jc w:val="right"/>
              <w:textAlignment w:val="bottom"/>
            </w:pPr>
            <w:r>
              <w:rPr>
                <w:rFonts w:ascii="Arial" w:eastAsia="宋体" w:hAnsi="Arial" w:cs="Arial"/>
                <w:color w:val="262626"/>
                <w:sz w:val="18"/>
                <w:szCs w:val="18"/>
              </w:rPr>
              <w:t>25 </w:t>
            </w:r>
          </w:p>
        </w:tc>
        <w:tc>
          <w:tcPr>
            <w:tcW w:w="0" w:type="auto"/>
            <w:shd w:val="clear" w:color="auto" w:fill="auto"/>
            <w:tcMar>
              <w:top w:w="40" w:type="dxa"/>
              <w:left w:w="0" w:type="dxa"/>
              <w:bottom w:w="40" w:type="dxa"/>
              <w:right w:w="20" w:type="dxa"/>
            </w:tcMar>
            <w:vAlign w:val="bottom"/>
          </w:tcPr>
          <w:p w14:paraId="6753810F" w14:textId="77777777" w:rsidR="001B77DD" w:rsidRDefault="00BF0A28">
            <w:pPr>
              <w:jc w:val="right"/>
              <w:textAlignment w:val="bottom"/>
            </w:pPr>
            <w:r>
              <w:rPr>
                <w:rFonts w:ascii="Arial" w:eastAsia="宋体" w:hAnsi="Arial" w:cs="Arial"/>
                <w:color w:val="262626"/>
                <w:sz w:val="18"/>
                <w:szCs w:val="18"/>
              </w:rPr>
              <w:t>%</w:t>
            </w:r>
          </w:p>
        </w:tc>
      </w:tr>
    </w:tbl>
    <w:p w14:paraId="67538111" w14:textId="77777777" w:rsidR="001B77DD" w:rsidRDefault="00BF0A28">
      <w:pPr>
        <w:spacing w:before="180"/>
      </w:pPr>
      <w:r>
        <w:rPr>
          <w:rFonts w:ascii="Arial" w:eastAsia="宋体" w:hAnsi="Arial" w:cs="Arial"/>
          <w:color w:val="262626"/>
          <w:sz w:val="18"/>
          <w:szCs w:val="18"/>
        </w:rPr>
        <w:t>Summary of activities:</w:t>
      </w:r>
    </w:p>
    <w:tbl>
      <w:tblPr>
        <w:tblW w:w="4980" w:type="pct"/>
        <w:tblCellMar>
          <w:top w:w="15" w:type="dxa"/>
          <w:left w:w="15" w:type="dxa"/>
          <w:bottom w:w="15" w:type="dxa"/>
          <w:right w:w="15" w:type="dxa"/>
        </w:tblCellMar>
        <w:tblLook w:val="04A0" w:firstRow="1" w:lastRow="0" w:firstColumn="1" w:lastColumn="0" w:noHBand="0" w:noVBand="1"/>
      </w:tblPr>
      <w:tblGrid>
        <w:gridCol w:w="49"/>
        <w:gridCol w:w="5628"/>
        <w:gridCol w:w="36"/>
        <w:gridCol w:w="36"/>
        <w:gridCol w:w="36"/>
        <w:gridCol w:w="36"/>
        <w:gridCol w:w="53"/>
        <w:gridCol w:w="1061"/>
        <w:gridCol w:w="36"/>
        <w:gridCol w:w="36"/>
        <w:gridCol w:w="36"/>
        <w:gridCol w:w="36"/>
        <w:gridCol w:w="122"/>
        <w:gridCol w:w="1066"/>
        <w:gridCol w:w="36"/>
      </w:tblGrid>
      <w:tr w:rsidR="001B77DD" w14:paraId="67538121" w14:textId="77777777">
        <w:tc>
          <w:tcPr>
            <w:tcW w:w="50" w:type="pct"/>
            <w:shd w:val="clear" w:color="auto" w:fill="auto"/>
            <w:vAlign w:val="bottom"/>
          </w:tcPr>
          <w:p w14:paraId="67538112" w14:textId="77777777" w:rsidR="001B77DD" w:rsidRDefault="001B77DD">
            <w:pPr>
              <w:rPr>
                <w:rFonts w:ascii="宋体"/>
              </w:rPr>
            </w:pPr>
          </w:p>
        </w:tc>
        <w:tc>
          <w:tcPr>
            <w:tcW w:w="3408" w:type="pct"/>
            <w:shd w:val="clear" w:color="auto" w:fill="auto"/>
            <w:vAlign w:val="bottom"/>
          </w:tcPr>
          <w:p w14:paraId="67538113" w14:textId="77777777" w:rsidR="001B77DD" w:rsidRDefault="001B77DD">
            <w:pPr>
              <w:rPr>
                <w:rFonts w:ascii="宋体"/>
              </w:rPr>
            </w:pPr>
          </w:p>
        </w:tc>
        <w:tc>
          <w:tcPr>
            <w:tcW w:w="5" w:type="pct"/>
            <w:shd w:val="clear" w:color="auto" w:fill="auto"/>
            <w:vAlign w:val="bottom"/>
          </w:tcPr>
          <w:p w14:paraId="67538114" w14:textId="77777777" w:rsidR="001B77DD" w:rsidRDefault="001B77DD">
            <w:pPr>
              <w:rPr>
                <w:rFonts w:ascii="宋体"/>
              </w:rPr>
            </w:pPr>
          </w:p>
        </w:tc>
        <w:tc>
          <w:tcPr>
            <w:tcW w:w="5" w:type="pct"/>
            <w:shd w:val="clear" w:color="auto" w:fill="auto"/>
            <w:vAlign w:val="bottom"/>
          </w:tcPr>
          <w:p w14:paraId="67538115" w14:textId="77777777" w:rsidR="001B77DD" w:rsidRDefault="001B77DD">
            <w:pPr>
              <w:rPr>
                <w:rFonts w:ascii="宋体"/>
              </w:rPr>
            </w:pPr>
          </w:p>
        </w:tc>
        <w:tc>
          <w:tcPr>
            <w:tcW w:w="24" w:type="pct"/>
            <w:shd w:val="clear" w:color="auto" w:fill="auto"/>
            <w:vAlign w:val="bottom"/>
          </w:tcPr>
          <w:p w14:paraId="67538116" w14:textId="77777777" w:rsidR="001B77DD" w:rsidRDefault="001B77DD">
            <w:pPr>
              <w:rPr>
                <w:rFonts w:ascii="宋体"/>
              </w:rPr>
            </w:pPr>
          </w:p>
        </w:tc>
        <w:tc>
          <w:tcPr>
            <w:tcW w:w="5" w:type="pct"/>
            <w:shd w:val="clear" w:color="auto" w:fill="auto"/>
            <w:vAlign w:val="bottom"/>
          </w:tcPr>
          <w:p w14:paraId="67538117" w14:textId="77777777" w:rsidR="001B77DD" w:rsidRDefault="001B77DD">
            <w:pPr>
              <w:rPr>
                <w:rFonts w:ascii="宋体"/>
              </w:rPr>
            </w:pPr>
          </w:p>
        </w:tc>
        <w:tc>
          <w:tcPr>
            <w:tcW w:w="50" w:type="pct"/>
            <w:shd w:val="clear" w:color="auto" w:fill="auto"/>
            <w:vAlign w:val="bottom"/>
          </w:tcPr>
          <w:p w14:paraId="67538118" w14:textId="77777777" w:rsidR="001B77DD" w:rsidRDefault="001B77DD">
            <w:pPr>
              <w:rPr>
                <w:rFonts w:ascii="宋体"/>
              </w:rPr>
            </w:pPr>
          </w:p>
        </w:tc>
        <w:tc>
          <w:tcPr>
            <w:tcW w:w="678" w:type="pct"/>
            <w:shd w:val="clear" w:color="auto" w:fill="auto"/>
            <w:vAlign w:val="bottom"/>
          </w:tcPr>
          <w:p w14:paraId="67538119" w14:textId="77777777" w:rsidR="001B77DD" w:rsidRDefault="001B77DD">
            <w:pPr>
              <w:rPr>
                <w:rFonts w:ascii="宋体"/>
              </w:rPr>
            </w:pPr>
          </w:p>
        </w:tc>
        <w:tc>
          <w:tcPr>
            <w:tcW w:w="5" w:type="pct"/>
            <w:shd w:val="clear" w:color="auto" w:fill="auto"/>
            <w:vAlign w:val="bottom"/>
          </w:tcPr>
          <w:p w14:paraId="6753811A" w14:textId="77777777" w:rsidR="001B77DD" w:rsidRDefault="001B77DD">
            <w:pPr>
              <w:rPr>
                <w:rFonts w:ascii="宋体"/>
              </w:rPr>
            </w:pPr>
          </w:p>
        </w:tc>
        <w:tc>
          <w:tcPr>
            <w:tcW w:w="5" w:type="pct"/>
            <w:shd w:val="clear" w:color="auto" w:fill="auto"/>
            <w:vAlign w:val="bottom"/>
          </w:tcPr>
          <w:p w14:paraId="6753811B" w14:textId="77777777" w:rsidR="001B77DD" w:rsidRDefault="001B77DD">
            <w:pPr>
              <w:rPr>
                <w:rFonts w:ascii="宋体"/>
              </w:rPr>
            </w:pPr>
          </w:p>
        </w:tc>
        <w:tc>
          <w:tcPr>
            <w:tcW w:w="24" w:type="pct"/>
            <w:shd w:val="clear" w:color="auto" w:fill="auto"/>
            <w:vAlign w:val="bottom"/>
          </w:tcPr>
          <w:p w14:paraId="6753811C" w14:textId="77777777" w:rsidR="001B77DD" w:rsidRDefault="001B77DD">
            <w:pPr>
              <w:rPr>
                <w:rFonts w:ascii="宋体"/>
              </w:rPr>
            </w:pPr>
          </w:p>
        </w:tc>
        <w:tc>
          <w:tcPr>
            <w:tcW w:w="5" w:type="pct"/>
            <w:shd w:val="clear" w:color="auto" w:fill="auto"/>
            <w:vAlign w:val="bottom"/>
          </w:tcPr>
          <w:p w14:paraId="6753811D" w14:textId="77777777" w:rsidR="001B77DD" w:rsidRDefault="001B77DD">
            <w:pPr>
              <w:rPr>
                <w:rFonts w:ascii="宋体"/>
              </w:rPr>
            </w:pPr>
          </w:p>
        </w:tc>
        <w:tc>
          <w:tcPr>
            <w:tcW w:w="50" w:type="pct"/>
            <w:shd w:val="clear" w:color="auto" w:fill="auto"/>
            <w:vAlign w:val="bottom"/>
          </w:tcPr>
          <w:p w14:paraId="6753811E" w14:textId="77777777" w:rsidR="001B77DD" w:rsidRDefault="001B77DD">
            <w:pPr>
              <w:rPr>
                <w:rFonts w:ascii="宋体"/>
              </w:rPr>
            </w:pPr>
          </w:p>
        </w:tc>
        <w:tc>
          <w:tcPr>
            <w:tcW w:w="679" w:type="pct"/>
            <w:shd w:val="clear" w:color="auto" w:fill="auto"/>
            <w:vAlign w:val="bottom"/>
          </w:tcPr>
          <w:p w14:paraId="6753811F" w14:textId="77777777" w:rsidR="001B77DD" w:rsidRDefault="001B77DD">
            <w:pPr>
              <w:rPr>
                <w:rFonts w:ascii="宋体"/>
              </w:rPr>
            </w:pPr>
          </w:p>
        </w:tc>
        <w:tc>
          <w:tcPr>
            <w:tcW w:w="5" w:type="pct"/>
            <w:shd w:val="clear" w:color="auto" w:fill="auto"/>
            <w:vAlign w:val="bottom"/>
          </w:tcPr>
          <w:p w14:paraId="67538120" w14:textId="77777777" w:rsidR="001B77DD" w:rsidRDefault="001B77DD">
            <w:pPr>
              <w:rPr>
                <w:rFonts w:ascii="宋体"/>
              </w:rPr>
            </w:pPr>
          </w:p>
        </w:tc>
      </w:tr>
      <w:tr w:rsidR="001B77DD" w14:paraId="67538129" w14:textId="77777777">
        <w:tc>
          <w:tcPr>
            <w:tcW w:w="0" w:type="auto"/>
            <w:gridSpan w:val="3"/>
            <w:shd w:val="clear" w:color="auto" w:fill="auto"/>
            <w:tcMar>
              <w:top w:w="0" w:type="dxa"/>
              <w:left w:w="20" w:type="dxa"/>
              <w:bottom w:w="0" w:type="dxa"/>
              <w:right w:w="20" w:type="dxa"/>
            </w:tcMar>
            <w:vAlign w:val="bottom"/>
          </w:tcPr>
          <w:p w14:paraId="6753812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2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24" w14:textId="77777777" w:rsidR="001B77DD" w:rsidRDefault="00BF0A28">
            <w:pPr>
              <w:jc w:val="center"/>
              <w:textAlignment w:val="bottom"/>
            </w:pPr>
            <w:r>
              <w:rPr>
                <w:rFonts w:ascii="Arial" w:eastAsia="宋体" w:hAnsi="Arial" w:cs="Arial"/>
                <w:b/>
                <w:bCs/>
                <w:color w:val="262626"/>
                <w:sz w:val="18"/>
                <w:szCs w:val="18"/>
              </w:rPr>
              <w:t>Number of</w:t>
            </w:r>
          </w:p>
          <w:p w14:paraId="67538125" w14:textId="77777777" w:rsidR="001B77DD" w:rsidRDefault="00BF0A28">
            <w:pPr>
              <w:jc w:val="center"/>
              <w:textAlignment w:val="bottom"/>
            </w:pPr>
            <w:r>
              <w:rPr>
                <w:rFonts w:ascii="Arial" w:eastAsia="宋体" w:hAnsi="Arial" w:cs="Arial"/>
                <w:b/>
                <w:bCs/>
                <w:color w:val="262626"/>
                <w:sz w:val="18"/>
                <w:szCs w:val="18"/>
              </w:rPr>
              <w:t>Stock Units</w:t>
            </w:r>
          </w:p>
          <w:p w14:paraId="67538126" w14:textId="77777777" w:rsidR="001B77DD" w:rsidRDefault="00BF0A28">
            <w:pPr>
              <w:jc w:val="cente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753812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28" w14:textId="77777777" w:rsidR="001B77DD" w:rsidRDefault="00BF0A28">
            <w:pPr>
              <w:jc w:val="center"/>
              <w:textAlignment w:val="bottom"/>
            </w:pPr>
            <w:r>
              <w:rPr>
                <w:rFonts w:ascii="Arial" w:eastAsia="宋体" w:hAnsi="Arial" w:cs="Arial"/>
                <w:b/>
                <w:bCs/>
                <w:color w:val="262626"/>
                <w:sz w:val="18"/>
                <w:szCs w:val="18"/>
              </w:rPr>
              <w:t>Weighted Average Grant-Date Fair Value</w:t>
            </w:r>
          </w:p>
        </w:tc>
      </w:tr>
      <w:tr w:rsidR="001B77DD" w14:paraId="6753813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812A" w14:textId="77777777" w:rsidR="001B77DD" w:rsidRDefault="00BF0A28">
            <w:pPr>
              <w:textAlignment w:val="bottom"/>
            </w:pPr>
            <w:r>
              <w:rPr>
                <w:rFonts w:ascii="Arial" w:eastAsia="宋体" w:hAnsi="Arial" w:cs="Arial"/>
                <w:b/>
                <w:bCs/>
                <w:color w:val="262626"/>
                <w:sz w:val="18"/>
                <w:szCs w:val="18"/>
              </w:rPr>
              <w:t>December 26, 2020</w:t>
            </w:r>
          </w:p>
        </w:tc>
        <w:tc>
          <w:tcPr>
            <w:tcW w:w="0" w:type="auto"/>
            <w:gridSpan w:val="3"/>
            <w:shd w:val="clear" w:color="auto" w:fill="auto"/>
            <w:tcMar>
              <w:top w:w="0" w:type="dxa"/>
              <w:left w:w="20" w:type="dxa"/>
              <w:bottom w:w="0" w:type="dxa"/>
              <w:right w:w="20" w:type="dxa"/>
            </w:tcMar>
            <w:vAlign w:val="bottom"/>
          </w:tcPr>
          <w:p w14:paraId="6753812B"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753812C" w14:textId="77777777" w:rsidR="001B77DD" w:rsidRDefault="00BF0A28">
            <w:pPr>
              <w:jc w:val="right"/>
              <w:textAlignment w:val="bottom"/>
            </w:pPr>
            <w:r>
              <w:rPr>
                <w:rFonts w:ascii="Arial" w:eastAsia="宋体" w:hAnsi="Arial" w:cs="Arial"/>
                <w:b/>
                <w:bCs/>
                <w:color w:val="262626"/>
                <w:sz w:val="18"/>
                <w:szCs w:val="18"/>
              </w:rPr>
              <w:t>82.7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2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2E"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12F" w14:textId="77777777" w:rsidR="001B77DD" w:rsidRDefault="00BF0A2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130" w14:textId="77777777" w:rsidR="001B77DD" w:rsidRDefault="00BF0A28">
            <w:pPr>
              <w:jc w:val="right"/>
              <w:textAlignment w:val="bottom"/>
            </w:pPr>
            <w:r>
              <w:rPr>
                <w:rFonts w:ascii="Arial" w:eastAsia="宋体" w:hAnsi="Arial" w:cs="Arial"/>
                <w:b/>
                <w:bCs/>
                <w:color w:val="262626"/>
                <w:sz w:val="18"/>
                <w:szCs w:val="18"/>
              </w:rPr>
              <w:t>50.14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31" w14:textId="77777777" w:rsidR="001B77DD" w:rsidRDefault="001B77DD">
            <w:pPr>
              <w:jc w:val="right"/>
              <w:rPr>
                <w:rFonts w:ascii="宋体"/>
              </w:rPr>
            </w:pPr>
          </w:p>
        </w:tc>
      </w:tr>
      <w:tr w:rsidR="001B77DD" w14:paraId="6753813B" w14:textId="77777777">
        <w:tc>
          <w:tcPr>
            <w:tcW w:w="0" w:type="auto"/>
            <w:gridSpan w:val="3"/>
            <w:shd w:val="clear" w:color="auto" w:fill="auto"/>
            <w:tcMar>
              <w:top w:w="40" w:type="dxa"/>
              <w:left w:w="20" w:type="dxa"/>
              <w:bottom w:w="40" w:type="dxa"/>
              <w:right w:w="20" w:type="dxa"/>
            </w:tcMar>
            <w:vAlign w:val="bottom"/>
          </w:tcPr>
          <w:p w14:paraId="67538133" w14:textId="77777777" w:rsidR="001B77DD" w:rsidRDefault="00BF0A28">
            <w:pPr>
              <w:textAlignment w:val="bottom"/>
            </w:pPr>
            <w:r>
              <w:rPr>
                <w:rFonts w:ascii="Arial" w:eastAsia="宋体" w:hAnsi="Arial" w:cs="Arial"/>
                <w:color w:val="262626"/>
                <w:sz w:val="18"/>
                <w:szCs w:val="18"/>
              </w:rPr>
              <w:t>Granted</w:t>
            </w:r>
          </w:p>
        </w:tc>
        <w:tc>
          <w:tcPr>
            <w:tcW w:w="0" w:type="auto"/>
            <w:gridSpan w:val="3"/>
            <w:shd w:val="clear" w:color="auto" w:fill="auto"/>
            <w:tcMar>
              <w:top w:w="0" w:type="dxa"/>
              <w:left w:w="20" w:type="dxa"/>
              <w:bottom w:w="0" w:type="dxa"/>
              <w:right w:w="20" w:type="dxa"/>
            </w:tcMar>
            <w:vAlign w:val="bottom"/>
          </w:tcPr>
          <w:p w14:paraId="6753813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135" w14:textId="77777777" w:rsidR="001B77DD" w:rsidRDefault="00BF0A28">
            <w:pPr>
              <w:jc w:val="right"/>
              <w:textAlignment w:val="bottom"/>
            </w:pPr>
            <w:r>
              <w:rPr>
                <w:rFonts w:ascii="Arial" w:eastAsia="宋体" w:hAnsi="Arial" w:cs="Arial"/>
                <w:color w:val="0068B5"/>
                <w:sz w:val="18"/>
                <w:szCs w:val="18"/>
              </w:rPr>
              <w:t>76.8 </w:t>
            </w:r>
          </w:p>
        </w:tc>
        <w:tc>
          <w:tcPr>
            <w:tcW w:w="0" w:type="auto"/>
            <w:shd w:val="clear" w:color="auto" w:fill="auto"/>
            <w:tcMar>
              <w:top w:w="40" w:type="dxa"/>
              <w:left w:w="0" w:type="dxa"/>
              <w:bottom w:w="40" w:type="dxa"/>
              <w:right w:w="20" w:type="dxa"/>
            </w:tcMar>
            <w:vAlign w:val="bottom"/>
          </w:tcPr>
          <w:p w14:paraId="6753813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3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8138"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8139" w14:textId="77777777" w:rsidR="001B77DD" w:rsidRDefault="00BF0A28">
            <w:pPr>
              <w:jc w:val="right"/>
              <w:textAlignment w:val="bottom"/>
            </w:pPr>
            <w:r>
              <w:rPr>
                <w:rFonts w:ascii="Arial" w:eastAsia="宋体" w:hAnsi="Arial" w:cs="Arial"/>
                <w:color w:val="0068B5"/>
                <w:sz w:val="18"/>
                <w:szCs w:val="18"/>
              </w:rPr>
              <w:t>50.82 </w:t>
            </w:r>
          </w:p>
        </w:tc>
        <w:tc>
          <w:tcPr>
            <w:tcW w:w="0" w:type="auto"/>
            <w:shd w:val="clear" w:color="auto" w:fill="auto"/>
            <w:tcMar>
              <w:top w:w="40" w:type="dxa"/>
              <w:left w:w="0" w:type="dxa"/>
              <w:bottom w:w="40" w:type="dxa"/>
              <w:right w:w="20" w:type="dxa"/>
            </w:tcMar>
            <w:vAlign w:val="bottom"/>
          </w:tcPr>
          <w:p w14:paraId="6753813A" w14:textId="77777777" w:rsidR="001B77DD" w:rsidRDefault="001B77DD">
            <w:pPr>
              <w:jc w:val="right"/>
              <w:rPr>
                <w:rFonts w:ascii="宋体"/>
              </w:rPr>
            </w:pPr>
          </w:p>
        </w:tc>
      </w:tr>
      <w:tr w:rsidR="001B77DD" w14:paraId="67538144" w14:textId="77777777">
        <w:tc>
          <w:tcPr>
            <w:tcW w:w="0" w:type="auto"/>
            <w:gridSpan w:val="3"/>
            <w:shd w:val="clear" w:color="auto" w:fill="auto"/>
            <w:tcMar>
              <w:top w:w="40" w:type="dxa"/>
              <w:left w:w="20" w:type="dxa"/>
              <w:bottom w:w="40" w:type="dxa"/>
              <w:right w:w="20" w:type="dxa"/>
            </w:tcMar>
            <w:vAlign w:val="bottom"/>
          </w:tcPr>
          <w:p w14:paraId="6753813C" w14:textId="77777777" w:rsidR="001B77DD" w:rsidRDefault="00BF0A28">
            <w:pPr>
              <w:textAlignment w:val="bottom"/>
            </w:pPr>
            <w:r>
              <w:rPr>
                <w:rFonts w:ascii="Arial" w:eastAsia="宋体" w:hAnsi="Arial" w:cs="Arial"/>
                <w:color w:val="262626"/>
                <w:sz w:val="18"/>
                <w:szCs w:val="18"/>
              </w:rPr>
              <w:t>Vested</w:t>
            </w:r>
          </w:p>
        </w:tc>
        <w:tc>
          <w:tcPr>
            <w:tcW w:w="0" w:type="auto"/>
            <w:gridSpan w:val="3"/>
            <w:shd w:val="clear" w:color="auto" w:fill="auto"/>
            <w:tcMar>
              <w:top w:w="0" w:type="dxa"/>
              <w:left w:w="20" w:type="dxa"/>
              <w:bottom w:w="0" w:type="dxa"/>
              <w:right w:w="20" w:type="dxa"/>
            </w:tcMar>
            <w:vAlign w:val="bottom"/>
          </w:tcPr>
          <w:p w14:paraId="6753813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13E" w14:textId="77777777" w:rsidR="001B77DD" w:rsidRDefault="00BF0A28">
            <w:pPr>
              <w:jc w:val="right"/>
              <w:textAlignment w:val="bottom"/>
            </w:pPr>
            <w:r>
              <w:rPr>
                <w:rFonts w:ascii="Arial" w:eastAsia="宋体" w:hAnsi="Arial" w:cs="Arial"/>
                <w:color w:val="0068B5"/>
                <w:sz w:val="18"/>
                <w:szCs w:val="18"/>
              </w:rPr>
              <w:t>(30.2)</w:t>
            </w:r>
          </w:p>
        </w:tc>
        <w:tc>
          <w:tcPr>
            <w:tcW w:w="0" w:type="auto"/>
            <w:shd w:val="clear" w:color="auto" w:fill="auto"/>
            <w:tcMar>
              <w:top w:w="40" w:type="dxa"/>
              <w:left w:w="0" w:type="dxa"/>
              <w:bottom w:w="40" w:type="dxa"/>
              <w:right w:w="20" w:type="dxa"/>
            </w:tcMar>
            <w:vAlign w:val="bottom"/>
          </w:tcPr>
          <w:p w14:paraId="6753813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40"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8141"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8142" w14:textId="77777777" w:rsidR="001B77DD" w:rsidRDefault="00BF0A28">
            <w:pPr>
              <w:jc w:val="right"/>
              <w:textAlignment w:val="bottom"/>
            </w:pPr>
            <w:r>
              <w:rPr>
                <w:rFonts w:ascii="Arial" w:eastAsia="宋体" w:hAnsi="Arial" w:cs="Arial"/>
                <w:color w:val="0068B5"/>
                <w:sz w:val="18"/>
                <w:szCs w:val="18"/>
              </w:rPr>
              <w:t>47.64 </w:t>
            </w:r>
          </w:p>
        </w:tc>
        <w:tc>
          <w:tcPr>
            <w:tcW w:w="0" w:type="auto"/>
            <w:shd w:val="clear" w:color="auto" w:fill="auto"/>
            <w:tcMar>
              <w:top w:w="40" w:type="dxa"/>
              <w:left w:w="0" w:type="dxa"/>
              <w:bottom w:w="40" w:type="dxa"/>
              <w:right w:w="20" w:type="dxa"/>
            </w:tcMar>
            <w:vAlign w:val="bottom"/>
          </w:tcPr>
          <w:p w14:paraId="67538143" w14:textId="77777777" w:rsidR="001B77DD" w:rsidRDefault="001B77DD">
            <w:pPr>
              <w:jc w:val="right"/>
              <w:rPr>
                <w:rFonts w:ascii="宋体"/>
              </w:rPr>
            </w:pPr>
          </w:p>
        </w:tc>
      </w:tr>
      <w:tr w:rsidR="001B77DD" w14:paraId="6753814D" w14:textId="77777777">
        <w:tc>
          <w:tcPr>
            <w:tcW w:w="0" w:type="auto"/>
            <w:gridSpan w:val="3"/>
            <w:shd w:val="clear" w:color="auto" w:fill="auto"/>
            <w:tcMar>
              <w:top w:w="40" w:type="dxa"/>
              <w:left w:w="20" w:type="dxa"/>
              <w:bottom w:w="40" w:type="dxa"/>
              <w:right w:w="20" w:type="dxa"/>
            </w:tcMar>
            <w:vAlign w:val="bottom"/>
          </w:tcPr>
          <w:p w14:paraId="67538145" w14:textId="77777777" w:rsidR="001B77DD" w:rsidRDefault="00BF0A28">
            <w:pPr>
              <w:textAlignment w:val="bottom"/>
            </w:pPr>
            <w:r>
              <w:rPr>
                <w:rFonts w:ascii="Arial" w:eastAsia="宋体" w:hAnsi="Arial" w:cs="Arial"/>
                <w:color w:val="262626"/>
                <w:sz w:val="18"/>
                <w:szCs w:val="18"/>
              </w:rPr>
              <w:t>Forfeited</w:t>
            </w:r>
          </w:p>
        </w:tc>
        <w:tc>
          <w:tcPr>
            <w:tcW w:w="0" w:type="auto"/>
            <w:gridSpan w:val="3"/>
            <w:shd w:val="clear" w:color="auto" w:fill="auto"/>
            <w:tcMar>
              <w:top w:w="0" w:type="dxa"/>
              <w:left w:w="20" w:type="dxa"/>
              <w:bottom w:w="0" w:type="dxa"/>
              <w:right w:w="20" w:type="dxa"/>
            </w:tcMar>
            <w:vAlign w:val="bottom"/>
          </w:tcPr>
          <w:p w14:paraId="6753814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147" w14:textId="77777777" w:rsidR="001B77DD" w:rsidRDefault="00BF0A28">
            <w:pPr>
              <w:jc w:val="right"/>
              <w:textAlignment w:val="bottom"/>
            </w:pPr>
            <w:r>
              <w:rPr>
                <w:rFonts w:ascii="Arial" w:eastAsia="宋体" w:hAnsi="Arial" w:cs="Arial"/>
                <w:color w:val="0068B5"/>
                <w:sz w:val="18"/>
                <w:szCs w:val="18"/>
              </w:rPr>
              <w:t>(11.3)</w:t>
            </w:r>
          </w:p>
        </w:tc>
        <w:tc>
          <w:tcPr>
            <w:tcW w:w="0" w:type="auto"/>
            <w:shd w:val="clear" w:color="auto" w:fill="auto"/>
            <w:tcMar>
              <w:top w:w="40" w:type="dxa"/>
              <w:left w:w="0" w:type="dxa"/>
              <w:bottom w:w="40" w:type="dxa"/>
              <w:right w:w="20" w:type="dxa"/>
            </w:tcMar>
            <w:vAlign w:val="bottom"/>
          </w:tcPr>
          <w:p w14:paraId="6753814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4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814A"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814B" w14:textId="77777777" w:rsidR="001B77DD" w:rsidRDefault="00BF0A28">
            <w:pPr>
              <w:jc w:val="right"/>
              <w:textAlignment w:val="bottom"/>
            </w:pPr>
            <w:r>
              <w:rPr>
                <w:rFonts w:ascii="Arial" w:eastAsia="宋体" w:hAnsi="Arial" w:cs="Arial"/>
                <w:color w:val="0068B5"/>
                <w:sz w:val="18"/>
                <w:szCs w:val="18"/>
              </w:rPr>
              <w:t>49.48 </w:t>
            </w:r>
          </w:p>
        </w:tc>
        <w:tc>
          <w:tcPr>
            <w:tcW w:w="0" w:type="auto"/>
            <w:shd w:val="clear" w:color="auto" w:fill="auto"/>
            <w:tcMar>
              <w:top w:w="40" w:type="dxa"/>
              <w:left w:w="0" w:type="dxa"/>
              <w:bottom w:w="40" w:type="dxa"/>
              <w:right w:w="20" w:type="dxa"/>
            </w:tcMar>
            <w:vAlign w:val="bottom"/>
          </w:tcPr>
          <w:p w14:paraId="6753814C" w14:textId="77777777" w:rsidR="001B77DD" w:rsidRDefault="001B77DD">
            <w:pPr>
              <w:jc w:val="right"/>
              <w:rPr>
                <w:rFonts w:ascii="宋体"/>
              </w:rPr>
            </w:pPr>
          </w:p>
        </w:tc>
      </w:tr>
      <w:tr w:rsidR="001B77DD" w14:paraId="67538156" w14:textId="77777777">
        <w:tc>
          <w:tcPr>
            <w:tcW w:w="0" w:type="auto"/>
            <w:gridSpan w:val="3"/>
            <w:shd w:val="clear" w:color="auto" w:fill="auto"/>
            <w:tcMar>
              <w:top w:w="40" w:type="dxa"/>
              <w:left w:w="20" w:type="dxa"/>
              <w:bottom w:w="40" w:type="dxa"/>
              <w:right w:w="20" w:type="dxa"/>
            </w:tcMar>
            <w:vAlign w:val="bottom"/>
          </w:tcPr>
          <w:p w14:paraId="6753814E" w14:textId="77777777" w:rsidR="001B77DD" w:rsidRDefault="00BF0A28">
            <w:pPr>
              <w:textAlignment w:val="bottom"/>
            </w:pPr>
            <w:r>
              <w:rPr>
                <w:rFonts w:ascii="Arial" w:eastAsia="宋体" w:hAnsi="Arial" w:cs="Arial"/>
                <w:b/>
                <w:bCs/>
                <w:color w:val="262626"/>
                <w:sz w:val="18"/>
                <w:szCs w:val="18"/>
              </w:rPr>
              <w:t>December 25, 2021</w:t>
            </w:r>
          </w:p>
        </w:tc>
        <w:tc>
          <w:tcPr>
            <w:tcW w:w="0" w:type="auto"/>
            <w:gridSpan w:val="3"/>
            <w:shd w:val="clear" w:color="auto" w:fill="auto"/>
            <w:tcMar>
              <w:top w:w="0" w:type="dxa"/>
              <w:left w:w="20" w:type="dxa"/>
              <w:bottom w:w="0" w:type="dxa"/>
              <w:right w:w="20" w:type="dxa"/>
            </w:tcMar>
            <w:vAlign w:val="bottom"/>
          </w:tcPr>
          <w:p w14:paraId="6753814F" w14:textId="77777777" w:rsidR="001B77DD" w:rsidRDefault="001B77DD">
            <w:pPr>
              <w:rPr>
                <w:rFonts w:ascii="宋体"/>
              </w:rPr>
            </w:pPr>
          </w:p>
        </w:tc>
        <w:tc>
          <w:tcPr>
            <w:tcW w:w="0" w:type="auto"/>
            <w:gridSpan w:val="2"/>
            <w:tcBorders>
              <w:top w:val="single" w:sz="4" w:space="0" w:color="333333"/>
            </w:tcBorders>
            <w:shd w:val="clear" w:color="auto" w:fill="auto"/>
            <w:tcMar>
              <w:top w:w="40" w:type="dxa"/>
              <w:left w:w="20" w:type="dxa"/>
              <w:bottom w:w="40" w:type="dxa"/>
              <w:right w:w="0" w:type="dxa"/>
            </w:tcMar>
            <w:vAlign w:val="bottom"/>
          </w:tcPr>
          <w:p w14:paraId="67538150" w14:textId="77777777" w:rsidR="001B77DD" w:rsidRDefault="00BF0A28">
            <w:pPr>
              <w:jc w:val="right"/>
              <w:textAlignment w:val="bottom"/>
            </w:pPr>
            <w:r>
              <w:rPr>
                <w:rFonts w:ascii="Arial" w:eastAsia="宋体" w:hAnsi="Arial" w:cs="Arial"/>
                <w:b/>
                <w:bCs/>
                <w:color w:val="0068B5"/>
                <w:sz w:val="18"/>
                <w:szCs w:val="18"/>
              </w:rPr>
              <w:t>118.0</w:t>
            </w:r>
            <w:r>
              <w:rPr>
                <w:rFonts w:ascii="Arial" w:eastAsia="宋体" w:hAnsi="Arial" w:cs="Arial"/>
                <w:color w:val="0068B5"/>
                <w:sz w:val="18"/>
                <w:szCs w:val="18"/>
              </w:rPr>
              <w:t> </w:t>
            </w:r>
          </w:p>
        </w:tc>
        <w:tc>
          <w:tcPr>
            <w:tcW w:w="0" w:type="auto"/>
            <w:tcBorders>
              <w:top w:val="single" w:sz="4" w:space="0" w:color="333333"/>
            </w:tcBorders>
            <w:shd w:val="clear" w:color="auto" w:fill="auto"/>
            <w:tcMar>
              <w:top w:w="40" w:type="dxa"/>
              <w:left w:w="0" w:type="dxa"/>
              <w:bottom w:w="40" w:type="dxa"/>
              <w:right w:w="20" w:type="dxa"/>
            </w:tcMar>
            <w:vAlign w:val="bottom"/>
          </w:tcPr>
          <w:p w14:paraId="6753815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52" w14:textId="77777777" w:rsidR="001B77DD" w:rsidRDefault="001B77DD">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7538153"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7538154" w14:textId="77777777" w:rsidR="001B77DD" w:rsidRDefault="00BF0A28">
            <w:pPr>
              <w:jc w:val="right"/>
              <w:textAlignment w:val="bottom"/>
            </w:pPr>
            <w:r>
              <w:rPr>
                <w:rFonts w:ascii="Arial" w:eastAsia="宋体" w:hAnsi="Arial" w:cs="Arial"/>
                <w:b/>
                <w:bCs/>
                <w:color w:val="0068B5"/>
                <w:sz w:val="18"/>
                <w:szCs w:val="18"/>
              </w:rPr>
              <w:t>51.29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7538155" w14:textId="77777777" w:rsidR="001B77DD" w:rsidRDefault="001B77DD">
            <w:pPr>
              <w:jc w:val="right"/>
              <w:rPr>
                <w:rFonts w:ascii="宋体"/>
              </w:rPr>
            </w:pPr>
          </w:p>
        </w:tc>
      </w:tr>
      <w:tr w:rsidR="001B77DD" w14:paraId="6753815E" w14:textId="77777777">
        <w:tc>
          <w:tcPr>
            <w:tcW w:w="0" w:type="auto"/>
            <w:gridSpan w:val="6"/>
            <w:shd w:val="clear" w:color="auto" w:fill="auto"/>
            <w:tcMar>
              <w:top w:w="40" w:type="dxa"/>
              <w:left w:w="20" w:type="dxa"/>
              <w:bottom w:w="40" w:type="dxa"/>
              <w:right w:w="20" w:type="dxa"/>
            </w:tcMar>
            <w:vAlign w:val="bottom"/>
          </w:tcPr>
          <w:p w14:paraId="67538157" w14:textId="77777777" w:rsidR="001B77DD" w:rsidRDefault="00BF0A28">
            <w:pPr>
              <w:textAlignment w:val="bottom"/>
            </w:pPr>
            <w:r>
              <w:rPr>
                <w:rFonts w:ascii="Arial" w:eastAsia="宋体" w:hAnsi="Arial" w:cs="Arial"/>
                <w:b/>
                <w:bCs/>
                <w:color w:val="262626"/>
                <w:sz w:val="18"/>
                <w:szCs w:val="18"/>
              </w:rPr>
              <w:t>Expected to vest</w:t>
            </w: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8158" w14:textId="77777777" w:rsidR="001B77DD" w:rsidRDefault="00BF0A28">
            <w:pPr>
              <w:jc w:val="right"/>
              <w:textAlignment w:val="bottom"/>
            </w:pPr>
            <w:r>
              <w:rPr>
                <w:rFonts w:ascii="Arial" w:eastAsia="宋体" w:hAnsi="Arial" w:cs="Arial"/>
                <w:b/>
                <w:bCs/>
                <w:color w:val="0068B5"/>
                <w:sz w:val="18"/>
                <w:szCs w:val="18"/>
              </w:rPr>
              <w:t>105.9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815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5A" w14:textId="77777777" w:rsidR="001B77DD" w:rsidRDefault="001B77DD">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753815B"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753815C" w14:textId="77777777" w:rsidR="001B77DD" w:rsidRDefault="00BF0A28">
            <w:pPr>
              <w:jc w:val="right"/>
              <w:textAlignment w:val="bottom"/>
            </w:pPr>
            <w:r>
              <w:rPr>
                <w:rFonts w:ascii="Arial" w:eastAsia="宋体" w:hAnsi="Arial" w:cs="Arial"/>
                <w:b/>
                <w:bCs/>
                <w:color w:val="0068B5"/>
                <w:sz w:val="18"/>
                <w:szCs w:val="18"/>
              </w:rPr>
              <w:t>51.47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753815D" w14:textId="77777777" w:rsidR="001B77DD" w:rsidRDefault="001B77DD">
            <w:pPr>
              <w:jc w:val="right"/>
              <w:rPr>
                <w:rFonts w:ascii="宋体"/>
              </w:rPr>
            </w:pPr>
          </w:p>
        </w:tc>
      </w:tr>
    </w:tbl>
    <w:p w14:paraId="6753815F" w14:textId="77777777" w:rsidR="001B77DD" w:rsidRDefault="00BF0A28">
      <w:pPr>
        <w:spacing w:before="120" w:after="180"/>
      </w:pPr>
      <w:r>
        <w:rPr>
          <w:rFonts w:ascii="Arial" w:eastAsia="宋体" w:hAnsi="Arial" w:cs="Arial"/>
          <w:color w:val="262626"/>
          <w:sz w:val="18"/>
          <w:szCs w:val="18"/>
        </w:rPr>
        <w:t>The aggregate fair value of awards that vested in 2021 was $1.7 billion ($1.9 billion in 2020 and $1.9 billion in 2019), which represents the market value of our common stock on the date that the RSUs vested. The grant-date fair value of awards that vested</w:t>
      </w:r>
      <w:r>
        <w:rPr>
          <w:rFonts w:ascii="Arial" w:eastAsia="宋体" w:hAnsi="Arial" w:cs="Arial"/>
          <w:color w:val="262626"/>
          <w:sz w:val="18"/>
          <w:szCs w:val="18"/>
        </w:rPr>
        <w:t xml:space="preserve"> in 2021 was $1.4 billion ($1.3 billion in 2020 and $1.3 billion in 2019). The number of RSUs vested includes shares of common stock that we withheld on behalf of employees to satisfy the minimum statutory tax withholding requirements. RSUs that are expect</w:t>
      </w:r>
      <w:r>
        <w:rPr>
          <w:rFonts w:ascii="Arial" w:eastAsia="宋体" w:hAnsi="Arial" w:cs="Arial"/>
          <w:color w:val="262626"/>
          <w:sz w:val="18"/>
          <w:szCs w:val="18"/>
        </w:rPr>
        <w:t>ed to vest are net of estimated future forfeitures.</w:t>
      </w:r>
    </w:p>
    <w:p w14:paraId="67538160" w14:textId="77777777" w:rsidR="001B77DD" w:rsidRDefault="00BF0A28">
      <w:pPr>
        <w:spacing w:after="180"/>
      </w:pPr>
      <w:r>
        <w:rPr>
          <w:rFonts w:ascii="Arial" w:eastAsia="宋体" w:hAnsi="Arial" w:cs="Arial"/>
          <w:color w:val="262626"/>
          <w:sz w:val="18"/>
          <w:szCs w:val="18"/>
        </w:rPr>
        <w:t>As of December 25, 2021, unrecognized compensation costs related to RSUs granted under our equity incentive plans were $3.8 billion. We expect to recognize those costs over a weighted average period of 1.</w:t>
      </w:r>
      <w:r>
        <w:rPr>
          <w:rFonts w:ascii="Arial" w:eastAsia="宋体" w:hAnsi="Arial" w:cs="Arial"/>
          <w:color w:val="262626"/>
          <w:sz w:val="18"/>
          <w:szCs w:val="18"/>
        </w:rPr>
        <w:t>5 years.</w:t>
      </w:r>
    </w:p>
    <w:p w14:paraId="67538161" w14:textId="77777777" w:rsidR="001B77DD" w:rsidRDefault="00BF0A28">
      <w:pPr>
        <w:spacing w:after="180"/>
      </w:pPr>
      <w:r>
        <w:rPr>
          <w:rFonts w:ascii="Arial" w:eastAsia="宋体" w:hAnsi="Arial" w:cs="Arial"/>
          <w:color w:val="0068B5"/>
        </w:rPr>
        <w:t>Stock Purchase Plan</w:t>
      </w:r>
    </w:p>
    <w:p w14:paraId="67538162" w14:textId="77777777" w:rsidR="001B77DD" w:rsidRDefault="00BF0A28">
      <w:pPr>
        <w:spacing w:after="180"/>
      </w:pPr>
      <w:r>
        <w:rPr>
          <w:rFonts w:ascii="Arial" w:eastAsia="宋体" w:hAnsi="Arial" w:cs="Arial"/>
          <w:color w:val="262626"/>
          <w:sz w:val="18"/>
          <w:szCs w:val="18"/>
        </w:rPr>
        <w:t xml:space="preserve">The 2006 ESPP allows eligible employees to purchase shares of our common stock at 85% of the value of our common stock on specific dates. Under the 2006 ESPP, 523 million shares of common stock are authorized for </w:t>
      </w:r>
      <w:r>
        <w:rPr>
          <w:rFonts w:ascii="Arial" w:eastAsia="宋体" w:hAnsi="Arial" w:cs="Arial"/>
          <w:color w:val="262626"/>
          <w:sz w:val="18"/>
          <w:szCs w:val="18"/>
        </w:rPr>
        <w:t>issuance through August 2026. As of December 25, 2021, 227 million shares of common stock remained available for issuance.</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816F" w14:textId="77777777">
        <w:tc>
          <w:tcPr>
            <w:tcW w:w="50" w:type="pct"/>
            <w:shd w:val="clear" w:color="auto" w:fill="auto"/>
            <w:vAlign w:val="bottom"/>
          </w:tcPr>
          <w:p w14:paraId="67538163" w14:textId="77777777" w:rsidR="001B77DD" w:rsidRDefault="001B77DD">
            <w:pPr>
              <w:rPr>
                <w:rFonts w:ascii="宋体"/>
              </w:rPr>
            </w:pPr>
          </w:p>
        </w:tc>
        <w:tc>
          <w:tcPr>
            <w:tcW w:w="276" w:type="pct"/>
            <w:shd w:val="clear" w:color="auto" w:fill="auto"/>
            <w:vAlign w:val="bottom"/>
          </w:tcPr>
          <w:p w14:paraId="67538164" w14:textId="77777777" w:rsidR="001B77DD" w:rsidRDefault="001B77DD">
            <w:pPr>
              <w:rPr>
                <w:rFonts w:ascii="宋体"/>
              </w:rPr>
            </w:pPr>
          </w:p>
        </w:tc>
        <w:tc>
          <w:tcPr>
            <w:tcW w:w="5" w:type="pct"/>
            <w:shd w:val="clear" w:color="auto" w:fill="auto"/>
            <w:vAlign w:val="bottom"/>
          </w:tcPr>
          <w:p w14:paraId="67538165" w14:textId="77777777" w:rsidR="001B77DD" w:rsidRDefault="001B77DD">
            <w:pPr>
              <w:rPr>
                <w:rFonts w:ascii="宋体"/>
              </w:rPr>
            </w:pPr>
          </w:p>
        </w:tc>
        <w:tc>
          <w:tcPr>
            <w:tcW w:w="50" w:type="pct"/>
            <w:shd w:val="clear" w:color="auto" w:fill="auto"/>
            <w:vAlign w:val="bottom"/>
          </w:tcPr>
          <w:p w14:paraId="67538166" w14:textId="77777777" w:rsidR="001B77DD" w:rsidRDefault="001B77DD">
            <w:pPr>
              <w:rPr>
                <w:rFonts w:ascii="宋体"/>
              </w:rPr>
            </w:pPr>
          </w:p>
        </w:tc>
        <w:tc>
          <w:tcPr>
            <w:tcW w:w="940" w:type="pct"/>
            <w:shd w:val="clear" w:color="auto" w:fill="auto"/>
            <w:vAlign w:val="bottom"/>
          </w:tcPr>
          <w:p w14:paraId="67538167" w14:textId="77777777" w:rsidR="001B77DD" w:rsidRDefault="001B77DD">
            <w:pPr>
              <w:rPr>
                <w:rFonts w:ascii="宋体"/>
              </w:rPr>
            </w:pPr>
          </w:p>
        </w:tc>
        <w:tc>
          <w:tcPr>
            <w:tcW w:w="5" w:type="pct"/>
            <w:shd w:val="clear" w:color="auto" w:fill="auto"/>
            <w:vAlign w:val="bottom"/>
          </w:tcPr>
          <w:p w14:paraId="67538168" w14:textId="77777777" w:rsidR="001B77DD" w:rsidRDefault="001B77DD">
            <w:pPr>
              <w:rPr>
                <w:rFonts w:ascii="宋体"/>
              </w:rPr>
            </w:pPr>
          </w:p>
        </w:tc>
        <w:tc>
          <w:tcPr>
            <w:tcW w:w="50" w:type="pct"/>
            <w:shd w:val="clear" w:color="auto" w:fill="auto"/>
            <w:vAlign w:val="bottom"/>
          </w:tcPr>
          <w:p w14:paraId="67538169" w14:textId="77777777" w:rsidR="001B77DD" w:rsidRDefault="001B77DD">
            <w:pPr>
              <w:rPr>
                <w:rFonts w:ascii="宋体"/>
              </w:rPr>
            </w:pPr>
          </w:p>
        </w:tc>
        <w:tc>
          <w:tcPr>
            <w:tcW w:w="1837" w:type="pct"/>
            <w:shd w:val="clear" w:color="auto" w:fill="auto"/>
            <w:vAlign w:val="bottom"/>
          </w:tcPr>
          <w:p w14:paraId="6753816A" w14:textId="77777777" w:rsidR="001B77DD" w:rsidRDefault="001B77DD">
            <w:pPr>
              <w:rPr>
                <w:rFonts w:ascii="宋体"/>
              </w:rPr>
            </w:pPr>
          </w:p>
        </w:tc>
        <w:tc>
          <w:tcPr>
            <w:tcW w:w="5" w:type="pct"/>
            <w:shd w:val="clear" w:color="auto" w:fill="auto"/>
            <w:vAlign w:val="bottom"/>
          </w:tcPr>
          <w:p w14:paraId="6753816B" w14:textId="77777777" w:rsidR="001B77DD" w:rsidRDefault="001B77DD">
            <w:pPr>
              <w:rPr>
                <w:rFonts w:ascii="宋体"/>
              </w:rPr>
            </w:pPr>
          </w:p>
        </w:tc>
        <w:tc>
          <w:tcPr>
            <w:tcW w:w="50" w:type="pct"/>
            <w:shd w:val="clear" w:color="auto" w:fill="auto"/>
            <w:vAlign w:val="bottom"/>
          </w:tcPr>
          <w:p w14:paraId="6753816C" w14:textId="77777777" w:rsidR="001B77DD" w:rsidRDefault="001B77DD">
            <w:pPr>
              <w:rPr>
                <w:rFonts w:ascii="宋体"/>
              </w:rPr>
            </w:pPr>
          </w:p>
        </w:tc>
        <w:tc>
          <w:tcPr>
            <w:tcW w:w="1724" w:type="pct"/>
            <w:shd w:val="clear" w:color="auto" w:fill="auto"/>
            <w:vAlign w:val="bottom"/>
          </w:tcPr>
          <w:p w14:paraId="6753816D" w14:textId="77777777" w:rsidR="001B77DD" w:rsidRDefault="001B77DD">
            <w:pPr>
              <w:rPr>
                <w:rFonts w:ascii="宋体"/>
              </w:rPr>
            </w:pPr>
          </w:p>
        </w:tc>
        <w:tc>
          <w:tcPr>
            <w:tcW w:w="5" w:type="pct"/>
            <w:shd w:val="clear" w:color="auto" w:fill="auto"/>
            <w:vAlign w:val="bottom"/>
          </w:tcPr>
          <w:p w14:paraId="6753816E" w14:textId="77777777" w:rsidR="001B77DD" w:rsidRDefault="001B77DD">
            <w:pPr>
              <w:rPr>
                <w:rFonts w:ascii="宋体"/>
              </w:rPr>
            </w:pPr>
          </w:p>
        </w:tc>
      </w:tr>
      <w:tr w:rsidR="001B77DD" w14:paraId="67538174"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170"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78" wp14:editId="67538F79">
                  <wp:extent cx="304800" cy="304800"/>
                  <wp:effectExtent l="0" t="0" r="0" b="0"/>
                  <wp:docPr id="158" name="图片 33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3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171"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8172"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173" w14:textId="77777777" w:rsidR="001B77DD" w:rsidRDefault="00BF0A28">
            <w:pPr>
              <w:jc w:val="right"/>
              <w:textAlignment w:val="center"/>
            </w:pPr>
            <w:r>
              <w:rPr>
                <w:rFonts w:ascii="Arial" w:eastAsia="宋体" w:hAnsi="Arial" w:cs="Arial"/>
                <w:color w:val="262626"/>
                <w:sz w:val="16"/>
                <w:szCs w:val="16"/>
              </w:rPr>
              <w:t>104</w:t>
            </w:r>
          </w:p>
        </w:tc>
      </w:tr>
    </w:tbl>
    <w:p w14:paraId="67538175" w14:textId="77777777" w:rsidR="001B77DD" w:rsidRDefault="00BF0A28">
      <w:r>
        <w:pict w14:anchorId="67538F7A">
          <v:rect id="_x0000_i1130" style="width:415.3pt;height:1.5pt" o:hralign="center" o:hrstd="t" o:hr="t" fillcolor="#a0a0a0" stroked="f"/>
        </w:pict>
      </w:r>
    </w:p>
    <w:p w14:paraId="67538176" w14:textId="77777777" w:rsidR="001B77DD" w:rsidRDefault="00BF0A28">
      <w:pPr>
        <w:jc w:val="right"/>
      </w:pPr>
      <w:hyperlink r:id="rId192" w:anchor="i6c9ced68f6b24d58a3dcf326e8c3c699_16" w:history="1">
        <w:r>
          <w:rPr>
            <w:rStyle w:val="a5"/>
            <w:rFonts w:ascii="Arial" w:eastAsia="宋体" w:hAnsi="Arial" w:cs="Arial"/>
            <w:b/>
            <w:bCs/>
            <w:sz w:val="16"/>
            <w:szCs w:val="16"/>
          </w:rPr>
          <w:t>Table of Contents</w:t>
        </w:r>
      </w:hyperlink>
    </w:p>
    <w:p w14:paraId="67538177" w14:textId="77777777" w:rsidR="001B77DD" w:rsidRDefault="001B77DD">
      <w:pPr>
        <w:jc w:val="right"/>
      </w:pPr>
    </w:p>
    <w:p w14:paraId="67538178" w14:textId="77777777" w:rsidR="001B77DD" w:rsidRDefault="00BF0A28">
      <w:pPr>
        <w:spacing w:after="180"/>
      </w:pPr>
      <w:r>
        <w:rPr>
          <w:rFonts w:ascii="Arial" w:eastAsia="宋体" w:hAnsi="Arial" w:cs="Arial"/>
          <w:color w:val="262626"/>
          <w:sz w:val="18"/>
          <w:szCs w:val="18"/>
        </w:rPr>
        <w:t>Employees purchased 22 million shares of common stock in 2021 for $925 million unde</w:t>
      </w:r>
      <w:r>
        <w:rPr>
          <w:rFonts w:ascii="Arial" w:eastAsia="宋体" w:hAnsi="Arial" w:cs="Arial"/>
          <w:color w:val="262626"/>
          <w:sz w:val="18"/>
          <w:szCs w:val="18"/>
        </w:rPr>
        <w:t xml:space="preserve">r the 2006 ESPP (21 million shares of common stock for $876 million in 2020 and 17 million shares of common stock for $688 million in 2019). As of December 25, 2021, unrecognized share-based compensation costs related to rights to acquire shares of common </w:t>
      </w:r>
      <w:r>
        <w:rPr>
          <w:rFonts w:ascii="Arial" w:eastAsia="宋体" w:hAnsi="Arial" w:cs="Arial"/>
          <w:color w:val="262626"/>
          <w:sz w:val="18"/>
          <w:szCs w:val="18"/>
        </w:rPr>
        <w:t>stock under the 2006 ESPP totaled $48 million. We expect to recognize those costs over a period of approximately two months.</w:t>
      </w:r>
    </w:p>
    <w:tbl>
      <w:tblPr>
        <w:tblW w:w="5000" w:type="pct"/>
        <w:tblCellMar>
          <w:top w:w="15" w:type="dxa"/>
          <w:left w:w="15" w:type="dxa"/>
          <w:bottom w:w="15" w:type="dxa"/>
          <w:right w:w="15" w:type="dxa"/>
        </w:tblCellMar>
        <w:tblLook w:val="04A0" w:firstRow="1" w:lastRow="0" w:firstColumn="1" w:lastColumn="0" w:noHBand="0" w:noVBand="1"/>
      </w:tblPr>
      <w:tblGrid>
        <w:gridCol w:w="69"/>
        <w:gridCol w:w="885"/>
        <w:gridCol w:w="36"/>
        <w:gridCol w:w="69"/>
        <w:gridCol w:w="7241"/>
        <w:gridCol w:w="36"/>
      </w:tblGrid>
      <w:tr w:rsidR="001B77DD" w14:paraId="6753817F" w14:textId="77777777">
        <w:tc>
          <w:tcPr>
            <w:tcW w:w="50" w:type="pct"/>
            <w:shd w:val="clear" w:color="auto" w:fill="auto"/>
            <w:vAlign w:val="bottom"/>
          </w:tcPr>
          <w:p w14:paraId="67538179" w14:textId="77777777" w:rsidR="001B77DD" w:rsidRDefault="001B77DD">
            <w:pPr>
              <w:rPr>
                <w:rFonts w:ascii="宋体"/>
              </w:rPr>
            </w:pPr>
          </w:p>
        </w:tc>
        <w:tc>
          <w:tcPr>
            <w:tcW w:w="539" w:type="pct"/>
            <w:shd w:val="clear" w:color="auto" w:fill="auto"/>
            <w:vAlign w:val="bottom"/>
          </w:tcPr>
          <w:p w14:paraId="6753817A" w14:textId="77777777" w:rsidR="001B77DD" w:rsidRDefault="001B77DD">
            <w:pPr>
              <w:rPr>
                <w:rFonts w:ascii="宋体"/>
              </w:rPr>
            </w:pPr>
          </w:p>
        </w:tc>
        <w:tc>
          <w:tcPr>
            <w:tcW w:w="5" w:type="pct"/>
            <w:shd w:val="clear" w:color="auto" w:fill="auto"/>
            <w:vAlign w:val="bottom"/>
          </w:tcPr>
          <w:p w14:paraId="6753817B" w14:textId="77777777" w:rsidR="001B77DD" w:rsidRDefault="001B77DD">
            <w:pPr>
              <w:rPr>
                <w:rFonts w:ascii="宋体"/>
              </w:rPr>
            </w:pPr>
          </w:p>
        </w:tc>
        <w:tc>
          <w:tcPr>
            <w:tcW w:w="50" w:type="pct"/>
            <w:shd w:val="clear" w:color="auto" w:fill="auto"/>
            <w:vAlign w:val="bottom"/>
          </w:tcPr>
          <w:p w14:paraId="6753817C" w14:textId="77777777" w:rsidR="001B77DD" w:rsidRDefault="001B77DD">
            <w:pPr>
              <w:rPr>
                <w:rFonts w:ascii="宋体"/>
              </w:rPr>
            </w:pPr>
          </w:p>
        </w:tc>
        <w:tc>
          <w:tcPr>
            <w:tcW w:w="4350" w:type="pct"/>
            <w:shd w:val="clear" w:color="auto" w:fill="auto"/>
            <w:vAlign w:val="bottom"/>
          </w:tcPr>
          <w:p w14:paraId="6753817D" w14:textId="77777777" w:rsidR="001B77DD" w:rsidRDefault="001B77DD">
            <w:pPr>
              <w:rPr>
                <w:rFonts w:ascii="宋体"/>
              </w:rPr>
            </w:pPr>
          </w:p>
        </w:tc>
        <w:tc>
          <w:tcPr>
            <w:tcW w:w="5" w:type="pct"/>
            <w:shd w:val="clear" w:color="auto" w:fill="auto"/>
            <w:vAlign w:val="bottom"/>
          </w:tcPr>
          <w:p w14:paraId="6753817E" w14:textId="77777777" w:rsidR="001B77DD" w:rsidRDefault="001B77DD">
            <w:pPr>
              <w:rPr>
                <w:rFonts w:ascii="宋体"/>
              </w:rPr>
            </w:pPr>
          </w:p>
        </w:tc>
      </w:tr>
      <w:tr w:rsidR="001B77DD" w14:paraId="6753818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7538180" w14:textId="77777777" w:rsidR="001B77DD" w:rsidRDefault="00BF0A28">
            <w:pPr>
              <w:textAlignment w:val="bottom"/>
            </w:pPr>
            <w:r>
              <w:rPr>
                <w:rFonts w:ascii="Arial" w:eastAsia="宋体" w:hAnsi="Arial" w:cs="Arial"/>
                <w:color w:val="FFFFFF"/>
                <w:sz w:val="28"/>
                <w:szCs w:val="28"/>
              </w:rPr>
              <w:t xml:space="preserve">Note 19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8181" w14:textId="77777777" w:rsidR="001B77DD" w:rsidRDefault="00BF0A28">
            <w:pPr>
              <w:textAlignment w:val="bottom"/>
            </w:pPr>
            <w:r>
              <w:rPr>
                <w:rFonts w:ascii="Arial" w:eastAsia="宋体" w:hAnsi="Arial" w:cs="Arial"/>
                <w:color w:val="0068B5"/>
                <w:sz w:val="28"/>
                <w:szCs w:val="28"/>
              </w:rPr>
              <w:t>Commitments and Contingencies</w:t>
            </w:r>
          </w:p>
        </w:tc>
      </w:tr>
    </w:tbl>
    <w:p w14:paraId="67538183" w14:textId="77777777" w:rsidR="001B77DD" w:rsidRDefault="00BF0A28">
      <w:pPr>
        <w:spacing w:after="180"/>
      </w:pPr>
      <w:r>
        <w:rPr>
          <w:rFonts w:ascii="Arial" w:eastAsia="宋体" w:hAnsi="Arial" w:cs="Arial"/>
          <w:color w:val="0068B5"/>
          <w:sz w:val="28"/>
          <w:szCs w:val="28"/>
        </w:rPr>
        <w:t>Leases</w:t>
      </w:r>
    </w:p>
    <w:p w14:paraId="67538184" w14:textId="77777777" w:rsidR="001B77DD" w:rsidRDefault="00BF0A28">
      <w:pPr>
        <w:spacing w:after="180"/>
      </w:pPr>
      <w:r>
        <w:rPr>
          <w:rFonts w:ascii="Arial" w:eastAsia="宋体" w:hAnsi="Arial" w:cs="Arial"/>
          <w:color w:val="262626"/>
          <w:sz w:val="18"/>
          <w:szCs w:val="18"/>
        </w:rPr>
        <w:t>We recognized operating leased assets in other long-term assets of $549 million and corresponding accrued liabilities of $180 million, and other long-term liabilities of $295 million as of December 25, 2021. Our operating leases have remaining terms of 1 t</w:t>
      </w:r>
      <w:r>
        <w:rPr>
          <w:rFonts w:ascii="Arial" w:eastAsia="宋体" w:hAnsi="Arial" w:cs="Arial"/>
          <w:color w:val="262626"/>
          <w:sz w:val="18"/>
          <w:szCs w:val="18"/>
        </w:rPr>
        <w:t xml:space="preserve">o 14 years and may include options to extend the leases for up to 37 years. The weighted average remaining lease term was 3.8 years, and the weighted average discount rate was 2.5% as of December 25, 2021 for our operating leases. </w:t>
      </w:r>
    </w:p>
    <w:p w14:paraId="67538185" w14:textId="77777777" w:rsidR="001B77DD" w:rsidRDefault="00BF0A28">
      <w:pPr>
        <w:spacing w:after="180"/>
      </w:pPr>
      <w:r>
        <w:rPr>
          <w:rFonts w:ascii="Arial" w:eastAsia="宋体" w:hAnsi="Arial" w:cs="Arial"/>
          <w:color w:val="262626"/>
          <w:sz w:val="18"/>
          <w:szCs w:val="18"/>
        </w:rPr>
        <w:t xml:space="preserve">Operating lease expense </w:t>
      </w:r>
      <w:r>
        <w:rPr>
          <w:rFonts w:ascii="Arial" w:eastAsia="宋体" w:hAnsi="Arial" w:cs="Arial"/>
          <w:color w:val="262626"/>
          <w:sz w:val="18"/>
          <w:szCs w:val="18"/>
        </w:rPr>
        <w:t xml:space="preserve">was $798 million in 2021 ($416 million in 2020 and $185 million in 2019), including $620 million in variable lease expense in 2021. </w:t>
      </w:r>
    </w:p>
    <w:p w14:paraId="67538186" w14:textId="77777777" w:rsidR="001B77DD" w:rsidRDefault="00BF0A28">
      <w:pPr>
        <w:spacing w:after="180"/>
      </w:pPr>
      <w:r>
        <w:rPr>
          <w:rFonts w:ascii="Arial" w:eastAsia="宋体" w:hAnsi="Arial" w:cs="Arial"/>
          <w:color w:val="262626"/>
          <w:sz w:val="18"/>
          <w:szCs w:val="18"/>
        </w:rPr>
        <w:t xml:space="preserve">In 2021, we signed finance leases for supplier capacity extending over approximately eight years. The leases will </w:t>
      </w:r>
      <w:r>
        <w:rPr>
          <w:rFonts w:ascii="Arial" w:eastAsia="宋体" w:hAnsi="Arial" w:cs="Arial"/>
          <w:color w:val="262626"/>
          <w:sz w:val="18"/>
          <w:szCs w:val="18"/>
        </w:rPr>
        <w:t>commence upon start of supplier production expected in 2023 with prepayments totaling approximately $980 million in 2022 and 2023. These prepayments will be recognized in property, plant and equipment upon payment.</w:t>
      </w:r>
    </w:p>
    <w:p w14:paraId="67538187" w14:textId="77777777" w:rsidR="001B77DD" w:rsidRDefault="00BF0A28">
      <w:pPr>
        <w:spacing w:after="120"/>
      </w:pPr>
      <w:r>
        <w:rPr>
          <w:rFonts w:ascii="Arial" w:eastAsia="宋体" w:hAnsi="Arial" w:cs="Arial"/>
          <w:color w:val="262626"/>
          <w:sz w:val="18"/>
          <w:szCs w:val="18"/>
        </w:rPr>
        <w:t>Discounted and undiscounted lease payment</w:t>
      </w:r>
      <w:r>
        <w:rPr>
          <w:rFonts w:ascii="Arial" w:eastAsia="宋体" w:hAnsi="Arial" w:cs="Arial"/>
          <w:color w:val="262626"/>
          <w:sz w:val="18"/>
          <w:szCs w:val="18"/>
        </w:rPr>
        <w:t>s under non-cancelable leases as of December 25, 2021, excluding non-lease components,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766"/>
        <w:gridCol w:w="37"/>
        <w:gridCol w:w="36"/>
        <w:gridCol w:w="36"/>
        <w:gridCol w:w="36"/>
        <w:gridCol w:w="121"/>
        <w:gridCol w:w="444"/>
        <w:gridCol w:w="36"/>
        <w:gridCol w:w="36"/>
        <w:gridCol w:w="36"/>
        <w:gridCol w:w="36"/>
        <w:gridCol w:w="121"/>
        <w:gridCol w:w="446"/>
        <w:gridCol w:w="36"/>
        <w:gridCol w:w="36"/>
        <w:gridCol w:w="36"/>
        <w:gridCol w:w="36"/>
        <w:gridCol w:w="122"/>
        <w:gridCol w:w="446"/>
        <w:gridCol w:w="36"/>
        <w:gridCol w:w="36"/>
        <w:gridCol w:w="36"/>
        <w:gridCol w:w="36"/>
        <w:gridCol w:w="122"/>
        <w:gridCol w:w="446"/>
        <w:gridCol w:w="36"/>
        <w:gridCol w:w="36"/>
        <w:gridCol w:w="36"/>
        <w:gridCol w:w="36"/>
        <w:gridCol w:w="122"/>
        <w:gridCol w:w="446"/>
        <w:gridCol w:w="36"/>
        <w:gridCol w:w="36"/>
        <w:gridCol w:w="36"/>
        <w:gridCol w:w="36"/>
        <w:gridCol w:w="122"/>
        <w:gridCol w:w="857"/>
        <w:gridCol w:w="36"/>
        <w:gridCol w:w="36"/>
        <w:gridCol w:w="36"/>
        <w:gridCol w:w="36"/>
        <w:gridCol w:w="121"/>
        <w:gridCol w:w="551"/>
        <w:gridCol w:w="36"/>
      </w:tblGrid>
      <w:tr w:rsidR="001B77DD" w14:paraId="675381B5" w14:textId="77777777">
        <w:tc>
          <w:tcPr>
            <w:tcW w:w="50" w:type="pct"/>
            <w:shd w:val="clear" w:color="auto" w:fill="auto"/>
            <w:vAlign w:val="bottom"/>
          </w:tcPr>
          <w:p w14:paraId="67538188" w14:textId="77777777" w:rsidR="001B77DD" w:rsidRDefault="001B77DD">
            <w:pPr>
              <w:rPr>
                <w:rFonts w:ascii="宋体"/>
              </w:rPr>
            </w:pPr>
          </w:p>
        </w:tc>
        <w:tc>
          <w:tcPr>
            <w:tcW w:w="1720" w:type="pct"/>
            <w:shd w:val="clear" w:color="auto" w:fill="auto"/>
            <w:vAlign w:val="bottom"/>
          </w:tcPr>
          <w:p w14:paraId="67538189" w14:textId="77777777" w:rsidR="001B77DD" w:rsidRDefault="001B77DD">
            <w:pPr>
              <w:rPr>
                <w:rFonts w:ascii="宋体"/>
              </w:rPr>
            </w:pPr>
          </w:p>
        </w:tc>
        <w:tc>
          <w:tcPr>
            <w:tcW w:w="5" w:type="pct"/>
            <w:shd w:val="clear" w:color="auto" w:fill="auto"/>
            <w:vAlign w:val="bottom"/>
          </w:tcPr>
          <w:p w14:paraId="6753818A" w14:textId="77777777" w:rsidR="001B77DD" w:rsidRDefault="001B77DD">
            <w:pPr>
              <w:rPr>
                <w:rFonts w:ascii="宋体"/>
              </w:rPr>
            </w:pPr>
          </w:p>
        </w:tc>
        <w:tc>
          <w:tcPr>
            <w:tcW w:w="5" w:type="pct"/>
            <w:shd w:val="clear" w:color="auto" w:fill="auto"/>
            <w:vAlign w:val="bottom"/>
          </w:tcPr>
          <w:p w14:paraId="6753818B" w14:textId="77777777" w:rsidR="001B77DD" w:rsidRDefault="001B77DD">
            <w:pPr>
              <w:rPr>
                <w:rFonts w:ascii="宋体"/>
              </w:rPr>
            </w:pPr>
          </w:p>
        </w:tc>
        <w:tc>
          <w:tcPr>
            <w:tcW w:w="24" w:type="pct"/>
            <w:shd w:val="clear" w:color="auto" w:fill="auto"/>
            <w:vAlign w:val="bottom"/>
          </w:tcPr>
          <w:p w14:paraId="6753818C" w14:textId="77777777" w:rsidR="001B77DD" w:rsidRDefault="001B77DD">
            <w:pPr>
              <w:rPr>
                <w:rFonts w:ascii="宋体"/>
              </w:rPr>
            </w:pPr>
          </w:p>
        </w:tc>
        <w:tc>
          <w:tcPr>
            <w:tcW w:w="5" w:type="pct"/>
            <w:shd w:val="clear" w:color="auto" w:fill="auto"/>
            <w:vAlign w:val="bottom"/>
          </w:tcPr>
          <w:p w14:paraId="6753818D" w14:textId="77777777" w:rsidR="001B77DD" w:rsidRDefault="001B77DD">
            <w:pPr>
              <w:rPr>
                <w:rFonts w:ascii="宋体"/>
              </w:rPr>
            </w:pPr>
          </w:p>
        </w:tc>
        <w:tc>
          <w:tcPr>
            <w:tcW w:w="50" w:type="pct"/>
            <w:shd w:val="clear" w:color="auto" w:fill="auto"/>
            <w:vAlign w:val="bottom"/>
          </w:tcPr>
          <w:p w14:paraId="6753818E" w14:textId="77777777" w:rsidR="001B77DD" w:rsidRDefault="001B77DD">
            <w:pPr>
              <w:rPr>
                <w:rFonts w:ascii="宋体"/>
              </w:rPr>
            </w:pPr>
          </w:p>
        </w:tc>
        <w:tc>
          <w:tcPr>
            <w:tcW w:w="354" w:type="pct"/>
            <w:shd w:val="clear" w:color="auto" w:fill="auto"/>
            <w:vAlign w:val="bottom"/>
          </w:tcPr>
          <w:p w14:paraId="6753818F" w14:textId="77777777" w:rsidR="001B77DD" w:rsidRDefault="001B77DD">
            <w:pPr>
              <w:rPr>
                <w:rFonts w:ascii="宋体"/>
              </w:rPr>
            </w:pPr>
          </w:p>
        </w:tc>
        <w:tc>
          <w:tcPr>
            <w:tcW w:w="5" w:type="pct"/>
            <w:shd w:val="clear" w:color="auto" w:fill="auto"/>
            <w:vAlign w:val="bottom"/>
          </w:tcPr>
          <w:p w14:paraId="67538190" w14:textId="77777777" w:rsidR="001B77DD" w:rsidRDefault="001B77DD">
            <w:pPr>
              <w:rPr>
                <w:rFonts w:ascii="宋体"/>
              </w:rPr>
            </w:pPr>
          </w:p>
        </w:tc>
        <w:tc>
          <w:tcPr>
            <w:tcW w:w="5" w:type="pct"/>
            <w:shd w:val="clear" w:color="auto" w:fill="auto"/>
            <w:vAlign w:val="bottom"/>
          </w:tcPr>
          <w:p w14:paraId="67538191" w14:textId="77777777" w:rsidR="001B77DD" w:rsidRDefault="001B77DD">
            <w:pPr>
              <w:rPr>
                <w:rFonts w:ascii="宋体"/>
              </w:rPr>
            </w:pPr>
          </w:p>
        </w:tc>
        <w:tc>
          <w:tcPr>
            <w:tcW w:w="24" w:type="pct"/>
            <w:shd w:val="clear" w:color="auto" w:fill="auto"/>
            <w:vAlign w:val="bottom"/>
          </w:tcPr>
          <w:p w14:paraId="67538192" w14:textId="77777777" w:rsidR="001B77DD" w:rsidRDefault="001B77DD">
            <w:pPr>
              <w:rPr>
                <w:rFonts w:ascii="宋体"/>
              </w:rPr>
            </w:pPr>
          </w:p>
        </w:tc>
        <w:tc>
          <w:tcPr>
            <w:tcW w:w="5" w:type="pct"/>
            <w:shd w:val="clear" w:color="auto" w:fill="auto"/>
            <w:vAlign w:val="bottom"/>
          </w:tcPr>
          <w:p w14:paraId="67538193" w14:textId="77777777" w:rsidR="001B77DD" w:rsidRDefault="001B77DD">
            <w:pPr>
              <w:rPr>
                <w:rFonts w:ascii="宋体"/>
              </w:rPr>
            </w:pPr>
          </w:p>
        </w:tc>
        <w:tc>
          <w:tcPr>
            <w:tcW w:w="50" w:type="pct"/>
            <w:shd w:val="clear" w:color="auto" w:fill="auto"/>
            <w:vAlign w:val="bottom"/>
          </w:tcPr>
          <w:p w14:paraId="67538194" w14:textId="77777777" w:rsidR="001B77DD" w:rsidRDefault="001B77DD">
            <w:pPr>
              <w:rPr>
                <w:rFonts w:ascii="宋体"/>
              </w:rPr>
            </w:pPr>
          </w:p>
        </w:tc>
        <w:tc>
          <w:tcPr>
            <w:tcW w:w="354" w:type="pct"/>
            <w:shd w:val="clear" w:color="auto" w:fill="auto"/>
            <w:vAlign w:val="bottom"/>
          </w:tcPr>
          <w:p w14:paraId="67538195" w14:textId="77777777" w:rsidR="001B77DD" w:rsidRDefault="001B77DD">
            <w:pPr>
              <w:rPr>
                <w:rFonts w:ascii="宋体"/>
              </w:rPr>
            </w:pPr>
          </w:p>
        </w:tc>
        <w:tc>
          <w:tcPr>
            <w:tcW w:w="5" w:type="pct"/>
            <w:shd w:val="clear" w:color="auto" w:fill="auto"/>
            <w:vAlign w:val="bottom"/>
          </w:tcPr>
          <w:p w14:paraId="67538196" w14:textId="77777777" w:rsidR="001B77DD" w:rsidRDefault="001B77DD">
            <w:pPr>
              <w:rPr>
                <w:rFonts w:ascii="宋体"/>
              </w:rPr>
            </w:pPr>
          </w:p>
        </w:tc>
        <w:tc>
          <w:tcPr>
            <w:tcW w:w="5" w:type="pct"/>
            <w:shd w:val="clear" w:color="auto" w:fill="auto"/>
            <w:vAlign w:val="bottom"/>
          </w:tcPr>
          <w:p w14:paraId="67538197" w14:textId="77777777" w:rsidR="001B77DD" w:rsidRDefault="001B77DD">
            <w:pPr>
              <w:rPr>
                <w:rFonts w:ascii="宋体"/>
              </w:rPr>
            </w:pPr>
          </w:p>
        </w:tc>
        <w:tc>
          <w:tcPr>
            <w:tcW w:w="24" w:type="pct"/>
            <w:shd w:val="clear" w:color="auto" w:fill="auto"/>
            <w:vAlign w:val="bottom"/>
          </w:tcPr>
          <w:p w14:paraId="67538198" w14:textId="77777777" w:rsidR="001B77DD" w:rsidRDefault="001B77DD">
            <w:pPr>
              <w:rPr>
                <w:rFonts w:ascii="宋体"/>
              </w:rPr>
            </w:pPr>
          </w:p>
        </w:tc>
        <w:tc>
          <w:tcPr>
            <w:tcW w:w="5" w:type="pct"/>
            <w:shd w:val="clear" w:color="auto" w:fill="auto"/>
            <w:vAlign w:val="bottom"/>
          </w:tcPr>
          <w:p w14:paraId="67538199" w14:textId="77777777" w:rsidR="001B77DD" w:rsidRDefault="001B77DD">
            <w:pPr>
              <w:rPr>
                <w:rFonts w:ascii="宋体"/>
              </w:rPr>
            </w:pPr>
          </w:p>
        </w:tc>
        <w:tc>
          <w:tcPr>
            <w:tcW w:w="50" w:type="pct"/>
            <w:shd w:val="clear" w:color="auto" w:fill="auto"/>
            <w:vAlign w:val="bottom"/>
          </w:tcPr>
          <w:p w14:paraId="6753819A" w14:textId="77777777" w:rsidR="001B77DD" w:rsidRDefault="001B77DD">
            <w:pPr>
              <w:rPr>
                <w:rFonts w:ascii="宋体"/>
              </w:rPr>
            </w:pPr>
          </w:p>
        </w:tc>
        <w:tc>
          <w:tcPr>
            <w:tcW w:w="354" w:type="pct"/>
            <w:shd w:val="clear" w:color="auto" w:fill="auto"/>
            <w:vAlign w:val="bottom"/>
          </w:tcPr>
          <w:p w14:paraId="6753819B" w14:textId="77777777" w:rsidR="001B77DD" w:rsidRDefault="001B77DD">
            <w:pPr>
              <w:rPr>
                <w:rFonts w:ascii="宋体"/>
              </w:rPr>
            </w:pPr>
          </w:p>
        </w:tc>
        <w:tc>
          <w:tcPr>
            <w:tcW w:w="5" w:type="pct"/>
            <w:shd w:val="clear" w:color="auto" w:fill="auto"/>
            <w:vAlign w:val="bottom"/>
          </w:tcPr>
          <w:p w14:paraId="6753819C" w14:textId="77777777" w:rsidR="001B77DD" w:rsidRDefault="001B77DD">
            <w:pPr>
              <w:rPr>
                <w:rFonts w:ascii="宋体"/>
              </w:rPr>
            </w:pPr>
          </w:p>
        </w:tc>
        <w:tc>
          <w:tcPr>
            <w:tcW w:w="5" w:type="pct"/>
            <w:shd w:val="clear" w:color="auto" w:fill="auto"/>
            <w:vAlign w:val="bottom"/>
          </w:tcPr>
          <w:p w14:paraId="6753819D" w14:textId="77777777" w:rsidR="001B77DD" w:rsidRDefault="001B77DD">
            <w:pPr>
              <w:rPr>
                <w:rFonts w:ascii="宋体"/>
              </w:rPr>
            </w:pPr>
          </w:p>
        </w:tc>
        <w:tc>
          <w:tcPr>
            <w:tcW w:w="24" w:type="pct"/>
            <w:shd w:val="clear" w:color="auto" w:fill="auto"/>
            <w:vAlign w:val="bottom"/>
          </w:tcPr>
          <w:p w14:paraId="6753819E" w14:textId="77777777" w:rsidR="001B77DD" w:rsidRDefault="001B77DD">
            <w:pPr>
              <w:rPr>
                <w:rFonts w:ascii="宋体"/>
              </w:rPr>
            </w:pPr>
          </w:p>
        </w:tc>
        <w:tc>
          <w:tcPr>
            <w:tcW w:w="5" w:type="pct"/>
            <w:shd w:val="clear" w:color="auto" w:fill="auto"/>
            <w:vAlign w:val="bottom"/>
          </w:tcPr>
          <w:p w14:paraId="6753819F" w14:textId="77777777" w:rsidR="001B77DD" w:rsidRDefault="001B77DD">
            <w:pPr>
              <w:rPr>
                <w:rFonts w:ascii="宋体"/>
              </w:rPr>
            </w:pPr>
          </w:p>
        </w:tc>
        <w:tc>
          <w:tcPr>
            <w:tcW w:w="50" w:type="pct"/>
            <w:shd w:val="clear" w:color="auto" w:fill="auto"/>
            <w:vAlign w:val="bottom"/>
          </w:tcPr>
          <w:p w14:paraId="675381A0" w14:textId="77777777" w:rsidR="001B77DD" w:rsidRDefault="001B77DD">
            <w:pPr>
              <w:rPr>
                <w:rFonts w:ascii="宋体"/>
              </w:rPr>
            </w:pPr>
          </w:p>
        </w:tc>
        <w:tc>
          <w:tcPr>
            <w:tcW w:w="354" w:type="pct"/>
            <w:shd w:val="clear" w:color="auto" w:fill="auto"/>
            <w:vAlign w:val="bottom"/>
          </w:tcPr>
          <w:p w14:paraId="675381A1" w14:textId="77777777" w:rsidR="001B77DD" w:rsidRDefault="001B77DD">
            <w:pPr>
              <w:rPr>
                <w:rFonts w:ascii="宋体"/>
              </w:rPr>
            </w:pPr>
          </w:p>
        </w:tc>
        <w:tc>
          <w:tcPr>
            <w:tcW w:w="5" w:type="pct"/>
            <w:shd w:val="clear" w:color="auto" w:fill="auto"/>
            <w:vAlign w:val="bottom"/>
          </w:tcPr>
          <w:p w14:paraId="675381A2" w14:textId="77777777" w:rsidR="001B77DD" w:rsidRDefault="001B77DD">
            <w:pPr>
              <w:rPr>
                <w:rFonts w:ascii="宋体"/>
              </w:rPr>
            </w:pPr>
          </w:p>
        </w:tc>
        <w:tc>
          <w:tcPr>
            <w:tcW w:w="5" w:type="pct"/>
            <w:shd w:val="clear" w:color="auto" w:fill="auto"/>
            <w:vAlign w:val="bottom"/>
          </w:tcPr>
          <w:p w14:paraId="675381A3" w14:textId="77777777" w:rsidR="001B77DD" w:rsidRDefault="001B77DD">
            <w:pPr>
              <w:rPr>
                <w:rFonts w:ascii="宋体"/>
              </w:rPr>
            </w:pPr>
          </w:p>
        </w:tc>
        <w:tc>
          <w:tcPr>
            <w:tcW w:w="24" w:type="pct"/>
            <w:shd w:val="clear" w:color="auto" w:fill="auto"/>
            <w:vAlign w:val="bottom"/>
          </w:tcPr>
          <w:p w14:paraId="675381A4" w14:textId="77777777" w:rsidR="001B77DD" w:rsidRDefault="001B77DD">
            <w:pPr>
              <w:rPr>
                <w:rFonts w:ascii="宋体"/>
              </w:rPr>
            </w:pPr>
          </w:p>
        </w:tc>
        <w:tc>
          <w:tcPr>
            <w:tcW w:w="5" w:type="pct"/>
            <w:shd w:val="clear" w:color="auto" w:fill="auto"/>
            <w:vAlign w:val="bottom"/>
          </w:tcPr>
          <w:p w14:paraId="675381A5" w14:textId="77777777" w:rsidR="001B77DD" w:rsidRDefault="001B77DD">
            <w:pPr>
              <w:rPr>
                <w:rFonts w:ascii="宋体"/>
              </w:rPr>
            </w:pPr>
          </w:p>
        </w:tc>
        <w:tc>
          <w:tcPr>
            <w:tcW w:w="50" w:type="pct"/>
            <w:shd w:val="clear" w:color="auto" w:fill="auto"/>
            <w:vAlign w:val="bottom"/>
          </w:tcPr>
          <w:p w14:paraId="675381A6" w14:textId="77777777" w:rsidR="001B77DD" w:rsidRDefault="001B77DD">
            <w:pPr>
              <w:rPr>
                <w:rFonts w:ascii="宋体"/>
              </w:rPr>
            </w:pPr>
          </w:p>
        </w:tc>
        <w:tc>
          <w:tcPr>
            <w:tcW w:w="354" w:type="pct"/>
            <w:shd w:val="clear" w:color="auto" w:fill="auto"/>
            <w:vAlign w:val="bottom"/>
          </w:tcPr>
          <w:p w14:paraId="675381A7" w14:textId="77777777" w:rsidR="001B77DD" w:rsidRDefault="001B77DD">
            <w:pPr>
              <w:rPr>
                <w:rFonts w:ascii="宋体"/>
              </w:rPr>
            </w:pPr>
          </w:p>
        </w:tc>
        <w:tc>
          <w:tcPr>
            <w:tcW w:w="5" w:type="pct"/>
            <w:shd w:val="clear" w:color="auto" w:fill="auto"/>
            <w:vAlign w:val="bottom"/>
          </w:tcPr>
          <w:p w14:paraId="675381A8" w14:textId="77777777" w:rsidR="001B77DD" w:rsidRDefault="001B77DD">
            <w:pPr>
              <w:rPr>
                <w:rFonts w:ascii="宋体"/>
              </w:rPr>
            </w:pPr>
          </w:p>
        </w:tc>
        <w:tc>
          <w:tcPr>
            <w:tcW w:w="5" w:type="pct"/>
            <w:shd w:val="clear" w:color="auto" w:fill="auto"/>
            <w:vAlign w:val="bottom"/>
          </w:tcPr>
          <w:p w14:paraId="675381A9" w14:textId="77777777" w:rsidR="001B77DD" w:rsidRDefault="001B77DD">
            <w:pPr>
              <w:rPr>
                <w:rFonts w:ascii="宋体"/>
              </w:rPr>
            </w:pPr>
          </w:p>
        </w:tc>
        <w:tc>
          <w:tcPr>
            <w:tcW w:w="17" w:type="pct"/>
            <w:shd w:val="clear" w:color="auto" w:fill="auto"/>
            <w:vAlign w:val="bottom"/>
          </w:tcPr>
          <w:p w14:paraId="675381AA" w14:textId="77777777" w:rsidR="001B77DD" w:rsidRDefault="001B77DD">
            <w:pPr>
              <w:rPr>
                <w:rFonts w:ascii="宋体"/>
              </w:rPr>
            </w:pPr>
          </w:p>
        </w:tc>
        <w:tc>
          <w:tcPr>
            <w:tcW w:w="5" w:type="pct"/>
            <w:shd w:val="clear" w:color="auto" w:fill="auto"/>
            <w:vAlign w:val="bottom"/>
          </w:tcPr>
          <w:p w14:paraId="675381AB" w14:textId="77777777" w:rsidR="001B77DD" w:rsidRDefault="001B77DD">
            <w:pPr>
              <w:rPr>
                <w:rFonts w:ascii="宋体"/>
              </w:rPr>
            </w:pPr>
          </w:p>
        </w:tc>
        <w:tc>
          <w:tcPr>
            <w:tcW w:w="50" w:type="pct"/>
            <w:shd w:val="clear" w:color="auto" w:fill="auto"/>
            <w:vAlign w:val="bottom"/>
          </w:tcPr>
          <w:p w14:paraId="675381AC" w14:textId="77777777" w:rsidR="001B77DD" w:rsidRDefault="001B77DD">
            <w:pPr>
              <w:rPr>
                <w:rFonts w:ascii="宋体"/>
              </w:rPr>
            </w:pPr>
          </w:p>
        </w:tc>
        <w:tc>
          <w:tcPr>
            <w:tcW w:w="416" w:type="pct"/>
            <w:shd w:val="clear" w:color="auto" w:fill="auto"/>
            <w:vAlign w:val="bottom"/>
          </w:tcPr>
          <w:p w14:paraId="675381AD" w14:textId="77777777" w:rsidR="001B77DD" w:rsidRDefault="001B77DD">
            <w:pPr>
              <w:rPr>
                <w:rFonts w:ascii="宋体"/>
              </w:rPr>
            </w:pPr>
          </w:p>
        </w:tc>
        <w:tc>
          <w:tcPr>
            <w:tcW w:w="5" w:type="pct"/>
            <w:shd w:val="clear" w:color="auto" w:fill="auto"/>
            <w:vAlign w:val="bottom"/>
          </w:tcPr>
          <w:p w14:paraId="675381AE" w14:textId="77777777" w:rsidR="001B77DD" w:rsidRDefault="001B77DD">
            <w:pPr>
              <w:rPr>
                <w:rFonts w:ascii="宋体"/>
              </w:rPr>
            </w:pPr>
          </w:p>
        </w:tc>
        <w:tc>
          <w:tcPr>
            <w:tcW w:w="5" w:type="pct"/>
            <w:shd w:val="clear" w:color="auto" w:fill="auto"/>
            <w:vAlign w:val="bottom"/>
          </w:tcPr>
          <w:p w14:paraId="675381AF" w14:textId="77777777" w:rsidR="001B77DD" w:rsidRDefault="001B77DD">
            <w:pPr>
              <w:rPr>
                <w:rFonts w:ascii="宋体"/>
              </w:rPr>
            </w:pPr>
          </w:p>
        </w:tc>
        <w:tc>
          <w:tcPr>
            <w:tcW w:w="24" w:type="pct"/>
            <w:shd w:val="clear" w:color="auto" w:fill="auto"/>
            <w:vAlign w:val="bottom"/>
          </w:tcPr>
          <w:p w14:paraId="675381B0" w14:textId="77777777" w:rsidR="001B77DD" w:rsidRDefault="001B77DD">
            <w:pPr>
              <w:rPr>
                <w:rFonts w:ascii="宋体"/>
              </w:rPr>
            </w:pPr>
          </w:p>
        </w:tc>
        <w:tc>
          <w:tcPr>
            <w:tcW w:w="5" w:type="pct"/>
            <w:shd w:val="clear" w:color="auto" w:fill="auto"/>
            <w:vAlign w:val="bottom"/>
          </w:tcPr>
          <w:p w14:paraId="675381B1" w14:textId="77777777" w:rsidR="001B77DD" w:rsidRDefault="001B77DD">
            <w:pPr>
              <w:rPr>
                <w:rFonts w:ascii="宋体"/>
              </w:rPr>
            </w:pPr>
          </w:p>
        </w:tc>
        <w:tc>
          <w:tcPr>
            <w:tcW w:w="50" w:type="pct"/>
            <w:shd w:val="clear" w:color="auto" w:fill="auto"/>
            <w:vAlign w:val="bottom"/>
          </w:tcPr>
          <w:p w14:paraId="675381B2" w14:textId="77777777" w:rsidR="001B77DD" w:rsidRDefault="001B77DD">
            <w:pPr>
              <w:rPr>
                <w:rFonts w:ascii="宋体"/>
              </w:rPr>
            </w:pPr>
          </w:p>
        </w:tc>
        <w:tc>
          <w:tcPr>
            <w:tcW w:w="416" w:type="pct"/>
            <w:shd w:val="clear" w:color="auto" w:fill="auto"/>
            <w:vAlign w:val="bottom"/>
          </w:tcPr>
          <w:p w14:paraId="675381B3" w14:textId="77777777" w:rsidR="001B77DD" w:rsidRDefault="001B77DD">
            <w:pPr>
              <w:rPr>
                <w:rFonts w:ascii="宋体"/>
              </w:rPr>
            </w:pPr>
          </w:p>
        </w:tc>
        <w:tc>
          <w:tcPr>
            <w:tcW w:w="5" w:type="pct"/>
            <w:shd w:val="clear" w:color="auto" w:fill="auto"/>
            <w:vAlign w:val="bottom"/>
          </w:tcPr>
          <w:p w14:paraId="675381B4" w14:textId="77777777" w:rsidR="001B77DD" w:rsidRDefault="001B77DD">
            <w:pPr>
              <w:rPr>
                <w:rFonts w:ascii="宋体"/>
              </w:rPr>
            </w:pPr>
          </w:p>
        </w:tc>
      </w:tr>
      <w:tr w:rsidR="001B77DD" w14:paraId="675381C5" w14:textId="77777777">
        <w:tc>
          <w:tcPr>
            <w:tcW w:w="0" w:type="auto"/>
            <w:gridSpan w:val="3"/>
            <w:shd w:val="clear" w:color="auto" w:fill="auto"/>
            <w:tcMar>
              <w:top w:w="40" w:type="dxa"/>
              <w:left w:w="20" w:type="dxa"/>
              <w:bottom w:w="40" w:type="dxa"/>
              <w:right w:w="20" w:type="dxa"/>
            </w:tcMar>
            <w:vAlign w:val="bottom"/>
          </w:tcPr>
          <w:p w14:paraId="675381B6" w14:textId="77777777" w:rsidR="001B77DD" w:rsidRDefault="00BF0A2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75381B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B8" w14:textId="77777777" w:rsidR="001B77DD" w:rsidRDefault="00BF0A28">
            <w:pPr>
              <w:jc w:val="center"/>
              <w:textAlignment w:val="bottom"/>
            </w:pPr>
            <w:r>
              <w:rPr>
                <w:rFonts w:ascii="Arial" w:eastAsia="宋体" w:hAnsi="Arial" w:cs="Arial"/>
                <w:b/>
                <w:bCs/>
                <w:color w:val="262626"/>
                <w:sz w:val="18"/>
                <w:szCs w:val="18"/>
              </w:rPr>
              <w:t>2022</w:t>
            </w:r>
          </w:p>
        </w:tc>
        <w:tc>
          <w:tcPr>
            <w:tcW w:w="0" w:type="auto"/>
            <w:gridSpan w:val="3"/>
            <w:shd w:val="clear" w:color="auto" w:fill="auto"/>
            <w:tcMar>
              <w:top w:w="0" w:type="dxa"/>
              <w:left w:w="20" w:type="dxa"/>
              <w:bottom w:w="0" w:type="dxa"/>
              <w:right w:w="20" w:type="dxa"/>
            </w:tcMar>
            <w:vAlign w:val="bottom"/>
          </w:tcPr>
          <w:p w14:paraId="675381B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BA" w14:textId="77777777" w:rsidR="001B77DD" w:rsidRDefault="00BF0A28">
            <w:pPr>
              <w:jc w:val="center"/>
              <w:textAlignment w:val="bottom"/>
            </w:pPr>
            <w:r>
              <w:rPr>
                <w:rFonts w:ascii="Arial" w:eastAsia="宋体" w:hAnsi="Arial" w:cs="Arial"/>
                <w:b/>
                <w:bCs/>
                <w:color w:val="262626"/>
                <w:sz w:val="18"/>
                <w:szCs w:val="18"/>
              </w:rPr>
              <w:t>2023</w:t>
            </w:r>
          </w:p>
        </w:tc>
        <w:tc>
          <w:tcPr>
            <w:tcW w:w="0" w:type="auto"/>
            <w:gridSpan w:val="3"/>
            <w:shd w:val="clear" w:color="auto" w:fill="auto"/>
            <w:tcMar>
              <w:top w:w="0" w:type="dxa"/>
              <w:left w:w="20" w:type="dxa"/>
              <w:bottom w:w="0" w:type="dxa"/>
              <w:right w:w="20" w:type="dxa"/>
            </w:tcMar>
            <w:vAlign w:val="bottom"/>
          </w:tcPr>
          <w:p w14:paraId="675381B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BC" w14:textId="77777777" w:rsidR="001B77DD" w:rsidRDefault="00BF0A28">
            <w:pPr>
              <w:jc w:val="center"/>
              <w:textAlignment w:val="bottom"/>
            </w:pPr>
            <w:r>
              <w:rPr>
                <w:rFonts w:ascii="Arial" w:eastAsia="宋体" w:hAnsi="Arial" w:cs="Arial"/>
                <w:b/>
                <w:bCs/>
                <w:color w:val="262626"/>
                <w:sz w:val="18"/>
                <w:szCs w:val="18"/>
              </w:rPr>
              <w:t>2024</w:t>
            </w:r>
          </w:p>
        </w:tc>
        <w:tc>
          <w:tcPr>
            <w:tcW w:w="0" w:type="auto"/>
            <w:gridSpan w:val="3"/>
            <w:shd w:val="clear" w:color="auto" w:fill="auto"/>
            <w:tcMar>
              <w:top w:w="0" w:type="dxa"/>
              <w:left w:w="20" w:type="dxa"/>
              <w:bottom w:w="0" w:type="dxa"/>
              <w:right w:w="20" w:type="dxa"/>
            </w:tcMar>
            <w:vAlign w:val="bottom"/>
          </w:tcPr>
          <w:p w14:paraId="675381B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BE" w14:textId="77777777" w:rsidR="001B77DD" w:rsidRDefault="00BF0A28">
            <w:pPr>
              <w:jc w:val="center"/>
              <w:textAlignment w:val="bottom"/>
            </w:pPr>
            <w:r>
              <w:rPr>
                <w:rFonts w:ascii="Arial" w:eastAsia="宋体" w:hAnsi="Arial" w:cs="Arial"/>
                <w:b/>
                <w:bCs/>
                <w:color w:val="262626"/>
                <w:sz w:val="18"/>
                <w:szCs w:val="18"/>
              </w:rPr>
              <w:t>2025</w:t>
            </w:r>
          </w:p>
        </w:tc>
        <w:tc>
          <w:tcPr>
            <w:tcW w:w="0" w:type="auto"/>
            <w:gridSpan w:val="3"/>
            <w:shd w:val="clear" w:color="auto" w:fill="auto"/>
            <w:tcMar>
              <w:top w:w="0" w:type="dxa"/>
              <w:left w:w="20" w:type="dxa"/>
              <w:bottom w:w="0" w:type="dxa"/>
              <w:right w:w="20" w:type="dxa"/>
            </w:tcMar>
            <w:vAlign w:val="bottom"/>
          </w:tcPr>
          <w:p w14:paraId="675381B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C0" w14:textId="77777777" w:rsidR="001B77DD" w:rsidRDefault="00BF0A28">
            <w:pPr>
              <w:jc w:val="center"/>
              <w:textAlignment w:val="bottom"/>
            </w:pPr>
            <w:r>
              <w:rPr>
                <w:rFonts w:ascii="Arial" w:eastAsia="宋体" w:hAnsi="Arial" w:cs="Arial"/>
                <w:b/>
                <w:bCs/>
                <w:color w:val="262626"/>
                <w:sz w:val="18"/>
                <w:szCs w:val="18"/>
              </w:rPr>
              <w:t>2026</w:t>
            </w:r>
          </w:p>
        </w:tc>
        <w:tc>
          <w:tcPr>
            <w:tcW w:w="0" w:type="auto"/>
            <w:gridSpan w:val="3"/>
            <w:shd w:val="clear" w:color="auto" w:fill="auto"/>
            <w:tcMar>
              <w:top w:w="0" w:type="dxa"/>
              <w:left w:w="20" w:type="dxa"/>
              <w:bottom w:w="0" w:type="dxa"/>
              <w:right w:w="20" w:type="dxa"/>
            </w:tcMar>
            <w:vAlign w:val="bottom"/>
          </w:tcPr>
          <w:p w14:paraId="675381C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C2" w14:textId="77777777" w:rsidR="001B77DD" w:rsidRDefault="00BF0A28">
            <w:pPr>
              <w:jc w:val="center"/>
              <w:textAlignment w:val="bottom"/>
            </w:pPr>
            <w:r>
              <w:rPr>
                <w:rFonts w:ascii="Arial" w:eastAsia="宋体" w:hAnsi="Arial" w:cs="Arial"/>
                <w:b/>
                <w:bCs/>
                <w:color w:val="262626"/>
                <w:sz w:val="18"/>
                <w:szCs w:val="18"/>
              </w:rPr>
              <w:t> Thereafter</w:t>
            </w:r>
          </w:p>
        </w:tc>
        <w:tc>
          <w:tcPr>
            <w:tcW w:w="0" w:type="auto"/>
            <w:gridSpan w:val="3"/>
            <w:shd w:val="clear" w:color="auto" w:fill="auto"/>
            <w:tcMar>
              <w:top w:w="0" w:type="dxa"/>
              <w:left w:w="20" w:type="dxa"/>
              <w:bottom w:w="0" w:type="dxa"/>
              <w:right w:w="20" w:type="dxa"/>
            </w:tcMar>
            <w:vAlign w:val="bottom"/>
          </w:tcPr>
          <w:p w14:paraId="675381C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1C4" w14:textId="77777777" w:rsidR="001B77DD" w:rsidRDefault="00BF0A28">
            <w:pPr>
              <w:jc w:val="center"/>
              <w:textAlignment w:val="bottom"/>
            </w:pPr>
            <w:r>
              <w:rPr>
                <w:rFonts w:ascii="Arial" w:eastAsia="宋体" w:hAnsi="Arial" w:cs="Arial"/>
                <w:b/>
                <w:bCs/>
                <w:color w:val="262626"/>
                <w:sz w:val="18"/>
                <w:szCs w:val="18"/>
              </w:rPr>
              <w:t>Total</w:t>
            </w:r>
          </w:p>
        </w:tc>
      </w:tr>
      <w:tr w:rsidR="001B77DD" w14:paraId="675381E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81C6" w14:textId="77777777" w:rsidR="001B77DD" w:rsidRDefault="00BF0A28">
            <w:pPr>
              <w:textAlignment w:val="bottom"/>
            </w:pPr>
            <w:r>
              <w:rPr>
                <w:rFonts w:ascii="Arial" w:eastAsia="宋体" w:hAnsi="Arial" w:cs="Arial"/>
                <w:color w:val="262626"/>
                <w:sz w:val="18"/>
                <w:szCs w:val="18"/>
              </w:rPr>
              <w:t>Operating lease payments</w:t>
            </w:r>
          </w:p>
        </w:tc>
        <w:tc>
          <w:tcPr>
            <w:tcW w:w="0" w:type="auto"/>
            <w:gridSpan w:val="3"/>
            <w:shd w:val="clear" w:color="auto" w:fill="auto"/>
            <w:tcMar>
              <w:top w:w="0" w:type="dxa"/>
              <w:left w:w="20" w:type="dxa"/>
              <w:bottom w:w="0" w:type="dxa"/>
              <w:right w:w="20" w:type="dxa"/>
            </w:tcMar>
            <w:vAlign w:val="bottom"/>
          </w:tcPr>
          <w:p w14:paraId="675381C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1C8"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1C9" w14:textId="77777777" w:rsidR="001B77DD" w:rsidRDefault="00BF0A28">
            <w:pPr>
              <w:jc w:val="right"/>
              <w:textAlignment w:val="bottom"/>
            </w:pPr>
            <w:r>
              <w:rPr>
                <w:rFonts w:ascii="Arial" w:eastAsia="宋体" w:hAnsi="Arial" w:cs="Arial"/>
                <w:color w:val="0068B5"/>
                <w:sz w:val="18"/>
                <w:szCs w:val="18"/>
              </w:rPr>
              <w:t>183 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C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C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1CC"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1CD" w14:textId="77777777" w:rsidR="001B77DD" w:rsidRDefault="00BF0A28">
            <w:pPr>
              <w:jc w:val="right"/>
              <w:textAlignment w:val="bottom"/>
            </w:pPr>
            <w:r>
              <w:rPr>
                <w:rFonts w:ascii="Arial" w:eastAsia="宋体" w:hAnsi="Arial" w:cs="Arial"/>
                <w:color w:val="0068B5"/>
                <w:sz w:val="18"/>
                <w:szCs w:val="18"/>
              </w:rPr>
              <w:t>139 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C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C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1D0"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1D1" w14:textId="77777777" w:rsidR="001B77DD" w:rsidRDefault="00BF0A28">
            <w:pPr>
              <w:jc w:val="right"/>
              <w:textAlignment w:val="bottom"/>
            </w:pPr>
            <w:r>
              <w:rPr>
                <w:rFonts w:ascii="Arial" w:eastAsia="宋体" w:hAnsi="Arial" w:cs="Arial"/>
                <w:color w:val="0068B5"/>
                <w:sz w:val="18"/>
                <w:szCs w:val="18"/>
              </w:rPr>
              <w:t>79 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D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D3"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1D4"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1D5" w14:textId="77777777" w:rsidR="001B77DD" w:rsidRDefault="00BF0A28">
            <w:pPr>
              <w:jc w:val="right"/>
              <w:textAlignment w:val="bottom"/>
            </w:pPr>
            <w:r>
              <w:rPr>
                <w:rFonts w:ascii="Arial" w:eastAsia="宋体" w:hAnsi="Arial" w:cs="Arial"/>
                <w:color w:val="0068B5"/>
                <w:sz w:val="18"/>
                <w:szCs w:val="18"/>
              </w:rPr>
              <w:t>55 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D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D7"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1D8"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1D9" w14:textId="77777777" w:rsidR="001B77DD" w:rsidRDefault="00BF0A28">
            <w:pPr>
              <w:jc w:val="right"/>
              <w:textAlignment w:val="bottom"/>
            </w:pPr>
            <w:r>
              <w:rPr>
                <w:rFonts w:ascii="Arial" w:eastAsia="宋体" w:hAnsi="Arial" w:cs="Arial"/>
                <w:color w:val="0068B5"/>
                <w:sz w:val="18"/>
                <w:szCs w:val="18"/>
              </w:rPr>
              <w:t>16 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D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DB"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1DC" w14:textId="77777777" w:rsidR="001B77DD" w:rsidRDefault="00BF0A2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1DD" w14:textId="77777777" w:rsidR="001B77DD" w:rsidRDefault="00BF0A28">
            <w:pPr>
              <w:jc w:val="right"/>
              <w:textAlignment w:val="bottom"/>
            </w:pPr>
            <w:r>
              <w:rPr>
                <w:rFonts w:ascii="Arial" w:eastAsia="宋体" w:hAnsi="Arial" w:cs="Arial"/>
                <w:color w:val="0068B5"/>
                <w:sz w:val="18"/>
                <w:szCs w:val="18"/>
              </w:rPr>
              <w:t>27 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D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DF" w14:textId="77777777" w:rsidR="001B77DD" w:rsidRDefault="001B77DD">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75381E0" w14:textId="77777777" w:rsidR="001B77DD" w:rsidRDefault="00BF0A2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75381E1" w14:textId="77777777" w:rsidR="001B77DD" w:rsidRDefault="00BF0A28">
            <w:pPr>
              <w:jc w:val="right"/>
              <w:textAlignment w:val="bottom"/>
            </w:pPr>
            <w:r>
              <w:rPr>
                <w:rFonts w:ascii="Arial" w:eastAsia="宋体" w:hAnsi="Arial" w:cs="Arial"/>
                <w:b/>
                <w:bCs/>
                <w:color w:val="0068B5"/>
                <w:sz w:val="18"/>
                <w:szCs w:val="18"/>
              </w:rPr>
              <w:t>499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75381E2" w14:textId="77777777" w:rsidR="001B77DD" w:rsidRDefault="001B77DD">
            <w:pPr>
              <w:jc w:val="right"/>
              <w:rPr>
                <w:rFonts w:ascii="宋体"/>
              </w:rPr>
            </w:pPr>
          </w:p>
        </w:tc>
      </w:tr>
      <w:tr w:rsidR="001B77DD" w14:paraId="675381F9" w14:textId="77777777">
        <w:tc>
          <w:tcPr>
            <w:tcW w:w="0" w:type="auto"/>
            <w:gridSpan w:val="3"/>
            <w:shd w:val="clear" w:color="auto" w:fill="auto"/>
            <w:tcMar>
              <w:top w:w="40" w:type="dxa"/>
              <w:left w:w="20" w:type="dxa"/>
              <w:bottom w:w="40" w:type="dxa"/>
              <w:right w:w="20" w:type="dxa"/>
            </w:tcMar>
            <w:vAlign w:val="bottom"/>
          </w:tcPr>
          <w:p w14:paraId="675381E4" w14:textId="77777777" w:rsidR="001B77DD" w:rsidRDefault="00BF0A28">
            <w:pPr>
              <w:textAlignment w:val="bottom"/>
            </w:pPr>
            <w:r>
              <w:rPr>
                <w:rFonts w:ascii="Arial" w:eastAsia="宋体" w:hAnsi="Arial" w:cs="Arial"/>
                <w:color w:val="262626"/>
                <w:sz w:val="18"/>
                <w:szCs w:val="18"/>
              </w:rPr>
              <w:t>Finance lease payments</w:t>
            </w:r>
          </w:p>
        </w:tc>
        <w:tc>
          <w:tcPr>
            <w:tcW w:w="0" w:type="auto"/>
            <w:gridSpan w:val="3"/>
            <w:shd w:val="clear" w:color="auto" w:fill="auto"/>
            <w:tcMar>
              <w:top w:w="0" w:type="dxa"/>
              <w:left w:w="20" w:type="dxa"/>
              <w:bottom w:w="0" w:type="dxa"/>
              <w:right w:w="20" w:type="dxa"/>
            </w:tcMar>
            <w:vAlign w:val="bottom"/>
          </w:tcPr>
          <w:p w14:paraId="675381E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81E6"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81E7" w14:textId="77777777" w:rsidR="001B77DD" w:rsidRDefault="00BF0A28">
            <w:pPr>
              <w:jc w:val="right"/>
              <w:textAlignment w:val="bottom"/>
            </w:pPr>
            <w:r>
              <w:rPr>
                <w:rFonts w:ascii="Arial" w:eastAsia="宋体" w:hAnsi="Arial" w:cs="Arial"/>
                <w:color w:val="0068B5"/>
                <w:sz w:val="18"/>
                <w:szCs w:val="18"/>
              </w:rPr>
              <w:t>451 </w:t>
            </w:r>
          </w:p>
        </w:tc>
        <w:tc>
          <w:tcPr>
            <w:tcW w:w="0" w:type="auto"/>
            <w:shd w:val="clear" w:color="auto" w:fill="auto"/>
            <w:tcMar>
              <w:top w:w="40" w:type="dxa"/>
              <w:left w:w="0" w:type="dxa"/>
              <w:bottom w:w="40" w:type="dxa"/>
              <w:right w:w="20" w:type="dxa"/>
            </w:tcMar>
            <w:vAlign w:val="bottom"/>
          </w:tcPr>
          <w:p w14:paraId="675381E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E9"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81EA" w14:textId="77777777" w:rsidR="001B77DD" w:rsidRDefault="00BF0A2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75381EB" w14:textId="77777777" w:rsidR="001B77DD" w:rsidRDefault="00BF0A28">
            <w:pPr>
              <w:jc w:val="right"/>
              <w:textAlignment w:val="bottom"/>
            </w:pPr>
            <w:r>
              <w:rPr>
                <w:rFonts w:ascii="Arial" w:eastAsia="宋体" w:hAnsi="Arial" w:cs="Arial"/>
                <w:color w:val="0068B5"/>
                <w:sz w:val="18"/>
                <w:szCs w:val="18"/>
              </w:rPr>
              <w:t>529 </w:t>
            </w:r>
          </w:p>
        </w:tc>
        <w:tc>
          <w:tcPr>
            <w:tcW w:w="0" w:type="auto"/>
            <w:shd w:val="clear" w:color="auto" w:fill="auto"/>
            <w:tcMar>
              <w:top w:w="40" w:type="dxa"/>
              <w:left w:w="0" w:type="dxa"/>
              <w:bottom w:w="40" w:type="dxa"/>
              <w:right w:w="20" w:type="dxa"/>
            </w:tcMar>
            <w:vAlign w:val="bottom"/>
          </w:tcPr>
          <w:p w14:paraId="675381E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1E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E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E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5"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81F6" w14:textId="77777777" w:rsidR="001B77DD" w:rsidRDefault="00BF0A2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75381F7" w14:textId="77777777" w:rsidR="001B77DD" w:rsidRDefault="00BF0A28">
            <w:pPr>
              <w:jc w:val="right"/>
              <w:textAlignment w:val="bottom"/>
            </w:pPr>
            <w:r>
              <w:rPr>
                <w:rFonts w:ascii="Arial" w:eastAsia="宋体" w:hAnsi="Arial" w:cs="Arial"/>
                <w:b/>
                <w:bCs/>
                <w:color w:val="0068B5"/>
                <w:sz w:val="18"/>
                <w:szCs w:val="18"/>
              </w:rPr>
              <w:t>980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81F8" w14:textId="77777777" w:rsidR="001B77DD" w:rsidRDefault="001B77DD">
            <w:pPr>
              <w:jc w:val="right"/>
              <w:rPr>
                <w:rFonts w:ascii="宋体"/>
              </w:rPr>
            </w:pPr>
          </w:p>
        </w:tc>
      </w:tr>
      <w:tr w:rsidR="001B77DD" w14:paraId="6753820B" w14:textId="77777777">
        <w:tc>
          <w:tcPr>
            <w:tcW w:w="0" w:type="auto"/>
            <w:gridSpan w:val="3"/>
            <w:shd w:val="clear" w:color="auto" w:fill="auto"/>
            <w:tcMar>
              <w:top w:w="40" w:type="dxa"/>
              <w:left w:w="20" w:type="dxa"/>
              <w:bottom w:w="40" w:type="dxa"/>
              <w:right w:w="20" w:type="dxa"/>
            </w:tcMar>
            <w:vAlign w:val="bottom"/>
          </w:tcPr>
          <w:p w14:paraId="675381FA" w14:textId="77777777" w:rsidR="001B77DD" w:rsidRDefault="00BF0A28">
            <w:pPr>
              <w:textAlignment w:val="bottom"/>
            </w:pPr>
            <w:r>
              <w:rPr>
                <w:rFonts w:ascii="Arial" w:eastAsia="宋体" w:hAnsi="Arial" w:cs="Arial"/>
                <w:color w:val="262626"/>
                <w:sz w:val="18"/>
                <w:szCs w:val="18"/>
              </w:rPr>
              <w:t>Present value of lease payments</w:t>
            </w:r>
          </w:p>
        </w:tc>
        <w:tc>
          <w:tcPr>
            <w:tcW w:w="0" w:type="auto"/>
            <w:gridSpan w:val="3"/>
            <w:shd w:val="clear" w:color="auto" w:fill="auto"/>
            <w:tcMar>
              <w:top w:w="0" w:type="dxa"/>
              <w:left w:w="20" w:type="dxa"/>
              <w:bottom w:w="0" w:type="dxa"/>
              <w:right w:w="20" w:type="dxa"/>
            </w:tcMar>
            <w:vAlign w:val="bottom"/>
          </w:tcPr>
          <w:p w14:paraId="675381F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1F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20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20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20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20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20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20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20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207" w14:textId="77777777" w:rsidR="001B77DD" w:rsidRDefault="001B77DD">
            <w:pPr>
              <w:rPr>
                <w:rFonts w:ascii="宋体"/>
              </w:rPr>
            </w:pPr>
          </w:p>
        </w:tc>
        <w:tc>
          <w:tcPr>
            <w:tcW w:w="0" w:type="auto"/>
            <w:shd w:val="clear" w:color="auto" w:fill="auto"/>
            <w:tcMar>
              <w:top w:w="40" w:type="dxa"/>
              <w:left w:w="20" w:type="dxa"/>
              <w:bottom w:w="40" w:type="dxa"/>
              <w:right w:w="0" w:type="dxa"/>
            </w:tcMar>
            <w:vAlign w:val="bottom"/>
          </w:tcPr>
          <w:p w14:paraId="67538208" w14:textId="77777777" w:rsidR="001B77DD" w:rsidRDefault="00BF0A2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7538209" w14:textId="77777777" w:rsidR="001B77DD" w:rsidRDefault="00BF0A28">
            <w:pPr>
              <w:jc w:val="right"/>
              <w:textAlignment w:val="bottom"/>
            </w:pPr>
            <w:r>
              <w:rPr>
                <w:rFonts w:ascii="Arial" w:eastAsia="宋体" w:hAnsi="Arial" w:cs="Arial"/>
                <w:b/>
                <w:bCs/>
                <w:color w:val="0068B5"/>
                <w:sz w:val="18"/>
                <w:szCs w:val="18"/>
              </w:rPr>
              <w:t>1,455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753820A" w14:textId="77777777" w:rsidR="001B77DD" w:rsidRDefault="001B77DD">
            <w:pPr>
              <w:jc w:val="right"/>
              <w:rPr>
                <w:rFonts w:ascii="宋体"/>
              </w:rPr>
            </w:pPr>
          </w:p>
        </w:tc>
      </w:tr>
    </w:tbl>
    <w:p w14:paraId="6753820C" w14:textId="77777777" w:rsidR="001B77DD" w:rsidRDefault="00BF0A28">
      <w:pPr>
        <w:spacing w:after="180"/>
      </w:pPr>
      <w:r>
        <w:rPr>
          <w:rFonts w:ascii="Arial" w:eastAsia="宋体" w:hAnsi="Arial" w:cs="Arial"/>
          <w:color w:val="0068B5"/>
          <w:sz w:val="28"/>
          <w:szCs w:val="28"/>
        </w:rPr>
        <w:t>Commitments</w:t>
      </w:r>
    </w:p>
    <w:p w14:paraId="6753820D" w14:textId="77777777" w:rsidR="001B77DD" w:rsidRDefault="00BF0A28">
      <w:pPr>
        <w:spacing w:after="180"/>
      </w:pPr>
      <w:r>
        <w:rPr>
          <w:rFonts w:ascii="Arial" w:eastAsia="宋体" w:hAnsi="Arial" w:cs="Arial"/>
          <w:color w:val="262626"/>
          <w:sz w:val="18"/>
          <w:szCs w:val="18"/>
        </w:rPr>
        <w:t>Commitments for capital expenditures totaled $27.0 billion as of December 25, 2021 ($8.6 billion as of December 26, 2020), a substantial majority of which will be due within the next 12 months. Other purchase obligations and commitments totaled approximate</w:t>
      </w:r>
      <w:r>
        <w:rPr>
          <w:rFonts w:ascii="Arial" w:eastAsia="宋体" w:hAnsi="Arial" w:cs="Arial"/>
          <w:color w:val="262626"/>
          <w:sz w:val="18"/>
          <w:szCs w:val="18"/>
        </w:rPr>
        <w:t>ly $12.4 billion as of December 25, 2021 (approximately $2.6 billion as of December 26, 2020). Other purchase obligations and commitments include payments due under supply agreements and various types of licenses and agreements to purchase goods or service</w:t>
      </w:r>
      <w:r>
        <w:rPr>
          <w:rFonts w:ascii="Arial" w:eastAsia="宋体" w:hAnsi="Arial" w:cs="Arial"/>
          <w:color w:val="262626"/>
          <w:sz w:val="18"/>
          <w:szCs w:val="18"/>
        </w:rPr>
        <w:t>s. Contractual obligations for purchases of goods or services relate to agreements that are enforceable and legally binding and that specify all significant terms, including fixed or minimum quantities, fixed, minimum, or variable price provisions, and the</w:t>
      </w:r>
      <w:r>
        <w:rPr>
          <w:rFonts w:ascii="Arial" w:eastAsia="宋体" w:hAnsi="Arial" w:cs="Arial"/>
          <w:color w:val="262626"/>
          <w:sz w:val="18"/>
          <w:szCs w:val="18"/>
        </w:rPr>
        <w:t xml:space="preserve"> approximate timing of the transaction. For obligations with cancellation provisions, amounts are limited to the non-cancelable portion or the minimum cancellation fee under the agreement. </w:t>
      </w:r>
    </w:p>
    <w:p w14:paraId="6753820E" w14:textId="77777777" w:rsidR="001B77DD" w:rsidRDefault="00BF0A28">
      <w:pPr>
        <w:spacing w:after="180"/>
      </w:pPr>
      <w:r>
        <w:rPr>
          <w:rFonts w:ascii="Arial" w:eastAsia="宋体" w:hAnsi="Arial" w:cs="Arial"/>
          <w:color w:val="0068B5"/>
          <w:sz w:val="28"/>
          <w:szCs w:val="28"/>
        </w:rPr>
        <w:t>Legal Proceedings</w:t>
      </w:r>
    </w:p>
    <w:p w14:paraId="6753820F" w14:textId="77777777" w:rsidR="001B77DD" w:rsidRDefault="00BF0A28">
      <w:pPr>
        <w:spacing w:after="180"/>
      </w:pPr>
      <w:r>
        <w:rPr>
          <w:rFonts w:ascii="Arial" w:eastAsia="宋体" w:hAnsi="Arial" w:cs="Arial"/>
          <w:color w:val="262626"/>
          <w:sz w:val="18"/>
          <w:szCs w:val="18"/>
        </w:rPr>
        <w:t>We are regularly party to various ongoing claims</w:t>
      </w:r>
      <w:r>
        <w:rPr>
          <w:rFonts w:ascii="Arial" w:eastAsia="宋体" w:hAnsi="Arial" w:cs="Arial"/>
          <w:color w:val="262626"/>
          <w:sz w:val="18"/>
          <w:szCs w:val="18"/>
        </w:rPr>
        <w:t xml:space="preserve">, litigation, and other proceedings, including those noted in this section. In the first quarter of 2021, we accrued a charge of $2.2 billion related to litigation involving VLSI, described below. Excluding this charge, management at present believes that </w:t>
      </w:r>
      <w:r>
        <w:rPr>
          <w:rFonts w:ascii="Arial" w:eastAsia="宋体" w:hAnsi="Arial" w:cs="Arial"/>
          <w:color w:val="262626"/>
          <w:sz w:val="18"/>
          <w:szCs w:val="18"/>
        </w:rPr>
        <w:t>the ultimate outcome of these proceedings, individually and in the aggregate, will not materially harm our financial position, results of operations, cash flows, or overall trends; however, legal proceedings and related government investigations are subjec</w:t>
      </w:r>
      <w:r>
        <w:rPr>
          <w:rFonts w:ascii="Arial" w:eastAsia="宋体" w:hAnsi="Arial" w:cs="Arial"/>
          <w:color w:val="262626"/>
          <w:sz w:val="18"/>
          <w:szCs w:val="18"/>
        </w:rPr>
        <w:t>t to inherent uncertainties, and unfavorable rulings, excessive verdicts, or other events could occur. Unfavorable resolutions could include substantial monetary damages, fines, or penalties. Certain of these outstanding matters include speculative, substa</w:t>
      </w:r>
      <w:r>
        <w:rPr>
          <w:rFonts w:ascii="Arial" w:eastAsia="宋体" w:hAnsi="Arial" w:cs="Arial"/>
          <w:color w:val="262626"/>
          <w:sz w:val="18"/>
          <w:szCs w:val="18"/>
        </w:rPr>
        <w:t xml:space="preserve">ntial or indeterminate monetary awards. In addition, in matters for which injunctive relief or other conduct remedies are sought, unfavorable resolutions could include an injunction or other order prohibiting us from selling one or more products at all or </w:t>
      </w:r>
      <w:r>
        <w:rPr>
          <w:rFonts w:ascii="Arial" w:eastAsia="宋体" w:hAnsi="Arial" w:cs="Arial"/>
          <w:color w:val="262626"/>
          <w:sz w:val="18"/>
          <w:szCs w:val="18"/>
        </w:rPr>
        <w:t>in particular ways, precluding particular business practices, or requiring other remedies. An unfavorable outcome may result in a material adverse impact on our business, results of operations, financial position, and overall trends. We might also conclude</w:t>
      </w:r>
      <w:r>
        <w:rPr>
          <w:rFonts w:ascii="Arial" w:eastAsia="宋体" w:hAnsi="Arial" w:cs="Arial"/>
          <w:color w:val="262626"/>
          <w:sz w:val="18"/>
          <w:szCs w:val="18"/>
        </w:rPr>
        <w:t xml:space="preserve"> that settling one or more such matters is in the best interests of our stockholders, employees, and customers, and any such settlement could include substantial payments. Except as specifically described below, we have not concluded that settlement of any</w:t>
      </w:r>
      <w:r>
        <w:rPr>
          <w:rFonts w:ascii="Arial" w:eastAsia="宋体" w:hAnsi="Arial" w:cs="Arial"/>
          <w:color w:val="262626"/>
          <w:sz w:val="18"/>
          <w:szCs w:val="18"/>
        </w:rPr>
        <w:t xml:space="preserve"> of the legal proceedings noted in this section is appropriate at this time.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821C" w14:textId="77777777">
        <w:tc>
          <w:tcPr>
            <w:tcW w:w="50" w:type="pct"/>
            <w:shd w:val="clear" w:color="auto" w:fill="auto"/>
            <w:vAlign w:val="bottom"/>
          </w:tcPr>
          <w:p w14:paraId="67538210" w14:textId="77777777" w:rsidR="001B77DD" w:rsidRDefault="001B77DD">
            <w:pPr>
              <w:rPr>
                <w:rFonts w:ascii="宋体"/>
              </w:rPr>
            </w:pPr>
          </w:p>
        </w:tc>
        <w:tc>
          <w:tcPr>
            <w:tcW w:w="276" w:type="pct"/>
            <w:shd w:val="clear" w:color="auto" w:fill="auto"/>
            <w:vAlign w:val="bottom"/>
          </w:tcPr>
          <w:p w14:paraId="67538211" w14:textId="77777777" w:rsidR="001B77DD" w:rsidRDefault="001B77DD">
            <w:pPr>
              <w:rPr>
                <w:rFonts w:ascii="宋体"/>
              </w:rPr>
            </w:pPr>
          </w:p>
        </w:tc>
        <w:tc>
          <w:tcPr>
            <w:tcW w:w="5" w:type="pct"/>
            <w:shd w:val="clear" w:color="auto" w:fill="auto"/>
            <w:vAlign w:val="bottom"/>
          </w:tcPr>
          <w:p w14:paraId="67538212" w14:textId="77777777" w:rsidR="001B77DD" w:rsidRDefault="001B77DD">
            <w:pPr>
              <w:rPr>
                <w:rFonts w:ascii="宋体"/>
              </w:rPr>
            </w:pPr>
          </w:p>
        </w:tc>
        <w:tc>
          <w:tcPr>
            <w:tcW w:w="50" w:type="pct"/>
            <w:shd w:val="clear" w:color="auto" w:fill="auto"/>
            <w:vAlign w:val="bottom"/>
          </w:tcPr>
          <w:p w14:paraId="67538213" w14:textId="77777777" w:rsidR="001B77DD" w:rsidRDefault="001B77DD">
            <w:pPr>
              <w:rPr>
                <w:rFonts w:ascii="宋体"/>
              </w:rPr>
            </w:pPr>
          </w:p>
        </w:tc>
        <w:tc>
          <w:tcPr>
            <w:tcW w:w="940" w:type="pct"/>
            <w:shd w:val="clear" w:color="auto" w:fill="auto"/>
            <w:vAlign w:val="bottom"/>
          </w:tcPr>
          <w:p w14:paraId="67538214" w14:textId="77777777" w:rsidR="001B77DD" w:rsidRDefault="001B77DD">
            <w:pPr>
              <w:rPr>
                <w:rFonts w:ascii="宋体"/>
              </w:rPr>
            </w:pPr>
          </w:p>
        </w:tc>
        <w:tc>
          <w:tcPr>
            <w:tcW w:w="5" w:type="pct"/>
            <w:shd w:val="clear" w:color="auto" w:fill="auto"/>
            <w:vAlign w:val="bottom"/>
          </w:tcPr>
          <w:p w14:paraId="67538215" w14:textId="77777777" w:rsidR="001B77DD" w:rsidRDefault="001B77DD">
            <w:pPr>
              <w:rPr>
                <w:rFonts w:ascii="宋体"/>
              </w:rPr>
            </w:pPr>
          </w:p>
        </w:tc>
        <w:tc>
          <w:tcPr>
            <w:tcW w:w="50" w:type="pct"/>
            <w:shd w:val="clear" w:color="auto" w:fill="auto"/>
            <w:vAlign w:val="bottom"/>
          </w:tcPr>
          <w:p w14:paraId="67538216" w14:textId="77777777" w:rsidR="001B77DD" w:rsidRDefault="001B77DD">
            <w:pPr>
              <w:rPr>
                <w:rFonts w:ascii="宋体"/>
              </w:rPr>
            </w:pPr>
          </w:p>
        </w:tc>
        <w:tc>
          <w:tcPr>
            <w:tcW w:w="1837" w:type="pct"/>
            <w:shd w:val="clear" w:color="auto" w:fill="auto"/>
            <w:vAlign w:val="bottom"/>
          </w:tcPr>
          <w:p w14:paraId="67538217" w14:textId="77777777" w:rsidR="001B77DD" w:rsidRDefault="001B77DD">
            <w:pPr>
              <w:rPr>
                <w:rFonts w:ascii="宋体"/>
              </w:rPr>
            </w:pPr>
          </w:p>
        </w:tc>
        <w:tc>
          <w:tcPr>
            <w:tcW w:w="5" w:type="pct"/>
            <w:shd w:val="clear" w:color="auto" w:fill="auto"/>
            <w:vAlign w:val="bottom"/>
          </w:tcPr>
          <w:p w14:paraId="67538218" w14:textId="77777777" w:rsidR="001B77DD" w:rsidRDefault="001B77DD">
            <w:pPr>
              <w:rPr>
                <w:rFonts w:ascii="宋体"/>
              </w:rPr>
            </w:pPr>
          </w:p>
        </w:tc>
        <w:tc>
          <w:tcPr>
            <w:tcW w:w="50" w:type="pct"/>
            <w:shd w:val="clear" w:color="auto" w:fill="auto"/>
            <w:vAlign w:val="bottom"/>
          </w:tcPr>
          <w:p w14:paraId="67538219" w14:textId="77777777" w:rsidR="001B77DD" w:rsidRDefault="001B77DD">
            <w:pPr>
              <w:rPr>
                <w:rFonts w:ascii="宋体"/>
              </w:rPr>
            </w:pPr>
          </w:p>
        </w:tc>
        <w:tc>
          <w:tcPr>
            <w:tcW w:w="1724" w:type="pct"/>
            <w:shd w:val="clear" w:color="auto" w:fill="auto"/>
            <w:vAlign w:val="bottom"/>
          </w:tcPr>
          <w:p w14:paraId="6753821A" w14:textId="77777777" w:rsidR="001B77DD" w:rsidRDefault="001B77DD">
            <w:pPr>
              <w:rPr>
                <w:rFonts w:ascii="宋体"/>
              </w:rPr>
            </w:pPr>
          </w:p>
        </w:tc>
        <w:tc>
          <w:tcPr>
            <w:tcW w:w="5" w:type="pct"/>
            <w:shd w:val="clear" w:color="auto" w:fill="auto"/>
            <w:vAlign w:val="bottom"/>
          </w:tcPr>
          <w:p w14:paraId="6753821B" w14:textId="77777777" w:rsidR="001B77DD" w:rsidRDefault="001B77DD">
            <w:pPr>
              <w:rPr>
                <w:rFonts w:ascii="宋体"/>
              </w:rPr>
            </w:pPr>
          </w:p>
        </w:tc>
      </w:tr>
      <w:tr w:rsidR="001B77DD" w14:paraId="67538221"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1D"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7B" wp14:editId="67538F7C">
                  <wp:extent cx="304800" cy="304800"/>
                  <wp:effectExtent l="0" t="0" r="0" b="0"/>
                  <wp:docPr id="157" name="图片 33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3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1E"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821F"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20" w14:textId="77777777" w:rsidR="001B77DD" w:rsidRDefault="00BF0A28">
            <w:pPr>
              <w:jc w:val="right"/>
              <w:textAlignment w:val="center"/>
            </w:pPr>
            <w:r>
              <w:rPr>
                <w:rFonts w:ascii="Arial" w:eastAsia="宋体" w:hAnsi="Arial" w:cs="Arial"/>
                <w:color w:val="262626"/>
                <w:sz w:val="16"/>
                <w:szCs w:val="16"/>
              </w:rPr>
              <w:t>105</w:t>
            </w:r>
          </w:p>
        </w:tc>
      </w:tr>
    </w:tbl>
    <w:p w14:paraId="67538222" w14:textId="77777777" w:rsidR="001B77DD" w:rsidRDefault="00BF0A28">
      <w:r>
        <w:pict w14:anchorId="67538F7D">
          <v:rect id="_x0000_i1131" style="width:415.3pt;height:1.5pt" o:hralign="center" o:hrstd="t" o:hr="t" fillcolor="#a0a0a0" stroked="f"/>
        </w:pict>
      </w:r>
    </w:p>
    <w:p w14:paraId="67538223" w14:textId="77777777" w:rsidR="001B77DD" w:rsidRDefault="00BF0A28">
      <w:pPr>
        <w:jc w:val="right"/>
      </w:pPr>
      <w:hyperlink r:id="rId193" w:anchor="i6c9ced68f6b24d58a3dcf326e8c3c699_16" w:history="1">
        <w:r>
          <w:rPr>
            <w:rStyle w:val="a5"/>
            <w:rFonts w:ascii="Arial" w:eastAsia="宋体" w:hAnsi="Arial" w:cs="Arial"/>
            <w:b/>
            <w:bCs/>
            <w:sz w:val="16"/>
            <w:szCs w:val="16"/>
          </w:rPr>
          <w:t>Table of Contents</w:t>
        </w:r>
      </w:hyperlink>
    </w:p>
    <w:p w14:paraId="67538224" w14:textId="77777777" w:rsidR="001B77DD" w:rsidRDefault="001B77DD">
      <w:pPr>
        <w:jc w:val="right"/>
      </w:pPr>
    </w:p>
    <w:p w14:paraId="67538225" w14:textId="77777777" w:rsidR="001B77DD" w:rsidRDefault="00BF0A28">
      <w:pPr>
        <w:spacing w:after="60"/>
      </w:pPr>
      <w:r>
        <w:rPr>
          <w:rFonts w:ascii="Arial" w:eastAsia="宋体" w:hAnsi="Arial" w:cs="Arial"/>
          <w:color w:val="0068B5"/>
          <w:sz w:val="20"/>
          <w:szCs w:val="20"/>
        </w:rPr>
        <w:t>European Commission Competition Matter</w:t>
      </w:r>
    </w:p>
    <w:p w14:paraId="67538226" w14:textId="77777777" w:rsidR="001B77DD" w:rsidRDefault="00BF0A28">
      <w:pPr>
        <w:spacing w:after="180"/>
      </w:pPr>
      <w:r>
        <w:rPr>
          <w:rFonts w:ascii="Arial" w:eastAsia="宋体" w:hAnsi="Arial" w:cs="Arial"/>
          <w:color w:val="262626"/>
          <w:sz w:val="18"/>
          <w:szCs w:val="18"/>
        </w:rPr>
        <w:t>In 2001, the EC commenced an investigation r</w:t>
      </w:r>
      <w:r>
        <w:rPr>
          <w:rFonts w:ascii="Arial" w:eastAsia="宋体" w:hAnsi="Arial" w:cs="Arial"/>
          <w:color w:val="262626"/>
          <w:sz w:val="18"/>
          <w:szCs w:val="18"/>
        </w:rPr>
        <w:t>egarding claims by Advanced Micro Devices, Inc. (AMD) that we used unfair business practices to persuade customers to buy our microprocessors. We received numerous requests for information and documents from the EC and we responded to each of those request</w:t>
      </w:r>
      <w:r>
        <w:rPr>
          <w:rFonts w:ascii="Arial" w:eastAsia="宋体" w:hAnsi="Arial" w:cs="Arial"/>
          <w:color w:val="262626"/>
          <w:sz w:val="18"/>
          <w:szCs w:val="18"/>
        </w:rPr>
        <w:t xml:space="preserve">s. The EC issued a Statement of Objections in July 2007 and held a hearing on that Statement in March 2008. The EC issued a Supplemental Statement of Objections in July 2008. In May 2009, the EC issued a decision finding that we had violated Article 82 of </w:t>
      </w:r>
      <w:r>
        <w:rPr>
          <w:rFonts w:ascii="Arial" w:eastAsia="宋体" w:hAnsi="Arial" w:cs="Arial"/>
          <w:color w:val="262626"/>
          <w:sz w:val="18"/>
          <w:szCs w:val="18"/>
        </w:rPr>
        <w:t xml:space="preserve">the EC Treaty and Article 54 of the European Economic Area Agreement. In general, the EC found that we violated Article 82 (later renumbered as Article 102 by a new treaty) by offering alleged "conditional rebates and payments" that required our customers </w:t>
      </w:r>
      <w:r>
        <w:rPr>
          <w:rFonts w:ascii="Arial" w:eastAsia="宋体" w:hAnsi="Arial" w:cs="Arial"/>
          <w:color w:val="262626"/>
          <w:sz w:val="18"/>
          <w:szCs w:val="18"/>
        </w:rPr>
        <w:t>to purchase all or most of their x86 microprocessors from us. The EC also found that we violated Article 82 by making alleged "payments to prevent sales of specific rival products." The EC imposed a fine in the amount of €1.1 billion ($1.4 billion as of Ma</w:t>
      </w:r>
      <w:r>
        <w:rPr>
          <w:rFonts w:ascii="Arial" w:eastAsia="宋体" w:hAnsi="Arial" w:cs="Arial"/>
          <w:color w:val="262626"/>
          <w:sz w:val="18"/>
          <w:szCs w:val="18"/>
        </w:rPr>
        <w:t>y 2009), which we subsequently paid during the third quarter of 2009, and ordered us to "immediately bring to an end the infringement referred to in" the EC decision.</w:t>
      </w:r>
    </w:p>
    <w:p w14:paraId="67538227" w14:textId="77777777" w:rsidR="001B77DD" w:rsidRDefault="00BF0A28">
      <w:pPr>
        <w:spacing w:after="180"/>
      </w:pPr>
      <w:r>
        <w:rPr>
          <w:rFonts w:ascii="Arial" w:eastAsia="宋体" w:hAnsi="Arial" w:cs="Arial"/>
          <w:color w:val="262626"/>
          <w:sz w:val="18"/>
          <w:szCs w:val="18"/>
        </w:rPr>
        <w:t>The EC decision contained no specific direction on whether or how we should modify our bu</w:t>
      </w:r>
      <w:r>
        <w:rPr>
          <w:rFonts w:ascii="Arial" w:eastAsia="宋体" w:hAnsi="Arial" w:cs="Arial"/>
          <w:color w:val="262626"/>
          <w:sz w:val="18"/>
          <w:szCs w:val="18"/>
        </w:rPr>
        <w:t>siness practices. Instead, the decision stated that we should "cease and desist" from further conduct that, in the EC's opinion, would violate applicable law. We took steps, which are subject to the EC's ongoing review, to comply with that decision pending</w:t>
      </w:r>
      <w:r>
        <w:rPr>
          <w:rFonts w:ascii="Arial" w:eastAsia="宋体" w:hAnsi="Arial" w:cs="Arial"/>
          <w:color w:val="262626"/>
          <w:sz w:val="18"/>
          <w:szCs w:val="18"/>
        </w:rPr>
        <w:t xml:space="preserve"> appeal. We had discussions with the EC to better understand the decision and to explain changes to our business practices.</w:t>
      </w:r>
    </w:p>
    <w:p w14:paraId="67538228" w14:textId="77777777" w:rsidR="001B77DD" w:rsidRDefault="00BF0A28">
      <w:pPr>
        <w:spacing w:after="180"/>
      </w:pPr>
      <w:r>
        <w:rPr>
          <w:rFonts w:ascii="Arial" w:eastAsia="宋体" w:hAnsi="Arial" w:cs="Arial"/>
          <w:color w:val="262626"/>
          <w:sz w:val="18"/>
          <w:szCs w:val="18"/>
        </w:rPr>
        <w:t>We appealed the EC decision to the Court of First Instance (which has been renamed the General Court) in July 2009. The hearing of o</w:t>
      </w:r>
      <w:r>
        <w:rPr>
          <w:rFonts w:ascii="Arial" w:eastAsia="宋体" w:hAnsi="Arial" w:cs="Arial"/>
          <w:color w:val="262626"/>
          <w:sz w:val="18"/>
          <w:szCs w:val="18"/>
        </w:rPr>
        <w:t>ur appeal took place in July 2012. In June 2014, the General Court rejected our appeal in its entirety. In August 2014, we filed an appeal with the European Court of Justice. In November 2014, Intervener Association for Competitive Technologies filed comme</w:t>
      </w:r>
      <w:r>
        <w:rPr>
          <w:rFonts w:ascii="Arial" w:eastAsia="宋体" w:hAnsi="Arial" w:cs="Arial"/>
          <w:color w:val="262626"/>
          <w:sz w:val="18"/>
          <w:szCs w:val="18"/>
        </w:rPr>
        <w:t>nts in support of Intel's grounds of appeal. The EC and interveners filed briefs in November 2014, we filed a reply in February 2015, and the EC filed a rejoinder in April 2015. The Court of Justice held oral argument in June 2016. In October 2016, Advocat</w:t>
      </w:r>
      <w:r>
        <w:rPr>
          <w:rFonts w:ascii="Arial" w:eastAsia="宋体" w:hAnsi="Arial" w:cs="Arial"/>
          <w:color w:val="262626"/>
          <w:sz w:val="18"/>
          <w:szCs w:val="18"/>
        </w:rPr>
        <w:t>e General Wahl, an advisor to the Court of Justice, issued a non-binding advisory opinion that favored Intel on a number of grounds. The Court of Justice issued its decision in September 2017, setting aside the judgment of the General Court and sending the</w:t>
      </w:r>
      <w:r>
        <w:rPr>
          <w:rFonts w:ascii="Arial" w:eastAsia="宋体" w:hAnsi="Arial" w:cs="Arial"/>
          <w:color w:val="262626"/>
          <w:sz w:val="18"/>
          <w:szCs w:val="18"/>
        </w:rPr>
        <w:t xml:space="preserve"> case back to the General Court to examine whether the rebates at issue were capable of restricting competition. The General Court appointed a panel of five judges to consider our appeal of the EC's 2009 decision in light of the Court of Justice's clarific</w:t>
      </w:r>
      <w:r>
        <w:rPr>
          <w:rFonts w:ascii="Arial" w:eastAsia="宋体" w:hAnsi="Arial" w:cs="Arial"/>
          <w:color w:val="262626"/>
          <w:sz w:val="18"/>
          <w:szCs w:val="18"/>
        </w:rPr>
        <w:t>ations of the law. In November 2017, the parties filed initial "Observations" about the Court of Justice's decision and the appeal and were invited by the General Court to offer supplemental comments to each other's "Observations," which the parties submit</w:t>
      </w:r>
      <w:r>
        <w:rPr>
          <w:rFonts w:ascii="Arial" w:eastAsia="宋体" w:hAnsi="Arial" w:cs="Arial"/>
          <w:color w:val="262626"/>
          <w:sz w:val="18"/>
          <w:szCs w:val="18"/>
        </w:rPr>
        <w:t>ted in March 2018. Responses to other questions posed by the General Court were filed in May and June 2018. The General Court heard oral argument in March 2020, and on January 26, 2022 issued a decision annulling the EC’s finding against Intel regarding re</w:t>
      </w:r>
      <w:r>
        <w:rPr>
          <w:rFonts w:ascii="Arial" w:eastAsia="宋体" w:hAnsi="Arial" w:cs="Arial"/>
          <w:color w:val="262626"/>
          <w:sz w:val="18"/>
          <w:szCs w:val="18"/>
        </w:rPr>
        <w:t>bates as well as the fine on Intel. Any appeal of the General Court’s decision must be brought before the Court of Justice by early April 2022.</w:t>
      </w:r>
    </w:p>
    <w:p w14:paraId="67538229" w14:textId="77777777" w:rsidR="001B77DD" w:rsidRDefault="00BF0A28">
      <w:pPr>
        <w:spacing w:after="60"/>
      </w:pPr>
      <w:r>
        <w:rPr>
          <w:rFonts w:ascii="Arial" w:eastAsia="宋体" w:hAnsi="Arial" w:cs="Arial"/>
          <w:color w:val="0068B5"/>
          <w:sz w:val="20"/>
          <w:szCs w:val="20"/>
        </w:rPr>
        <w:t>Litigation Related to Security Vulnerabilities</w:t>
      </w:r>
    </w:p>
    <w:p w14:paraId="6753822A" w14:textId="77777777" w:rsidR="001B77DD" w:rsidRDefault="00BF0A28">
      <w:pPr>
        <w:spacing w:after="180"/>
      </w:pPr>
      <w:r>
        <w:rPr>
          <w:rFonts w:ascii="Arial" w:eastAsia="宋体" w:hAnsi="Arial" w:cs="Arial"/>
          <w:color w:val="262626"/>
          <w:sz w:val="18"/>
          <w:szCs w:val="18"/>
        </w:rPr>
        <w:t>In June 2017, a Google research team notified us and other companies that it had identified security vulnerabilities (now commonly referred to as "Spectre" and "Meltdown") that affect many types of microprocessors, including our products. As is standard wh</w:t>
      </w:r>
      <w:r>
        <w:rPr>
          <w:rFonts w:ascii="Arial" w:eastAsia="宋体" w:hAnsi="Arial" w:cs="Arial"/>
          <w:color w:val="262626"/>
          <w:sz w:val="18"/>
          <w:szCs w:val="18"/>
        </w:rPr>
        <w:t>en findings like these are presented, we worked together with other companies in the industry to verify the research and develop and validate software and firmware updates for impacted technologies. On January 3, 2018, information on the security vulnerabi</w:t>
      </w:r>
      <w:r>
        <w:rPr>
          <w:rFonts w:ascii="Arial" w:eastAsia="宋体" w:hAnsi="Arial" w:cs="Arial"/>
          <w:color w:val="262626"/>
          <w:sz w:val="18"/>
          <w:szCs w:val="18"/>
        </w:rPr>
        <w:t xml:space="preserve">lities was publicly reported, before software and firmware updates to address the vulnerabilities were made widely available. </w:t>
      </w:r>
    </w:p>
    <w:p w14:paraId="6753822B" w14:textId="77777777" w:rsidR="001B77DD" w:rsidRDefault="00BF0A28">
      <w:pPr>
        <w:spacing w:after="180"/>
      </w:pPr>
      <w:r>
        <w:rPr>
          <w:rFonts w:ascii="Arial" w:eastAsia="宋体" w:hAnsi="Arial" w:cs="Arial"/>
          <w:color w:val="262626"/>
          <w:sz w:val="18"/>
          <w:szCs w:val="18"/>
        </w:rPr>
        <w:t>Numerous lawsuits have been filed against Intel and, in certain cases, our current and former executives and directors, in US fed</w:t>
      </w:r>
      <w:r>
        <w:rPr>
          <w:rFonts w:ascii="Arial" w:eastAsia="宋体" w:hAnsi="Arial" w:cs="Arial"/>
          <w:color w:val="262626"/>
          <w:sz w:val="18"/>
          <w:szCs w:val="18"/>
        </w:rPr>
        <w:t>eral and state courts and in certain courts in other countries relating to the Spectre and Meltdown security vulnerabilities, as well as other variants of these vulnerabilities that have since been identified.</w:t>
      </w:r>
    </w:p>
    <w:p w14:paraId="6753822C" w14:textId="77777777" w:rsidR="001B77DD" w:rsidRDefault="00BF0A28">
      <w:pPr>
        <w:spacing w:after="180"/>
      </w:pPr>
      <w:r>
        <w:rPr>
          <w:rFonts w:ascii="Arial" w:eastAsia="宋体" w:hAnsi="Arial" w:cs="Arial"/>
          <w:color w:val="262626"/>
          <w:sz w:val="18"/>
          <w:szCs w:val="18"/>
        </w:rPr>
        <w:t xml:space="preserve">As of January 25, 2022, consumer class action </w:t>
      </w:r>
      <w:r>
        <w:rPr>
          <w:rFonts w:ascii="Arial" w:eastAsia="宋体" w:hAnsi="Arial" w:cs="Arial"/>
          <w:color w:val="262626"/>
          <w:sz w:val="18"/>
          <w:szCs w:val="18"/>
        </w:rPr>
        <w:t>lawsuits relating to the above class of security vulnerabilities publicly disclosed since 2018 were pending in the United States, Canada, and Israel. The plaintiffs, who purport to represent various classes of purchasers of our products, generally claim to</w:t>
      </w:r>
      <w:r>
        <w:rPr>
          <w:rFonts w:ascii="Arial" w:eastAsia="宋体" w:hAnsi="Arial" w:cs="Arial"/>
          <w:color w:val="262626"/>
          <w:sz w:val="18"/>
          <w:szCs w:val="18"/>
        </w:rPr>
        <w:t xml:space="preserve"> have been harmed by Intel's actions and/or omissions in connection with the security vulnerabilities and assert a variety of common law and statutory claims seeking monetary damages and equitable relief. In the United States, numerous individual class act</w:t>
      </w:r>
      <w:r>
        <w:rPr>
          <w:rFonts w:ascii="Arial" w:eastAsia="宋体" w:hAnsi="Arial" w:cs="Arial"/>
          <w:color w:val="262626"/>
          <w:sz w:val="18"/>
          <w:szCs w:val="18"/>
        </w:rPr>
        <w:t xml:space="preserve">ion suits filed in various jurisdictions were consolidated in April 2018 for all pretrial proceedings in the US District Court for the District of Oregon. In March 2020, the court granted Intel's motion to dismiss the complaint in that consolidated action </w:t>
      </w:r>
      <w:r>
        <w:rPr>
          <w:rFonts w:ascii="Arial" w:eastAsia="宋体" w:hAnsi="Arial" w:cs="Arial"/>
          <w:color w:val="262626"/>
          <w:sz w:val="18"/>
          <w:szCs w:val="18"/>
        </w:rPr>
        <w:t>but granted plaintiffs leave to amend. In March 2021, the court granted Intel's motion to dismiss the amended complaint but granted plaintiffs leave to further amend in part. Plaintiffs filed a further amended complaint in May 2021, which Intel moved to di</w:t>
      </w:r>
      <w:r>
        <w:rPr>
          <w:rFonts w:ascii="Arial" w:eastAsia="宋体" w:hAnsi="Arial" w:cs="Arial"/>
          <w:color w:val="262626"/>
          <w:sz w:val="18"/>
          <w:szCs w:val="18"/>
        </w:rPr>
        <w:t>smiss in July 2021. In Canada, in one case pending in the Superior Court of Justice of Ontario, an initial status conference has not yet been scheduled. In a second case pending in the Superior Court of Justice of Quebec, a stay of the case was in effect u</w:t>
      </w:r>
      <w:r>
        <w:rPr>
          <w:rFonts w:ascii="Arial" w:eastAsia="宋体" w:hAnsi="Arial" w:cs="Arial"/>
          <w:color w:val="262626"/>
          <w:sz w:val="18"/>
          <w:szCs w:val="18"/>
        </w:rPr>
        <w:t>ntil December 2021, and the parties' joint request for a further stay to May 2022 is pending with the court. In Israel, two consumer class action lawsuits were filed in the District Court of Haifa. The plaintiff voluntarily dismissed the first lawsuit in J</w:t>
      </w:r>
      <w:r>
        <w:rPr>
          <w:rFonts w:ascii="Arial" w:eastAsia="宋体" w:hAnsi="Arial" w:cs="Arial"/>
          <w:color w:val="262626"/>
          <w:sz w:val="18"/>
          <w:szCs w:val="18"/>
        </w:rPr>
        <w:t>uly 2021. Intel filed a motion to stay the second case pending resolution of the consolidated proceeding in the US, and a hearing on that motion has been scheduled for April 2022. Additional lawsuits and claims may be asserted seeking monetary damages or o</w:t>
      </w:r>
      <w:r>
        <w:rPr>
          <w:rFonts w:ascii="Arial" w:eastAsia="宋体" w:hAnsi="Arial" w:cs="Arial"/>
          <w:color w:val="262626"/>
          <w:sz w:val="18"/>
          <w:szCs w:val="18"/>
        </w:rPr>
        <w:t>ther related relief. We dispute the pending claims described above and intend to defend those lawsuits vigorously. Given the procedural posture and the nature of those cases, including that the pending proceedings are in the early stages, that alleged dama</w:t>
      </w:r>
      <w:r>
        <w:rPr>
          <w:rFonts w:ascii="Arial" w:eastAsia="宋体" w:hAnsi="Arial" w:cs="Arial"/>
          <w:color w:val="262626"/>
          <w:sz w:val="18"/>
          <w:szCs w:val="18"/>
        </w:rPr>
        <w:t>ges have not been specified, that uncertainty exists as to the likelihood of a class or classes being certified or the ultimate size of any class or classes if certified, and that there are significant factual and legal issues to be resolved, we are unable</w:t>
      </w:r>
      <w:r>
        <w:rPr>
          <w:rFonts w:ascii="Arial" w:eastAsia="宋体" w:hAnsi="Arial" w:cs="Arial"/>
          <w:color w:val="262626"/>
          <w:sz w:val="18"/>
          <w:szCs w:val="18"/>
        </w:rPr>
        <w:t xml:space="preserve"> to make a reasonable estimate of the potential loss or range of losses, if any, that might arise from those matters.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8239" w14:textId="77777777">
        <w:tc>
          <w:tcPr>
            <w:tcW w:w="50" w:type="pct"/>
            <w:shd w:val="clear" w:color="auto" w:fill="auto"/>
            <w:vAlign w:val="bottom"/>
          </w:tcPr>
          <w:p w14:paraId="6753822D" w14:textId="77777777" w:rsidR="001B77DD" w:rsidRDefault="001B77DD">
            <w:pPr>
              <w:rPr>
                <w:rFonts w:ascii="宋体"/>
              </w:rPr>
            </w:pPr>
          </w:p>
        </w:tc>
        <w:tc>
          <w:tcPr>
            <w:tcW w:w="276" w:type="pct"/>
            <w:shd w:val="clear" w:color="auto" w:fill="auto"/>
            <w:vAlign w:val="bottom"/>
          </w:tcPr>
          <w:p w14:paraId="6753822E" w14:textId="77777777" w:rsidR="001B77DD" w:rsidRDefault="001B77DD">
            <w:pPr>
              <w:rPr>
                <w:rFonts w:ascii="宋体"/>
              </w:rPr>
            </w:pPr>
          </w:p>
        </w:tc>
        <w:tc>
          <w:tcPr>
            <w:tcW w:w="5" w:type="pct"/>
            <w:shd w:val="clear" w:color="auto" w:fill="auto"/>
            <w:vAlign w:val="bottom"/>
          </w:tcPr>
          <w:p w14:paraId="6753822F" w14:textId="77777777" w:rsidR="001B77DD" w:rsidRDefault="001B77DD">
            <w:pPr>
              <w:rPr>
                <w:rFonts w:ascii="宋体"/>
              </w:rPr>
            </w:pPr>
          </w:p>
        </w:tc>
        <w:tc>
          <w:tcPr>
            <w:tcW w:w="50" w:type="pct"/>
            <w:shd w:val="clear" w:color="auto" w:fill="auto"/>
            <w:vAlign w:val="bottom"/>
          </w:tcPr>
          <w:p w14:paraId="67538230" w14:textId="77777777" w:rsidR="001B77DD" w:rsidRDefault="001B77DD">
            <w:pPr>
              <w:rPr>
                <w:rFonts w:ascii="宋体"/>
              </w:rPr>
            </w:pPr>
          </w:p>
        </w:tc>
        <w:tc>
          <w:tcPr>
            <w:tcW w:w="940" w:type="pct"/>
            <w:shd w:val="clear" w:color="auto" w:fill="auto"/>
            <w:vAlign w:val="bottom"/>
          </w:tcPr>
          <w:p w14:paraId="67538231" w14:textId="77777777" w:rsidR="001B77DD" w:rsidRDefault="001B77DD">
            <w:pPr>
              <w:rPr>
                <w:rFonts w:ascii="宋体"/>
              </w:rPr>
            </w:pPr>
          </w:p>
        </w:tc>
        <w:tc>
          <w:tcPr>
            <w:tcW w:w="5" w:type="pct"/>
            <w:shd w:val="clear" w:color="auto" w:fill="auto"/>
            <w:vAlign w:val="bottom"/>
          </w:tcPr>
          <w:p w14:paraId="67538232" w14:textId="77777777" w:rsidR="001B77DD" w:rsidRDefault="001B77DD">
            <w:pPr>
              <w:rPr>
                <w:rFonts w:ascii="宋体"/>
              </w:rPr>
            </w:pPr>
          </w:p>
        </w:tc>
        <w:tc>
          <w:tcPr>
            <w:tcW w:w="50" w:type="pct"/>
            <w:shd w:val="clear" w:color="auto" w:fill="auto"/>
            <w:vAlign w:val="bottom"/>
          </w:tcPr>
          <w:p w14:paraId="67538233" w14:textId="77777777" w:rsidR="001B77DD" w:rsidRDefault="001B77DD">
            <w:pPr>
              <w:rPr>
                <w:rFonts w:ascii="宋体"/>
              </w:rPr>
            </w:pPr>
          </w:p>
        </w:tc>
        <w:tc>
          <w:tcPr>
            <w:tcW w:w="1837" w:type="pct"/>
            <w:shd w:val="clear" w:color="auto" w:fill="auto"/>
            <w:vAlign w:val="bottom"/>
          </w:tcPr>
          <w:p w14:paraId="67538234" w14:textId="77777777" w:rsidR="001B77DD" w:rsidRDefault="001B77DD">
            <w:pPr>
              <w:rPr>
                <w:rFonts w:ascii="宋体"/>
              </w:rPr>
            </w:pPr>
          </w:p>
        </w:tc>
        <w:tc>
          <w:tcPr>
            <w:tcW w:w="5" w:type="pct"/>
            <w:shd w:val="clear" w:color="auto" w:fill="auto"/>
            <w:vAlign w:val="bottom"/>
          </w:tcPr>
          <w:p w14:paraId="67538235" w14:textId="77777777" w:rsidR="001B77DD" w:rsidRDefault="001B77DD">
            <w:pPr>
              <w:rPr>
                <w:rFonts w:ascii="宋体"/>
              </w:rPr>
            </w:pPr>
          </w:p>
        </w:tc>
        <w:tc>
          <w:tcPr>
            <w:tcW w:w="50" w:type="pct"/>
            <w:shd w:val="clear" w:color="auto" w:fill="auto"/>
            <w:vAlign w:val="bottom"/>
          </w:tcPr>
          <w:p w14:paraId="67538236" w14:textId="77777777" w:rsidR="001B77DD" w:rsidRDefault="001B77DD">
            <w:pPr>
              <w:rPr>
                <w:rFonts w:ascii="宋体"/>
              </w:rPr>
            </w:pPr>
          </w:p>
        </w:tc>
        <w:tc>
          <w:tcPr>
            <w:tcW w:w="1724" w:type="pct"/>
            <w:shd w:val="clear" w:color="auto" w:fill="auto"/>
            <w:vAlign w:val="bottom"/>
          </w:tcPr>
          <w:p w14:paraId="67538237" w14:textId="77777777" w:rsidR="001B77DD" w:rsidRDefault="001B77DD">
            <w:pPr>
              <w:rPr>
                <w:rFonts w:ascii="宋体"/>
              </w:rPr>
            </w:pPr>
          </w:p>
        </w:tc>
        <w:tc>
          <w:tcPr>
            <w:tcW w:w="5" w:type="pct"/>
            <w:shd w:val="clear" w:color="auto" w:fill="auto"/>
            <w:vAlign w:val="bottom"/>
          </w:tcPr>
          <w:p w14:paraId="67538238" w14:textId="77777777" w:rsidR="001B77DD" w:rsidRDefault="001B77DD">
            <w:pPr>
              <w:rPr>
                <w:rFonts w:ascii="宋体"/>
              </w:rPr>
            </w:pPr>
          </w:p>
        </w:tc>
      </w:tr>
      <w:tr w:rsidR="001B77DD" w14:paraId="6753823E"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3A"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7E" wp14:editId="67538F7F">
                  <wp:extent cx="304800" cy="304800"/>
                  <wp:effectExtent l="0" t="0" r="0" b="0"/>
                  <wp:docPr id="151" name="图片 34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4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3B"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823C"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3D" w14:textId="77777777" w:rsidR="001B77DD" w:rsidRDefault="00BF0A28">
            <w:pPr>
              <w:jc w:val="right"/>
              <w:textAlignment w:val="center"/>
            </w:pPr>
            <w:r>
              <w:rPr>
                <w:rFonts w:ascii="Arial" w:eastAsia="宋体" w:hAnsi="Arial" w:cs="Arial"/>
                <w:color w:val="262626"/>
                <w:sz w:val="16"/>
                <w:szCs w:val="16"/>
              </w:rPr>
              <w:t>106</w:t>
            </w:r>
          </w:p>
        </w:tc>
      </w:tr>
    </w:tbl>
    <w:p w14:paraId="6753823F" w14:textId="77777777" w:rsidR="001B77DD" w:rsidRDefault="00BF0A28">
      <w:r>
        <w:pict w14:anchorId="67538F80">
          <v:rect id="_x0000_i1132" style="width:415.3pt;height:1.5pt" o:hralign="center" o:hrstd="t" o:hr="t" fillcolor="#a0a0a0" stroked="f"/>
        </w:pict>
      </w:r>
    </w:p>
    <w:p w14:paraId="67538240" w14:textId="77777777" w:rsidR="001B77DD" w:rsidRDefault="00BF0A28">
      <w:pPr>
        <w:jc w:val="right"/>
      </w:pPr>
      <w:hyperlink r:id="rId194" w:anchor="i6c9ced68f6b24d58a3dcf326e8c3c699_16" w:history="1">
        <w:r>
          <w:rPr>
            <w:rStyle w:val="a5"/>
            <w:rFonts w:ascii="Arial" w:eastAsia="宋体" w:hAnsi="Arial" w:cs="Arial"/>
            <w:b/>
            <w:bCs/>
            <w:sz w:val="16"/>
            <w:szCs w:val="16"/>
          </w:rPr>
          <w:t>Table of Contents</w:t>
        </w:r>
      </w:hyperlink>
    </w:p>
    <w:p w14:paraId="67538241" w14:textId="77777777" w:rsidR="001B77DD" w:rsidRDefault="001B77DD">
      <w:pPr>
        <w:jc w:val="right"/>
      </w:pPr>
    </w:p>
    <w:p w14:paraId="67538242" w14:textId="77777777" w:rsidR="001B77DD" w:rsidRDefault="00BF0A28">
      <w:pPr>
        <w:spacing w:after="180"/>
      </w:pPr>
      <w:r>
        <w:rPr>
          <w:rFonts w:ascii="Arial" w:eastAsia="宋体" w:hAnsi="Arial" w:cs="Arial"/>
          <w:color w:val="262626"/>
          <w:sz w:val="18"/>
          <w:szCs w:val="18"/>
        </w:rPr>
        <w:t>In addition to these lawsuits, Intel stockholders filed multiple shareholder deriva</w:t>
      </w:r>
      <w:r>
        <w:rPr>
          <w:rFonts w:ascii="Arial" w:eastAsia="宋体" w:hAnsi="Arial" w:cs="Arial"/>
          <w:color w:val="262626"/>
          <w:sz w:val="18"/>
          <w:szCs w:val="18"/>
        </w:rPr>
        <w:t>tive lawsuits since January 2018 against certain current and former members of our Board of Directors and certain current and former officers, alleging that the defendants breached their duties to Intel in connection with the disclosure of the security vul</w:t>
      </w:r>
      <w:r>
        <w:rPr>
          <w:rFonts w:ascii="Arial" w:eastAsia="宋体" w:hAnsi="Arial" w:cs="Arial"/>
          <w:color w:val="262626"/>
          <w:sz w:val="18"/>
          <w:szCs w:val="18"/>
        </w:rPr>
        <w:t>nerabilities and the failure to take action in relation to alleged insider trading. The complaints sought to recover damages from the defendants on behalf of Intel. Some of the derivative actions were filed in the US District Court for the Northern Distric</w:t>
      </w:r>
      <w:r>
        <w:rPr>
          <w:rFonts w:ascii="Arial" w:eastAsia="宋体" w:hAnsi="Arial" w:cs="Arial"/>
          <w:color w:val="262626"/>
          <w:sz w:val="18"/>
          <w:szCs w:val="18"/>
        </w:rPr>
        <w:t>t of California and were consolidated, and the others were filed in the Superior Court of the State of California in San Mateo County and were consolidated. The federal court granted defendants' motion to dismiss in August 2018 on the ground that plaintiff</w:t>
      </w:r>
      <w:r>
        <w:rPr>
          <w:rFonts w:ascii="Arial" w:eastAsia="宋体" w:hAnsi="Arial" w:cs="Arial"/>
          <w:color w:val="262626"/>
          <w:sz w:val="18"/>
          <w:szCs w:val="18"/>
        </w:rPr>
        <w:t>s failed to plead facts sufficient to show they were excused from making a pre-lawsuit demand on the Board. The federal court granted plaintiffs leave to amend their complaint, but subsequently dismissed the cases in January 2019 at plaintiffs' request. Th</w:t>
      </w:r>
      <w:r>
        <w:rPr>
          <w:rFonts w:ascii="Arial" w:eastAsia="宋体" w:hAnsi="Arial" w:cs="Arial"/>
          <w:color w:val="262626"/>
          <w:sz w:val="18"/>
          <w:szCs w:val="18"/>
        </w:rPr>
        <w:t>e California Superior Court entered judgment in defendants' favor in August 2020 after granting defendants' motions to dismiss plaintiffs' consolidated complaint and three successive amended complaints, all for failure to plead facts sufficient to show pla</w:t>
      </w:r>
      <w:r>
        <w:rPr>
          <w:rFonts w:ascii="Arial" w:eastAsia="宋体" w:hAnsi="Arial" w:cs="Arial"/>
          <w:color w:val="262626"/>
          <w:sz w:val="18"/>
          <w:szCs w:val="18"/>
        </w:rPr>
        <w:t>intiffs were excused from making a pre-lawsuit demand on the Board. Plaintiffs filed a notice of appeal of the California court's judgment in October 2020. In January 2021, another Intel stockholder filed a derivative lawsuit in the Superior Court in San M</w:t>
      </w:r>
      <w:r>
        <w:rPr>
          <w:rFonts w:ascii="Arial" w:eastAsia="宋体" w:hAnsi="Arial" w:cs="Arial"/>
          <w:color w:val="262626"/>
          <w:sz w:val="18"/>
          <w:szCs w:val="18"/>
        </w:rPr>
        <w:t>ateo County against certain current and former officers and members of our Board of Directors. The lawsuit asserts claims similar to those dismissed in August 2020, except that it alleges that the stockholder made a pre-lawsuit demand on our Board of Direc</w:t>
      </w:r>
      <w:r>
        <w:rPr>
          <w:rFonts w:ascii="Arial" w:eastAsia="宋体" w:hAnsi="Arial" w:cs="Arial"/>
          <w:color w:val="262626"/>
          <w:sz w:val="18"/>
          <w:szCs w:val="18"/>
        </w:rPr>
        <w:t>tors and that the demand was wrongfully refused. In May 2021, the court granted defendants' motion to stay the action pending the outcome of any litigation plaintiff may choose to file in Delaware where Intel's bylaws require such claims to be filed.</w:t>
      </w:r>
    </w:p>
    <w:p w14:paraId="67538243" w14:textId="77777777" w:rsidR="001B77DD" w:rsidRDefault="00BF0A28">
      <w:pPr>
        <w:spacing w:after="60"/>
      </w:pPr>
      <w:r>
        <w:rPr>
          <w:rFonts w:ascii="Arial" w:eastAsia="宋体" w:hAnsi="Arial" w:cs="Arial"/>
          <w:color w:val="0068B5"/>
          <w:sz w:val="20"/>
          <w:szCs w:val="20"/>
        </w:rPr>
        <w:t>Litig</w:t>
      </w:r>
      <w:r>
        <w:rPr>
          <w:rFonts w:ascii="Arial" w:eastAsia="宋体" w:hAnsi="Arial" w:cs="Arial"/>
          <w:color w:val="0068B5"/>
          <w:sz w:val="20"/>
          <w:szCs w:val="20"/>
        </w:rPr>
        <w:t>ation Related to 7nm Product Delay Announcement</w:t>
      </w:r>
    </w:p>
    <w:p w14:paraId="67538244" w14:textId="77777777" w:rsidR="001B77DD" w:rsidRDefault="00BF0A28">
      <w:pPr>
        <w:spacing w:after="180"/>
      </w:pPr>
      <w:r>
        <w:rPr>
          <w:rFonts w:ascii="Arial" w:eastAsia="宋体" w:hAnsi="Arial" w:cs="Arial"/>
          <w:color w:val="262626"/>
          <w:sz w:val="18"/>
          <w:szCs w:val="18"/>
        </w:rPr>
        <w:t xml:space="preserve">Starting in July 2020, five securities class action lawsuits were filed in the United States District Court for the Northern District of California against Intel and certain current and former </w:t>
      </w:r>
      <w:r>
        <w:rPr>
          <w:rFonts w:ascii="Arial" w:eastAsia="宋体" w:hAnsi="Arial" w:cs="Arial"/>
          <w:color w:val="262626"/>
          <w:sz w:val="18"/>
          <w:szCs w:val="18"/>
        </w:rPr>
        <w:t>officers based on Intel’s July 2020 announcement of 7nm product delays. The plaintiffs, who purport to represent classes of acquirers of Intel stock between October 2019 and July 2020, generally allege that the defendants violated securities laws by making</w:t>
      </w:r>
      <w:r>
        <w:rPr>
          <w:rFonts w:ascii="Arial" w:eastAsia="宋体" w:hAnsi="Arial" w:cs="Arial"/>
          <w:color w:val="262626"/>
          <w:sz w:val="18"/>
          <w:szCs w:val="18"/>
        </w:rPr>
        <w:t xml:space="preserve"> false or misleading statements about the timeline for 7nm products in light of subsequently announced delays. In October 2020, the court consolidated the lawsuits and appointed lead plaintiffs, and in January 2021 the lead plaintiffs filed a consolidated </w:t>
      </w:r>
      <w:r>
        <w:rPr>
          <w:rFonts w:ascii="Arial" w:eastAsia="宋体" w:hAnsi="Arial" w:cs="Arial"/>
          <w:color w:val="262626"/>
          <w:sz w:val="18"/>
          <w:szCs w:val="18"/>
        </w:rPr>
        <w:t>complaint. Defendants moved to dismiss the consolidated complaint in March 2021. We dispute the claims described above and intend to defend the lawsuits vigorously. Given the procedural posture and the nature of those cases, including that the pending proc</w:t>
      </w:r>
      <w:r>
        <w:rPr>
          <w:rFonts w:ascii="Arial" w:eastAsia="宋体" w:hAnsi="Arial" w:cs="Arial"/>
          <w:color w:val="262626"/>
          <w:sz w:val="18"/>
          <w:szCs w:val="18"/>
        </w:rPr>
        <w:t>eedings are in the early stages, that alleged damages have not been specified, that uncertainty exists as to the likelihood of a class or classes being certified or the ultimate size of any class or classes if certified, and that there are significant fact</w:t>
      </w:r>
      <w:r>
        <w:rPr>
          <w:rFonts w:ascii="Arial" w:eastAsia="宋体" w:hAnsi="Arial" w:cs="Arial"/>
          <w:color w:val="262626"/>
          <w:sz w:val="18"/>
          <w:szCs w:val="18"/>
        </w:rPr>
        <w:t xml:space="preserve">ual and legal issues to be resolved, we are unable to make a reasonable estimate of the potential loss or range of losses, if any, that might arise from those matters. In July 2021, Intel introduced a new process node naming structure, and the 7nm process </w:t>
      </w:r>
      <w:r>
        <w:rPr>
          <w:rFonts w:ascii="Arial" w:eastAsia="宋体" w:hAnsi="Arial" w:cs="Arial"/>
          <w:color w:val="262626"/>
          <w:sz w:val="18"/>
          <w:szCs w:val="18"/>
        </w:rPr>
        <w:t>is now Intel 4.</w:t>
      </w:r>
    </w:p>
    <w:p w14:paraId="67538245" w14:textId="77777777" w:rsidR="001B77DD" w:rsidRDefault="00BF0A28">
      <w:pPr>
        <w:spacing w:after="120"/>
      </w:pPr>
      <w:r>
        <w:rPr>
          <w:rFonts w:ascii="Arial" w:eastAsia="宋体" w:hAnsi="Arial" w:cs="Arial"/>
          <w:color w:val="0068B5"/>
        </w:rPr>
        <w:t>Litigation Related to Patent and IP Claims</w:t>
      </w:r>
    </w:p>
    <w:p w14:paraId="67538246" w14:textId="77777777" w:rsidR="001B77DD" w:rsidRDefault="00BF0A28">
      <w:pPr>
        <w:spacing w:after="180"/>
      </w:pPr>
      <w:r>
        <w:rPr>
          <w:rFonts w:ascii="Arial" w:eastAsia="宋体" w:hAnsi="Arial" w:cs="Arial"/>
          <w:color w:val="262626"/>
          <w:sz w:val="18"/>
          <w:szCs w:val="18"/>
        </w:rPr>
        <w:t>We have had IP infringement lawsuits filed against us, including but not limited to those discussed below. Most involve claims that certain of our products, services, and technologies infringe othe</w:t>
      </w:r>
      <w:r>
        <w:rPr>
          <w:rFonts w:ascii="Arial" w:eastAsia="宋体" w:hAnsi="Arial" w:cs="Arial"/>
          <w:color w:val="262626"/>
          <w:sz w:val="18"/>
          <w:szCs w:val="18"/>
        </w:rPr>
        <w:t xml:space="preserve">rs' IP rights. Adverse results in these lawsuits may include awards of substantial fines and penalties, costly royalty or licensing agreements, or orders preventing us from offering certain features, functionalities, products, or services. As a result, we </w:t>
      </w:r>
      <w:r>
        <w:rPr>
          <w:rFonts w:ascii="Arial" w:eastAsia="宋体" w:hAnsi="Arial" w:cs="Arial"/>
          <w:color w:val="262626"/>
          <w:sz w:val="18"/>
          <w:szCs w:val="18"/>
        </w:rPr>
        <w:t>may have to change our business practices, and develop non-infringing products or technologies, which could result in a loss of revenues for us and otherwise harm our business. In addition, certain agreements with our customers require us to indemnify them</w:t>
      </w:r>
      <w:r>
        <w:rPr>
          <w:rFonts w:ascii="Arial" w:eastAsia="宋体" w:hAnsi="Arial" w:cs="Arial"/>
          <w:color w:val="262626"/>
          <w:sz w:val="18"/>
          <w:szCs w:val="18"/>
        </w:rPr>
        <w:t xml:space="preserve"> against certain IP infringement claims, which can increase our costs as a result of defending such claims, and may require that we pay significant damages, accept product returns, or supply our customers with non-infringing products if there were an adver</w:t>
      </w:r>
      <w:r>
        <w:rPr>
          <w:rFonts w:ascii="Arial" w:eastAsia="宋体" w:hAnsi="Arial" w:cs="Arial"/>
          <w:color w:val="262626"/>
          <w:sz w:val="18"/>
          <w:szCs w:val="18"/>
        </w:rPr>
        <w:t>se ruling in any such claims. In addition, our customers and partners may discontinue the use of our products, services, and technologies, as a result of injunctions or otherwise, which could result in loss of revenues and adversely affect our business.</w:t>
      </w:r>
    </w:p>
    <w:p w14:paraId="67538247" w14:textId="77777777" w:rsidR="001B77DD" w:rsidRDefault="00BF0A28">
      <w:pPr>
        <w:spacing w:after="60"/>
      </w:pPr>
      <w:r>
        <w:rPr>
          <w:rFonts w:ascii="Arial" w:eastAsia="宋体" w:hAnsi="Arial" w:cs="Arial"/>
          <w:color w:val="0068B5"/>
          <w:sz w:val="20"/>
          <w:szCs w:val="20"/>
        </w:rPr>
        <w:t>In</w:t>
      </w:r>
      <w:r>
        <w:rPr>
          <w:rFonts w:ascii="Arial" w:eastAsia="宋体" w:hAnsi="Arial" w:cs="Arial"/>
          <w:color w:val="0068B5"/>
          <w:sz w:val="20"/>
          <w:szCs w:val="20"/>
        </w:rPr>
        <w:t>stitute of Microelectronics, Chinese Academy of Sciences v. Intel China, Ltd., et al.</w:t>
      </w:r>
    </w:p>
    <w:p w14:paraId="67538248" w14:textId="77777777" w:rsidR="001B77DD" w:rsidRDefault="00BF0A28">
      <w:pPr>
        <w:spacing w:after="180"/>
      </w:pPr>
      <w:r>
        <w:rPr>
          <w:rFonts w:ascii="Arial" w:eastAsia="宋体" w:hAnsi="Arial" w:cs="Arial"/>
          <w:color w:val="262626"/>
          <w:sz w:val="18"/>
          <w:szCs w:val="18"/>
        </w:rPr>
        <w:t>In February 2018, the Institute of Microelectronics of the Chinese Academy of Sciences (IMECAS) sued Intel China, Ltd., Dell China, Ltd. (Dell), and Beijing Jingdong Cent</w:t>
      </w:r>
      <w:r>
        <w:rPr>
          <w:rFonts w:ascii="Arial" w:eastAsia="宋体" w:hAnsi="Arial" w:cs="Arial"/>
          <w:color w:val="262626"/>
          <w:sz w:val="18"/>
          <w:szCs w:val="18"/>
        </w:rPr>
        <w:t>ury Information Technology, Ltd. (JD) for patent infringement in the Beijing Higher People's Court. IMECAS alleges that Intel's Core series processors infringe Chinese patent CN 102956457 ('457 Patent). The complaint demands an injunction and damages of at</w:t>
      </w:r>
      <w:r>
        <w:rPr>
          <w:rFonts w:ascii="Arial" w:eastAsia="宋体" w:hAnsi="Arial" w:cs="Arial"/>
          <w:color w:val="262626"/>
          <w:sz w:val="18"/>
          <w:szCs w:val="18"/>
        </w:rPr>
        <w:t xml:space="preserve"> least RMB 200 million plus the cost of litigation. Intel is indemnifying Dell and JD. The Beijing Higher People's Court held a final trial hearing in September 2021. No ruling has been issued. In March 2018, Intel filed an invalidation request on the '457</w:t>
      </w:r>
      <w:r>
        <w:rPr>
          <w:rFonts w:ascii="Arial" w:eastAsia="宋体" w:hAnsi="Arial" w:cs="Arial"/>
          <w:color w:val="262626"/>
          <w:sz w:val="18"/>
          <w:szCs w:val="18"/>
        </w:rPr>
        <w:t xml:space="preserve"> patent with the China National Intellectual Property Administration (CNIPA). The CNIPA held an oral hearing in September 2018 and in February 2019 upheld the validity of the challenged claims. Intel filed a complaint in April 2019 with the Beijing Intelle</w:t>
      </w:r>
      <w:r>
        <w:rPr>
          <w:rFonts w:ascii="Arial" w:eastAsia="宋体" w:hAnsi="Arial" w:cs="Arial"/>
          <w:color w:val="262626"/>
          <w:sz w:val="18"/>
          <w:szCs w:val="18"/>
        </w:rPr>
        <w:t xml:space="preserve">ctual Property (IP) Court challenging the February 2019 CNIPA ruling. The Beijing IP Court held oral arguments in July and October 2021 and in November 2021 affirmed the CNIPA ruling. In December 2021, Intel filed an appeal with the Supreme People's Court </w:t>
      </w:r>
      <w:r>
        <w:rPr>
          <w:rFonts w:ascii="Arial" w:eastAsia="宋体" w:hAnsi="Arial" w:cs="Arial"/>
          <w:color w:val="262626"/>
          <w:sz w:val="18"/>
          <w:szCs w:val="18"/>
        </w:rPr>
        <w:t>challenging the Beijing IP Court's affirmance of the CNIPA ruling. In January 2020, Intel filed a second invalidation request on the '457 patent with the CNIPA, for which the CNIPA heard oral argument in July 2020 and in November 2020 held the challenged a</w:t>
      </w:r>
      <w:r>
        <w:rPr>
          <w:rFonts w:ascii="Arial" w:eastAsia="宋体" w:hAnsi="Arial" w:cs="Arial"/>
          <w:color w:val="262626"/>
          <w:sz w:val="18"/>
          <w:szCs w:val="18"/>
        </w:rPr>
        <w:t>pparatus claims invalid. IMECAS filed a complaint in February 2021 with the Beijing IP Court challenging the November 2020 CNIPA ruling. In December 2020, Intel filed a third invalidation request on the '457 patent with the CNIPA. The CNIPA held an oral he</w:t>
      </w:r>
      <w:r>
        <w:rPr>
          <w:rFonts w:ascii="Arial" w:eastAsia="宋体" w:hAnsi="Arial" w:cs="Arial"/>
          <w:color w:val="262626"/>
          <w:sz w:val="18"/>
          <w:szCs w:val="18"/>
        </w:rPr>
        <w:t>aring in June 2021 and in September 2021 upheld the validity of the challenged claims. Intel filed a complaint in December 2021 with the Beijing IP Court challenging the September 2021 CNIPA ruling. In September 2018 and March 2019, Intel filed petitions w</w:t>
      </w:r>
      <w:r>
        <w:rPr>
          <w:rFonts w:ascii="Arial" w:eastAsia="宋体" w:hAnsi="Arial" w:cs="Arial"/>
          <w:color w:val="262626"/>
          <w:sz w:val="18"/>
          <w:szCs w:val="18"/>
        </w:rPr>
        <w:t xml:space="preserve">ith the US Patent and Trademark Office (USPTO) requesting institution of </w:t>
      </w:r>
      <w:r>
        <w:rPr>
          <w:rFonts w:ascii="Arial" w:eastAsia="宋体" w:hAnsi="Arial" w:cs="Arial"/>
          <w:i/>
          <w:iCs/>
          <w:color w:val="262626"/>
          <w:sz w:val="18"/>
          <w:szCs w:val="18"/>
        </w:rPr>
        <w:t>inter partes</w:t>
      </w:r>
      <w:r>
        <w:rPr>
          <w:rFonts w:ascii="Arial" w:eastAsia="宋体" w:hAnsi="Arial" w:cs="Arial"/>
          <w:color w:val="262626"/>
          <w:sz w:val="18"/>
          <w:szCs w:val="18"/>
        </w:rPr>
        <w:t xml:space="preserve"> review (IPR) of US Patent No. 9,070,719, the US counterpart to the '457 patent. The USPTO denied institution of Intel's petitions in March and October 2019, respectively.</w:t>
      </w:r>
      <w:r>
        <w:rPr>
          <w:rFonts w:ascii="Arial" w:eastAsia="宋体" w:hAnsi="Arial" w:cs="Arial"/>
          <w:color w:val="262626"/>
          <w:sz w:val="18"/>
          <w:szCs w:val="18"/>
        </w:rPr>
        <w:t> In April 2019, Intel filed a request for rehearing and a petition for a Precedential Opinion Panel (POP) in the USPTO to challenge the denial of its first IPR petition, and in November 2019 Intel filed a request for rehearing on the second IPR petition. I</w:t>
      </w:r>
      <w:r>
        <w:rPr>
          <w:rFonts w:ascii="Arial" w:eastAsia="宋体" w:hAnsi="Arial" w:cs="Arial"/>
          <w:color w:val="262626"/>
          <w:sz w:val="18"/>
          <w:szCs w:val="18"/>
        </w:rPr>
        <w:t>n January 2020, the USPTO denied the POP petition on the first IPR petition. In June 2020, the Patent Trial and Appeal Board (PTAB) denied Intel's rehearing requests on both petitions.</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8255" w14:textId="77777777">
        <w:tc>
          <w:tcPr>
            <w:tcW w:w="50" w:type="pct"/>
            <w:shd w:val="clear" w:color="auto" w:fill="auto"/>
            <w:vAlign w:val="bottom"/>
          </w:tcPr>
          <w:p w14:paraId="67538249" w14:textId="77777777" w:rsidR="001B77DD" w:rsidRDefault="001B77DD">
            <w:pPr>
              <w:rPr>
                <w:rFonts w:ascii="宋体"/>
              </w:rPr>
            </w:pPr>
          </w:p>
        </w:tc>
        <w:tc>
          <w:tcPr>
            <w:tcW w:w="276" w:type="pct"/>
            <w:shd w:val="clear" w:color="auto" w:fill="auto"/>
            <w:vAlign w:val="bottom"/>
          </w:tcPr>
          <w:p w14:paraId="6753824A" w14:textId="77777777" w:rsidR="001B77DD" w:rsidRDefault="001B77DD">
            <w:pPr>
              <w:rPr>
                <w:rFonts w:ascii="宋体"/>
              </w:rPr>
            </w:pPr>
          </w:p>
        </w:tc>
        <w:tc>
          <w:tcPr>
            <w:tcW w:w="5" w:type="pct"/>
            <w:shd w:val="clear" w:color="auto" w:fill="auto"/>
            <w:vAlign w:val="bottom"/>
          </w:tcPr>
          <w:p w14:paraId="6753824B" w14:textId="77777777" w:rsidR="001B77DD" w:rsidRDefault="001B77DD">
            <w:pPr>
              <w:rPr>
                <w:rFonts w:ascii="宋体"/>
              </w:rPr>
            </w:pPr>
          </w:p>
        </w:tc>
        <w:tc>
          <w:tcPr>
            <w:tcW w:w="50" w:type="pct"/>
            <w:shd w:val="clear" w:color="auto" w:fill="auto"/>
            <w:vAlign w:val="bottom"/>
          </w:tcPr>
          <w:p w14:paraId="6753824C" w14:textId="77777777" w:rsidR="001B77DD" w:rsidRDefault="001B77DD">
            <w:pPr>
              <w:rPr>
                <w:rFonts w:ascii="宋体"/>
              </w:rPr>
            </w:pPr>
          </w:p>
        </w:tc>
        <w:tc>
          <w:tcPr>
            <w:tcW w:w="940" w:type="pct"/>
            <w:shd w:val="clear" w:color="auto" w:fill="auto"/>
            <w:vAlign w:val="bottom"/>
          </w:tcPr>
          <w:p w14:paraId="6753824D" w14:textId="77777777" w:rsidR="001B77DD" w:rsidRDefault="001B77DD">
            <w:pPr>
              <w:rPr>
                <w:rFonts w:ascii="宋体"/>
              </w:rPr>
            </w:pPr>
          </w:p>
        </w:tc>
        <w:tc>
          <w:tcPr>
            <w:tcW w:w="5" w:type="pct"/>
            <w:shd w:val="clear" w:color="auto" w:fill="auto"/>
            <w:vAlign w:val="bottom"/>
          </w:tcPr>
          <w:p w14:paraId="6753824E" w14:textId="77777777" w:rsidR="001B77DD" w:rsidRDefault="001B77DD">
            <w:pPr>
              <w:rPr>
                <w:rFonts w:ascii="宋体"/>
              </w:rPr>
            </w:pPr>
          </w:p>
        </w:tc>
        <w:tc>
          <w:tcPr>
            <w:tcW w:w="50" w:type="pct"/>
            <w:shd w:val="clear" w:color="auto" w:fill="auto"/>
            <w:vAlign w:val="bottom"/>
          </w:tcPr>
          <w:p w14:paraId="6753824F" w14:textId="77777777" w:rsidR="001B77DD" w:rsidRDefault="001B77DD">
            <w:pPr>
              <w:rPr>
                <w:rFonts w:ascii="宋体"/>
              </w:rPr>
            </w:pPr>
          </w:p>
        </w:tc>
        <w:tc>
          <w:tcPr>
            <w:tcW w:w="1837" w:type="pct"/>
            <w:shd w:val="clear" w:color="auto" w:fill="auto"/>
            <w:vAlign w:val="bottom"/>
          </w:tcPr>
          <w:p w14:paraId="67538250" w14:textId="77777777" w:rsidR="001B77DD" w:rsidRDefault="001B77DD">
            <w:pPr>
              <w:rPr>
                <w:rFonts w:ascii="宋体"/>
              </w:rPr>
            </w:pPr>
          </w:p>
        </w:tc>
        <w:tc>
          <w:tcPr>
            <w:tcW w:w="5" w:type="pct"/>
            <w:shd w:val="clear" w:color="auto" w:fill="auto"/>
            <w:vAlign w:val="bottom"/>
          </w:tcPr>
          <w:p w14:paraId="67538251" w14:textId="77777777" w:rsidR="001B77DD" w:rsidRDefault="001B77DD">
            <w:pPr>
              <w:rPr>
                <w:rFonts w:ascii="宋体"/>
              </w:rPr>
            </w:pPr>
          </w:p>
        </w:tc>
        <w:tc>
          <w:tcPr>
            <w:tcW w:w="50" w:type="pct"/>
            <w:shd w:val="clear" w:color="auto" w:fill="auto"/>
            <w:vAlign w:val="bottom"/>
          </w:tcPr>
          <w:p w14:paraId="67538252" w14:textId="77777777" w:rsidR="001B77DD" w:rsidRDefault="001B77DD">
            <w:pPr>
              <w:rPr>
                <w:rFonts w:ascii="宋体"/>
              </w:rPr>
            </w:pPr>
          </w:p>
        </w:tc>
        <w:tc>
          <w:tcPr>
            <w:tcW w:w="1724" w:type="pct"/>
            <w:shd w:val="clear" w:color="auto" w:fill="auto"/>
            <w:vAlign w:val="bottom"/>
          </w:tcPr>
          <w:p w14:paraId="67538253" w14:textId="77777777" w:rsidR="001B77DD" w:rsidRDefault="001B77DD">
            <w:pPr>
              <w:rPr>
                <w:rFonts w:ascii="宋体"/>
              </w:rPr>
            </w:pPr>
          </w:p>
        </w:tc>
        <w:tc>
          <w:tcPr>
            <w:tcW w:w="5" w:type="pct"/>
            <w:shd w:val="clear" w:color="auto" w:fill="auto"/>
            <w:vAlign w:val="bottom"/>
          </w:tcPr>
          <w:p w14:paraId="67538254" w14:textId="77777777" w:rsidR="001B77DD" w:rsidRDefault="001B77DD">
            <w:pPr>
              <w:rPr>
                <w:rFonts w:ascii="宋体"/>
              </w:rPr>
            </w:pPr>
          </w:p>
        </w:tc>
      </w:tr>
      <w:tr w:rsidR="001B77DD" w14:paraId="6753825A"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56"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81" wp14:editId="67538F82">
                  <wp:extent cx="304800" cy="304800"/>
                  <wp:effectExtent l="0" t="0" r="0" b="0"/>
                  <wp:docPr id="128" name="图片 34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4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57"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8258"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59" w14:textId="77777777" w:rsidR="001B77DD" w:rsidRDefault="00BF0A28">
            <w:pPr>
              <w:jc w:val="right"/>
              <w:textAlignment w:val="center"/>
            </w:pPr>
            <w:r>
              <w:rPr>
                <w:rFonts w:ascii="Arial" w:eastAsia="宋体" w:hAnsi="Arial" w:cs="Arial"/>
                <w:color w:val="262626"/>
                <w:sz w:val="16"/>
                <w:szCs w:val="16"/>
              </w:rPr>
              <w:t>107</w:t>
            </w:r>
          </w:p>
        </w:tc>
      </w:tr>
    </w:tbl>
    <w:p w14:paraId="6753825B" w14:textId="77777777" w:rsidR="001B77DD" w:rsidRDefault="00BF0A28">
      <w:r>
        <w:pict w14:anchorId="67538F83">
          <v:rect id="_x0000_i1133" style="width:415.3pt;height:1.5pt" o:hralign="center" o:hrstd="t" o:hr="t" fillcolor="#a0a0a0" stroked="f"/>
        </w:pict>
      </w:r>
    </w:p>
    <w:p w14:paraId="6753825C" w14:textId="77777777" w:rsidR="001B77DD" w:rsidRDefault="00BF0A28">
      <w:pPr>
        <w:jc w:val="right"/>
      </w:pPr>
      <w:hyperlink r:id="rId195" w:anchor="i6c9ced68f6b24d58a3dcf326e8c3c699_16" w:history="1">
        <w:r>
          <w:rPr>
            <w:rStyle w:val="a5"/>
            <w:rFonts w:ascii="Arial" w:eastAsia="宋体" w:hAnsi="Arial" w:cs="Arial"/>
            <w:b/>
            <w:bCs/>
            <w:sz w:val="16"/>
            <w:szCs w:val="16"/>
          </w:rPr>
          <w:t>Table of Contents</w:t>
        </w:r>
      </w:hyperlink>
    </w:p>
    <w:p w14:paraId="6753825D" w14:textId="77777777" w:rsidR="001B77DD" w:rsidRDefault="001B77DD">
      <w:pPr>
        <w:jc w:val="right"/>
      </w:pPr>
    </w:p>
    <w:p w14:paraId="6753825E" w14:textId="77777777" w:rsidR="001B77DD" w:rsidRDefault="00BF0A28">
      <w:pPr>
        <w:spacing w:after="180"/>
      </w:pPr>
      <w:r>
        <w:rPr>
          <w:rFonts w:ascii="Arial" w:eastAsia="宋体" w:hAnsi="Arial" w:cs="Arial"/>
          <w:color w:val="262626"/>
          <w:sz w:val="18"/>
          <w:szCs w:val="18"/>
        </w:rPr>
        <w:t xml:space="preserve">In October 2019, IMECAS filed second and third lawsuits in the Beijing IP </w:t>
      </w:r>
      <w:r>
        <w:rPr>
          <w:rFonts w:ascii="Arial" w:eastAsia="宋体" w:hAnsi="Arial" w:cs="Arial"/>
          <w:color w:val="262626"/>
          <w:sz w:val="18"/>
          <w:szCs w:val="18"/>
        </w:rPr>
        <w:t>Court, alleging infringement of Chinese Patent No. CN 102386226 ('226 Patent) based on the manufacturing and sale of Intel</w:t>
      </w:r>
      <w:r>
        <w:rPr>
          <w:rFonts w:ascii="Arial" w:eastAsia="宋体" w:hAnsi="Arial" w:cs="Arial"/>
          <w:color w:val="262626"/>
          <w:sz w:val="11"/>
          <w:szCs w:val="11"/>
        </w:rPr>
        <w:t>®</w:t>
      </w:r>
      <w:r>
        <w:rPr>
          <w:rFonts w:ascii="Arial" w:eastAsia="宋体" w:hAnsi="Arial" w:cs="Arial"/>
          <w:color w:val="262626"/>
          <w:sz w:val="18"/>
          <w:szCs w:val="18"/>
        </w:rPr>
        <w:t xml:space="preserve"> Core i3 microprocessors. Defendants in the second case are Lenovo (Beijing) Co., Ltd. (Lenovo) and Beijing Jiayun Huitong Technology</w:t>
      </w:r>
      <w:r>
        <w:rPr>
          <w:rFonts w:ascii="Arial" w:eastAsia="宋体" w:hAnsi="Arial" w:cs="Arial"/>
          <w:color w:val="262626"/>
          <w:sz w:val="18"/>
          <w:szCs w:val="18"/>
        </w:rPr>
        <w:t xml:space="preserve"> Development Co. Ltd. (BJHT). Defendants in the third case are Intel Corp., Intel China Co., Ltd., the Intel China Beijing Branch, Beijing Digital China Co., Ltd. (Digital China), and JD. The complaint in the second lawsuit demands an injunction plus litig</w:t>
      </w:r>
      <w:r>
        <w:rPr>
          <w:rFonts w:ascii="Arial" w:eastAsia="宋体" w:hAnsi="Arial" w:cs="Arial"/>
          <w:color w:val="262626"/>
          <w:sz w:val="18"/>
          <w:szCs w:val="18"/>
        </w:rPr>
        <w:t>ation costs and reserves the right to claim damages in unspecified amounts. Intel is indemnifying Lenovo in the second lawsuit. The Beijing IP Court held a trial hearing in the second lawsuit in November 2021, but no ruling has been issued. The complaint i</w:t>
      </w:r>
      <w:r>
        <w:rPr>
          <w:rFonts w:ascii="Arial" w:eastAsia="宋体" w:hAnsi="Arial" w:cs="Arial"/>
          <w:color w:val="262626"/>
          <w:sz w:val="18"/>
          <w:szCs w:val="18"/>
        </w:rPr>
        <w:t>n the third lawsuit demands an injunction plus litigation costs and claims damages of RMB 10 million. Intel China's jurisdictional challenge in the third lawsuit was denied in June 2021 by the Beijing IP Court and in November 2021 by the Supreme People's C</w:t>
      </w:r>
      <w:r>
        <w:rPr>
          <w:rFonts w:ascii="Arial" w:eastAsia="宋体" w:hAnsi="Arial" w:cs="Arial"/>
          <w:color w:val="262626"/>
          <w:sz w:val="18"/>
          <w:szCs w:val="18"/>
        </w:rPr>
        <w:t xml:space="preserve">ourt. A trial hearing in the third lawsuit was held in January 2022, but no ruling has been issued. In July 2020, Intel and Lenovo filed invalidation requests on the '226 patent with the CNIPA. The CNIPA heard oral arguments in December 2020, during which </w:t>
      </w:r>
      <w:r>
        <w:rPr>
          <w:rFonts w:ascii="Arial" w:eastAsia="宋体" w:hAnsi="Arial" w:cs="Arial"/>
          <w:color w:val="262626"/>
          <w:sz w:val="18"/>
          <w:szCs w:val="18"/>
        </w:rPr>
        <w:t>IMECAS proposed amendments to two claims. In April 2021, the CNIPA upheld the validity of the challenged and amended claims on both invalidation requests. Intel and Lenovo filed complaints in July 2021 with the Beijing IP Court challenging the April 2021 C</w:t>
      </w:r>
      <w:r>
        <w:rPr>
          <w:rFonts w:ascii="Arial" w:eastAsia="宋体" w:hAnsi="Arial" w:cs="Arial"/>
          <w:color w:val="262626"/>
          <w:sz w:val="18"/>
          <w:szCs w:val="18"/>
        </w:rPr>
        <w:t>NIPA rulings; the Beijing IP Court held oral arguments in October 2021.</w:t>
      </w:r>
    </w:p>
    <w:p w14:paraId="6753825F" w14:textId="77777777" w:rsidR="001B77DD" w:rsidRDefault="00BF0A28">
      <w:pPr>
        <w:spacing w:after="180"/>
      </w:pPr>
      <w:r>
        <w:rPr>
          <w:rFonts w:ascii="Arial" w:eastAsia="宋体" w:hAnsi="Arial" w:cs="Arial"/>
          <w:color w:val="262626"/>
          <w:sz w:val="18"/>
          <w:szCs w:val="18"/>
        </w:rPr>
        <w:t>Given the procedural posture and the nature of these cases, the unspecified nature and extent of damages claimed by IMECAS, and uncertainty regarding the availability of injunctive rel</w:t>
      </w:r>
      <w:r>
        <w:rPr>
          <w:rFonts w:ascii="Arial" w:eastAsia="宋体" w:hAnsi="Arial" w:cs="Arial"/>
          <w:color w:val="262626"/>
          <w:sz w:val="18"/>
          <w:szCs w:val="18"/>
        </w:rPr>
        <w:t>ief under applicable law, we are unable to make a reasonable estimate of the potential loss or range of losses, if any, arising from these matters. We dispute IMECAS's claims and intend to vigorously defend against them.</w:t>
      </w:r>
    </w:p>
    <w:p w14:paraId="67538260" w14:textId="77777777" w:rsidR="001B77DD" w:rsidRDefault="00BF0A28">
      <w:pPr>
        <w:spacing w:after="60"/>
      </w:pPr>
      <w:r>
        <w:rPr>
          <w:rFonts w:ascii="Arial" w:eastAsia="宋体" w:hAnsi="Arial" w:cs="Arial"/>
          <w:color w:val="0068B5"/>
          <w:sz w:val="20"/>
          <w:szCs w:val="20"/>
        </w:rPr>
        <w:t>VLSI Technology LLC v. Intel</w:t>
      </w:r>
      <w:r>
        <w:rPr>
          <w:rFonts w:ascii="Arial" w:eastAsia="宋体" w:hAnsi="Arial" w:cs="Arial"/>
          <w:b/>
          <w:bCs/>
          <w:i/>
          <w:iCs/>
          <w:color w:val="262626"/>
          <w:sz w:val="18"/>
          <w:szCs w:val="18"/>
        </w:rPr>
        <w:t xml:space="preserve"> </w:t>
      </w:r>
    </w:p>
    <w:p w14:paraId="67538261" w14:textId="77777777" w:rsidR="001B77DD" w:rsidRDefault="00BF0A28">
      <w:pPr>
        <w:spacing w:after="180"/>
      </w:pPr>
      <w:r>
        <w:rPr>
          <w:rFonts w:ascii="Arial" w:eastAsia="宋体" w:hAnsi="Arial" w:cs="Arial"/>
          <w:color w:val="262626"/>
          <w:sz w:val="18"/>
          <w:szCs w:val="18"/>
        </w:rPr>
        <w:t>In Oc</w:t>
      </w:r>
      <w:r>
        <w:rPr>
          <w:rFonts w:ascii="Arial" w:eastAsia="宋体" w:hAnsi="Arial" w:cs="Arial"/>
          <w:color w:val="262626"/>
          <w:sz w:val="18"/>
          <w:szCs w:val="18"/>
        </w:rPr>
        <w:t>tober 2017, VLSI filed a complaint against Intel in the US District Court for the Northern District of California alleging infringement of eight patents acquired from NXP Semiconductors, N.V. (NXP). The patents, which originated at Freescale Semiconductor,</w:t>
      </w:r>
      <w:r>
        <w:rPr>
          <w:rFonts w:ascii="Arial" w:eastAsia="宋体" w:hAnsi="Arial" w:cs="Arial"/>
          <w:color w:val="262626"/>
          <w:sz w:val="18"/>
          <w:szCs w:val="18"/>
        </w:rPr>
        <w:t xml:space="preserve"> Inc. and NXP B.V., are US Patent Nos. 7,268,588; 7,675,806; 7,706,207; 7,709,303; 8,004,922; 8,020,014; 8,268,672; and 8,566,836. VLSI accuses various FPGA and processor products of infringement. VLSI estimated its damages to be at least $5.5 billion, and</w:t>
      </w:r>
      <w:r>
        <w:rPr>
          <w:rFonts w:ascii="Arial" w:eastAsia="宋体" w:hAnsi="Arial" w:cs="Arial"/>
          <w:color w:val="262626"/>
          <w:sz w:val="18"/>
          <w:szCs w:val="18"/>
        </w:rPr>
        <w:t xml:space="preserve"> its complaint further sought enhanced damages, future royalties, attorneys' fees, costs, and interest. In May, June, September, and October 2018, Intel filed IPR petitions challenging the patentability of certain claims in all eight of the patents in-suit</w:t>
      </w:r>
      <w:r>
        <w:rPr>
          <w:rFonts w:ascii="Arial" w:eastAsia="宋体" w:hAnsi="Arial" w:cs="Arial"/>
          <w:color w:val="262626"/>
          <w:sz w:val="18"/>
          <w:szCs w:val="18"/>
        </w:rPr>
        <w:t>. The PTAB instituted review of six patents and denied institution on two patents. As a result of the institution decisions, the parties stipulated to stay the District Court action in March 2019. In December 2019 and February 2020, the PTAB found all clai</w:t>
      </w:r>
      <w:r>
        <w:rPr>
          <w:rFonts w:ascii="Arial" w:eastAsia="宋体" w:hAnsi="Arial" w:cs="Arial"/>
          <w:color w:val="262626"/>
          <w:sz w:val="18"/>
          <w:szCs w:val="18"/>
        </w:rPr>
        <w:t>ms of the '588 and '303 patents, and some claims of the '922 patent, to be unpatentable. The PTAB found the challenged claims of the '014, '672 and '207 patents to be patentable. Intel appealed the PTAB’s decision as to ‘014, ‘672 and ‘207 patents. The Fed</w:t>
      </w:r>
      <w:r>
        <w:rPr>
          <w:rFonts w:ascii="Arial" w:eastAsia="宋体" w:hAnsi="Arial" w:cs="Arial"/>
          <w:color w:val="262626"/>
          <w:sz w:val="18"/>
          <w:szCs w:val="18"/>
        </w:rPr>
        <w:t>eral Circuit affirmed the PTAB’s decision as to the ‘672 and ‘207 patents, but reversed and remanded as to the ‘014 patent. Intel moved for a continuation of the stay in March 2020 pending the appeal. In June 2020, the District Court issued an order contin</w:t>
      </w:r>
      <w:r>
        <w:rPr>
          <w:rFonts w:ascii="Arial" w:eastAsia="宋体" w:hAnsi="Arial" w:cs="Arial"/>
          <w:color w:val="262626"/>
          <w:sz w:val="18"/>
          <w:szCs w:val="18"/>
        </w:rPr>
        <w:t xml:space="preserve">uing the stay through August 2021. The court lifted the stay in September 2021 and scheduled a trial for March 2024. </w:t>
      </w:r>
    </w:p>
    <w:p w14:paraId="67538262" w14:textId="77777777" w:rsidR="001B77DD" w:rsidRDefault="00BF0A28">
      <w:pPr>
        <w:spacing w:after="180"/>
      </w:pPr>
      <w:r>
        <w:rPr>
          <w:rFonts w:ascii="Arial" w:eastAsia="宋体" w:hAnsi="Arial" w:cs="Arial"/>
          <w:color w:val="262626"/>
          <w:sz w:val="18"/>
          <w:szCs w:val="18"/>
        </w:rPr>
        <w:t xml:space="preserve">In June 2018, VLSI filed a second suit against Intel, in US District Court for the District of Delaware, alleging infringement by various </w:t>
      </w:r>
      <w:r>
        <w:rPr>
          <w:rFonts w:ascii="Arial" w:eastAsia="宋体" w:hAnsi="Arial" w:cs="Arial"/>
          <w:color w:val="262626"/>
          <w:sz w:val="18"/>
          <w:szCs w:val="18"/>
        </w:rPr>
        <w:t xml:space="preserve">Intel processors of five additional patents acquired from NXP: US Patent Nos. 6,212,663; 7,246,027; 7,247,552; 7,523,331; and 8,081,026. VLSI accused Intel of willful infringement and seeks an injunction or, in the alternative, ongoing royalties, enhanced </w:t>
      </w:r>
      <w:r>
        <w:rPr>
          <w:rFonts w:ascii="Arial" w:eastAsia="宋体" w:hAnsi="Arial" w:cs="Arial"/>
          <w:color w:val="262626"/>
          <w:sz w:val="18"/>
          <w:szCs w:val="18"/>
        </w:rPr>
        <w:t xml:space="preserve">damages, attorneys' fees and costs, and interest. In March 2019, the District Court dismissed VLSI's claims for willful infringement as to all the patents-in-suit except the '027 patent, and also dismissed VLSI's allegations of indirect infringement as to </w:t>
      </w:r>
      <w:r>
        <w:rPr>
          <w:rFonts w:ascii="Arial" w:eastAsia="宋体" w:hAnsi="Arial" w:cs="Arial"/>
          <w:color w:val="262626"/>
          <w:sz w:val="18"/>
          <w:szCs w:val="18"/>
        </w:rPr>
        <w:t xml:space="preserve">the '633, '331, and '026 patents. In June 2019, Intel filed IPR petitions challenging the patentability of certain claims in all five patents-in-suit. In January 2020, VLSI said that it was no longer asserting any claims of the '633 patent. In January and </w:t>
      </w:r>
      <w:r>
        <w:rPr>
          <w:rFonts w:ascii="Arial" w:eastAsia="宋体" w:hAnsi="Arial" w:cs="Arial"/>
          <w:color w:val="262626"/>
          <w:sz w:val="18"/>
          <w:szCs w:val="18"/>
        </w:rPr>
        <w:t xml:space="preserve">February 2020, the PTAB instituted review of the '552, '633, '331 and '026 patents, but declined to institute review of the '027 patent. As a result, the District Court stayed the case as to the '026 and '552 patents but allowed the case to proceed on the </w:t>
      </w:r>
      <w:r>
        <w:rPr>
          <w:rFonts w:ascii="Arial" w:eastAsia="宋体" w:hAnsi="Arial" w:cs="Arial"/>
          <w:color w:val="262626"/>
          <w:sz w:val="18"/>
          <w:szCs w:val="18"/>
        </w:rPr>
        <w:t>'027 and '331 patents. In January 2021, the PTAB invalidated certain asserted claims of the '026 patent, and in February the PTAB invalidated all asserted claims of the '552 patent. Both parties filed notices of appeal regarding the PTAB's decision as to t</w:t>
      </w:r>
      <w:r>
        <w:rPr>
          <w:rFonts w:ascii="Arial" w:eastAsia="宋体" w:hAnsi="Arial" w:cs="Arial"/>
          <w:color w:val="262626"/>
          <w:sz w:val="18"/>
          <w:szCs w:val="18"/>
        </w:rPr>
        <w:t xml:space="preserve">he '026 patent in March 2021, and in April 2021, VLSI filed a notice of appeal of the PTAB's decision as to the '552 patent. The case remains stayed as to both of those patents. For the '027 and '331 patents, VLSI is seeking damages of approximately $4.13 </w:t>
      </w:r>
      <w:r>
        <w:rPr>
          <w:rFonts w:ascii="Arial" w:eastAsia="宋体" w:hAnsi="Arial" w:cs="Arial"/>
          <w:color w:val="262626"/>
          <w:sz w:val="18"/>
          <w:szCs w:val="18"/>
        </w:rPr>
        <w:t xml:space="preserve">billion plus enhanced damages for the '027 patent. Intel is filing summary judgment motions and challenges to expert witnesses in accordance with the court's January 2022 deadline. </w:t>
      </w:r>
    </w:p>
    <w:p w14:paraId="67538263" w14:textId="77777777" w:rsidR="001B77DD" w:rsidRDefault="00BF0A28">
      <w:pPr>
        <w:spacing w:after="180"/>
      </w:pPr>
      <w:r>
        <w:rPr>
          <w:rFonts w:ascii="Arial" w:eastAsia="宋体" w:hAnsi="Arial" w:cs="Arial"/>
          <w:color w:val="262626"/>
          <w:sz w:val="18"/>
          <w:szCs w:val="18"/>
        </w:rPr>
        <w:t xml:space="preserve">In March 2019, VLSI filed a third suit against Intel, also in US District </w:t>
      </w:r>
      <w:r>
        <w:rPr>
          <w:rFonts w:ascii="Arial" w:eastAsia="宋体" w:hAnsi="Arial" w:cs="Arial"/>
          <w:color w:val="262626"/>
          <w:sz w:val="18"/>
          <w:szCs w:val="18"/>
        </w:rPr>
        <w:t>Court for the District of Delaware, alleging infringement of six more patents acquired from NXP: US Patent Nos. 6,366,522; 6,663,187; 7,292,485; 7,606,983; 7,725,759; and 7,793,025. In April 2019, VLSI voluntarily dismissed this Delaware case without preju</w:t>
      </w:r>
      <w:r>
        <w:rPr>
          <w:rFonts w:ascii="Arial" w:eastAsia="宋体" w:hAnsi="Arial" w:cs="Arial"/>
          <w:color w:val="262626"/>
          <w:sz w:val="18"/>
          <w:szCs w:val="18"/>
        </w:rPr>
        <w:t>dice. In April 2019, VLSI filed three new infringement suits against Intel in the US District Court for the Western District of Texas (WDTX) accusing various Intel processors of infringement. The three suits collectively assert the same six patents from th</w:t>
      </w:r>
      <w:r>
        <w:rPr>
          <w:rFonts w:ascii="Arial" w:eastAsia="宋体" w:hAnsi="Arial" w:cs="Arial"/>
          <w:color w:val="262626"/>
          <w:sz w:val="18"/>
          <w:szCs w:val="18"/>
        </w:rPr>
        <w:t>e voluntarily dismissed Delaware case plus two additional patents acquired from NXP, US Patent Nos. 7,523,373 and 8,156,357. VLSI accuses Intel of willful infringement and seeks an injunction or, in the alternative, ongoing royalties, enhanced damages, att</w:t>
      </w:r>
      <w:r>
        <w:rPr>
          <w:rFonts w:ascii="Arial" w:eastAsia="宋体" w:hAnsi="Arial" w:cs="Arial"/>
          <w:color w:val="262626"/>
          <w:sz w:val="18"/>
          <w:szCs w:val="18"/>
        </w:rPr>
        <w:t>orneys' fees and costs, and interest. In the first Texas case, VLSI asserted the '373 and '759 patents (in December 2020, the court granted Intel summary judgment of non-infringement on the '357 patent, which had also been asserted</w:t>
      </w:r>
      <w:r>
        <w:rPr>
          <w:rFonts w:ascii="Arial" w:eastAsia="宋体" w:hAnsi="Arial" w:cs="Arial"/>
          <w:color w:val="262626"/>
          <w:sz w:val="20"/>
          <w:szCs w:val="20"/>
        </w:rPr>
        <w:t xml:space="preserve"> </w:t>
      </w:r>
      <w:r>
        <w:rPr>
          <w:rFonts w:ascii="Arial" w:eastAsia="宋体" w:hAnsi="Arial" w:cs="Arial"/>
          <w:color w:val="262626"/>
          <w:sz w:val="18"/>
          <w:szCs w:val="18"/>
        </w:rPr>
        <w:t>in the first Texas case)</w:t>
      </w:r>
      <w:r>
        <w:rPr>
          <w:rFonts w:ascii="Arial" w:eastAsia="宋体" w:hAnsi="Arial" w:cs="Arial"/>
          <w:color w:val="262626"/>
          <w:sz w:val="18"/>
          <w:szCs w:val="18"/>
        </w:rPr>
        <w:t>. That case went to trial in February 2021, and the jury awarded a “lump sum” to VLSI of $1.5 billion for literal infringement of the ‘373 patent and $675 million for infringement under the doctrine of equivalents of the ‘759 patent. The jury found that In</w:t>
      </w:r>
      <w:r>
        <w:rPr>
          <w:rFonts w:ascii="Arial" w:eastAsia="宋体" w:hAnsi="Arial" w:cs="Arial"/>
          <w:color w:val="262626"/>
          <w:sz w:val="18"/>
          <w:szCs w:val="18"/>
        </w:rPr>
        <w:t>tel had not willfully infringed either patent. Intel has challenged the verdict with post-trial motions, including filing in May 2021 a motion for a new trial and a motion for judgment as a matter of law that the ‘373 and ‘759 patents are not infringed and</w:t>
      </w:r>
      <w:r>
        <w:rPr>
          <w:rFonts w:ascii="Arial" w:eastAsia="宋体" w:hAnsi="Arial" w:cs="Arial"/>
          <w:color w:val="262626"/>
          <w:sz w:val="18"/>
          <w:szCs w:val="18"/>
        </w:rPr>
        <w:t xml:space="preserve"> the ‘759 patent is invalid. The court denied the motion for new trial in August 2021, but other post-trial motions, including the motion for judgment as a matter of law, remain pending. If the court does not vacate the verdict, Intel will challenge it on </w:t>
      </w:r>
      <w:r>
        <w:rPr>
          <w:rFonts w:ascii="Arial" w:eastAsia="宋体" w:hAnsi="Arial" w:cs="Arial"/>
          <w:color w:val="262626"/>
          <w:sz w:val="18"/>
          <w:szCs w:val="18"/>
        </w:rPr>
        <w:t xml:space="preserve">appeal. </w:t>
      </w:r>
    </w:p>
    <w:p w14:paraId="67538264" w14:textId="77777777" w:rsidR="001B77DD" w:rsidRDefault="00BF0A28">
      <w:pPr>
        <w:spacing w:after="180"/>
      </w:pPr>
      <w:r>
        <w:rPr>
          <w:rFonts w:ascii="Arial" w:eastAsia="宋体" w:hAnsi="Arial" w:cs="Arial"/>
          <w:color w:val="262626"/>
          <w:sz w:val="18"/>
          <w:szCs w:val="18"/>
        </w:rPr>
        <w:t>The second Texas case went to trial in April 2021, and the jury found that Intel does not infringe the ‘522 and ‘187 patents. VLSI had sought approximately $3.0 billion for alleged infringement of those patents, plus enhanced damages for willful i</w:t>
      </w:r>
      <w:r>
        <w:rPr>
          <w:rFonts w:ascii="Arial" w:eastAsia="宋体" w:hAnsi="Arial" w:cs="Arial"/>
          <w:color w:val="262626"/>
          <w:sz w:val="18"/>
          <w:szCs w:val="18"/>
        </w:rPr>
        <w:t xml:space="preserve">nfringement. The court has not yet entered a judgment following the first or second trials in Texas. </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8271" w14:textId="77777777">
        <w:tc>
          <w:tcPr>
            <w:tcW w:w="50" w:type="pct"/>
            <w:shd w:val="clear" w:color="auto" w:fill="auto"/>
            <w:vAlign w:val="bottom"/>
          </w:tcPr>
          <w:p w14:paraId="67538265" w14:textId="77777777" w:rsidR="001B77DD" w:rsidRDefault="001B77DD">
            <w:pPr>
              <w:rPr>
                <w:rFonts w:ascii="宋体"/>
              </w:rPr>
            </w:pPr>
          </w:p>
        </w:tc>
        <w:tc>
          <w:tcPr>
            <w:tcW w:w="276" w:type="pct"/>
            <w:shd w:val="clear" w:color="auto" w:fill="auto"/>
            <w:vAlign w:val="bottom"/>
          </w:tcPr>
          <w:p w14:paraId="67538266" w14:textId="77777777" w:rsidR="001B77DD" w:rsidRDefault="001B77DD">
            <w:pPr>
              <w:rPr>
                <w:rFonts w:ascii="宋体"/>
              </w:rPr>
            </w:pPr>
          </w:p>
        </w:tc>
        <w:tc>
          <w:tcPr>
            <w:tcW w:w="5" w:type="pct"/>
            <w:shd w:val="clear" w:color="auto" w:fill="auto"/>
            <w:vAlign w:val="bottom"/>
          </w:tcPr>
          <w:p w14:paraId="67538267" w14:textId="77777777" w:rsidR="001B77DD" w:rsidRDefault="001B77DD">
            <w:pPr>
              <w:rPr>
                <w:rFonts w:ascii="宋体"/>
              </w:rPr>
            </w:pPr>
          </w:p>
        </w:tc>
        <w:tc>
          <w:tcPr>
            <w:tcW w:w="50" w:type="pct"/>
            <w:shd w:val="clear" w:color="auto" w:fill="auto"/>
            <w:vAlign w:val="bottom"/>
          </w:tcPr>
          <w:p w14:paraId="67538268" w14:textId="77777777" w:rsidR="001B77DD" w:rsidRDefault="001B77DD">
            <w:pPr>
              <w:rPr>
                <w:rFonts w:ascii="宋体"/>
              </w:rPr>
            </w:pPr>
          </w:p>
        </w:tc>
        <w:tc>
          <w:tcPr>
            <w:tcW w:w="940" w:type="pct"/>
            <w:shd w:val="clear" w:color="auto" w:fill="auto"/>
            <w:vAlign w:val="bottom"/>
          </w:tcPr>
          <w:p w14:paraId="67538269" w14:textId="77777777" w:rsidR="001B77DD" w:rsidRDefault="001B77DD">
            <w:pPr>
              <w:rPr>
                <w:rFonts w:ascii="宋体"/>
              </w:rPr>
            </w:pPr>
          </w:p>
        </w:tc>
        <w:tc>
          <w:tcPr>
            <w:tcW w:w="5" w:type="pct"/>
            <w:shd w:val="clear" w:color="auto" w:fill="auto"/>
            <w:vAlign w:val="bottom"/>
          </w:tcPr>
          <w:p w14:paraId="6753826A" w14:textId="77777777" w:rsidR="001B77DD" w:rsidRDefault="001B77DD">
            <w:pPr>
              <w:rPr>
                <w:rFonts w:ascii="宋体"/>
              </w:rPr>
            </w:pPr>
          </w:p>
        </w:tc>
        <w:tc>
          <w:tcPr>
            <w:tcW w:w="50" w:type="pct"/>
            <w:shd w:val="clear" w:color="auto" w:fill="auto"/>
            <w:vAlign w:val="bottom"/>
          </w:tcPr>
          <w:p w14:paraId="6753826B" w14:textId="77777777" w:rsidR="001B77DD" w:rsidRDefault="001B77DD">
            <w:pPr>
              <w:rPr>
                <w:rFonts w:ascii="宋体"/>
              </w:rPr>
            </w:pPr>
          </w:p>
        </w:tc>
        <w:tc>
          <w:tcPr>
            <w:tcW w:w="1837" w:type="pct"/>
            <w:shd w:val="clear" w:color="auto" w:fill="auto"/>
            <w:vAlign w:val="bottom"/>
          </w:tcPr>
          <w:p w14:paraId="6753826C" w14:textId="77777777" w:rsidR="001B77DD" w:rsidRDefault="001B77DD">
            <w:pPr>
              <w:rPr>
                <w:rFonts w:ascii="宋体"/>
              </w:rPr>
            </w:pPr>
          </w:p>
        </w:tc>
        <w:tc>
          <w:tcPr>
            <w:tcW w:w="5" w:type="pct"/>
            <w:shd w:val="clear" w:color="auto" w:fill="auto"/>
            <w:vAlign w:val="bottom"/>
          </w:tcPr>
          <w:p w14:paraId="6753826D" w14:textId="77777777" w:rsidR="001B77DD" w:rsidRDefault="001B77DD">
            <w:pPr>
              <w:rPr>
                <w:rFonts w:ascii="宋体"/>
              </w:rPr>
            </w:pPr>
          </w:p>
        </w:tc>
        <w:tc>
          <w:tcPr>
            <w:tcW w:w="50" w:type="pct"/>
            <w:shd w:val="clear" w:color="auto" w:fill="auto"/>
            <w:vAlign w:val="bottom"/>
          </w:tcPr>
          <w:p w14:paraId="6753826E" w14:textId="77777777" w:rsidR="001B77DD" w:rsidRDefault="001B77DD">
            <w:pPr>
              <w:rPr>
                <w:rFonts w:ascii="宋体"/>
              </w:rPr>
            </w:pPr>
          </w:p>
        </w:tc>
        <w:tc>
          <w:tcPr>
            <w:tcW w:w="1724" w:type="pct"/>
            <w:shd w:val="clear" w:color="auto" w:fill="auto"/>
            <w:vAlign w:val="bottom"/>
          </w:tcPr>
          <w:p w14:paraId="6753826F" w14:textId="77777777" w:rsidR="001B77DD" w:rsidRDefault="001B77DD">
            <w:pPr>
              <w:rPr>
                <w:rFonts w:ascii="宋体"/>
              </w:rPr>
            </w:pPr>
          </w:p>
        </w:tc>
        <w:tc>
          <w:tcPr>
            <w:tcW w:w="5" w:type="pct"/>
            <w:shd w:val="clear" w:color="auto" w:fill="auto"/>
            <w:vAlign w:val="bottom"/>
          </w:tcPr>
          <w:p w14:paraId="67538270" w14:textId="77777777" w:rsidR="001B77DD" w:rsidRDefault="001B77DD">
            <w:pPr>
              <w:rPr>
                <w:rFonts w:ascii="宋体"/>
              </w:rPr>
            </w:pPr>
          </w:p>
        </w:tc>
      </w:tr>
      <w:tr w:rsidR="001B77DD" w14:paraId="67538276"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72"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84" wp14:editId="67538F85">
                  <wp:extent cx="304800" cy="304800"/>
                  <wp:effectExtent l="0" t="0" r="0" b="0"/>
                  <wp:docPr id="153" name="图片 34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73"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8274"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75" w14:textId="77777777" w:rsidR="001B77DD" w:rsidRDefault="00BF0A28">
            <w:pPr>
              <w:jc w:val="right"/>
              <w:textAlignment w:val="center"/>
            </w:pPr>
            <w:r>
              <w:rPr>
                <w:rFonts w:ascii="Arial" w:eastAsia="宋体" w:hAnsi="Arial" w:cs="Arial"/>
                <w:color w:val="262626"/>
                <w:sz w:val="16"/>
                <w:szCs w:val="16"/>
              </w:rPr>
              <w:t>108</w:t>
            </w:r>
          </w:p>
        </w:tc>
      </w:tr>
    </w:tbl>
    <w:p w14:paraId="67538277" w14:textId="77777777" w:rsidR="001B77DD" w:rsidRDefault="00BF0A28">
      <w:r>
        <w:pict w14:anchorId="67538F86">
          <v:rect id="_x0000_i1134" style="width:415.3pt;height:1.5pt" o:hralign="center" o:hrstd="t" o:hr="t" fillcolor="#a0a0a0" stroked="f"/>
        </w:pict>
      </w:r>
    </w:p>
    <w:p w14:paraId="67538278" w14:textId="77777777" w:rsidR="001B77DD" w:rsidRDefault="00BF0A28">
      <w:pPr>
        <w:jc w:val="right"/>
      </w:pPr>
      <w:hyperlink r:id="rId196" w:anchor="i6c9ced68f6b24d58a3dcf326e8c3c699_16" w:history="1">
        <w:r>
          <w:rPr>
            <w:rStyle w:val="a5"/>
            <w:rFonts w:ascii="Arial" w:eastAsia="宋体" w:hAnsi="Arial" w:cs="Arial"/>
            <w:b/>
            <w:bCs/>
            <w:sz w:val="16"/>
            <w:szCs w:val="16"/>
          </w:rPr>
          <w:t>Table of Contents</w:t>
        </w:r>
      </w:hyperlink>
    </w:p>
    <w:p w14:paraId="67538279" w14:textId="77777777" w:rsidR="001B77DD" w:rsidRDefault="001B77DD">
      <w:pPr>
        <w:jc w:val="right"/>
      </w:pPr>
    </w:p>
    <w:p w14:paraId="6753827A" w14:textId="77777777" w:rsidR="001B77DD" w:rsidRDefault="00BF0A28">
      <w:pPr>
        <w:spacing w:after="180"/>
      </w:pPr>
      <w:r>
        <w:rPr>
          <w:rFonts w:ascii="Arial" w:eastAsia="宋体" w:hAnsi="Arial" w:cs="Arial"/>
          <w:color w:val="262626"/>
          <w:sz w:val="18"/>
          <w:szCs w:val="18"/>
        </w:rPr>
        <w:t>The third Texas case has been postponed and is not currently set for trial. In that</w:t>
      </w:r>
      <w:r>
        <w:rPr>
          <w:rFonts w:ascii="Arial" w:eastAsia="宋体" w:hAnsi="Arial" w:cs="Arial"/>
          <w:color w:val="262626"/>
          <w:sz w:val="18"/>
          <w:szCs w:val="18"/>
        </w:rPr>
        <w:t xml:space="preserve"> case, VLSI seeks approximately $2.2 billion to $2.4 billion for alleged infringement of the ‘983, ‘025 and ‘485 patents, plus enhanced damages for willful infringement. In October and November 2019 and in February 2020, Intel filed IPR petitions on certai</w:t>
      </w:r>
      <w:r>
        <w:rPr>
          <w:rFonts w:ascii="Arial" w:eastAsia="宋体" w:hAnsi="Arial" w:cs="Arial"/>
          <w:color w:val="262626"/>
          <w:sz w:val="18"/>
          <w:szCs w:val="18"/>
        </w:rPr>
        <w:t xml:space="preserve">n asserted claims across six of the patents-in-suit in WDTX. Between May and October 2020, the PTAB denied all of these petitions on a discretionary basis and without reviewing the merits. Intel requested a rehearing, as well as review from the POP, as to </w:t>
      </w:r>
      <w:r>
        <w:rPr>
          <w:rFonts w:ascii="Arial" w:eastAsia="宋体" w:hAnsi="Arial" w:cs="Arial"/>
          <w:color w:val="262626"/>
          <w:sz w:val="18"/>
          <w:szCs w:val="18"/>
        </w:rPr>
        <w:t>all petitions. All requests for POP review and rehearing were denied. Intel filed notices of appeal regarding the discretionary denials for all petitions in February and March of 2021. The Federal Circuit dismissed the appeals in May 2021 for lack of juris</w:t>
      </w:r>
      <w:r>
        <w:rPr>
          <w:rFonts w:ascii="Arial" w:eastAsia="宋体" w:hAnsi="Arial" w:cs="Arial"/>
          <w:color w:val="262626"/>
          <w:sz w:val="18"/>
          <w:szCs w:val="18"/>
        </w:rPr>
        <w:t xml:space="preserve">diction. The Federal Circuit denied Intel's petition for hearing </w:t>
      </w:r>
      <w:r>
        <w:rPr>
          <w:rFonts w:ascii="Arial" w:eastAsia="宋体" w:hAnsi="Arial" w:cs="Arial"/>
          <w:i/>
          <w:iCs/>
          <w:color w:val="262626"/>
          <w:sz w:val="18"/>
          <w:szCs w:val="18"/>
        </w:rPr>
        <w:t xml:space="preserve">en banc </w:t>
      </w:r>
      <w:r>
        <w:rPr>
          <w:rFonts w:ascii="Arial" w:eastAsia="宋体" w:hAnsi="Arial" w:cs="Arial"/>
          <w:color w:val="262626"/>
          <w:sz w:val="18"/>
          <w:szCs w:val="18"/>
        </w:rPr>
        <w:t>in August 2021. In December 2021, Intel petitioned the Supreme Court to hear its appeal as to whether the Federal Circuit has jurisdiction to review the PTAB’s discretionary denials o</w:t>
      </w:r>
      <w:r>
        <w:rPr>
          <w:rFonts w:ascii="Arial" w:eastAsia="宋体" w:hAnsi="Arial" w:cs="Arial"/>
          <w:color w:val="262626"/>
          <w:sz w:val="18"/>
          <w:szCs w:val="18"/>
        </w:rPr>
        <w:t>f Intel’s IPRs.</w:t>
      </w:r>
    </w:p>
    <w:p w14:paraId="6753827B" w14:textId="77777777" w:rsidR="001B77DD" w:rsidRDefault="00BF0A28">
      <w:pPr>
        <w:spacing w:after="180"/>
      </w:pPr>
      <w:r>
        <w:rPr>
          <w:rFonts w:ascii="Arial" w:eastAsia="宋体" w:hAnsi="Arial" w:cs="Arial"/>
          <w:color w:val="262626"/>
          <w:sz w:val="18"/>
          <w:szCs w:val="18"/>
        </w:rPr>
        <w:t>In May 2019, VLSI filed a case in Shenzhen Intermediate People’s Court against Intel, Intel (China) Co., Ltd., Intel Trading (Shanghai) Co., Ltd., and Intel Products (Chengdu) Co., Ltd. VLSI asserts Chinese Patent 201410094015.9, accusing c</w:t>
      </w:r>
      <w:r>
        <w:rPr>
          <w:rFonts w:ascii="Arial" w:eastAsia="宋体" w:hAnsi="Arial" w:cs="Arial"/>
          <w:color w:val="262626"/>
          <w:sz w:val="18"/>
          <w:szCs w:val="18"/>
        </w:rPr>
        <w:t>ertain Intel Core processors of infringement. VLSI requests an injunction as well as RMB 1 million in damages and RMB 300 thousand in expenses. Defendants filed an invalidation petition in October 2019 with the CNIPA, which held a hearing in September 2021</w:t>
      </w:r>
      <w:r>
        <w:rPr>
          <w:rFonts w:ascii="Arial" w:eastAsia="宋体" w:hAnsi="Arial" w:cs="Arial"/>
          <w:color w:val="262626"/>
          <w:sz w:val="18"/>
          <w:szCs w:val="18"/>
        </w:rPr>
        <w:t>. In May 2020, defendants filed a motion to stay the trial court proceedings pending a determination on invalidity. The court held the first evidentiary hearing in November 2020 and the second in July 2021. The court also held trial proceedings in the hear</w:t>
      </w:r>
      <w:r>
        <w:rPr>
          <w:rFonts w:ascii="Arial" w:eastAsia="宋体" w:hAnsi="Arial" w:cs="Arial"/>
          <w:color w:val="262626"/>
          <w:sz w:val="18"/>
          <w:szCs w:val="18"/>
        </w:rPr>
        <w:t>ing in July 2021 and concluded that further trial proceedings were needed but indicated those would be stayed pending the outcome of defendants’ invalidity challenge at the CNIPA. In July 2021, VLSI dismissed its case, but refiled it in August 2021. In Nov</w:t>
      </w:r>
      <w:r>
        <w:rPr>
          <w:rFonts w:ascii="Arial" w:eastAsia="宋体" w:hAnsi="Arial" w:cs="Arial"/>
          <w:color w:val="262626"/>
          <w:sz w:val="18"/>
          <w:szCs w:val="18"/>
        </w:rPr>
        <w:t>ember 2021, Intel moved for a stay of the August 2021 action pending a ruling on invalidity. The court has not yet ruled on that motion.</w:t>
      </w:r>
    </w:p>
    <w:p w14:paraId="6753827C" w14:textId="77777777" w:rsidR="001B77DD" w:rsidRDefault="00BF0A28">
      <w:pPr>
        <w:spacing w:after="180"/>
      </w:pPr>
      <w:r>
        <w:rPr>
          <w:rFonts w:ascii="Arial" w:eastAsia="宋体" w:hAnsi="Arial" w:cs="Arial"/>
          <w:color w:val="262626"/>
          <w:sz w:val="18"/>
          <w:szCs w:val="18"/>
        </w:rPr>
        <w:t>In May 2019, VLSI filed a second case in Shanghai Intellectual Property Court against Intel (China) Co., Ltd., Intel Tr</w:t>
      </w:r>
      <w:r>
        <w:rPr>
          <w:rFonts w:ascii="Arial" w:eastAsia="宋体" w:hAnsi="Arial" w:cs="Arial"/>
          <w:color w:val="262626"/>
          <w:sz w:val="18"/>
          <w:szCs w:val="18"/>
        </w:rPr>
        <w:t>ading (Shanghai) Co., Ltd., and Intel Products (Chengdu) Co., Ltd. VLSI asserts Chinese Patent 201080024173.7. VLSI accuses certain Intel Core processors and seeks an injunction, as well as RMB 1 million in damages and RMB 300 thousand in expenses. Defenda</w:t>
      </w:r>
      <w:r>
        <w:rPr>
          <w:rFonts w:ascii="Arial" w:eastAsia="宋体" w:hAnsi="Arial" w:cs="Arial"/>
          <w:color w:val="262626"/>
          <w:sz w:val="18"/>
          <w:szCs w:val="18"/>
        </w:rPr>
        <w:t>nts filed with the CNIPA an invalidation petition in October 2019 and the CNIPA held a hearing in September 2021, but has not yet issued a decision. In June 2020, defendants filed a motion to stay the trial court proceedings pending a determination on inva</w:t>
      </w:r>
      <w:r>
        <w:rPr>
          <w:rFonts w:ascii="Arial" w:eastAsia="宋体" w:hAnsi="Arial" w:cs="Arial"/>
          <w:color w:val="262626"/>
          <w:sz w:val="18"/>
          <w:szCs w:val="18"/>
        </w:rPr>
        <w:t>lidity. The court held its first evidentiary hearing in September 2020. The court held a second evidentiary hearing in December 2020, and a trial the same month. At trial, VLSI dropped its monetary damages claim, but still requested expenses (RMB 300 thous</w:t>
      </w:r>
      <w:r>
        <w:rPr>
          <w:rFonts w:ascii="Arial" w:eastAsia="宋体" w:hAnsi="Arial" w:cs="Arial"/>
          <w:color w:val="262626"/>
          <w:sz w:val="18"/>
          <w:szCs w:val="18"/>
        </w:rPr>
        <w:t>and) and an injunction. The court has not yet issued a decision following the trial. Rather, the court stayed the case in December 2020 pending a determination on invalidity by the CNIPA.</w:t>
      </w:r>
    </w:p>
    <w:p w14:paraId="6753827D" w14:textId="77777777" w:rsidR="001B77DD" w:rsidRDefault="00BF0A28">
      <w:pPr>
        <w:spacing w:after="180"/>
      </w:pPr>
      <w:r>
        <w:rPr>
          <w:rFonts w:ascii="Arial" w:eastAsia="宋体" w:hAnsi="Arial" w:cs="Arial"/>
          <w:color w:val="262626"/>
          <w:sz w:val="18"/>
          <w:szCs w:val="18"/>
        </w:rPr>
        <w:t>In November 2019, Intel, along with Apple Inc., filed a complaint ag</w:t>
      </w:r>
      <w:r>
        <w:rPr>
          <w:rFonts w:ascii="Arial" w:eastAsia="宋体" w:hAnsi="Arial" w:cs="Arial"/>
          <w:color w:val="262626"/>
          <w:sz w:val="18"/>
          <w:szCs w:val="18"/>
        </w:rPr>
        <w:t>ainst Fortress Investment Group LLC, Fortress Credit Co. LLC, Uniloc 2017 LLC, Uniloc USA, Inc., Uniloc Luxembourg S.A.R.L., VLSI, INVT SPE LLC, Inventergy Global, Inc., DSS Technology Management, Inc., IXI IP, LLC, and Seven Networks, LLC. Plaintiffs alle</w:t>
      </w:r>
      <w:r>
        <w:rPr>
          <w:rFonts w:ascii="Arial" w:eastAsia="宋体" w:hAnsi="Arial" w:cs="Arial"/>
          <w:color w:val="262626"/>
          <w:sz w:val="18"/>
          <w:szCs w:val="18"/>
        </w:rPr>
        <w:t>ge violations of Section 1 of the Sherman Act by certain defendants, Section 7 of the Clayton Act by certain defendants, and California Business and Professions Code section 17200 by all defendants based on defendants' unlawful aggregation of patents. In 2</w:t>
      </w:r>
      <w:r>
        <w:rPr>
          <w:rFonts w:ascii="Arial" w:eastAsia="宋体" w:hAnsi="Arial" w:cs="Arial"/>
          <w:color w:val="262626"/>
          <w:sz w:val="18"/>
          <w:szCs w:val="18"/>
        </w:rPr>
        <w:t>020 and 2021, the court twice dismissed plaintiffs' complaint with leave to amend. In December 2020, the court granted a joint motion by Apple and Seven Networks to dismiss with prejudice Apple’s claims against Seven Networks. Plaintiffs filed a second ame</w:t>
      </w:r>
      <w:r>
        <w:rPr>
          <w:rFonts w:ascii="Arial" w:eastAsia="宋体" w:hAnsi="Arial" w:cs="Arial"/>
          <w:color w:val="262626"/>
          <w:sz w:val="18"/>
          <w:szCs w:val="18"/>
        </w:rPr>
        <w:t xml:space="preserve">nded complaint in March 2021. Defendants moved to dismiss the Second Amended Complaint in May 2021. Apple withdrew from the case and dismissed its claims in June 2021. The court heard defendants’ motion to dismiss the Second Amended Complaint in September </w:t>
      </w:r>
      <w:r>
        <w:rPr>
          <w:rFonts w:ascii="Arial" w:eastAsia="宋体" w:hAnsi="Arial" w:cs="Arial"/>
          <w:color w:val="262626"/>
          <w:sz w:val="18"/>
          <w:szCs w:val="18"/>
        </w:rPr>
        <w:t>2021, and dismissed Intel’s claims with prejudice that same month, entering judgment in favor of defendants. Intel filed a notice of appeal in December 2021.</w:t>
      </w:r>
    </w:p>
    <w:p w14:paraId="6753827E" w14:textId="77777777" w:rsidR="001B77DD" w:rsidRDefault="00BF0A28">
      <w:pPr>
        <w:spacing w:after="180"/>
      </w:pPr>
      <w:r>
        <w:rPr>
          <w:rFonts w:ascii="Arial" w:eastAsia="宋体" w:hAnsi="Arial" w:cs="Arial"/>
          <w:color w:val="262626"/>
          <w:sz w:val="18"/>
          <w:szCs w:val="18"/>
        </w:rPr>
        <w:t xml:space="preserve">In June 2020, affiliates controlled by Fortress Investment Group, which also controls VLSI, </w:t>
      </w:r>
      <w:r>
        <w:rPr>
          <w:rFonts w:ascii="Arial" w:eastAsia="宋体" w:hAnsi="Arial" w:cs="Arial"/>
          <w:color w:val="262626"/>
          <w:sz w:val="18"/>
          <w:szCs w:val="18"/>
        </w:rPr>
        <w:t>acquired Finjan Holdings, Inc. Intel had signed a "Settlement, Release and Patent License Agreement" with Finjan in 2012, acquiring a license to the patents of Finjan and its affiliates, current or future, through a capture period of November 20, 2022. The</w:t>
      </w:r>
      <w:r>
        <w:rPr>
          <w:rFonts w:ascii="Arial" w:eastAsia="宋体" w:hAnsi="Arial" w:cs="Arial"/>
          <w:color w:val="262626"/>
          <w:sz w:val="18"/>
          <w:szCs w:val="18"/>
        </w:rPr>
        <w:t xml:space="preserve"> agreement also contains covenants wherein Finjan agrees to cause its affiliates to comply with the agreement. As such, Intel maintains that it now has a license to the patents of VLSI, which has become a Finjan affiliate, and that Finjan must cause VLSI t</w:t>
      </w:r>
      <w:r>
        <w:rPr>
          <w:rFonts w:ascii="Arial" w:eastAsia="宋体" w:hAnsi="Arial" w:cs="Arial"/>
          <w:color w:val="262626"/>
          <w:sz w:val="18"/>
          <w:szCs w:val="18"/>
        </w:rPr>
        <w:t xml:space="preserve">o dismiss its suits against Intel. In August 2020, Intel started dispute resolution proceedings under the agreement. As a part of this dispute resolution process, Intel and Finjan held a mediation in December 2020, but failed to resolve their differences. </w:t>
      </w:r>
      <w:r>
        <w:rPr>
          <w:rFonts w:ascii="Arial" w:eastAsia="宋体" w:hAnsi="Arial" w:cs="Arial"/>
          <w:color w:val="262626"/>
          <w:sz w:val="18"/>
          <w:szCs w:val="18"/>
        </w:rPr>
        <w:t>Intel filed suit to enforce its rights under the License Agreement with Finjan in January 2021 in Delaware Chancery Court</w:t>
      </w:r>
      <w:r>
        <w:rPr>
          <w:rFonts w:ascii="Arial" w:eastAsia="宋体" w:hAnsi="Arial" w:cs="Arial"/>
          <w:color w:val="262626"/>
          <w:sz w:val="20"/>
          <w:szCs w:val="20"/>
        </w:rPr>
        <w:t xml:space="preserve">. </w:t>
      </w:r>
      <w:r>
        <w:rPr>
          <w:rFonts w:ascii="Arial" w:eastAsia="宋体" w:hAnsi="Arial" w:cs="Arial"/>
          <w:color w:val="262626"/>
          <w:sz w:val="18"/>
          <w:szCs w:val="18"/>
        </w:rPr>
        <w:t>In March 2021, defendants filed motions to dismiss the Chancery Court proceedings. The court heard those motions in May 2021, and dis</w:t>
      </w:r>
      <w:r>
        <w:rPr>
          <w:rFonts w:ascii="Arial" w:eastAsia="宋体" w:hAnsi="Arial" w:cs="Arial"/>
          <w:color w:val="262626"/>
          <w:sz w:val="18"/>
          <w:szCs w:val="18"/>
        </w:rPr>
        <w:t>missed all of Intel’s claims—except the breach of contract claim—with prejudice in September 2021 for lack of jurisdiction because, the court reasoned, Intel’s license defense has been raised in the other US suits between Intel and VLSI and could be adjudi</w:t>
      </w:r>
      <w:r>
        <w:rPr>
          <w:rFonts w:ascii="Arial" w:eastAsia="宋体" w:hAnsi="Arial" w:cs="Arial"/>
          <w:color w:val="262626"/>
          <w:sz w:val="18"/>
          <w:szCs w:val="18"/>
        </w:rPr>
        <w:t>cated in one of those actions. The court stayed Intel’s breach of contract claim pending a determination on whether Intel is licensed to VLSI’s patents. In September 2020, Intel filed motions to stay the Texas, Delaware, and Shanghai matters pending resolu</w:t>
      </w:r>
      <w:r>
        <w:rPr>
          <w:rFonts w:ascii="Arial" w:eastAsia="宋体" w:hAnsi="Arial" w:cs="Arial"/>
          <w:color w:val="262626"/>
          <w:sz w:val="18"/>
          <w:szCs w:val="18"/>
        </w:rPr>
        <w:t>tion of its dispute with Finjan. In November 2020, Intel filed a motion to stay the Shenzhen matter pending resolution of its dispute with Finjan. In November 2020, the Delaware court denied Intel's motion to stay. The other stay motions remain pending. Fi</w:t>
      </w:r>
      <w:r>
        <w:rPr>
          <w:rFonts w:ascii="Arial" w:eastAsia="宋体" w:hAnsi="Arial" w:cs="Arial"/>
          <w:color w:val="262626"/>
          <w:sz w:val="18"/>
          <w:szCs w:val="18"/>
        </w:rPr>
        <w:t>nally, Intel filed a motion to amend its answer in the Texas matters to add a license defense in November 2020, and filed a motion to amend its answer in the Delaware matter to add a license defense in February 2021. The Texas court has not yet ruled on In</w:t>
      </w:r>
      <w:r>
        <w:rPr>
          <w:rFonts w:ascii="Arial" w:eastAsia="宋体" w:hAnsi="Arial" w:cs="Arial"/>
          <w:color w:val="262626"/>
          <w:sz w:val="18"/>
          <w:szCs w:val="18"/>
        </w:rPr>
        <w:t xml:space="preserve">tel’s motion to amend, but the Delaware court granted Intel’s motion in July 2021. </w:t>
      </w:r>
    </w:p>
    <w:p w14:paraId="6753827F" w14:textId="77777777" w:rsidR="001B77DD" w:rsidRDefault="00BF0A28">
      <w:pPr>
        <w:spacing w:after="180"/>
      </w:pPr>
      <w:r>
        <w:rPr>
          <w:rFonts w:ascii="Arial" w:eastAsia="宋体" w:hAnsi="Arial" w:cs="Arial"/>
          <w:color w:val="262626"/>
          <w:sz w:val="18"/>
          <w:szCs w:val="18"/>
        </w:rPr>
        <w:t xml:space="preserve">In June 2021, OpenSky Industries LLC (OpenSky) requested IPR of certain claims of the ‘373 and ‘759 patents, including the ones a jury said Intel infringes. Both petitions </w:t>
      </w:r>
      <w:r>
        <w:rPr>
          <w:rFonts w:ascii="Arial" w:eastAsia="宋体" w:hAnsi="Arial" w:cs="Arial"/>
          <w:color w:val="262626"/>
          <w:sz w:val="18"/>
          <w:szCs w:val="18"/>
        </w:rPr>
        <w:t>copied Intel’s earlier petitions, and used the expert declarations previously submitted by Intel. Another entity named Patent Quality Assurance LLC (PQA) also petitioned for IPR of certain claims of the ’373 patent, including ones a jury said Intel infring</w:t>
      </w:r>
      <w:r>
        <w:rPr>
          <w:rFonts w:ascii="Arial" w:eastAsia="宋体" w:hAnsi="Arial" w:cs="Arial"/>
          <w:color w:val="262626"/>
          <w:sz w:val="18"/>
          <w:szCs w:val="18"/>
        </w:rPr>
        <w:t>es. PQA also largely copied Intel’s petition, but added a challenge to an additional claim and included newly signed declarations from Intel’s experts. In December 2021, the PTAB instituted OpenSky’s petition on the ‘759 patent, but declined to institute o</w:t>
      </w:r>
      <w:r>
        <w:rPr>
          <w:rFonts w:ascii="Arial" w:eastAsia="宋体" w:hAnsi="Arial" w:cs="Arial"/>
          <w:color w:val="262626"/>
          <w:sz w:val="18"/>
          <w:szCs w:val="18"/>
        </w:rPr>
        <w:t>n the ‘373 patent. In December 2021, Intel filed a motion to join OpenSky’s ‘759 IPR. A decision on PQA’s IPR petition is expected in January 2022.</w:t>
      </w:r>
    </w:p>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828C" w14:textId="77777777">
        <w:tc>
          <w:tcPr>
            <w:tcW w:w="50" w:type="pct"/>
            <w:shd w:val="clear" w:color="auto" w:fill="auto"/>
            <w:vAlign w:val="bottom"/>
          </w:tcPr>
          <w:p w14:paraId="67538280" w14:textId="77777777" w:rsidR="001B77DD" w:rsidRDefault="001B77DD">
            <w:pPr>
              <w:rPr>
                <w:rFonts w:ascii="宋体"/>
              </w:rPr>
            </w:pPr>
          </w:p>
        </w:tc>
        <w:tc>
          <w:tcPr>
            <w:tcW w:w="276" w:type="pct"/>
            <w:shd w:val="clear" w:color="auto" w:fill="auto"/>
            <w:vAlign w:val="bottom"/>
          </w:tcPr>
          <w:p w14:paraId="67538281" w14:textId="77777777" w:rsidR="001B77DD" w:rsidRDefault="001B77DD">
            <w:pPr>
              <w:rPr>
                <w:rFonts w:ascii="宋体"/>
              </w:rPr>
            </w:pPr>
          </w:p>
        </w:tc>
        <w:tc>
          <w:tcPr>
            <w:tcW w:w="5" w:type="pct"/>
            <w:shd w:val="clear" w:color="auto" w:fill="auto"/>
            <w:vAlign w:val="bottom"/>
          </w:tcPr>
          <w:p w14:paraId="67538282" w14:textId="77777777" w:rsidR="001B77DD" w:rsidRDefault="001B77DD">
            <w:pPr>
              <w:rPr>
                <w:rFonts w:ascii="宋体"/>
              </w:rPr>
            </w:pPr>
          </w:p>
        </w:tc>
        <w:tc>
          <w:tcPr>
            <w:tcW w:w="50" w:type="pct"/>
            <w:shd w:val="clear" w:color="auto" w:fill="auto"/>
            <w:vAlign w:val="bottom"/>
          </w:tcPr>
          <w:p w14:paraId="67538283" w14:textId="77777777" w:rsidR="001B77DD" w:rsidRDefault="001B77DD">
            <w:pPr>
              <w:rPr>
                <w:rFonts w:ascii="宋体"/>
              </w:rPr>
            </w:pPr>
          </w:p>
        </w:tc>
        <w:tc>
          <w:tcPr>
            <w:tcW w:w="940" w:type="pct"/>
            <w:shd w:val="clear" w:color="auto" w:fill="auto"/>
            <w:vAlign w:val="bottom"/>
          </w:tcPr>
          <w:p w14:paraId="67538284" w14:textId="77777777" w:rsidR="001B77DD" w:rsidRDefault="001B77DD">
            <w:pPr>
              <w:rPr>
                <w:rFonts w:ascii="宋体"/>
              </w:rPr>
            </w:pPr>
          </w:p>
        </w:tc>
        <w:tc>
          <w:tcPr>
            <w:tcW w:w="5" w:type="pct"/>
            <w:shd w:val="clear" w:color="auto" w:fill="auto"/>
            <w:vAlign w:val="bottom"/>
          </w:tcPr>
          <w:p w14:paraId="67538285" w14:textId="77777777" w:rsidR="001B77DD" w:rsidRDefault="001B77DD">
            <w:pPr>
              <w:rPr>
                <w:rFonts w:ascii="宋体"/>
              </w:rPr>
            </w:pPr>
          </w:p>
        </w:tc>
        <w:tc>
          <w:tcPr>
            <w:tcW w:w="50" w:type="pct"/>
            <w:shd w:val="clear" w:color="auto" w:fill="auto"/>
            <w:vAlign w:val="bottom"/>
          </w:tcPr>
          <w:p w14:paraId="67538286" w14:textId="77777777" w:rsidR="001B77DD" w:rsidRDefault="001B77DD">
            <w:pPr>
              <w:rPr>
                <w:rFonts w:ascii="宋体"/>
              </w:rPr>
            </w:pPr>
          </w:p>
        </w:tc>
        <w:tc>
          <w:tcPr>
            <w:tcW w:w="1837" w:type="pct"/>
            <w:shd w:val="clear" w:color="auto" w:fill="auto"/>
            <w:vAlign w:val="bottom"/>
          </w:tcPr>
          <w:p w14:paraId="67538287" w14:textId="77777777" w:rsidR="001B77DD" w:rsidRDefault="001B77DD">
            <w:pPr>
              <w:rPr>
                <w:rFonts w:ascii="宋体"/>
              </w:rPr>
            </w:pPr>
          </w:p>
        </w:tc>
        <w:tc>
          <w:tcPr>
            <w:tcW w:w="5" w:type="pct"/>
            <w:shd w:val="clear" w:color="auto" w:fill="auto"/>
            <w:vAlign w:val="bottom"/>
          </w:tcPr>
          <w:p w14:paraId="67538288" w14:textId="77777777" w:rsidR="001B77DD" w:rsidRDefault="001B77DD">
            <w:pPr>
              <w:rPr>
                <w:rFonts w:ascii="宋体"/>
              </w:rPr>
            </w:pPr>
          </w:p>
        </w:tc>
        <w:tc>
          <w:tcPr>
            <w:tcW w:w="50" w:type="pct"/>
            <w:shd w:val="clear" w:color="auto" w:fill="auto"/>
            <w:vAlign w:val="bottom"/>
          </w:tcPr>
          <w:p w14:paraId="67538289" w14:textId="77777777" w:rsidR="001B77DD" w:rsidRDefault="001B77DD">
            <w:pPr>
              <w:rPr>
                <w:rFonts w:ascii="宋体"/>
              </w:rPr>
            </w:pPr>
          </w:p>
        </w:tc>
        <w:tc>
          <w:tcPr>
            <w:tcW w:w="1724" w:type="pct"/>
            <w:shd w:val="clear" w:color="auto" w:fill="auto"/>
            <w:vAlign w:val="bottom"/>
          </w:tcPr>
          <w:p w14:paraId="6753828A" w14:textId="77777777" w:rsidR="001B77DD" w:rsidRDefault="001B77DD">
            <w:pPr>
              <w:rPr>
                <w:rFonts w:ascii="宋体"/>
              </w:rPr>
            </w:pPr>
          </w:p>
        </w:tc>
        <w:tc>
          <w:tcPr>
            <w:tcW w:w="5" w:type="pct"/>
            <w:shd w:val="clear" w:color="auto" w:fill="auto"/>
            <w:vAlign w:val="bottom"/>
          </w:tcPr>
          <w:p w14:paraId="6753828B" w14:textId="77777777" w:rsidR="001B77DD" w:rsidRDefault="001B77DD">
            <w:pPr>
              <w:rPr>
                <w:rFonts w:ascii="宋体"/>
              </w:rPr>
            </w:pPr>
          </w:p>
        </w:tc>
      </w:tr>
      <w:tr w:rsidR="001B77DD" w14:paraId="67538291"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8D"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87" wp14:editId="67538F88">
                  <wp:extent cx="304800" cy="304800"/>
                  <wp:effectExtent l="0" t="0" r="0" b="0"/>
                  <wp:docPr id="124" name="图片 34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4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8E"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828F"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90" w14:textId="77777777" w:rsidR="001B77DD" w:rsidRDefault="00BF0A28">
            <w:pPr>
              <w:jc w:val="right"/>
              <w:textAlignment w:val="center"/>
            </w:pPr>
            <w:r>
              <w:rPr>
                <w:rFonts w:ascii="Arial" w:eastAsia="宋体" w:hAnsi="Arial" w:cs="Arial"/>
                <w:color w:val="262626"/>
                <w:sz w:val="16"/>
                <w:szCs w:val="16"/>
              </w:rPr>
              <w:t>109</w:t>
            </w:r>
          </w:p>
        </w:tc>
      </w:tr>
    </w:tbl>
    <w:p w14:paraId="67538292" w14:textId="77777777" w:rsidR="001B77DD" w:rsidRDefault="00BF0A28">
      <w:r>
        <w:pict w14:anchorId="67538F89">
          <v:rect id="_x0000_i1135" style="width:415.3pt;height:1.5pt" o:hralign="center" o:hrstd="t" o:hr="t" fillcolor="#a0a0a0" stroked="f"/>
        </w:pict>
      </w:r>
    </w:p>
    <w:p w14:paraId="67538293" w14:textId="77777777" w:rsidR="001B77DD" w:rsidRDefault="00BF0A28">
      <w:pPr>
        <w:jc w:val="right"/>
      </w:pPr>
      <w:hyperlink r:id="rId197" w:anchor="i6c9ced68f6b24d58a3dcf326e8c3c699_16" w:history="1">
        <w:r>
          <w:rPr>
            <w:rStyle w:val="a5"/>
            <w:rFonts w:ascii="Arial" w:eastAsia="宋体" w:hAnsi="Arial" w:cs="Arial"/>
            <w:b/>
            <w:bCs/>
            <w:sz w:val="16"/>
            <w:szCs w:val="16"/>
          </w:rPr>
          <w:t>Table of Contents</w:t>
        </w:r>
      </w:hyperlink>
    </w:p>
    <w:p w14:paraId="67538294" w14:textId="77777777" w:rsidR="001B77DD" w:rsidRDefault="001B77DD">
      <w:pPr>
        <w:jc w:val="right"/>
      </w:pPr>
    </w:p>
    <w:p w14:paraId="67538295" w14:textId="77777777" w:rsidR="001B77DD" w:rsidRDefault="00BF0A28">
      <w:pPr>
        <w:spacing w:after="180"/>
      </w:pPr>
      <w:r>
        <w:rPr>
          <w:rFonts w:ascii="Arial" w:eastAsia="宋体" w:hAnsi="Arial" w:cs="Arial"/>
          <w:color w:val="262626"/>
          <w:sz w:val="18"/>
          <w:szCs w:val="18"/>
        </w:rPr>
        <w:t xml:space="preserve">After consideration of the verdicts in the WDTX cases and the additional </w:t>
      </w:r>
      <w:r>
        <w:rPr>
          <w:rFonts w:ascii="Arial" w:eastAsia="宋体" w:hAnsi="Arial" w:cs="Arial"/>
          <w:color w:val="262626"/>
          <w:sz w:val="18"/>
          <w:szCs w:val="18"/>
        </w:rPr>
        <w:t>pending lawsuits filed by VLSI, Intel accrued a charge of $2.2 billion in the first quarter of 2021. We dispute VLSI's claims and intend to vigorously defend against them.</w:t>
      </w:r>
    </w:p>
    <w:p w14:paraId="67538296" w14:textId="77777777" w:rsidR="001B77DD" w:rsidRDefault="001B77DD"/>
    <w:tbl>
      <w:tblPr>
        <w:tblW w:w="4836" w:type="pct"/>
        <w:tblCellMar>
          <w:top w:w="15" w:type="dxa"/>
          <w:left w:w="15" w:type="dxa"/>
          <w:bottom w:w="15" w:type="dxa"/>
          <w:right w:w="15" w:type="dxa"/>
        </w:tblCellMar>
        <w:tblLook w:val="04A0" w:firstRow="1" w:lastRow="0" w:firstColumn="1" w:lastColumn="0" w:noHBand="0" w:noVBand="1"/>
      </w:tblPr>
      <w:tblGrid>
        <w:gridCol w:w="87"/>
        <w:gridCol w:w="476"/>
        <w:gridCol w:w="36"/>
        <w:gridCol w:w="56"/>
        <w:gridCol w:w="1492"/>
        <w:gridCol w:w="36"/>
        <w:gridCol w:w="56"/>
        <w:gridCol w:w="2939"/>
        <w:gridCol w:w="36"/>
        <w:gridCol w:w="56"/>
        <w:gridCol w:w="2757"/>
        <w:gridCol w:w="36"/>
      </w:tblGrid>
      <w:tr w:rsidR="001B77DD" w14:paraId="675382A3" w14:textId="77777777">
        <w:tc>
          <w:tcPr>
            <w:tcW w:w="50" w:type="pct"/>
            <w:shd w:val="clear" w:color="auto" w:fill="auto"/>
            <w:vAlign w:val="bottom"/>
          </w:tcPr>
          <w:p w14:paraId="67538297" w14:textId="77777777" w:rsidR="001B77DD" w:rsidRDefault="001B77DD">
            <w:pPr>
              <w:rPr>
                <w:rFonts w:ascii="宋体"/>
              </w:rPr>
            </w:pPr>
          </w:p>
        </w:tc>
        <w:tc>
          <w:tcPr>
            <w:tcW w:w="276" w:type="pct"/>
            <w:shd w:val="clear" w:color="auto" w:fill="auto"/>
            <w:vAlign w:val="bottom"/>
          </w:tcPr>
          <w:p w14:paraId="67538298" w14:textId="77777777" w:rsidR="001B77DD" w:rsidRDefault="001B77DD">
            <w:pPr>
              <w:rPr>
                <w:rFonts w:ascii="宋体"/>
              </w:rPr>
            </w:pPr>
          </w:p>
        </w:tc>
        <w:tc>
          <w:tcPr>
            <w:tcW w:w="5" w:type="pct"/>
            <w:shd w:val="clear" w:color="auto" w:fill="auto"/>
            <w:vAlign w:val="bottom"/>
          </w:tcPr>
          <w:p w14:paraId="67538299" w14:textId="77777777" w:rsidR="001B77DD" w:rsidRDefault="001B77DD">
            <w:pPr>
              <w:rPr>
                <w:rFonts w:ascii="宋体"/>
              </w:rPr>
            </w:pPr>
          </w:p>
        </w:tc>
        <w:tc>
          <w:tcPr>
            <w:tcW w:w="50" w:type="pct"/>
            <w:shd w:val="clear" w:color="auto" w:fill="auto"/>
            <w:vAlign w:val="bottom"/>
          </w:tcPr>
          <w:p w14:paraId="6753829A" w14:textId="77777777" w:rsidR="001B77DD" w:rsidRDefault="001B77DD">
            <w:pPr>
              <w:rPr>
                <w:rFonts w:ascii="宋体"/>
              </w:rPr>
            </w:pPr>
          </w:p>
        </w:tc>
        <w:tc>
          <w:tcPr>
            <w:tcW w:w="940" w:type="pct"/>
            <w:shd w:val="clear" w:color="auto" w:fill="auto"/>
            <w:vAlign w:val="bottom"/>
          </w:tcPr>
          <w:p w14:paraId="6753829B" w14:textId="77777777" w:rsidR="001B77DD" w:rsidRDefault="001B77DD">
            <w:pPr>
              <w:rPr>
                <w:rFonts w:ascii="宋体"/>
              </w:rPr>
            </w:pPr>
          </w:p>
        </w:tc>
        <w:tc>
          <w:tcPr>
            <w:tcW w:w="5" w:type="pct"/>
            <w:shd w:val="clear" w:color="auto" w:fill="auto"/>
            <w:vAlign w:val="bottom"/>
          </w:tcPr>
          <w:p w14:paraId="6753829C" w14:textId="77777777" w:rsidR="001B77DD" w:rsidRDefault="001B77DD">
            <w:pPr>
              <w:rPr>
                <w:rFonts w:ascii="宋体"/>
              </w:rPr>
            </w:pPr>
          </w:p>
        </w:tc>
        <w:tc>
          <w:tcPr>
            <w:tcW w:w="50" w:type="pct"/>
            <w:shd w:val="clear" w:color="auto" w:fill="auto"/>
            <w:vAlign w:val="bottom"/>
          </w:tcPr>
          <w:p w14:paraId="6753829D" w14:textId="77777777" w:rsidR="001B77DD" w:rsidRDefault="001B77DD">
            <w:pPr>
              <w:rPr>
                <w:rFonts w:ascii="宋体"/>
              </w:rPr>
            </w:pPr>
          </w:p>
        </w:tc>
        <w:tc>
          <w:tcPr>
            <w:tcW w:w="1837" w:type="pct"/>
            <w:shd w:val="clear" w:color="auto" w:fill="auto"/>
            <w:vAlign w:val="bottom"/>
          </w:tcPr>
          <w:p w14:paraId="6753829E" w14:textId="77777777" w:rsidR="001B77DD" w:rsidRDefault="001B77DD">
            <w:pPr>
              <w:rPr>
                <w:rFonts w:ascii="宋体"/>
              </w:rPr>
            </w:pPr>
          </w:p>
        </w:tc>
        <w:tc>
          <w:tcPr>
            <w:tcW w:w="5" w:type="pct"/>
            <w:shd w:val="clear" w:color="auto" w:fill="auto"/>
            <w:vAlign w:val="bottom"/>
          </w:tcPr>
          <w:p w14:paraId="6753829F" w14:textId="77777777" w:rsidR="001B77DD" w:rsidRDefault="001B77DD">
            <w:pPr>
              <w:rPr>
                <w:rFonts w:ascii="宋体"/>
              </w:rPr>
            </w:pPr>
          </w:p>
        </w:tc>
        <w:tc>
          <w:tcPr>
            <w:tcW w:w="50" w:type="pct"/>
            <w:shd w:val="clear" w:color="auto" w:fill="auto"/>
            <w:vAlign w:val="bottom"/>
          </w:tcPr>
          <w:p w14:paraId="675382A0" w14:textId="77777777" w:rsidR="001B77DD" w:rsidRDefault="001B77DD">
            <w:pPr>
              <w:rPr>
                <w:rFonts w:ascii="宋体"/>
              </w:rPr>
            </w:pPr>
          </w:p>
        </w:tc>
        <w:tc>
          <w:tcPr>
            <w:tcW w:w="1724" w:type="pct"/>
            <w:shd w:val="clear" w:color="auto" w:fill="auto"/>
            <w:vAlign w:val="bottom"/>
          </w:tcPr>
          <w:p w14:paraId="675382A1" w14:textId="77777777" w:rsidR="001B77DD" w:rsidRDefault="001B77DD">
            <w:pPr>
              <w:rPr>
                <w:rFonts w:ascii="宋体"/>
              </w:rPr>
            </w:pPr>
          </w:p>
        </w:tc>
        <w:tc>
          <w:tcPr>
            <w:tcW w:w="5" w:type="pct"/>
            <w:shd w:val="clear" w:color="auto" w:fill="auto"/>
            <w:vAlign w:val="bottom"/>
          </w:tcPr>
          <w:p w14:paraId="675382A2" w14:textId="77777777" w:rsidR="001B77DD" w:rsidRDefault="001B77DD">
            <w:pPr>
              <w:rPr>
                <w:rFonts w:ascii="宋体"/>
              </w:rPr>
            </w:pPr>
          </w:p>
        </w:tc>
      </w:tr>
      <w:tr w:rsidR="001B77DD" w14:paraId="675382A8" w14:textId="77777777">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A4" w14:textId="77777777" w:rsidR="001B77DD" w:rsidRDefault="00BF0A28">
            <w:pPr>
              <w:jc w:val="center"/>
              <w:textAlignment w:val="center"/>
            </w:pPr>
            <w:r>
              <w:rPr>
                <w:rFonts w:ascii="Arial" w:eastAsia="宋体" w:hAnsi="Arial" w:cs="Arial"/>
                <w:color w:val="262626"/>
                <w:sz w:val="18"/>
                <w:szCs w:val="18"/>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8A" wp14:editId="67538F8B">
                  <wp:extent cx="304800" cy="304800"/>
                  <wp:effectExtent l="0" t="0" r="0" b="0"/>
                  <wp:docPr id="154" name="图片 34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4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A5" w14:textId="77777777" w:rsidR="001B77DD" w:rsidRDefault="00BF0A2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75382A6" w14:textId="77777777" w:rsidR="001B77DD" w:rsidRDefault="00BF0A28">
            <w:pPr>
              <w:textAlignment w:val="center"/>
            </w:pPr>
            <w:r>
              <w:rPr>
                <w:rFonts w:ascii="Arial" w:eastAsia="宋体" w:hAnsi="Arial" w:cs="Arial"/>
                <w:color w:val="262626"/>
                <w:sz w:val="16"/>
                <w:szCs w:val="16"/>
              </w:rPr>
              <w:t>Notes to Consolidated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2A7" w14:textId="77777777" w:rsidR="001B77DD" w:rsidRDefault="00BF0A28">
            <w:pPr>
              <w:jc w:val="right"/>
              <w:textAlignment w:val="center"/>
            </w:pPr>
            <w:r>
              <w:rPr>
                <w:rFonts w:ascii="Arial" w:eastAsia="宋体" w:hAnsi="Arial" w:cs="Arial"/>
                <w:color w:val="262626"/>
                <w:sz w:val="16"/>
                <w:szCs w:val="16"/>
              </w:rPr>
              <w:t>110</w:t>
            </w:r>
          </w:p>
        </w:tc>
      </w:tr>
    </w:tbl>
    <w:p w14:paraId="675382A9" w14:textId="77777777" w:rsidR="001B77DD" w:rsidRDefault="00BF0A28">
      <w:r>
        <w:pict w14:anchorId="67538F8C">
          <v:rect id="_x0000_i1136" style="width:415.3pt;height:1.5pt" o:hralign="center" o:hrstd="t" o:hr="t" fillcolor="#a0a0a0" stroked="f"/>
        </w:pict>
      </w:r>
    </w:p>
    <w:p w14:paraId="675382AA" w14:textId="77777777" w:rsidR="001B77DD" w:rsidRDefault="00BF0A28">
      <w:pPr>
        <w:jc w:val="right"/>
      </w:pPr>
      <w:hyperlink r:id="rId198" w:anchor="i6c9ced68f6b24d58a3dcf326e8c3c699_16" w:history="1">
        <w:r>
          <w:rPr>
            <w:rStyle w:val="a5"/>
            <w:rFonts w:ascii="Arial" w:eastAsia="宋体" w:hAnsi="Arial" w:cs="Arial"/>
            <w:b/>
            <w:bCs/>
            <w:sz w:val="16"/>
            <w:szCs w:val="16"/>
          </w:rPr>
          <w:t>Table of Contents</w:t>
        </w:r>
      </w:hyperlink>
    </w:p>
    <w:p w14:paraId="675382AB"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82B2" w14:textId="77777777">
        <w:tc>
          <w:tcPr>
            <w:tcW w:w="50" w:type="pct"/>
            <w:shd w:val="clear" w:color="auto" w:fill="auto"/>
            <w:vAlign w:val="bottom"/>
          </w:tcPr>
          <w:p w14:paraId="675382AC" w14:textId="77777777" w:rsidR="001B77DD" w:rsidRDefault="001B77DD">
            <w:pPr>
              <w:rPr>
                <w:rFonts w:ascii="宋体"/>
              </w:rPr>
            </w:pPr>
          </w:p>
        </w:tc>
        <w:tc>
          <w:tcPr>
            <w:tcW w:w="4870" w:type="pct"/>
            <w:shd w:val="clear" w:color="auto" w:fill="auto"/>
            <w:vAlign w:val="bottom"/>
          </w:tcPr>
          <w:p w14:paraId="675382AD" w14:textId="77777777" w:rsidR="001B77DD" w:rsidRDefault="001B77DD">
            <w:pPr>
              <w:rPr>
                <w:rFonts w:ascii="宋体"/>
              </w:rPr>
            </w:pPr>
          </w:p>
        </w:tc>
        <w:tc>
          <w:tcPr>
            <w:tcW w:w="5" w:type="pct"/>
            <w:shd w:val="clear" w:color="auto" w:fill="auto"/>
            <w:vAlign w:val="bottom"/>
          </w:tcPr>
          <w:p w14:paraId="675382AE" w14:textId="77777777" w:rsidR="001B77DD" w:rsidRDefault="001B77DD">
            <w:pPr>
              <w:rPr>
                <w:rFonts w:ascii="宋体"/>
              </w:rPr>
            </w:pPr>
          </w:p>
        </w:tc>
        <w:tc>
          <w:tcPr>
            <w:tcW w:w="5" w:type="pct"/>
            <w:shd w:val="clear" w:color="auto" w:fill="auto"/>
            <w:vAlign w:val="bottom"/>
          </w:tcPr>
          <w:p w14:paraId="675382AF" w14:textId="77777777" w:rsidR="001B77DD" w:rsidRDefault="001B77DD">
            <w:pPr>
              <w:rPr>
                <w:rFonts w:ascii="宋体"/>
              </w:rPr>
            </w:pPr>
          </w:p>
        </w:tc>
        <w:tc>
          <w:tcPr>
            <w:tcW w:w="64" w:type="pct"/>
            <w:shd w:val="clear" w:color="auto" w:fill="auto"/>
            <w:vAlign w:val="bottom"/>
          </w:tcPr>
          <w:p w14:paraId="675382B0" w14:textId="77777777" w:rsidR="001B77DD" w:rsidRDefault="001B77DD">
            <w:pPr>
              <w:rPr>
                <w:rFonts w:ascii="宋体"/>
              </w:rPr>
            </w:pPr>
          </w:p>
        </w:tc>
        <w:tc>
          <w:tcPr>
            <w:tcW w:w="5" w:type="pct"/>
            <w:shd w:val="clear" w:color="auto" w:fill="auto"/>
            <w:vAlign w:val="bottom"/>
          </w:tcPr>
          <w:p w14:paraId="675382B1" w14:textId="77777777" w:rsidR="001B77DD" w:rsidRDefault="001B77DD">
            <w:pPr>
              <w:rPr>
                <w:rFonts w:ascii="宋体"/>
              </w:rPr>
            </w:pPr>
          </w:p>
        </w:tc>
      </w:tr>
      <w:tr w:rsidR="001B77DD" w14:paraId="675382B5" w14:textId="77777777">
        <w:tc>
          <w:tcPr>
            <w:tcW w:w="0" w:type="auto"/>
            <w:gridSpan w:val="3"/>
            <w:shd w:val="clear" w:color="auto" w:fill="004A86"/>
            <w:tcMar>
              <w:top w:w="40" w:type="dxa"/>
              <w:left w:w="20" w:type="dxa"/>
              <w:bottom w:w="40" w:type="dxa"/>
              <w:right w:w="20" w:type="dxa"/>
            </w:tcMar>
            <w:vAlign w:val="center"/>
          </w:tcPr>
          <w:p w14:paraId="675382B3" w14:textId="77777777" w:rsidR="001B77DD" w:rsidRDefault="00BF0A28">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vAlign w:val="bottom"/>
          </w:tcPr>
          <w:p w14:paraId="675382B4" w14:textId="77777777" w:rsidR="001B77DD" w:rsidRDefault="001B77DD">
            <w:pPr>
              <w:rPr>
                <w:rFonts w:ascii="宋体"/>
              </w:rPr>
            </w:pPr>
          </w:p>
        </w:tc>
      </w:tr>
      <w:tr w:rsidR="001B77DD" w14:paraId="675382B8" w14:textId="77777777">
        <w:trPr>
          <w:trHeight w:val="160"/>
        </w:trPr>
        <w:tc>
          <w:tcPr>
            <w:tcW w:w="0" w:type="auto"/>
            <w:gridSpan w:val="3"/>
            <w:shd w:val="clear" w:color="auto" w:fill="auto"/>
            <w:tcMar>
              <w:top w:w="0" w:type="dxa"/>
              <w:left w:w="20" w:type="dxa"/>
              <w:bottom w:w="0" w:type="dxa"/>
              <w:right w:w="20" w:type="dxa"/>
            </w:tcMar>
            <w:vAlign w:val="bottom"/>
          </w:tcPr>
          <w:p w14:paraId="675382B6"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82B7" w14:textId="77777777" w:rsidR="001B77DD" w:rsidRDefault="001B77DD">
            <w:pPr>
              <w:rPr>
                <w:rFonts w:ascii="宋体"/>
              </w:rPr>
            </w:pPr>
          </w:p>
        </w:tc>
      </w:tr>
    </w:tbl>
    <w:p w14:paraId="675382B9" w14:textId="77777777" w:rsidR="001B77DD" w:rsidRDefault="00BF0A28">
      <w:pPr>
        <w:spacing w:after="60"/>
      </w:pPr>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62"/>
        <w:gridCol w:w="1175"/>
        <w:gridCol w:w="38"/>
        <w:gridCol w:w="36"/>
        <w:gridCol w:w="36"/>
        <w:gridCol w:w="36"/>
        <w:gridCol w:w="52"/>
        <w:gridCol w:w="6860"/>
        <w:gridCol w:w="41"/>
      </w:tblGrid>
      <w:tr w:rsidR="001B77DD" w14:paraId="675382C3" w14:textId="77777777">
        <w:tc>
          <w:tcPr>
            <w:tcW w:w="50" w:type="pct"/>
            <w:shd w:val="clear" w:color="auto" w:fill="auto"/>
            <w:vAlign w:val="bottom"/>
          </w:tcPr>
          <w:p w14:paraId="675382BA" w14:textId="77777777" w:rsidR="001B77DD" w:rsidRDefault="001B77DD">
            <w:pPr>
              <w:rPr>
                <w:rFonts w:ascii="宋体"/>
              </w:rPr>
            </w:pPr>
          </w:p>
        </w:tc>
        <w:tc>
          <w:tcPr>
            <w:tcW w:w="730" w:type="pct"/>
            <w:shd w:val="clear" w:color="auto" w:fill="auto"/>
            <w:vAlign w:val="bottom"/>
          </w:tcPr>
          <w:p w14:paraId="675382BB" w14:textId="77777777" w:rsidR="001B77DD" w:rsidRDefault="001B77DD">
            <w:pPr>
              <w:rPr>
                <w:rFonts w:ascii="宋体"/>
              </w:rPr>
            </w:pPr>
          </w:p>
        </w:tc>
        <w:tc>
          <w:tcPr>
            <w:tcW w:w="5" w:type="pct"/>
            <w:shd w:val="clear" w:color="auto" w:fill="auto"/>
            <w:vAlign w:val="bottom"/>
          </w:tcPr>
          <w:p w14:paraId="675382BC" w14:textId="77777777" w:rsidR="001B77DD" w:rsidRDefault="001B77DD">
            <w:pPr>
              <w:rPr>
                <w:rFonts w:ascii="宋体"/>
              </w:rPr>
            </w:pPr>
          </w:p>
        </w:tc>
        <w:tc>
          <w:tcPr>
            <w:tcW w:w="5" w:type="pct"/>
            <w:shd w:val="clear" w:color="auto" w:fill="auto"/>
            <w:vAlign w:val="bottom"/>
          </w:tcPr>
          <w:p w14:paraId="675382BD" w14:textId="77777777" w:rsidR="001B77DD" w:rsidRDefault="001B77DD">
            <w:pPr>
              <w:rPr>
                <w:rFonts w:ascii="宋体"/>
              </w:rPr>
            </w:pPr>
          </w:p>
        </w:tc>
        <w:tc>
          <w:tcPr>
            <w:tcW w:w="17" w:type="pct"/>
            <w:shd w:val="clear" w:color="auto" w:fill="auto"/>
            <w:vAlign w:val="bottom"/>
          </w:tcPr>
          <w:p w14:paraId="675382BE" w14:textId="77777777" w:rsidR="001B77DD" w:rsidRDefault="001B77DD">
            <w:pPr>
              <w:rPr>
                <w:rFonts w:ascii="宋体"/>
              </w:rPr>
            </w:pPr>
          </w:p>
        </w:tc>
        <w:tc>
          <w:tcPr>
            <w:tcW w:w="5" w:type="pct"/>
            <w:shd w:val="clear" w:color="auto" w:fill="auto"/>
            <w:vAlign w:val="bottom"/>
          </w:tcPr>
          <w:p w14:paraId="675382BF" w14:textId="77777777" w:rsidR="001B77DD" w:rsidRDefault="001B77DD">
            <w:pPr>
              <w:rPr>
                <w:rFonts w:ascii="宋体"/>
              </w:rPr>
            </w:pPr>
          </w:p>
        </w:tc>
        <w:tc>
          <w:tcPr>
            <w:tcW w:w="50" w:type="pct"/>
            <w:shd w:val="clear" w:color="auto" w:fill="auto"/>
            <w:vAlign w:val="bottom"/>
          </w:tcPr>
          <w:p w14:paraId="675382C0" w14:textId="77777777" w:rsidR="001B77DD" w:rsidRDefault="001B77DD">
            <w:pPr>
              <w:rPr>
                <w:rFonts w:ascii="宋体"/>
              </w:rPr>
            </w:pPr>
          </w:p>
        </w:tc>
        <w:tc>
          <w:tcPr>
            <w:tcW w:w="4132" w:type="pct"/>
            <w:shd w:val="clear" w:color="auto" w:fill="auto"/>
            <w:vAlign w:val="bottom"/>
          </w:tcPr>
          <w:p w14:paraId="675382C1" w14:textId="77777777" w:rsidR="001B77DD" w:rsidRDefault="001B77DD">
            <w:pPr>
              <w:rPr>
                <w:rFonts w:ascii="宋体"/>
              </w:rPr>
            </w:pPr>
          </w:p>
        </w:tc>
        <w:tc>
          <w:tcPr>
            <w:tcW w:w="5" w:type="pct"/>
            <w:shd w:val="clear" w:color="auto" w:fill="auto"/>
            <w:vAlign w:val="bottom"/>
          </w:tcPr>
          <w:p w14:paraId="675382C2" w14:textId="77777777" w:rsidR="001B77DD" w:rsidRDefault="001B77DD">
            <w:pPr>
              <w:rPr>
                <w:rFonts w:ascii="宋体"/>
              </w:rPr>
            </w:pPr>
          </w:p>
        </w:tc>
      </w:tr>
      <w:tr w:rsidR="001B77DD" w14:paraId="675382C7" w14:textId="77777777">
        <w:tc>
          <w:tcPr>
            <w:tcW w:w="0" w:type="auto"/>
            <w:gridSpan w:val="3"/>
            <w:shd w:val="clear" w:color="auto" w:fill="auto"/>
            <w:tcMar>
              <w:top w:w="40" w:type="dxa"/>
              <w:left w:w="20" w:type="dxa"/>
              <w:bottom w:w="40" w:type="dxa"/>
              <w:right w:w="20" w:type="dxa"/>
            </w:tcMar>
          </w:tcPr>
          <w:p w14:paraId="675382C4" w14:textId="77777777" w:rsidR="001B77DD" w:rsidRDefault="00BF0A28">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vAlign w:val="bottom"/>
          </w:tcPr>
          <w:p w14:paraId="675382C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2C6" w14:textId="77777777" w:rsidR="001B77DD" w:rsidRDefault="00BF0A28">
            <w:pPr>
              <w:jc w:val="center"/>
              <w:textAlignment w:val="top"/>
            </w:pPr>
            <w:r>
              <w:rPr>
                <w:rFonts w:ascii="Arial" w:eastAsia="宋体" w:hAnsi="Arial" w:cs="Arial"/>
                <w:color w:val="0068B5"/>
                <w:sz w:val="18"/>
                <w:szCs w:val="18"/>
              </w:rPr>
              <w:t>Definition</w:t>
            </w:r>
          </w:p>
        </w:tc>
      </w:tr>
      <w:tr w:rsidR="001B77DD" w14:paraId="675382CB" w14:textId="77777777">
        <w:trPr>
          <w:hidden/>
        </w:trPr>
        <w:tc>
          <w:tcPr>
            <w:tcW w:w="0" w:type="auto"/>
            <w:gridSpan w:val="3"/>
            <w:shd w:val="clear" w:color="auto" w:fill="auto"/>
            <w:vAlign w:val="bottom"/>
          </w:tcPr>
          <w:p w14:paraId="675382C8" w14:textId="77777777" w:rsidR="001B77DD" w:rsidRDefault="001B77DD">
            <w:pPr>
              <w:rPr>
                <w:rFonts w:ascii="宋体"/>
                <w:vanish/>
              </w:rPr>
            </w:pPr>
          </w:p>
        </w:tc>
        <w:tc>
          <w:tcPr>
            <w:tcW w:w="0" w:type="auto"/>
            <w:gridSpan w:val="3"/>
            <w:shd w:val="clear" w:color="auto" w:fill="auto"/>
            <w:vAlign w:val="bottom"/>
          </w:tcPr>
          <w:p w14:paraId="675382C9" w14:textId="77777777" w:rsidR="001B77DD" w:rsidRDefault="001B77DD">
            <w:pPr>
              <w:rPr>
                <w:rFonts w:ascii="宋体"/>
                <w:vanish/>
              </w:rPr>
            </w:pPr>
          </w:p>
        </w:tc>
        <w:tc>
          <w:tcPr>
            <w:tcW w:w="0" w:type="auto"/>
            <w:gridSpan w:val="3"/>
            <w:shd w:val="clear" w:color="auto" w:fill="auto"/>
            <w:vAlign w:val="bottom"/>
          </w:tcPr>
          <w:p w14:paraId="675382CA" w14:textId="77777777" w:rsidR="001B77DD" w:rsidRDefault="001B77DD">
            <w:pPr>
              <w:rPr>
                <w:rFonts w:ascii="宋体"/>
                <w:vanish/>
              </w:rPr>
            </w:pPr>
          </w:p>
        </w:tc>
      </w:tr>
      <w:tr w:rsidR="001B77DD" w14:paraId="675382CF" w14:textId="77777777">
        <w:tc>
          <w:tcPr>
            <w:tcW w:w="0" w:type="auto"/>
            <w:gridSpan w:val="3"/>
            <w:tcBorders>
              <w:top w:val="single" w:sz="8" w:space="0" w:color="0068B5"/>
            </w:tcBorders>
            <w:shd w:val="clear" w:color="auto" w:fill="auto"/>
            <w:tcMar>
              <w:top w:w="40" w:type="dxa"/>
              <w:left w:w="20" w:type="dxa"/>
              <w:bottom w:w="40" w:type="dxa"/>
              <w:right w:w="20" w:type="dxa"/>
            </w:tcMar>
          </w:tcPr>
          <w:p w14:paraId="675382CC" w14:textId="77777777" w:rsidR="001B77DD" w:rsidRDefault="00BF0A28">
            <w:pPr>
              <w:textAlignment w:val="top"/>
            </w:pPr>
            <w:r>
              <w:rPr>
                <w:rFonts w:ascii="Arial" w:eastAsia="宋体" w:hAnsi="Arial" w:cs="Arial"/>
                <w:color w:val="0068B5"/>
                <w:sz w:val="18"/>
                <w:szCs w:val="18"/>
              </w:rPr>
              <w:t>2006 Plan</w:t>
            </w:r>
          </w:p>
        </w:tc>
        <w:tc>
          <w:tcPr>
            <w:tcW w:w="0" w:type="auto"/>
            <w:gridSpan w:val="3"/>
            <w:shd w:val="clear" w:color="auto" w:fill="auto"/>
            <w:tcMar>
              <w:top w:w="0" w:type="dxa"/>
              <w:left w:w="20" w:type="dxa"/>
              <w:bottom w:w="0" w:type="dxa"/>
              <w:right w:w="20" w:type="dxa"/>
            </w:tcMar>
            <w:vAlign w:val="bottom"/>
          </w:tcPr>
          <w:p w14:paraId="675382CD"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75382CE" w14:textId="77777777" w:rsidR="001B77DD" w:rsidRDefault="00BF0A28">
            <w:pPr>
              <w:textAlignment w:val="top"/>
            </w:pPr>
            <w:r>
              <w:rPr>
                <w:rFonts w:ascii="Arial" w:eastAsia="宋体" w:hAnsi="Arial" w:cs="Arial"/>
                <w:color w:val="262626"/>
                <w:sz w:val="18"/>
                <w:szCs w:val="18"/>
              </w:rPr>
              <w:t xml:space="preserve">2006 Equity </w:t>
            </w:r>
            <w:r>
              <w:rPr>
                <w:rFonts w:ascii="Arial" w:eastAsia="宋体" w:hAnsi="Arial" w:cs="Arial"/>
                <w:color w:val="262626"/>
                <w:sz w:val="18"/>
                <w:szCs w:val="18"/>
              </w:rPr>
              <w:t>Incentive Plan</w:t>
            </w:r>
          </w:p>
        </w:tc>
      </w:tr>
      <w:tr w:rsidR="001B77DD" w14:paraId="675382D3" w14:textId="77777777">
        <w:tc>
          <w:tcPr>
            <w:tcW w:w="0" w:type="auto"/>
            <w:gridSpan w:val="3"/>
            <w:shd w:val="clear" w:color="auto" w:fill="auto"/>
            <w:tcMar>
              <w:top w:w="40" w:type="dxa"/>
              <w:left w:w="20" w:type="dxa"/>
              <w:bottom w:w="40" w:type="dxa"/>
              <w:right w:w="20" w:type="dxa"/>
            </w:tcMar>
          </w:tcPr>
          <w:p w14:paraId="675382D0" w14:textId="77777777" w:rsidR="001B77DD" w:rsidRDefault="00BF0A28">
            <w:pPr>
              <w:textAlignment w:val="top"/>
            </w:pPr>
            <w:r>
              <w:rPr>
                <w:rFonts w:ascii="Arial" w:eastAsia="宋体" w:hAnsi="Arial" w:cs="Arial"/>
                <w:color w:val="0068B5"/>
                <w:sz w:val="18"/>
                <w:szCs w:val="18"/>
              </w:rPr>
              <w:t>2006 ESPP</w:t>
            </w:r>
          </w:p>
        </w:tc>
        <w:tc>
          <w:tcPr>
            <w:tcW w:w="0" w:type="auto"/>
            <w:gridSpan w:val="3"/>
            <w:shd w:val="clear" w:color="auto" w:fill="auto"/>
            <w:tcMar>
              <w:top w:w="0" w:type="dxa"/>
              <w:left w:w="20" w:type="dxa"/>
              <w:bottom w:w="0" w:type="dxa"/>
              <w:right w:w="20" w:type="dxa"/>
            </w:tcMar>
            <w:vAlign w:val="bottom"/>
          </w:tcPr>
          <w:p w14:paraId="675382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2D2" w14:textId="77777777" w:rsidR="001B77DD" w:rsidRDefault="00BF0A28">
            <w:pPr>
              <w:textAlignment w:val="top"/>
            </w:pPr>
            <w:r>
              <w:rPr>
                <w:rFonts w:ascii="Arial" w:eastAsia="宋体" w:hAnsi="Arial" w:cs="Arial"/>
                <w:color w:val="262626"/>
                <w:sz w:val="18"/>
                <w:szCs w:val="18"/>
              </w:rPr>
              <w:t>2006 Employee Stock Purchase Plan</w:t>
            </w:r>
          </w:p>
        </w:tc>
      </w:tr>
      <w:tr w:rsidR="001B77DD" w14:paraId="675382D7" w14:textId="77777777">
        <w:tc>
          <w:tcPr>
            <w:tcW w:w="0" w:type="auto"/>
            <w:gridSpan w:val="3"/>
            <w:shd w:val="clear" w:color="auto" w:fill="auto"/>
            <w:tcMar>
              <w:top w:w="40" w:type="dxa"/>
              <w:left w:w="20" w:type="dxa"/>
              <w:bottom w:w="40" w:type="dxa"/>
              <w:right w:w="20" w:type="dxa"/>
            </w:tcMar>
          </w:tcPr>
          <w:p w14:paraId="675382D4" w14:textId="77777777" w:rsidR="001B77DD" w:rsidRDefault="00BF0A28">
            <w:pPr>
              <w:textAlignment w:val="top"/>
            </w:pPr>
            <w:r>
              <w:rPr>
                <w:rFonts w:ascii="Arial" w:eastAsia="宋体" w:hAnsi="Arial" w:cs="Arial"/>
                <w:color w:val="0068B5"/>
                <w:sz w:val="18"/>
                <w:szCs w:val="18"/>
              </w:rPr>
              <w:t>2009 Debentures</w:t>
            </w:r>
          </w:p>
        </w:tc>
        <w:tc>
          <w:tcPr>
            <w:tcW w:w="0" w:type="auto"/>
            <w:gridSpan w:val="3"/>
            <w:shd w:val="clear" w:color="auto" w:fill="auto"/>
            <w:tcMar>
              <w:top w:w="0" w:type="dxa"/>
              <w:left w:w="20" w:type="dxa"/>
              <w:bottom w:w="0" w:type="dxa"/>
              <w:right w:w="20" w:type="dxa"/>
            </w:tcMar>
            <w:vAlign w:val="bottom"/>
          </w:tcPr>
          <w:p w14:paraId="675382D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2D6" w14:textId="77777777" w:rsidR="001B77DD" w:rsidRDefault="00BF0A28">
            <w:pPr>
              <w:textAlignment w:val="top"/>
            </w:pPr>
            <w:r>
              <w:rPr>
                <w:rFonts w:ascii="Arial" w:eastAsia="宋体" w:hAnsi="Arial" w:cs="Arial"/>
                <w:color w:val="262626"/>
                <w:sz w:val="18"/>
                <w:szCs w:val="18"/>
              </w:rPr>
              <w:t>3.25% junior subordinated convertible debentures due 2039</w:t>
            </w:r>
          </w:p>
        </w:tc>
      </w:tr>
      <w:tr w:rsidR="001B77DD" w14:paraId="675382DB" w14:textId="77777777">
        <w:trPr>
          <w:hidden/>
        </w:trPr>
        <w:tc>
          <w:tcPr>
            <w:tcW w:w="0" w:type="auto"/>
            <w:gridSpan w:val="3"/>
            <w:shd w:val="clear" w:color="auto" w:fill="auto"/>
            <w:vAlign w:val="bottom"/>
          </w:tcPr>
          <w:p w14:paraId="675382D8" w14:textId="77777777" w:rsidR="001B77DD" w:rsidRDefault="001B77DD">
            <w:pPr>
              <w:rPr>
                <w:rFonts w:ascii="宋体"/>
                <w:vanish/>
              </w:rPr>
            </w:pPr>
          </w:p>
        </w:tc>
        <w:tc>
          <w:tcPr>
            <w:tcW w:w="0" w:type="auto"/>
            <w:gridSpan w:val="3"/>
            <w:shd w:val="clear" w:color="auto" w:fill="auto"/>
            <w:vAlign w:val="bottom"/>
          </w:tcPr>
          <w:p w14:paraId="675382D9" w14:textId="77777777" w:rsidR="001B77DD" w:rsidRDefault="001B77DD">
            <w:pPr>
              <w:rPr>
                <w:rFonts w:ascii="宋体"/>
                <w:vanish/>
              </w:rPr>
            </w:pPr>
          </w:p>
        </w:tc>
        <w:tc>
          <w:tcPr>
            <w:tcW w:w="0" w:type="auto"/>
            <w:gridSpan w:val="3"/>
            <w:shd w:val="clear" w:color="auto" w:fill="auto"/>
            <w:vAlign w:val="bottom"/>
          </w:tcPr>
          <w:p w14:paraId="675382DA" w14:textId="77777777" w:rsidR="001B77DD" w:rsidRDefault="001B77DD">
            <w:pPr>
              <w:rPr>
                <w:rFonts w:ascii="宋体"/>
                <w:vanish/>
              </w:rPr>
            </w:pPr>
          </w:p>
        </w:tc>
      </w:tr>
      <w:tr w:rsidR="001B77DD" w14:paraId="675382DF" w14:textId="77777777">
        <w:trPr>
          <w:hidden/>
        </w:trPr>
        <w:tc>
          <w:tcPr>
            <w:tcW w:w="0" w:type="auto"/>
            <w:gridSpan w:val="3"/>
            <w:shd w:val="clear" w:color="auto" w:fill="auto"/>
            <w:vAlign w:val="bottom"/>
          </w:tcPr>
          <w:p w14:paraId="675382DC" w14:textId="77777777" w:rsidR="001B77DD" w:rsidRDefault="001B77DD">
            <w:pPr>
              <w:rPr>
                <w:rFonts w:ascii="宋体"/>
                <w:vanish/>
              </w:rPr>
            </w:pPr>
          </w:p>
        </w:tc>
        <w:tc>
          <w:tcPr>
            <w:tcW w:w="0" w:type="auto"/>
            <w:gridSpan w:val="3"/>
            <w:shd w:val="clear" w:color="auto" w:fill="auto"/>
            <w:vAlign w:val="bottom"/>
          </w:tcPr>
          <w:p w14:paraId="675382DD" w14:textId="77777777" w:rsidR="001B77DD" w:rsidRDefault="001B77DD">
            <w:pPr>
              <w:rPr>
                <w:rFonts w:ascii="宋体"/>
                <w:vanish/>
              </w:rPr>
            </w:pPr>
          </w:p>
        </w:tc>
        <w:tc>
          <w:tcPr>
            <w:tcW w:w="0" w:type="auto"/>
            <w:gridSpan w:val="3"/>
            <w:shd w:val="clear" w:color="auto" w:fill="auto"/>
            <w:vAlign w:val="bottom"/>
          </w:tcPr>
          <w:p w14:paraId="675382DE" w14:textId="77777777" w:rsidR="001B77DD" w:rsidRDefault="001B77DD">
            <w:pPr>
              <w:rPr>
                <w:rFonts w:ascii="宋体"/>
                <w:vanish/>
              </w:rPr>
            </w:pPr>
          </w:p>
        </w:tc>
      </w:tr>
      <w:tr w:rsidR="001B77DD" w14:paraId="675382E3" w14:textId="77777777">
        <w:trPr>
          <w:hidden/>
        </w:trPr>
        <w:tc>
          <w:tcPr>
            <w:tcW w:w="0" w:type="auto"/>
            <w:gridSpan w:val="3"/>
            <w:shd w:val="clear" w:color="auto" w:fill="auto"/>
            <w:vAlign w:val="bottom"/>
          </w:tcPr>
          <w:p w14:paraId="675382E0" w14:textId="77777777" w:rsidR="001B77DD" w:rsidRDefault="001B77DD">
            <w:pPr>
              <w:rPr>
                <w:rFonts w:ascii="宋体"/>
                <w:vanish/>
              </w:rPr>
            </w:pPr>
          </w:p>
        </w:tc>
        <w:tc>
          <w:tcPr>
            <w:tcW w:w="0" w:type="auto"/>
            <w:gridSpan w:val="3"/>
            <w:shd w:val="clear" w:color="auto" w:fill="auto"/>
            <w:vAlign w:val="bottom"/>
          </w:tcPr>
          <w:p w14:paraId="675382E1" w14:textId="77777777" w:rsidR="001B77DD" w:rsidRDefault="001B77DD">
            <w:pPr>
              <w:rPr>
                <w:rFonts w:ascii="宋体"/>
                <w:vanish/>
              </w:rPr>
            </w:pPr>
          </w:p>
        </w:tc>
        <w:tc>
          <w:tcPr>
            <w:tcW w:w="0" w:type="auto"/>
            <w:gridSpan w:val="3"/>
            <w:shd w:val="clear" w:color="auto" w:fill="auto"/>
            <w:vAlign w:val="bottom"/>
          </w:tcPr>
          <w:p w14:paraId="675382E2" w14:textId="77777777" w:rsidR="001B77DD" w:rsidRDefault="001B77DD">
            <w:pPr>
              <w:rPr>
                <w:rFonts w:ascii="宋体"/>
                <w:vanish/>
              </w:rPr>
            </w:pPr>
          </w:p>
        </w:tc>
      </w:tr>
      <w:tr w:rsidR="001B77DD" w14:paraId="675382E7" w14:textId="77777777">
        <w:trPr>
          <w:hidden/>
        </w:trPr>
        <w:tc>
          <w:tcPr>
            <w:tcW w:w="0" w:type="auto"/>
            <w:gridSpan w:val="3"/>
            <w:shd w:val="clear" w:color="auto" w:fill="auto"/>
            <w:vAlign w:val="bottom"/>
          </w:tcPr>
          <w:p w14:paraId="675382E4" w14:textId="77777777" w:rsidR="001B77DD" w:rsidRDefault="001B77DD">
            <w:pPr>
              <w:rPr>
                <w:rFonts w:ascii="宋体"/>
                <w:vanish/>
              </w:rPr>
            </w:pPr>
          </w:p>
        </w:tc>
        <w:tc>
          <w:tcPr>
            <w:tcW w:w="0" w:type="auto"/>
            <w:gridSpan w:val="3"/>
            <w:shd w:val="clear" w:color="auto" w:fill="auto"/>
            <w:vAlign w:val="bottom"/>
          </w:tcPr>
          <w:p w14:paraId="675382E5" w14:textId="77777777" w:rsidR="001B77DD" w:rsidRDefault="001B77DD">
            <w:pPr>
              <w:rPr>
                <w:rFonts w:ascii="宋体"/>
                <w:vanish/>
              </w:rPr>
            </w:pPr>
          </w:p>
        </w:tc>
        <w:tc>
          <w:tcPr>
            <w:tcW w:w="0" w:type="auto"/>
            <w:gridSpan w:val="3"/>
            <w:shd w:val="clear" w:color="auto" w:fill="auto"/>
            <w:vAlign w:val="bottom"/>
          </w:tcPr>
          <w:p w14:paraId="675382E6" w14:textId="77777777" w:rsidR="001B77DD" w:rsidRDefault="001B77DD">
            <w:pPr>
              <w:rPr>
                <w:rFonts w:ascii="宋体"/>
                <w:vanish/>
              </w:rPr>
            </w:pPr>
          </w:p>
        </w:tc>
      </w:tr>
      <w:tr w:rsidR="001B77DD" w14:paraId="675382EB" w14:textId="77777777">
        <w:trPr>
          <w:hidden/>
        </w:trPr>
        <w:tc>
          <w:tcPr>
            <w:tcW w:w="0" w:type="auto"/>
            <w:gridSpan w:val="3"/>
            <w:shd w:val="clear" w:color="auto" w:fill="auto"/>
            <w:vAlign w:val="bottom"/>
          </w:tcPr>
          <w:p w14:paraId="675382E8" w14:textId="77777777" w:rsidR="001B77DD" w:rsidRDefault="001B77DD">
            <w:pPr>
              <w:rPr>
                <w:rFonts w:ascii="宋体"/>
                <w:vanish/>
              </w:rPr>
            </w:pPr>
          </w:p>
        </w:tc>
        <w:tc>
          <w:tcPr>
            <w:tcW w:w="0" w:type="auto"/>
            <w:gridSpan w:val="3"/>
            <w:shd w:val="clear" w:color="auto" w:fill="auto"/>
            <w:vAlign w:val="bottom"/>
          </w:tcPr>
          <w:p w14:paraId="675382E9" w14:textId="77777777" w:rsidR="001B77DD" w:rsidRDefault="001B77DD">
            <w:pPr>
              <w:rPr>
                <w:rFonts w:ascii="宋体"/>
                <w:vanish/>
              </w:rPr>
            </w:pPr>
          </w:p>
        </w:tc>
        <w:tc>
          <w:tcPr>
            <w:tcW w:w="0" w:type="auto"/>
            <w:gridSpan w:val="3"/>
            <w:shd w:val="clear" w:color="auto" w:fill="auto"/>
            <w:vAlign w:val="bottom"/>
          </w:tcPr>
          <w:p w14:paraId="675382EA" w14:textId="77777777" w:rsidR="001B77DD" w:rsidRDefault="001B77DD">
            <w:pPr>
              <w:rPr>
                <w:rFonts w:ascii="宋体"/>
                <w:vanish/>
              </w:rPr>
            </w:pPr>
          </w:p>
        </w:tc>
      </w:tr>
      <w:tr w:rsidR="001B77DD" w14:paraId="675382EF" w14:textId="77777777">
        <w:tc>
          <w:tcPr>
            <w:tcW w:w="0" w:type="auto"/>
            <w:gridSpan w:val="3"/>
            <w:shd w:val="clear" w:color="auto" w:fill="auto"/>
            <w:tcMar>
              <w:top w:w="40" w:type="dxa"/>
              <w:left w:w="20" w:type="dxa"/>
              <w:bottom w:w="40" w:type="dxa"/>
              <w:right w:w="20" w:type="dxa"/>
            </w:tcMar>
          </w:tcPr>
          <w:p w14:paraId="675382EC" w14:textId="77777777" w:rsidR="001B77DD" w:rsidRDefault="00BF0A28">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vAlign w:val="bottom"/>
          </w:tcPr>
          <w:p w14:paraId="675382E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2EE" w14:textId="77777777" w:rsidR="001B77DD" w:rsidRDefault="00BF0A28">
            <w:pPr>
              <w:textAlignment w:val="top"/>
            </w:pPr>
            <w:r>
              <w:rPr>
                <w:rFonts w:ascii="Arial" w:eastAsia="宋体" w:hAnsi="Arial" w:cs="Arial"/>
                <w:color w:val="262626"/>
                <w:sz w:val="18"/>
                <w:szCs w:val="18"/>
              </w:rPr>
              <w:t xml:space="preserve">The fifth-generation mobile network, which is expected to bring dramatic </w:t>
            </w:r>
            <w:r>
              <w:rPr>
                <w:rFonts w:ascii="Arial" w:eastAsia="宋体" w:hAnsi="Arial" w:cs="Arial"/>
                <w:color w:val="262626"/>
                <w:sz w:val="18"/>
                <w:szCs w:val="18"/>
              </w:rPr>
              <w:t>improvements in network speeds and latency, and which we view as a transformative technology and opportunity for many industries</w:t>
            </w:r>
          </w:p>
        </w:tc>
      </w:tr>
      <w:tr w:rsidR="001B77DD" w14:paraId="675382F3" w14:textId="77777777">
        <w:trPr>
          <w:hidden/>
        </w:trPr>
        <w:tc>
          <w:tcPr>
            <w:tcW w:w="0" w:type="auto"/>
            <w:gridSpan w:val="3"/>
            <w:shd w:val="clear" w:color="auto" w:fill="auto"/>
            <w:vAlign w:val="bottom"/>
          </w:tcPr>
          <w:p w14:paraId="675382F0" w14:textId="77777777" w:rsidR="001B77DD" w:rsidRDefault="001B77DD">
            <w:pPr>
              <w:rPr>
                <w:rFonts w:ascii="宋体"/>
                <w:vanish/>
              </w:rPr>
            </w:pPr>
          </w:p>
        </w:tc>
        <w:tc>
          <w:tcPr>
            <w:tcW w:w="0" w:type="auto"/>
            <w:gridSpan w:val="3"/>
            <w:shd w:val="clear" w:color="auto" w:fill="auto"/>
            <w:vAlign w:val="bottom"/>
          </w:tcPr>
          <w:p w14:paraId="675382F1" w14:textId="77777777" w:rsidR="001B77DD" w:rsidRDefault="001B77DD">
            <w:pPr>
              <w:rPr>
                <w:rFonts w:ascii="宋体"/>
                <w:vanish/>
              </w:rPr>
            </w:pPr>
          </w:p>
        </w:tc>
        <w:tc>
          <w:tcPr>
            <w:tcW w:w="0" w:type="auto"/>
            <w:gridSpan w:val="3"/>
            <w:shd w:val="clear" w:color="auto" w:fill="auto"/>
            <w:vAlign w:val="bottom"/>
          </w:tcPr>
          <w:p w14:paraId="675382F2" w14:textId="77777777" w:rsidR="001B77DD" w:rsidRDefault="001B77DD">
            <w:pPr>
              <w:rPr>
                <w:rFonts w:ascii="宋体"/>
                <w:vanish/>
              </w:rPr>
            </w:pPr>
          </w:p>
        </w:tc>
      </w:tr>
      <w:tr w:rsidR="001B77DD" w14:paraId="675382F7" w14:textId="77777777">
        <w:tc>
          <w:tcPr>
            <w:tcW w:w="0" w:type="auto"/>
            <w:gridSpan w:val="3"/>
            <w:shd w:val="clear" w:color="auto" w:fill="auto"/>
            <w:tcMar>
              <w:top w:w="40" w:type="dxa"/>
              <w:left w:w="20" w:type="dxa"/>
              <w:bottom w:w="40" w:type="dxa"/>
              <w:right w:w="20" w:type="dxa"/>
            </w:tcMar>
          </w:tcPr>
          <w:p w14:paraId="675382F4" w14:textId="77777777" w:rsidR="001B77DD" w:rsidRDefault="00BF0A28">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vAlign w:val="bottom"/>
          </w:tcPr>
          <w:p w14:paraId="675382F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2F6" w14:textId="77777777" w:rsidR="001B77DD" w:rsidRDefault="00BF0A28">
            <w:pPr>
              <w:textAlignment w:val="top"/>
            </w:pPr>
            <w:r>
              <w:rPr>
                <w:rFonts w:ascii="Arial" w:eastAsia="宋体" w:hAnsi="Arial" w:cs="Arial"/>
                <w:color w:val="262626"/>
                <w:sz w:val="18"/>
                <w:szCs w:val="18"/>
              </w:rPr>
              <w:t>Advanced driver-assistance systems</w:t>
            </w:r>
          </w:p>
        </w:tc>
      </w:tr>
      <w:tr w:rsidR="001B77DD" w14:paraId="675382FB" w14:textId="77777777">
        <w:tc>
          <w:tcPr>
            <w:tcW w:w="0" w:type="auto"/>
            <w:gridSpan w:val="3"/>
            <w:shd w:val="clear" w:color="auto" w:fill="auto"/>
            <w:tcMar>
              <w:top w:w="40" w:type="dxa"/>
              <w:left w:w="20" w:type="dxa"/>
              <w:bottom w:w="40" w:type="dxa"/>
              <w:right w:w="20" w:type="dxa"/>
            </w:tcMar>
          </w:tcPr>
          <w:p w14:paraId="675382F8" w14:textId="77777777" w:rsidR="001B77DD" w:rsidRDefault="00BF0A28">
            <w:pPr>
              <w:textAlignment w:val="top"/>
            </w:pPr>
            <w:r>
              <w:rPr>
                <w:rFonts w:ascii="Arial" w:eastAsia="宋体" w:hAnsi="Arial" w:cs="Arial"/>
                <w:color w:val="0068B5"/>
                <w:sz w:val="18"/>
                <w:szCs w:val="18"/>
              </w:rPr>
              <w:t>Adjacent products</w:t>
            </w:r>
          </w:p>
        </w:tc>
        <w:tc>
          <w:tcPr>
            <w:tcW w:w="0" w:type="auto"/>
            <w:gridSpan w:val="3"/>
            <w:shd w:val="clear" w:color="auto" w:fill="auto"/>
            <w:tcMar>
              <w:top w:w="0" w:type="dxa"/>
              <w:left w:w="20" w:type="dxa"/>
              <w:bottom w:w="0" w:type="dxa"/>
              <w:right w:w="20" w:type="dxa"/>
            </w:tcMar>
            <w:vAlign w:val="bottom"/>
          </w:tcPr>
          <w:p w14:paraId="675382F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2FA" w14:textId="77777777" w:rsidR="001B77DD" w:rsidRDefault="00BF0A28">
            <w:pPr>
              <w:textAlignment w:val="top"/>
            </w:pPr>
            <w:r>
              <w:rPr>
                <w:rFonts w:ascii="Arial" w:eastAsia="宋体" w:hAnsi="Arial" w:cs="Arial"/>
                <w:color w:val="262626"/>
                <w:sz w:val="18"/>
                <w:szCs w:val="18"/>
              </w:rPr>
              <w:t xml:space="preserve">All of our non-platform products for CCG, DCG, and IOTG, </w:t>
            </w:r>
            <w:r>
              <w:rPr>
                <w:rFonts w:ascii="Arial" w:eastAsia="宋体" w:hAnsi="Arial" w:cs="Arial"/>
                <w:color w:val="262626"/>
                <w:sz w:val="18"/>
                <w:szCs w:val="18"/>
              </w:rPr>
              <w:t>such as modem, Ethernet and silicon photonics, as well as Mobileye, NSG, and PSG products. Combined with our platform products, adjacent products form comprehensive platform solutions to meet customer needs</w:t>
            </w:r>
          </w:p>
        </w:tc>
      </w:tr>
      <w:tr w:rsidR="001B77DD" w14:paraId="675382FF" w14:textId="77777777">
        <w:tc>
          <w:tcPr>
            <w:tcW w:w="0" w:type="auto"/>
            <w:gridSpan w:val="3"/>
            <w:shd w:val="clear" w:color="auto" w:fill="auto"/>
            <w:tcMar>
              <w:top w:w="40" w:type="dxa"/>
              <w:left w:w="20" w:type="dxa"/>
              <w:bottom w:w="40" w:type="dxa"/>
              <w:right w:w="20" w:type="dxa"/>
            </w:tcMar>
          </w:tcPr>
          <w:p w14:paraId="675382FC" w14:textId="77777777" w:rsidR="001B77DD" w:rsidRDefault="00BF0A28">
            <w:pPr>
              <w:textAlignment w:val="top"/>
            </w:pPr>
            <w:r>
              <w:rPr>
                <w:rFonts w:ascii="Arial" w:eastAsia="宋体" w:hAnsi="Arial" w:cs="Arial"/>
                <w:color w:val="0068B5"/>
                <w:sz w:val="18"/>
                <w:szCs w:val="18"/>
              </w:rPr>
              <w:t>AI</w:t>
            </w:r>
          </w:p>
        </w:tc>
        <w:tc>
          <w:tcPr>
            <w:tcW w:w="0" w:type="auto"/>
            <w:gridSpan w:val="3"/>
            <w:shd w:val="clear" w:color="auto" w:fill="auto"/>
            <w:tcMar>
              <w:top w:w="0" w:type="dxa"/>
              <w:left w:w="20" w:type="dxa"/>
              <w:bottom w:w="0" w:type="dxa"/>
              <w:right w:w="20" w:type="dxa"/>
            </w:tcMar>
            <w:vAlign w:val="bottom"/>
          </w:tcPr>
          <w:p w14:paraId="675382F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2FE" w14:textId="77777777" w:rsidR="001B77DD" w:rsidRDefault="00BF0A28">
            <w:pPr>
              <w:textAlignment w:val="top"/>
            </w:pPr>
            <w:r>
              <w:rPr>
                <w:rFonts w:ascii="Arial" w:eastAsia="宋体" w:hAnsi="Arial" w:cs="Arial"/>
                <w:color w:val="262626"/>
                <w:sz w:val="18"/>
                <w:szCs w:val="18"/>
              </w:rPr>
              <w:t>Artificial intelligence</w:t>
            </w:r>
          </w:p>
        </w:tc>
      </w:tr>
      <w:tr w:rsidR="001B77DD" w14:paraId="67538303" w14:textId="77777777">
        <w:trPr>
          <w:hidden/>
        </w:trPr>
        <w:tc>
          <w:tcPr>
            <w:tcW w:w="0" w:type="auto"/>
            <w:gridSpan w:val="3"/>
            <w:shd w:val="clear" w:color="auto" w:fill="auto"/>
            <w:vAlign w:val="bottom"/>
          </w:tcPr>
          <w:p w14:paraId="67538300" w14:textId="77777777" w:rsidR="001B77DD" w:rsidRDefault="001B77DD">
            <w:pPr>
              <w:rPr>
                <w:rFonts w:ascii="宋体"/>
                <w:vanish/>
              </w:rPr>
            </w:pPr>
          </w:p>
        </w:tc>
        <w:tc>
          <w:tcPr>
            <w:tcW w:w="0" w:type="auto"/>
            <w:gridSpan w:val="3"/>
            <w:shd w:val="clear" w:color="auto" w:fill="auto"/>
            <w:vAlign w:val="bottom"/>
          </w:tcPr>
          <w:p w14:paraId="67538301" w14:textId="77777777" w:rsidR="001B77DD" w:rsidRDefault="001B77DD">
            <w:pPr>
              <w:rPr>
                <w:rFonts w:ascii="宋体"/>
                <w:vanish/>
              </w:rPr>
            </w:pPr>
          </w:p>
        </w:tc>
        <w:tc>
          <w:tcPr>
            <w:tcW w:w="0" w:type="auto"/>
            <w:gridSpan w:val="3"/>
            <w:shd w:val="clear" w:color="auto" w:fill="auto"/>
            <w:vAlign w:val="bottom"/>
          </w:tcPr>
          <w:p w14:paraId="67538302" w14:textId="77777777" w:rsidR="001B77DD" w:rsidRDefault="001B77DD">
            <w:pPr>
              <w:rPr>
                <w:rFonts w:ascii="宋体"/>
                <w:vanish/>
              </w:rPr>
            </w:pPr>
          </w:p>
        </w:tc>
      </w:tr>
      <w:tr w:rsidR="001B77DD" w14:paraId="67538307" w14:textId="77777777">
        <w:tc>
          <w:tcPr>
            <w:tcW w:w="0" w:type="auto"/>
            <w:gridSpan w:val="3"/>
            <w:shd w:val="clear" w:color="auto" w:fill="auto"/>
            <w:tcMar>
              <w:top w:w="40" w:type="dxa"/>
              <w:left w:w="20" w:type="dxa"/>
              <w:bottom w:w="40" w:type="dxa"/>
              <w:right w:w="20" w:type="dxa"/>
            </w:tcMar>
          </w:tcPr>
          <w:p w14:paraId="67538304" w14:textId="77777777" w:rsidR="001B77DD" w:rsidRDefault="00BF0A28">
            <w:pPr>
              <w:textAlignment w:val="top"/>
            </w:pPr>
            <w:r>
              <w:rPr>
                <w:rFonts w:ascii="Arial" w:eastAsia="宋体" w:hAnsi="Arial" w:cs="Arial"/>
                <w:color w:val="0068B5"/>
                <w:sz w:val="18"/>
                <w:szCs w:val="18"/>
              </w:rPr>
              <w:t>ASIC</w:t>
            </w:r>
          </w:p>
        </w:tc>
        <w:tc>
          <w:tcPr>
            <w:tcW w:w="0" w:type="auto"/>
            <w:gridSpan w:val="3"/>
            <w:shd w:val="clear" w:color="auto" w:fill="auto"/>
            <w:tcMar>
              <w:top w:w="0" w:type="dxa"/>
              <w:left w:w="20" w:type="dxa"/>
              <w:bottom w:w="0" w:type="dxa"/>
              <w:right w:w="20" w:type="dxa"/>
            </w:tcMar>
            <w:vAlign w:val="bottom"/>
          </w:tcPr>
          <w:p w14:paraId="6753830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06" w14:textId="77777777" w:rsidR="001B77DD" w:rsidRDefault="00BF0A28">
            <w:pPr>
              <w:textAlignment w:val="top"/>
            </w:pPr>
            <w:r>
              <w:rPr>
                <w:rFonts w:ascii="Arial" w:eastAsia="宋体" w:hAnsi="Arial" w:cs="Arial"/>
                <w:color w:val="262626"/>
                <w:sz w:val="18"/>
                <w:szCs w:val="18"/>
              </w:rPr>
              <w:t>Application-specific integrated circuit</w:t>
            </w:r>
          </w:p>
        </w:tc>
      </w:tr>
      <w:tr w:rsidR="001B77DD" w14:paraId="6753830B" w14:textId="77777777">
        <w:trPr>
          <w:hidden/>
        </w:trPr>
        <w:tc>
          <w:tcPr>
            <w:tcW w:w="0" w:type="auto"/>
            <w:gridSpan w:val="3"/>
            <w:shd w:val="clear" w:color="auto" w:fill="auto"/>
            <w:vAlign w:val="bottom"/>
          </w:tcPr>
          <w:p w14:paraId="67538308" w14:textId="77777777" w:rsidR="001B77DD" w:rsidRDefault="001B77DD">
            <w:pPr>
              <w:rPr>
                <w:rFonts w:ascii="宋体"/>
                <w:vanish/>
              </w:rPr>
            </w:pPr>
          </w:p>
        </w:tc>
        <w:tc>
          <w:tcPr>
            <w:tcW w:w="0" w:type="auto"/>
            <w:gridSpan w:val="3"/>
            <w:shd w:val="clear" w:color="auto" w:fill="auto"/>
            <w:vAlign w:val="bottom"/>
          </w:tcPr>
          <w:p w14:paraId="67538309" w14:textId="77777777" w:rsidR="001B77DD" w:rsidRDefault="001B77DD">
            <w:pPr>
              <w:rPr>
                <w:rFonts w:ascii="宋体"/>
                <w:vanish/>
              </w:rPr>
            </w:pPr>
          </w:p>
        </w:tc>
        <w:tc>
          <w:tcPr>
            <w:tcW w:w="0" w:type="auto"/>
            <w:gridSpan w:val="3"/>
            <w:shd w:val="clear" w:color="auto" w:fill="auto"/>
            <w:vAlign w:val="bottom"/>
          </w:tcPr>
          <w:p w14:paraId="6753830A" w14:textId="77777777" w:rsidR="001B77DD" w:rsidRDefault="001B77DD">
            <w:pPr>
              <w:rPr>
                <w:rFonts w:ascii="宋体"/>
                <w:vanish/>
              </w:rPr>
            </w:pPr>
          </w:p>
        </w:tc>
      </w:tr>
      <w:tr w:rsidR="001B77DD" w14:paraId="6753830F" w14:textId="77777777">
        <w:tc>
          <w:tcPr>
            <w:tcW w:w="0" w:type="auto"/>
            <w:gridSpan w:val="3"/>
            <w:shd w:val="clear" w:color="auto" w:fill="auto"/>
            <w:tcMar>
              <w:top w:w="40" w:type="dxa"/>
              <w:left w:w="20" w:type="dxa"/>
              <w:bottom w:w="40" w:type="dxa"/>
              <w:right w:w="20" w:type="dxa"/>
            </w:tcMar>
          </w:tcPr>
          <w:p w14:paraId="6753830C" w14:textId="77777777" w:rsidR="001B77DD" w:rsidRDefault="00BF0A28">
            <w:pPr>
              <w:textAlignment w:val="top"/>
            </w:pPr>
            <w:r>
              <w:rPr>
                <w:rFonts w:ascii="Arial" w:eastAsia="宋体" w:hAnsi="Arial" w:cs="Arial"/>
                <w:color w:val="0068B5"/>
                <w:sz w:val="18"/>
                <w:szCs w:val="18"/>
              </w:rPr>
              <w:t>ASP</w:t>
            </w:r>
          </w:p>
        </w:tc>
        <w:tc>
          <w:tcPr>
            <w:tcW w:w="0" w:type="auto"/>
            <w:gridSpan w:val="3"/>
            <w:shd w:val="clear" w:color="auto" w:fill="auto"/>
            <w:tcMar>
              <w:top w:w="0" w:type="dxa"/>
              <w:left w:w="20" w:type="dxa"/>
              <w:bottom w:w="0" w:type="dxa"/>
              <w:right w:w="20" w:type="dxa"/>
            </w:tcMar>
            <w:vAlign w:val="bottom"/>
          </w:tcPr>
          <w:p w14:paraId="6753830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30E" w14:textId="77777777" w:rsidR="001B77DD" w:rsidRDefault="00BF0A28">
            <w:pPr>
              <w:textAlignment w:val="bottom"/>
            </w:pPr>
            <w:r>
              <w:rPr>
                <w:rFonts w:ascii="Arial" w:eastAsia="宋体" w:hAnsi="Arial" w:cs="Arial"/>
                <w:color w:val="262626"/>
                <w:sz w:val="18"/>
                <w:szCs w:val="18"/>
              </w:rPr>
              <w:t>Average selling price</w:t>
            </w:r>
          </w:p>
        </w:tc>
      </w:tr>
      <w:tr w:rsidR="001B77DD" w14:paraId="67538313" w14:textId="77777777">
        <w:tc>
          <w:tcPr>
            <w:tcW w:w="0" w:type="auto"/>
            <w:gridSpan w:val="3"/>
            <w:shd w:val="clear" w:color="auto" w:fill="auto"/>
            <w:tcMar>
              <w:top w:w="40" w:type="dxa"/>
              <w:left w:w="20" w:type="dxa"/>
              <w:bottom w:w="40" w:type="dxa"/>
              <w:right w:w="20" w:type="dxa"/>
            </w:tcMar>
          </w:tcPr>
          <w:p w14:paraId="67538310" w14:textId="77777777" w:rsidR="001B77DD" w:rsidRDefault="00BF0A28">
            <w:pPr>
              <w:textAlignment w:val="top"/>
            </w:pPr>
            <w:r>
              <w:rPr>
                <w:rFonts w:ascii="Arial" w:eastAsia="宋体" w:hAnsi="Arial" w:cs="Arial"/>
                <w:color w:val="0068B5"/>
                <w:sz w:val="18"/>
                <w:szCs w:val="18"/>
              </w:rPr>
              <w:t>AV</w:t>
            </w:r>
          </w:p>
        </w:tc>
        <w:tc>
          <w:tcPr>
            <w:tcW w:w="0" w:type="auto"/>
            <w:gridSpan w:val="3"/>
            <w:shd w:val="clear" w:color="auto" w:fill="auto"/>
            <w:tcMar>
              <w:top w:w="0" w:type="dxa"/>
              <w:left w:w="20" w:type="dxa"/>
              <w:bottom w:w="0" w:type="dxa"/>
              <w:right w:w="20" w:type="dxa"/>
            </w:tcMar>
            <w:vAlign w:val="bottom"/>
          </w:tcPr>
          <w:p w14:paraId="6753831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312" w14:textId="77777777" w:rsidR="001B77DD" w:rsidRDefault="00BF0A28">
            <w:pPr>
              <w:textAlignment w:val="bottom"/>
            </w:pPr>
            <w:r>
              <w:rPr>
                <w:rFonts w:ascii="Arial" w:eastAsia="宋体" w:hAnsi="Arial" w:cs="Arial"/>
                <w:color w:val="262626"/>
                <w:sz w:val="18"/>
                <w:szCs w:val="18"/>
              </w:rPr>
              <w:t>Autonomous vehicle</w:t>
            </w:r>
          </w:p>
        </w:tc>
      </w:tr>
      <w:tr w:rsidR="001B77DD" w14:paraId="67538317" w14:textId="77777777">
        <w:trPr>
          <w:hidden/>
        </w:trPr>
        <w:tc>
          <w:tcPr>
            <w:tcW w:w="0" w:type="auto"/>
            <w:gridSpan w:val="3"/>
            <w:shd w:val="clear" w:color="auto" w:fill="auto"/>
            <w:vAlign w:val="bottom"/>
          </w:tcPr>
          <w:p w14:paraId="67538314" w14:textId="77777777" w:rsidR="001B77DD" w:rsidRDefault="001B77DD">
            <w:pPr>
              <w:rPr>
                <w:rFonts w:ascii="宋体"/>
                <w:vanish/>
              </w:rPr>
            </w:pPr>
          </w:p>
        </w:tc>
        <w:tc>
          <w:tcPr>
            <w:tcW w:w="0" w:type="auto"/>
            <w:gridSpan w:val="3"/>
            <w:shd w:val="clear" w:color="auto" w:fill="auto"/>
            <w:vAlign w:val="bottom"/>
          </w:tcPr>
          <w:p w14:paraId="67538315" w14:textId="77777777" w:rsidR="001B77DD" w:rsidRDefault="001B77DD">
            <w:pPr>
              <w:rPr>
                <w:rFonts w:ascii="宋体"/>
                <w:vanish/>
              </w:rPr>
            </w:pPr>
          </w:p>
        </w:tc>
        <w:tc>
          <w:tcPr>
            <w:tcW w:w="0" w:type="auto"/>
            <w:gridSpan w:val="3"/>
            <w:shd w:val="clear" w:color="auto" w:fill="auto"/>
            <w:vAlign w:val="bottom"/>
          </w:tcPr>
          <w:p w14:paraId="67538316" w14:textId="77777777" w:rsidR="001B77DD" w:rsidRDefault="001B77DD">
            <w:pPr>
              <w:rPr>
                <w:rFonts w:ascii="宋体"/>
                <w:vanish/>
              </w:rPr>
            </w:pPr>
          </w:p>
        </w:tc>
      </w:tr>
      <w:tr w:rsidR="001B77DD" w14:paraId="6753831B" w14:textId="77777777">
        <w:tc>
          <w:tcPr>
            <w:tcW w:w="0" w:type="auto"/>
            <w:gridSpan w:val="3"/>
            <w:shd w:val="clear" w:color="auto" w:fill="auto"/>
            <w:tcMar>
              <w:top w:w="40" w:type="dxa"/>
              <w:left w:w="20" w:type="dxa"/>
              <w:bottom w:w="40" w:type="dxa"/>
              <w:right w:w="20" w:type="dxa"/>
            </w:tcMar>
          </w:tcPr>
          <w:p w14:paraId="67538318" w14:textId="77777777" w:rsidR="001B77DD" w:rsidRDefault="00BF0A28">
            <w:pPr>
              <w:textAlignment w:val="top"/>
            </w:pPr>
            <w:r>
              <w:rPr>
                <w:rFonts w:ascii="Arial" w:eastAsia="宋体" w:hAnsi="Arial" w:cs="Arial"/>
                <w:color w:val="0068B5"/>
                <w:sz w:val="18"/>
                <w:szCs w:val="18"/>
              </w:rPr>
              <w:t>CAGR</w:t>
            </w:r>
          </w:p>
        </w:tc>
        <w:tc>
          <w:tcPr>
            <w:tcW w:w="0" w:type="auto"/>
            <w:gridSpan w:val="3"/>
            <w:shd w:val="clear" w:color="auto" w:fill="auto"/>
            <w:tcMar>
              <w:top w:w="0" w:type="dxa"/>
              <w:left w:w="20" w:type="dxa"/>
              <w:bottom w:w="0" w:type="dxa"/>
              <w:right w:w="20" w:type="dxa"/>
            </w:tcMar>
            <w:vAlign w:val="bottom"/>
          </w:tcPr>
          <w:p w14:paraId="6753831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1A" w14:textId="77777777" w:rsidR="001B77DD" w:rsidRDefault="00BF0A28">
            <w:pPr>
              <w:textAlignment w:val="top"/>
            </w:pPr>
            <w:r>
              <w:rPr>
                <w:rFonts w:ascii="Arial" w:eastAsia="宋体" w:hAnsi="Arial" w:cs="Arial"/>
                <w:color w:val="262626"/>
                <w:sz w:val="18"/>
                <w:szCs w:val="18"/>
              </w:rPr>
              <w:t>Compound annual growth rate</w:t>
            </w:r>
          </w:p>
        </w:tc>
      </w:tr>
      <w:tr w:rsidR="001B77DD" w14:paraId="6753831F" w14:textId="77777777">
        <w:tc>
          <w:tcPr>
            <w:tcW w:w="0" w:type="auto"/>
            <w:gridSpan w:val="3"/>
            <w:shd w:val="clear" w:color="auto" w:fill="auto"/>
            <w:tcMar>
              <w:top w:w="40" w:type="dxa"/>
              <w:left w:w="20" w:type="dxa"/>
              <w:bottom w:w="40" w:type="dxa"/>
              <w:right w:w="20" w:type="dxa"/>
            </w:tcMar>
          </w:tcPr>
          <w:p w14:paraId="6753831C" w14:textId="77777777" w:rsidR="001B77DD" w:rsidRDefault="00BF0A28">
            <w:pPr>
              <w:textAlignment w:val="top"/>
            </w:pPr>
            <w:r>
              <w:rPr>
                <w:rFonts w:ascii="Arial" w:eastAsia="宋体" w:hAnsi="Arial" w:cs="Arial"/>
                <w:color w:val="0068B5"/>
                <w:sz w:val="18"/>
                <w:szCs w:val="18"/>
              </w:rPr>
              <w:t>CCG</w:t>
            </w:r>
          </w:p>
        </w:tc>
        <w:tc>
          <w:tcPr>
            <w:tcW w:w="0" w:type="auto"/>
            <w:gridSpan w:val="3"/>
            <w:shd w:val="clear" w:color="auto" w:fill="auto"/>
            <w:tcMar>
              <w:top w:w="0" w:type="dxa"/>
              <w:left w:w="20" w:type="dxa"/>
              <w:bottom w:w="0" w:type="dxa"/>
              <w:right w:w="20" w:type="dxa"/>
            </w:tcMar>
            <w:vAlign w:val="bottom"/>
          </w:tcPr>
          <w:p w14:paraId="6753831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1E" w14:textId="77777777" w:rsidR="001B77DD" w:rsidRDefault="00BF0A28">
            <w:pPr>
              <w:textAlignment w:val="top"/>
            </w:pPr>
            <w:r>
              <w:rPr>
                <w:rFonts w:ascii="Arial" w:eastAsia="宋体" w:hAnsi="Arial" w:cs="Arial"/>
                <w:color w:val="262626"/>
                <w:sz w:val="18"/>
                <w:szCs w:val="18"/>
              </w:rPr>
              <w:t>Client Computing Group operating segment</w:t>
            </w:r>
          </w:p>
        </w:tc>
      </w:tr>
      <w:tr w:rsidR="001B77DD" w14:paraId="67538323" w14:textId="77777777">
        <w:tc>
          <w:tcPr>
            <w:tcW w:w="0" w:type="auto"/>
            <w:gridSpan w:val="3"/>
            <w:shd w:val="clear" w:color="auto" w:fill="auto"/>
            <w:tcMar>
              <w:top w:w="40" w:type="dxa"/>
              <w:left w:w="20" w:type="dxa"/>
              <w:bottom w:w="40" w:type="dxa"/>
              <w:right w:w="20" w:type="dxa"/>
            </w:tcMar>
          </w:tcPr>
          <w:p w14:paraId="67538320" w14:textId="77777777" w:rsidR="001B77DD" w:rsidRDefault="00BF0A28">
            <w:pPr>
              <w:textAlignment w:val="top"/>
            </w:pPr>
            <w:r>
              <w:rPr>
                <w:rFonts w:ascii="Arial" w:eastAsia="宋体" w:hAnsi="Arial" w:cs="Arial"/>
                <w:color w:val="0068B5"/>
                <w:sz w:val="18"/>
                <w:szCs w:val="18"/>
              </w:rPr>
              <w:t>CDP</w:t>
            </w:r>
          </w:p>
        </w:tc>
        <w:tc>
          <w:tcPr>
            <w:tcW w:w="0" w:type="auto"/>
            <w:gridSpan w:val="3"/>
            <w:shd w:val="clear" w:color="auto" w:fill="auto"/>
            <w:tcMar>
              <w:top w:w="0" w:type="dxa"/>
              <w:left w:w="20" w:type="dxa"/>
              <w:bottom w:w="0" w:type="dxa"/>
              <w:right w:w="20" w:type="dxa"/>
            </w:tcMar>
            <w:vAlign w:val="bottom"/>
          </w:tcPr>
          <w:p w14:paraId="6753832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22" w14:textId="77777777" w:rsidR="001B77DD" w:rsidRDefault="00BF0A28">
            <w:pPr>
              <w:textAlignment w:val="top"/>
            </w:pPr>
            <w:r>
              <w:rPr>
                <w:rFonts w:ascii="Arial" w:eastAsia="宋体" w:hAnsi="Arial" w:cs="Arial"/>
                <w:color w:val="262626"/>
                <w:sz w:val="18"/>
                <w:szCs w:val="18"/>
              </w:rPr>
              <w:t xml:space="preserve">A nonprofit organization that runs a global disclosure system for </w:t>
            </w:r>
            <w:r>
              <w:rPr>
                <w:rFonts w:ascii="Arial" w:eastAsia="宋体" w:hAnsi="Arial" w:cs="Arial"/>
                <w:color w:val="262626"/>
                <w:sz w:val="18"/>
                <w:szCs w:val="18"/>
              </w:rPr>
              <w:t>investors, companies, cities, states, and regions to manage their environmental impacts</w:t>
            </w:r>
          </w:p>
        </w:tc>
      </w:tr>
      <w:tr w:rsidR="001B77DD" w14:paraId="67538327" w14:textId="77777777">
        <w:trPr>
          <w:hidden/>
        </w:trPr>
        <w:tc>
          <w:tcPr>
            <w:tcW w:w="0" w:type="auto"/>
            <w:gridSpan w:val="3"/>
            <w:shd w:val="clear" w:color="auto" w:fill="auto"/>
            <w:vAlign w:val="bottom"/>
          </w:tcPr>
          <w:p w14:paraId="67538324" w14:textId="77777777" w:rsidR="001B77DD" w:rsidRDefault="001B77DD">
            <w:pPr>
              <w:rPr>
                <w:rFonts w:ascii="宋体"/>
                <w:vanish/>
              </w:rPr>
            </w:pPr>
          </w:p>
        </w:tc>
        <w:tc>
          <w:tcPr>
            <w:tcW w:w="0" w:type="auto"/>
            <w:gridSpan w:val="3"/>
            <w:shd w:val="clear" w:color="auto" w:fill="auto"/>
            <w:vAlign w:val="bottom"/>
          </w:tcPr>
          <w:p w14:paraId="67538325" w14:textId="77777777" w:rsidR="001B77DD" w:rsidRDefault="001B77DD">
            <w:pPr>
              <w:rPr>
                <w:rFonts w:ascii="宋体"/>
                <w:vanish/>
              </w:rPr>
            </w:pPr>
          </w:p>
        </w:tc>
        <w:tc>
          <w:tcPr>
            <w:tcW w:w="0" w:type="auto"/>
            <w:gridSpan w:val="3"/>
            <w:shd w:val="clear" w:color="auto" w:fill="auto"/>
            <w:vAlign w:val="bottom"/>
          </w:tcPr>
          <w:p w14:paraId="67538326" w14:textId="77777777" w:rsidR="001B77DD" w:rsidRDefault="001B77DD">
            <w:pPr>
              <w:rPr>
                <w:rFonts w:ascii="宋体"/>
                <w:vanish/>
              </w:rPr>
            </w:pPr>
          </w:p>
        </w:tc>
      </w:tr>
      <w:tr w:rsidR="001B77DD" w14:paraId="6753832B" w14:textId="77777777">
        <w:tc>
          <w:tcPr>
            <w:tcW w:w="0" w:type="auto"/>
            <w:gridSpan w:val="3"/>
            <w:shd w:val="clear" w:color="auto" w:fill="auto"/>
            <w:tcMar>
              <w:top w:w="40" w:type="dxa"/>
              <w:left w:w="20" w:type="dxa"/>
              <w:bottom w:w="40" w:type="dxa"/>
              <w:right w:w="20" w:type="dxa"/>
            </w:tcMar>
          </w:tcPr>
          <w:p w14:paraId="67538328" w14:textId="77777777" w:rsidR="001B77DD" w:rsidRDefault="00BF0A28">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vAlign w:val="bottom"/>
          </w:tcPr>
          <w:p w14:paraId="6753832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2A" w14:textId="77777777" w:rsidR="001B77DD" w:rsidRDefault="00BF0A28">
            <w:pPr>
              <w:textAlignment w:val="top"/>
            </w:pPr>
            <w:r>
              <w:rPr>
                <w:rFonts w:ascii="Arial" w:eastAsia="宋体" w:hAnsi="Arial" w:cs="Arial"/>
                <w:color w:val="262626"/>
                <w:sz w:val="18"/>
                <w:szCs w:val="18"/>
              </w:rPr>
              <w:t>Chief operating decision maker</w:t>
            </w:r>
          </w:p>
        </w:tc>
      </w:tr>
      <w:tr w:rsidR="001B77DD" w14:paraId="6753832F" w14:textId="77777777">
        <w:trPr>
          <w:hidden/>
        </w:trPr>
        <w:tc>
          <w:tcPr>
            <w:tcW w:w="0" w:type="auto"/>
            <w:gridSpan w:val="3"/>
            <w:shd w:val="clear" w:color="auto" w:fill="auto"/>
            <w:vAlign w:val="bottom"/>
          </w:tcPr>
          <w:p w14:paraId="6753832C" w14:textId="77777777" w:rsidR="001B77DD" w:rsidRDefault="001B77DD">
            <w:pPr>
              <w:rPr>
                <w:rFonts w:ascii="宋体"/>
                <w:vanish/>
              </w:rPr>
            </w:pPr>
          </w:p>
        </w:tc>
        <w:tc>
          <w:tcPr>
            <w:tcW w:w="0" w:type="auto"/>
            <w:gridSpan w:val="3"/>
            <w:shd w:val="clear" w:color="auto" w:fill="auto"/>
            <w:vAlign w:val="bottom"/>
          </w:tcPr>
          <w:p w14:paraId="6753832D" w14:textId="77777777" w:rsidR="001B77DD" w:rsidRDefault="001B77DD">
            <w:pPr>
              <w:rPr>
                <w:rFonts w:ascii="宋体"/>
                <w:vanish/>
              </w:rPr>
            </w:pPr>
          </w:p>
        </w:tc>
        <w:tc>
          <w:tcPr>
            <w:tcW w:w="0" w:type="auto"/>
            <w:gridSpan w:val="3"/>
            <w:shd w:val="clear" w:color="auto" w:fill="auto"/>
            <w:vAlign w:val="bottom"/>
          </w:tcPr>
          <w:p w14:paraId="6753832E" w14:textId="77777777" w:rsidR="001B77DD" w:rsidRDefault="001B77DD">
            <w:pPr>
              <w:rPr>
                <w:rFonts w:ascii="宋体"/>
                <w:vanish/>
              </w:rPr>
            </w:pPr>
          </w:p>
        </w:tc>
      </w:tr>
      <w:tr w:rsidR="001B77DD" w14:paraId="67538333" w14:textId="77777777">
        <w:trPr>
          <w:hidden/>
        </w:trPr>
        <w:tc>
          <w:tcPr>
            <w:tcW w:w="0" w:type="auto"/>
            <w:gridSpan w:val="3"/>
            <w:shd w:val="clear" w:color="auto" w:fill="auto"/>
            <w:vAlign w:val="bottom"/>
          </w:tcPr>
          <w:p w14:paraId="67538330" w14:textId="77777777" w:rsidR="001B77DD" w:rsidRDefault="001B77DD">
            <w:pPr>
              <w:rPr>
                <w:rFonts w:ascii="宋体"/>
                <w:vanish/>
              </w:rPr>
            </w:pPr>
          </w:p>
        </w:tc>
        <w:tc>
          <w:tcPr>
            <w:tcW w:w="0" w:type="auto"/>
            <w:gridSpan w:val="3"/>
            <w:shd w:val="clear" w:color="auto" w:fill="auto"/>
            <w:vAlign w:val="bottom"/>
          </w:tcPr>
          <w:p w14:paraId="67538331" w14:textId="77777777" w:rsidR="001B77DD" w:rsidRDefault="001B77DD">
            <w:pPr>
              <w:rPr>
                <w:rFonts w:ascii="宋体"/>
                <w:vanish/>
              </w:rPr>
            </w:pPr>
          </w:p>
        </w:tc>
        <w:tc>
          <w:tcPr>
            <w:tcW w:w="0" w:type="auto"/>
            <w:gridSpan w:val="3"/>
            <w:shd w:val="clear" w:color="auto" w:fill="auto"/>
            <w:vAlign w:val="bottom"/>
          </w:tcPr>
          <w:p w14:paraId="67538332" w14:textId="77777777" w:rsidR="001B77DD" w:rsidRDefault="001B77DD">
            <w:pPr>
              <w:rPr>
                <w:rFonts w:ascii="宋体"/>
                <w:vanish/>
              </w:rPr>
            </w:pPr>
          </w:p>
        </w:tc>
      </w:tr>
      <w:tr w:rsidR="001B77DD" w14:paraId="67538337" w14:textId="77777777">
        <w:tc>
          <w:tcPr>
            <w:tcW w:w="0" w:type="auto"/>
            <w:gridSpan w:val="3"/>
            <w:shd w:val="clear" w:color="auto" w:fill="auto"/>
            <w:tcMar>
              <w:top w:w="40" w:type="dxa"/>
              <w:left w:w="20" w:type="dxa"/>
              <w:bottom w:w="40" w:type="dxa"/>
              <w:right w:w="20" w:type="dxa"/>
            </w:tcMar>
          </w:tcPr>
          <w:p w14:paraId="67538334" w14:textId="77777777" w:rsidR="001B77DD" w:rsidRDefault="00BF0A28">
            <w:pPr>
              <w:textAlignment w:val="top"/>
            </w:pPr>
            <w:r>
              <w:rPr>
                <w:rFonts w:ascii="Arial" w:eastAsia="宋体" w:hAnsi="Arial" w:cs="Arial"/>
                <w:color w:val="0068B5"/>
                <w:sz w:val="18"/>
                <w:szCs w:val="18"/>
              </w:rPr>
              <w:t>COVID-19</w:t>
            </w:r>
          </w:p>
        </w:tc>
        <w:tc>
          <w:tcPr>
            <w:tcW w:w="0" w:type="auto"/>
            <w:gridSpan w:val="3"/>
            <w:shd w:val="clear" w:color="auto" w:fill="auto"/>
            <w:tcMar>
              <w:top w:w="0" w:type="dxa"/>
              <w:left w:w="20" w:type="dxa"/>
              <w:bottom w:w="0" w:type="dxa"/>
              <w:right w:w="20" w:type="dxa"/>
            </w:tcMar>
            <w:vAlign w:val="bottom"/>
          </w:tcPr>
          <w:p w14:paraId="6753833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36" w14:textId="77777777" w:rsidR="001B77DD" w:rsidRDefault="00BF0A28">
            <w:pPr>
              <w:textAlignment w:val="top"/>
            </w:pPr>
            <w:r>
              <w:rPr>
                <w:rFonts w:ascii="Arial" w:eastAsia="宋体" w:hAnsi="Arial" w:cs="Arial"/>
                <w:color w:val="262626"/>
                <w:sz w:val="18"/>
                <w:szCs w:val="18"/>
              </w:rPr>
              <w:t xml:space="preserve">The infectious disease caused by the most recently discovered coronavirus (aka SARS-CoV-2), which was </w:t>
            </w:r>
            <w:r>
              <w:rPr>
                <w:rFonts w:ascii="Arial" w:eastAsia="宋体" w:hAnsi="Arial" w:cs="Arial"/>
                <w:color w:val="262626"/>
                <w:sz w:val="18"/>
                <w:szCs w:val="18"/>
              </w:rPr>
              <w:t>declared a global pandemic by the World Health Organization</w:t>
            </w:r>
          </w:p>
        </w:tc>
      </w:tr>
      <w:tr w:rsidR="001B77DD" w14:paraId="6753833B" w14:textId="77777777">
        <w:tc>
          <w:tcPr>
            <w:tcW w:w="0" w:type="auto"/>
            <w:gridSpan w:val="3"/>
            <w:shd w:val="clear" w:color="auto" w:fill="auto"/>
            <w:tcMar>
              <w:top w:w="40" w:type="dxa"/>
              <w:left w:w="20" w:type="dxa"/>
              <w:bottom w:w="40" w:type="dxa"/>
              <w:right w:w="20" w:type="dxa"/>
            </w:tcMar>
          </w:tcPr>
          <w:p w14:paraId="67538338" w14:textId="77777777" w:rsidR="001B77DD" w:rsidRDefault="00BF0A28">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vAlign w:val="bottom"/>
          </w:tcPr>
          <w:p w14:paraId="6753833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3A" w14:textId="77777777" w:rsidR="001B77DD" w:rsidRDefault="00BF0A28">
            <w:pPr>
              <w:textAlignment w:val="top"/>
            </w:pPr>
            <w:r>
              <w:rPr>
                <w:rFonts w:ascii="Arial" w:eastAsia="宋体" w:hAnsi="Arial" w:cs="Arial"/>
                <w:color w:val="262626"/>
                <w:sz w:val="18"/>
                <w:szCs w:val="18"/>
              </w:rPr>
              <w:t>Processor or central processing unit</w:t>
            </w:r>
          </w:p>
        </w:tc>
      </w:tr>
      <w:tr w:rsidR="001B77DD" w14:paraId="6753833F" w14:textId="77777777">
        <w:trPr>
          <w:hidden/>
        </w:trPr>
        <w:tc>
          <w:tcPr>
            <w:tcW w:w="0" w:type="auto"/>
            <w:gridSpan w:val="3"/>
            <w:shd w:val="clear" w:color="auto" w:fill="auto"/>
            <w:vAlign w:val="bottom"/>
          </w:tcPr>
          <w:p w14:paraId="6753833C" w14:textId="77777777" w:rsidR="001B77DD" w:rsidRDefault="001B77DD">
            <w:pPr>
              <w:rPr>
                <w:rFonts w:ascii="宋体"/>
                <w:vanish/>
              </w:rPr>
            </w:pPr>
          </w:p>
        </w:tc>
        <w:tc>
          <w:tcPr>
            <w:tcW w:w="0" w:type="auto"/>
            <w:gridSpan w:val="3"/>
            <w:shd w:val="clear" w:color="auto" w:fill="auto"/>
            <w:vAlign w:val="bottom"/>
          </w:tcPr>
          <w:p w14:paraId="6753833D" w14:textId="77777777" w:rsidR="001B77DD" w:rsidRDefault="001B77DD">
            <w:pPr>
              <w:rPr>
                <w:rFonts w:ascii="宋体"/>
                <w:vanish/>
              </w:rPr>
            </w:pPr>
          </w:p>
        </w:tc>
        <w:tc>
          <w:tcPr>
            <w:tcW w:w="0" w:type="auto"/>
            <w:gridSpan w:val="3"/>
            <w:shd w:val="clear" w:color="auto" w:fill="auto"/>
            <w:vAlign w:val="bottom"/>
          </w:tcPr>
          <w:p w14:paraId="6753833E" w14:textId="77777777" w:rsidR="001B77DD" w:rsidRDefault="001B77DD">
            <w:pPr>
              <w:rPr>
                <w:rFonts w:ascii="宋体"/>
                <w:vanish/>
              </w:rPr>
            </w:pPr>
          </w:p>
        </w:tc>
      </w:tr>
      <w:tr w:rsidR="001B77DD" w14:paraId="67538343" w14:textId="77777777">
        <w:trPr>
          <w:hidden/>
        </w:trPr>
        <w:tc>
          <w:tcPr>
            <w:tcW w:w="0" w:type="auto"/>
            <w:gridSpan w:val="3"/>
            <w:shd w:val="clear" w:color="auto" w:fill="auto"/>
            <w:vAlign w:val="bottom"/>
          </w:tcPr>
          <w:p w14:paraId="67538340" w14:textId="77777777" w:rsidR="001B77DD" w:rsidRDefault="001B77DD">
            <w:pPr>
              <w:rPr>
                <w:rFonts w:ascii="宋体"/>
                <w:vanish/>
              </w:rPr>
            </w:pPr>
          </w:p>
        </w:tc>
        <w:tc>
          <w:tcPr>
            <w:tcW w:w="0" w:type="auto"/>
            <w:gridSpan w:val="3"/>
            <w:shd w:val="clear" w:color="auto" w:fill="auto"/>
            <w:vAlign w:val="bottom"/>
          </w:tcPr>
          <w:p w14:paraId="67538341" w14:textId="77777777" w:rsidR="001B77DD" w:rsidRDefault="001B77DD">
            <w:pPr>
              <w:rPr>
                <w:rFonts w:ascii="宋体"/>
                <w:vanish/>
              </w:rPr>
            </w:pPr>
          </w:p>
        </w:tc>
        <w:tc>
          <w:tcPr>
            <w:tcW w:w="0" w:type="auto"/>
            <w:gridSpan w:val="3"/>
            <w:shd w:val="clear" w:color="auto" w:fill="auto"/>
            <w:vAlign w:val="bottom"/>
          </w:tcPr>
          <w:p w14:paraId="67538342" w14:textId="77777777" w:rsidR="001B77DD" w:rsidRDefault="001B77DD">
            <w:pPr>
              <w:rPr>
                <w:rFonts w:ascii="宋体"/>
                <w:vanish/>
              </w:rPr>
            </w:pPr>
          </w:p>
        </w:tc>
      </w:tr>
      <w:tr w:rsidR="001B77DD" w14:paraId="67538347" w14:textId="77777777">
        <w:trPr>
          <w:hidden/>
        </w:trPr>
        <w:tc>
          <w:tcPr>
            <w:tcW w:w="0" w:type="auto"/>
            <w:gridSpan w:val="3"/>
            <w:shd w:val="clear" w:color="auto" w:fill="auto"/>
            <w:vAlign w:val="bottom"/>
          </w:tcPr>
          <w:p w14:paraId="67538344" w14:textId="77777777" w:rsidR="001B77DD" w:rsidRDefault="001B77DD">
            <w:pPr>
              <w:rPr>
                <w:rFonts w:ascii="宋体"/>
                <w:vanish/>
              </w:rPr>
            </w:pPr>
          </w:p>
        </w:tc>
        <w:tc>
          <w:tcPr>
            <w:tcW w:w="0" w:type="auto"/>
            <w:gridSpan w:val="3"/>
            <w:shd w:val="clear" w:color="auto" w:fill="auto"/>
            <w:vAlign w:val="bottom"/>
          </w:tcPr>
          <w:p w14:paraId="67538345" w14:textId="77777777" w:rsidR="001B77DD" w:rsidRDefault="001B77DD">
            <w:pPr>
              <w:rPr>
                <w:rFonts w:ascii="宋体"/>
                <w:vanish/>
              </w:rPr>
            </w:pPr>
          </w:p>
        </w:tc>
        <w:tc>
          <w:tcPr>
            <w:tcW w:w="0" w:type="auto"/>
            <w:gridSpan w:val="3"/>
            <w:shd w:val="clear" w:color="auto" w:fill="auto"/>
            <w:vAlign w:val="bottom"/>
          </w:tcPr>
          <w:p w14:paraId="67538346" w14:textId="77777777" w:rsidR="001B77DD" w:rsidRDefault="001B77DD">
            <w:pPr>
              <w:rPr>
                <w:rFonts w:ascii="宋体"/>
                <w:vanish/>
              </w:rPr>
            </w:pPr>
          </w:p>
        </w:tc>
      </w:tr>
      <w:tr w:rsidR="001B77DD" w14:paraId="6753834B" w14:textId="77777777">
        <w:tc>
          <w:tcPr>
            <w:tcW w:w="0" w:type="auto"/>
            <w:gridSpan w:val="3"/>
            <w:shd w:val="clear" w:color="auto" w:fill="auto"/>
            <w:tcMar>
              <w:top w:w="40" w:type="dxa"/>
              <w:left w:w="20" w:type="dxa"/>
              <w:bottom w:w="40" w:type="dxa"/>
              <w:right w:w="20" w:type="dxa"/>
            </w:tcMar>
          </w:tcPr>
          <w:p w14:paraId="67538348" w14:textId="77777777" w:rsidR="001B77DD" w:rsidRDefault="00BF0A28">
            <w:pPr>
              <w:textAlignment w:val="top"/>
            </w:pPr>
            <w:r>
              <w:rPr>
                <w:rFonts w:ascii="Arial" w:eastAsia="宋体" w:hAnsi="Arial" w:cs="Arial"/>
                <w:color w:val="0068B5"/>
                <w:sz w:val="18"/>
                <w:szCs w:val="18"/>
              </w:rPr>
              <w:t>CXL</w:t>
            </w:r>
          </w:p>
        </w:tc>
        <w:tc>
          <w:tcPr>
            <w:tcW w:w="0" w:type="auto"/>
            <w:gridSpan w:val="3"/>
            <w:shd w:val="clear" w:color="auto" w:fill="auto"/>
            <w:tcMar>
              <w:top w:w="0" w:type="dxa"/>
              <w:left w:w="20" w:type="dxa"/>
              <w:bottom w:w="0" w:type="dxa"/>
              <w:right w:w="20" w:type="dxa"/>
            </w:tcMar>
            <w:vAlign w:val="bottom"/>
          </w:tcPr>
          <w:p w14:paraId="6753834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4A" w14:textId="77777777" w:rsidR="001B77DD" w:rsidRDefault="00BF0A28">
            <w:pPr>
              <w:textAlignment w:val="top"/>
            </w:pPr>
            <w:r>
              <w:rPr>
                <w:rFonts w:ascii="Arial" w:eastAsia="宋体" w:hAnsi="Arial" w:cs="Arial"/>
                <w:color w:val="262626"/>
                <w:sz w:val="18"/>
                <w:szCs w:val="18"/>
              </w:rPr>
              <w:t>Compute Express Link; an open standard for high-speed CPU-to-device and CPU-to-memory connections</w:t>
            </w:r>
          </w:p>
        </w:tc>
      </w:tr>
      <w:tr w:rsidR="001B77DD" w14:paraId="6753834F" w14:textId="77777777">
        <w:tc>
          <w:tcPr>
            <w:tcW w:w="0" w:type="auto"/>
            <w:gridSpan w:val="3"/>
            <w:shd w:val="clear" w:color="auto" w:fill="auto"/>
            <w:tcMar>
              <w:top w:w="40" w:type="dxa"/>
              <w:left w:w="20" w:type="dxa"/>
              <w:bottom w:w="40" w:type="dxa"/>
              <w:right w:w="20" w:type="dxa"/>
            </w:tcMar>
          </w:tcPr>
          <w:p w14:paraId="6753834C" w14:textId="77777777" w:rsidR="001B77DD" w:rsidRDefault="00BF0A28">
            <w:pPr>
              <w:textAlignment w:val="top"/>
            </w:pPr>
            <w:r>
              <w:rPr>
                <w:rFonts w:ascii="Arial" w:eastAsia="宋体" w:hAnsi="Arial" w:cs="Arial"/>
                <w:color w:val="0068B5"/>
                <w:sz w:val="18"/>
                <w:szCs w:val="18"/>
              </w:rPr>
              <w:t>DCG</w:t>
            </w:r>
          </w:p>
        </w:tc>
        <w:tc>
          <w:tcPr>
            <w:tcW w:w="0" w:type="auto"/>
            <w:gridSpan w:val="3"/>
            <w:shd w:val="clear" w:color="auto" w:fill="auto"/>
            <w:tcMar>
              <w:top w:w="0" w:type="dxa"/>
              <w:left w:w="20" w:type="dxa"/>
              <w:bottom w:w="0" w:type="dxa"/>
              <w:right w:w="20" w:type="dxa"/>
            </w:tcMar>
            <w:vAlign w:val="bottom"/>
          </w:tcPr>
          <w:p w14:paraId="6753834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4E" w14:textId="77777777" w:rsidR="001B77DD" w:rsidRDefault="00BF0A28">
            <w:pPr>
              <w:textAlignment w:val="top"/>
            </w:pPr>
            <w:r>
              <w:rPr>
                <w:rFonts w:ascii="Arial" w:eastAsia="宋体" w:hAnsi="Arial" w:cs="Arial"/>
                <w:color w:val="262626"/>
                <w:sz w:val="18"/>
                <w:szCs w:val="18"/>
              </w:rPr>
              <w:t xml:space="preserve">Data Center Group </w:t>
            </w:r>
            <w:r>
              <w:rPr>
                <w:rFonts w:ascii="Arial" w:eastAsia="宋体" w:hAnsi="Arial" w:cs="Arial"/>
                <w:color w:val="262626"/>
                <w:sz w:val="18"/>
                <w:szCs w:val="18"/>
              </w:rPr>
              <w:t>operating segment</w:t>
            </w:r>
          </w:p>
        </w:tc>
      </w:tr>
      <w:tr w:rsidR="001B77DD" w14:paraId="67538353" w14:textId="77777777">
        <w:tc>
          <w:tcPr>
            <w:tcW w:w="0" w:type="auto"/>
            <w:gridSpan w:val="3"/>
            <w:shd w:val="clear" w:color="auto" w:fill="auto"/>
            <w:tcMar>
              <w:top w:w="40" w:type="dxa"/>
              <w:left w:w="20" w:type="dxa"/>
              <w:bottom w:w="40" w:type="dxa"/>
              <w:right w:w="20" w:type="dxa"/>
            </w:tcMar>
          </w:tcPr>
          <w:p w14:paraId="67538350" w14:textId="77777777" w:rsidR="001B77DD" w:rsidRDefault="00BF0A28">
            <w:pPr>
              <w:textAlignment w:val="top"/>
            </w:pPr>
            <w:r>
              <w:rPr>
                <w:rFonts w:ascii="Arial" w:eastAsia="宋体" w:hAnsi="Arial" w:cs="Arial"/>
                <w:color w:val="0068B5"/>
                <w:sz w:val="18"/>
                <w:szCs w:val="18"/>
              </w:rPr>
              <w:t>eASIC</w:t>
            </w:r>
          </w:p>
        </w:tc>
        <w:tc>
          <w:tcPr>
            <w:tcW w:w="0" w:type="auto"/>
            <w:gridSpan w:val="3"/>
            <w:shd w:val="clear" w:color="auto" w:fill="auto"/>
            <w:tcMar>
              <w:top w:w="0" w:type="dxa"/>
              <w:left w:w="20" w:type="dxa"/>
              <w:bottom w:w="0" w:type="dxa"/>
              <w:right w:w="20" w:type="dxa"/>
            </w:tcMar>
            <w:vAlign w:val="bottom"/>
          </w:tcPr>
          <w:p w14:paraId="6753835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52" w14:textId="77777777" w:rsidR="001B77DD" w:rsidRDefault="00BF0A28">
            <w:pPr>
              <w:textAlignment w:val="top"/>
            </w:pPr>
            <w:r>
              <w:rPr>
                <w:rFonts w:ascii="Arial" w:eastAsia="宋体" w:hAnsi="Arial" w:cs="Arial"/>
                <w:color w:val="262626"/>
                <w:sz w:val="18"/>
                <w:szCs w:val="18"/>
              </w:rPr>
              <w:t>An Intel line of structured ASICs that are an intermediary technology between FPGAs and standard-cell ASICs</w:t>
            </w:r>
          </w:p>
        </w:tc>
      </w:tr>
      <w:tr w:rsidR="001B77DD" w14:paraId="67538357" w14:textId="77777777">
        <w:tc>
          <w:tcPr>
            <w:tcW w:w="0" w:type="auto"/>
            <w:gridSpan w:val="3"/>
            <w:shd w:val="clear" w:color="auto" w:fill="auto"/>
            <w:tcMar>
              <w:top w:w="40" w:type="dxa"/>
              <w:left w:w="20" w:type="dxa"/>
              <w:bottom w:w="40" w:type="dxa"/>
              <w:right w:w="20" w:type="dxa"/>
            </w:tcMar>
          </w:tcPr>
          <w:p w14:paraId="67538354" w14:textId="77777777" w:rsidR="001B77DD" w:rsidRDefault="00BF0A28">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vAlign w:val="bottom"/>
          </w:tcPr>
          <w:p w14:paraId="6753835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56" w14:textId="77777777" w:rsidR="001B77DD" w:rsidRDefault="00BF0A28">
            <w:pPr>
              <w:textAlignment w:val="top"/>
            </w:pPr>
            <w:r>
              <w:rPr>
                <w:rFonts w:ascii="Arial" w:eastAsia="宋体" w:hAnsi="Arial" w:cs="Arial"/>
                <w:color w:val="262626"/>
                <w:sz w:val="18"/>
                <w:szCs w:val="18"/>
              </w:rPr>
              <w:t>European Commission</w:t>
            </w:r>
          </w:p>
        </w:tc>
      </w:tr>
      <w:tr w:rsidR="001B77DD" w14:paraId="6753835B" w14:textId="77777777">
        <w:trPr>
          <w:hidden/>
        </w:trPr>
        <w:tc>
          <w:tcPr>
            <w:tcW w:w="0" w:type="auto"/>
            <w:gridSpan w:val="3"/>
            <w:shd w:val="clear" w:color="auto" w:fill="auto"/>
            <w:vAlign w:val="bottom"/>
          </w:tcPr>
          <w:p w14:paraId="67538358" w14:textId="77777777" w:rsidR="001B77DD" w:rsidRDefault="001B77DD">
            <w:pPr>
              <w:rPr>
                <w:rFonts w:ascii="宋体"/>
                <w:vanish/>
              </w:rPr>
            </w:pPr>
          </w:p>
        </w:tc>
        <w:tc>
          <w:tcPr>
            <w:tcW w:w="0" w:type="auto"/>
            <w:gridSpan w:val="3"/>
            <w:shd w:val="clear" w:color="auto" w:fill="auto"/>
            <w:vAlign w:val="bottom"/>
          </w:tcPr>
          <w:p w14:paraId="67538359" w14:textId="77777777" w:rsidR="001B77DD" w:rsidRDefault="001B77DD">
            <w:pPr>
              <w:rPr>
                <w:rFonts w:ascii="宋体"/>
                <w:vanish/>
              </w:rPr>
            </w:pPr>
          </w:p>
        </w:tc>
        <w:tc>
          <w:tcPr>
            <w:tcW w:w="0" w:type="auto"/>
            <w:gridSpan w:val="3"/>
            <w:shd w:val="clear" w:color="auto" w:fill="auto"/>
            <w:vAlign w:val="bottom"/>
          </w:tcPr>
          <w:p w14:paraId="6753835A" w14:textId="77777777" w:rsidR="001B77DD" w:rsidRDefault="001B77DD">
            <w:pPr>
              <w:rPr>
                <w:rFonts w:ascii="宋体"/>
                <w:vanish/>
              </w:rPr>
            </w:pPr>
          </w:p>
        </w:tc>
      </w:tr>
      <w:tr w:rsidR="001B77DD" w14:paraId="6753835F" w14:textId="77777777">
        <w:tc>
          <w:tcPr>
            <w:tcW w:w="0" w:type="auto"/>
            <w:gridSpan w:val="3"/>
            <w:shd w:val="clear" w:color="auto" w:fill="auto"/>
            <w:tcMar>
              <w:top w:w="40" w:type="dxa"/>
              <w:left w:w="20" w:type="dxa"/>
              <w:bottom w:w="40" w:type="dxa"/>
              <w:right w:w="20" w:type="dxa"/>
            </w:tcMar>
          </w:tcPr>
          <w:p w14:paraId="6753835C" w14:textId="77777777" w:rsidR="001B77DD" w:rsidRDefault="00BF0A28">
            <w:pPr>
              <w:textAlignment w:val="top"/>
            </w:pPr>
            <w:r>
              <w:rPr>
                <w:rFonts w:ascii="Arial" w:eastAsia="宋体" w:hAnsi="Arial" w:cs="Arial"/>
                <w:color w:val="0068B5"/>
                <w:sz w:val="18"/>
                <w:szCs w:val="18"/>
              </w:rPr>
              <w:t>Edge computing or intelligent edge</w:t>
            </w:r>
          </w:p>
        </w:tc>
        <w:tc>
          <w:tcPr>
            <w:tcW w:w="0" w:type="auto"/>
            <w:gridSpan w:val="3"/>
            <w:shd w:val="clear" w:color="auto" w:fill="auto"/>
            <w:tcMar>
              <w:top w:w="0" w:type="dxa"/>
              <w:left w:w="20" w:type="dxa"/>
              <w:bottom w:w="0" w:type="dxa"/>
              <w:right w:w="20" w:type="dxa"/>
            </w:tcMar>
            <w:vAlign w:val="bottom"/>
          </w:tcPr>
          <w:p w14:paraId="6753835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5E" w14:textId="77777777" w:rsidR="001B77DD" w:rsidRDefault="00BF0A28">
            <w:pPr>
              <w:textAlignment w:val="top"/>
            </w:pPr>
            <w:r>
              <w:rPr>
                <w:rFonts w:ascii="Arial" w:eastAsia="宋体" w:hAnsi="Arial" w:cs="Arial"/>
                <w:color w:val="262626"/>
                <w:sz w:val="18"/>
                <w:szCs w:val="18"/>
              </w:rPr>
              <w:t xml:space="preserve">Placing resources to move, store, and process data </w:t>
            </w:r>
            <w:r>
              <w:rPr>
                <w:rFonts w:ascii="Arial" w:eastAsia="宋体" w:hAnsi="Arial" w:cs="Arial"/>
                <w:color w:val="262626"/>
                <w:sz w:val="18"/>
                <w:szCs w:val="18"/>
              </w:rPr>
              <w:t>closer to where data is generated and consumed</w:t>
            </w:r>
          </w:p>
        </w:tc>
      </w:tr>
      <w:tr w:rsidR="001B77DD" w14:paraId="67538363" w14:textId="77777777">
        <w:tc>
          <w:tcPr>
            <w:tcW w:w="0" w:type="auto"/>
            <w:gridSpan w:val="3"/>
            <w:shd w:val="clear" w:color="auto" w:fill="auto"/>
            <w:tcMar>
              <w:top w:w="40" w:type="dxa"/>
              <w:left w:w="20" w:type="dxa"/>
              <w:bottom w:w="40" w:type="dxa"/>
              <w:right w:w="20" w:type="dxa"/>
            </w:tcMar>
          </w:tcPr>
          <w:p w14:paraId="67538360" w14:textId="77777777" w:rsidR="001B77DD" w:rsidRDefault="00BF0A28">
            <w:pPr>
              <w:textAlignment w:val="top"/>
            </w:pPr>
            <w:r>
              <w:rPr>
                <w:rFonts w:ascii="Arial" w:eastAsia="宋体" w:hAnsi="Arial" w:cs="Arial"/>
                <w:color w:val="0068B5"/>
                <w:sz w:val="18"/>
                <w:szCs w:val="18"/>
              </w:rPr>
              <w:t>EEO-1</w:t>
            </w:r>
          </w:p>
        </w:tc>
        <w:tc>
          <w:tcPr>
            <w:tcW w:w="0" w:type="auto"/>
            <w:gridSpan w:val="3"/>
            <w:shd w:val="clear" w:color="auto" w:fill="auto"/>
            <w:tcMar>
              <w:top w:w="0" w:type="dxa"/>
              <w:left w:w="20" w:type="dxa"/>
              <w:bottom w:w="0" w:type="dxa"/>
              <w:right w:w="20" w:type="dxa"/>
            </w:tcMar>
            <w:vAlign w:val="bottom"/>
          </w:tcPr>
          <w:p w14:paraId="6753836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62" w14:textId="77777777" w:rsidR="001B77DD" w:rsidRDefault="00BF0A28">
            <w:pPr>
              <w:textAlignment w:val="top"/>
            </w:pPr>
            <w:r>
              <w:rPr>
                <w:rFonts w:ascii="Arial" w:eastAsia="宋体" w:hAnsi="Arial" w:cs="Arial"/>
                <w:color w:val="262626"/>
                <w:sz w:val="18"/>
                <w:szCs w:val="18"/>
              </w:rPr>
              <w:t>EEO-1 Component 1 report; a mandatory annual data collection that requires employers meeting certain criteria to submit demographic workforce data, including data by race/ethnicity, sex and job categor</w:t>
            </w:r>
            <w:r>
              <w:rPr>
                <w:rFonts w:ascii="Arial" w:eastAsia="宋体" w:hAnsi="Arial" w:cs="Arial"/>
                <w:color w:val="262626"/>
                <w:sz w:val="18"/>
                <w:szCs w:val="18"/>
              </w:rPr>
              <w:t xml:space="preserve">ies. </w:t>
            </w:r>
          </w:p>
        </w:tc>
      </w:tr>
      <w:tr w:rsidR="001B77DD" w14:paraId="67538367" w14:textId="77777777">
        <w:tc>
          <w:tcPr>
            <w:tcW w:w="0" w:type="auto"/>
            <w:gridSpan w:val="3"/>
            <w:shd w:val="clear" w:color="auto" w:fill="auto"/>
            <w:tcMar>
              <w:top w:w="40" w:type="dxa"/>
              <w:left w:w="20" w:type="dxa"/>
              <w:bottom w:w="40" w:type="dxa"/>
              <w:right w:w="20" w:type="dxa"/>
            </w:tcMar>
          </w:tcPr>
          <w:p w14:paraId="67538364" w14:textId="77777777" w:rsidR="001B77DD" w:rsidRDefault="00BF0A28">
            <w:pPr>
              <w:textAlignment w:val="top"/>
            </w:pPr>
            <w:r>
              <w:rPr>
                <w:rFonts w:ascii="Arial" w:eastAsia="宋体" w:hAnsi="Arial" w:cs="Arial"/>
                <w:color w:val="0068B5"/>
                <w:sz w:val="18"/>
                <w:szCs w:val="18"/>
              </w:rPr>
              <w:t>EMIB</w:t>
            </w:r>
          </w:p>
        </w:tc>
        <w:tc>
          <w:tcPr>
            <w:tcW w:w="0" w:type="auto"/>
            <w:gridSpan w:val="3"/>
            <w:shd w:val="clear" w:color="auto" w:fill="auto"/>
            <w:tcMar>
              <w:top w:w="0" w:type="dxa"/>
              <w:left w:w="20" w:type="dxa"/>
              <w:bottom w:w="0" w:type="dxa"/>
              <w:right w:w="20" w:type="dxa"/>
            </w:tcMar>
            <w:vAlign w:val="bottom"/>
          </w:tcPr>
          <w:p w14:paraId="6753836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66" w14:textId="77777777" w:rsidR="001B77DD" w:rsidRDefault="00BF0A28">
            <w:pPr>
              <w:textAlignment w:val="top"/>
            </w:pPr>
            <w:r>
              <w:rPr>
                <w:rFonts w:ascii="Arial" w:eastAsia="宋体" w:hAnsi="Arial" w:cs="Arial"/>
                <w:color w:val="262626"/>
                <w:sz w:val="18"/>
                <w:szCs w:val="18"/>
              </w:rPr>
              <w:t>Embedded multi-die interconnect bridge, a form of "2.5D" packaging technology developed by Intel that enables high-density interconnect of heterogeneous chips</w:t>
            </w:r>
          </w:p>
        </w:tc>
      </w:tr>
      <w:tr w:rsidR="001B77DD" w14:paraId="6753836B" w14:textId="77777777">
        <w:trPr>
          <w:hidden/>
        </w:trPr>
        <w:tc>
          <w:tcPr>
            <w:tcW w:w="0" w:type="auto"/>
            <w:gridSpan w:val="3"/>
            <w:shd w:val="clear" w:color="auto" w:fill="auto"/>
            <w:vAlign w:val="bottom"/>
          </w:tcPr>
          <w:p w14:paraId="67538368" w14:textId="77777777" w:rsidR="001B77DD" w:rsidRDefault="001B77DD">
            <w:pPr>
              <w:rPr>
                <w:rFonts w:ascii="宋体"/>
                <w:vanish/>
              </w:rPr>
            </w:pPr>
          </w:p>
        </w:tc>
        <w:tc>
          <w:tcPr>
            <w:tcW w:w="0" w:type="auto"/>
            <w:gridSpan w:val="3"/>
            <w:shd w:val="clear" w:color="auto" w:fill="auto"/>
            <w:vAlign w:val="bottom"/>
          </w:tcPr>
          <w:p w14:paraId="67538369" w14:textId="77777777" w:rsidR="001B77DD" w:rsidRDefault="001B77DD">
            <w:pPr>
              <w:rPr>
                <w:rFonts w:ascii="宋体"/>
                <w:vanish/>
              </w:rPr>
            </w:pPr>
          </w:p>
        </w:tc>
        <w:tc>
          <w:tcPr>
            <w:tcW w:w="0" w:type="auto"/>
            <w:gridSpan w:val="3"/>
            <w:shd w:val="clear" w:color="auto" w:fill="auto"/>
            <w:vAlign w:val="bottom"/>
          </w:tcPr>
          <w:p w14:paraId="6753836A" w14:textId="77777777" w:rsidR="001B77DD" w:rsidRDefault="001B77DD">
            <w:pPr>
              <w:rPr>
                <w:rFonts w:ascii="宋体"/>
                <w:vanish/>
              </w:rPr>
            </w:pPr>
          </w:p>
        </w:tc>
      </w:tr>
      <w:tr w:rsidR="001B77DD" w14:paraId="6753836F" w14:textId="77777777">
        <w:trPr>
          <w:hidden/>
        </w:trPr>
        <w:tc>
          <w:tcPr>
            <w:tcW w:w="0" w:type="auto"/>
            <w:gridSpan w:val="3"/>
            <w:shd w:val="clear" w:color="auto" w:fill="auto"/>
            <w:vAlign w:val="bottom"/>
          </w:tcPr>
          <w:p w14:paraId="6753836C" w14:textId="77777777" w:rsidR="001B77DD" w:rsidRDefault="001B77DD">
            <w:pPr>
              <w:rPr>
                <w:rFonts w:ascii="宋体"/>
                <w:vanish/>
              </w:rPr>
            </w:pPr>
          </w:p>
        </w:tc>
        <w:tc>
          <w:tcPr>
            <w:tcW w:w="0" w:type="auto"/>
            <w:gridSpan w:val="3"/>
            <w:shd w:val="clear" w:color="auto" w:fill="auto"/>
            <w:vAlign w:val="bottom"/>
          </w:tcPr>
          <w:p w14:paraId="6753836D" w14:textId="77777777" w:rsidR="001B77DD" w:rsidRDefault="001B77DD">
            <w:pPr>
              <w:rPr>
                <w:rFonts w:ascii="宋体"/>
                <w:vanish/>
              </w:rPr>
            </w:pPr>
          </w:p>
        </w:tc>
        <w:tc>
          <w:tcPr>
            <w:tcW w:w="0" w:type="auto"/>
            <w:gridSpan w:val="3"/>
            <w:shd w:val="clear" w:color="auto" w:fill="auto"/>
            <w:vAlign w:val="bottom"/>
          </w:tcPr>
          <w:p w14:paraId="6753836E" w14:textId="77777777" w:rsidR="001B77DD" w:rsidRDefault="001B77DD">
            <w:pPr>
              <w:rPr>
                <w:rFonts w:ascii="宋体"/>
                <w:vanish/>
              </w:rPr>
            </w:pPr>
          </w:p>
        </w:tc>
      </w:tr>
      <w:tr w:rsidR="001B77DD" w14:paraId="67538373" w14:textId="77777777">
        <w:tc>
          <w:tcPr>
            <w:tcW w:w="0" w:type="auto"/>
            <w:gridSpan w:val="3"/>
            <w:shd w:val="clear" w:color="auto" w:fill="auto"/>
            <w:tcMar>
              <w:top w:w="40" w:type="dxa"/>
              <w:left w:w="20" w:type="dxa"/>
              <w:bottom w:w="40" w:type="dxa"/>
              <w:right w:w="20" w:type="dxa"/>
            </w:tcMar>
          </w:tcPr>
          <w:p w14:paraId="67538370" w14:textId="77777777" w:rsidR="001B77DD" w:rsidRDefault="00BF0A28">
            <w:pPr>
              <w:textAlignment w:val="top"/>
            </w:pPr>
            <w:r>
              <w:rPr>
                <w:rFonts w:ascii="Arial" w:eastAsia="宋体" w:hAnsi="Arial" w:cs="Arial"/>
                <w:color w:val="0068B5"/>
                <w:sz w:val="18"/>
                <w:szCs w:val="18"/>
              </w:rPr>
              <w:t>ERISA</w:t>
            </w:r>
          </w:p>
        </w:tc>
        <w:tc>
          <w:tcPr>
            <w:tcW w:w="0" w:type="auto"/>
            <w:gridSpan w:val="3"/>
            <w:shd w:val="clear" w:color="auto" w:fill="auto"/>
            <w:tcMar>
              <w:top w:w="0" w:type="dxa"/>
              <w:left w:w="20" w:type="dxa"/>
              <w:bottom w:w="0" w:type="dxa"/>
              <w:right w:w="20" w:type="dxa"/>
            </w:tcMar>
            <w:vAlign w:val="bottom"/>
          </w:tcPr>
          <w:p w14:paraId="6753837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372" w14:textId="77777777" w:rsidR="001B77DD" w:rsidRDefault="00BF0A28">
            <w:pPr>
              <w:textAlignment w:val="bottom"/>
            </w:pPr>
            <w:r>
              <w:rPr>
                <w:rFonts w:ascii="Arial" w:eastAsia="宋体" w:hAnsi="Arial" w:cs="Arial"/>
                <w:color w:val="262626"/>
                <w:sz w:val="18"/>
                <w:szCs w:val="18"/>
              </w:rPr>
              <w:t>Employee Retirement Income Security Act</w:t>
            </w:r>
          </w:p>
        </w:tc>
      </w:tr>
      <w:tr w:rsidR="001B77DD" w14:paraId="67538377" w14:textId="77777777">
        <w:tc>
          <w:tcPr>
            <w:tcW w:w="0" w:type="auto"/>
            <w:gridSpan w:val="3"/>
            <w:shd w:val="clear" w:color="auto" w:fill="auto"/>
            <w:tcMar>
              <w:top w:w="40" w:type="dxa"/>
              <w:left w:w="20" w:type="dxa"/>
              <w:bottom w:w="40" w:type="dxa"/>
              <w:right w:w="20" w:type="dxa"/>
            </w:tcMar>
          </w:tcPr>
          <w:p w14:paraId="67538374" w14:textId="77777777" w:rsidR="001B77DD" w:rsidRDefault="00BF0A28">
            <w:pPr>
              <w:textAlignment w:val="top"/>
            </w:pPr>
            <w:r>
              <w:rPr>
                <w:rFonts w:ascii="Arial" w:eastAsia="宋体" w:hAnsi="Arial" w:cs="Arial"/>
                <w:color w:val="0068B5"/>
                <w:sz w:val="18"/>
                <w:szCs w:val="18"/>
              </w:rPr>
              <w:t>EUNCAP</w:t>
            </w:r>
          </w:p>
        </w:tc>
        <w:tc>
          <w:tcPr>
            <w:tcW w:w="0" w:type="auto"/>
            <w:gridSpan w:val="3"/>
            <w:shd w:val="clear" w:color="auto" w:fill="auto"/>
            <w:tcMar>
              <w:top w:w="0" w:type="dxa"/>
              <w:left w:w="20" w:type="dxa"/>
              <w:bottom w:w="0" w:type="dxa"/>
              <w:right w:w="20" w:type="dxa"/>
            </w:tcMar>
            <w:vAlign w:val="bottom"/>
          </w:tcPr>
          <w:p w14:paraId="6753837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376" w14:textId="77777777" w:rsidR="001B77DD" w:rsidRDefault="00BF0A28">
            <w:pPr>
              <w:textAlignment w:val="bottom"/>
            </w:pPr>
            <w:r>
              <w:rPr>
                <w:rFonts w:ascii="Arial" w:eastAsia="宋体" w:hAnsi="Arial" w:cs="Arial"/>
                <w:color w:val="262626"/>
                <w:sz w:val="18"/>
                <w:szCs w:val="18"/>
              </w:rPr>
              <w:t xml:space="preserve">European New Car </w:t>
            </w:r>
            <w:r>
              <w:rPr>
                <w:rFonts w:ascii="Arial" w:eastAsia="宋体" w:hAnsi="Arial" w:cs="Arial"/>
                <w:color w:val="262626"/>
                <w:sz w:val="18"/>
                <w:szCs w:val="18"/>
              </w:rPr>
              <w:t>Assessment Programme</w:t>
            </w:r>
          </w:p>
        </w:tc>
      </w:tr>
      <w:tr w:rsidR="001B77DD" w14:paraId="6753837B" w14:textId="77777777">
        <w:tc>
          <w:tcPr>
            <w:tcW w:w="0" w:type="auto"/>
            <w:gridSpan w:val="3"/>
            <w:shd w:val="clear" w:color="auto" w:fill="auto"/>
            <w:tcMar>
              <w:top w:w="40" w:type="dxa"/>
              <w:left w:w="20" w:type="dxa"/>
              <w:bottom w:w="40" w:type="dxa"/>
              <w:right w:w="20" w:type="dxa"/>
            </w:tcMar>
          </w:tcPr>
          <w:p w14:paraId="67538378" w14:textId="77777777" w:rsidR="001B77DD" w:rsidRDefault="00BF0A28">
            <w:pPr>
              <w:textAlignment w:val="top"/>
            </w:pPr>
            <w:r>
              <w:rPr>
                <w:rFonts w:ascii="Arial" w:eastAsia="宋体" w:hAnsi="Arial" w:cs="Arial"/>
                <w:color w:val="0068B5"/>
                <w:sz w:val="18"/>
                <w:szCs w:val="18"/>
              </w:rPr>
              <w:t>EV</w:t>
            </w:r>
          </w:p>
        </w:tc>
        <w:tc>
          <w:tcPr>
            <w:tcW w:w="0" w:type="auto"/>
            <w:gridSpan w:val="3"/>
            <w:shd w:val="clear" w:color="auto" w:fill="auto"/>
            <w:tcMar>
              <w:top w:w="0" w:type="dxa"/>
              <w:left w:w="20" w:type="dxa"/>
              <w:bottom w:w="0" w:type="dxa"/>
              <w:right w:w="20" w:type="dxa"/>
            </w:tcMar>
            <w:vAlign w:val="bottom"/>
          </w:tcPr>
          <w:p w14:paraId="6753837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37A" w14:textId="77777777" w:rsidR="001B77DD" w:rsidRDefault="00BF0A28">
            <w:pPr>
              <w:textAlignment w:val="bottom"/>
            </w:pPr>
            <w:r>
              <w:rPr>
                <w:rFonts w:ascii="Arial" w:eastAsia="宋体" w:hAnsi="Arial" w:cs="Arial"/>
                <w:color w:val="262626"/>
                <w:sz w:val="18"/>
                <w:szCs w:val="18"/>
              </w:rPr>
              <w:t>Electric vehicle</w:t>
            </w:r>
          </w:p>
        </w:tc>
      </w:tr>
      <w:tr w:rsidR="001B77DD" w14:paraId="6753837F" w14:textId="77777777">
        <w:tc>
          <w:tcPr>
            <w:tcW w:w="0" w:type="auto"/>
            <w:gridSpan w:val="3"/>
            <w:shd w:val="clear" w:color="auto" w:fill="auto"/>
            <w:tcMar>
              <w:top w:w="40" w:type="dxa"/>
              <w:left w:w="20" w:type="dxa"/>
              <w:bottom w:w="40" w:type="dxa"/>
              <w:right w:w="20" w:type="dxa"/>
            </w:tcMar>
          </w:tcPr>
          <w:p w14:paraId="6753837C" w14:textId="77777777" w:rsidR="001B77DD" w:rsidRDefault="00BF0A28">
            <w:pPr>
              <w:textAlignment w:val="top"/>
            </w:pPr>
            <w:r>
              <w:rPr>
                <w:rFonts w:ascii="Arial" w:eastAsia="宋体" w:hAnsi="Arial" w:cs="Arial"/>
                <w:color w:val="0068B5"/>
                <w:sz w:val="18"/>
                <w:szCs w:val="18"/>
              </w:rPr>
              <w:t>EUV</w:t>
            </w:r>
          </w:p>
        </w:tc>
        <w:tc>
          <w:tcPr>
            <w:tcW w:w="0" w:type="auto"/>
            <w:gridSpan w:val="3"/>
            <w:shd w:val="clear" w:color="auto" w:fill="auto"/>
            <w:tcMar>
              <w:top w:w="0" w:type="dxa"/>
              <w:left w:w="20" w:type="dxa"/>
              <w:bottom w:w="0" w:type="dxa"/>
              <w:right w:w="20" w:type="dxa"/>
            </w:tcMar>
            <w:vAlign w:val="bottom"/>
          </w:tcPr>
          <w:p w14:paraId="6753837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7E" w14:textId="77777777" w:rsidR="001B77DD" w:rsidRDefault="00BF0A28">
            <w:pPr>
              <w:textAlignment w:val="top"/>
            </w:pPr>
            <w:r>
              <w:rPr>
                <w:rFonts w:ascii="Arial" w:eastAsia="宋体" w:hAnsi="Arial" w:cs="Arial"/>
                <w:color w:val="262626"/>
                <w:sz w:val="18"/>
                <w:szCs w:val="18"/>
              </w:rPr>
              <w:t>Extreme ultraviolet lithography</w:t>
            </w:r>
          </w:p>
        </w:tc>
      </w:tr>
      <w:tr w:rsidR="001B77DD" w14:paraId="67538383" w14:textId="77777777">
        <w:tc>
          <w:tcPr>
            <w:tcW w:w="0" w:type="auto"/>
            <w:gridSpan w:val="3"/>
            <w:shd w:val="clear" w:color="auto" w:fill="auto"/>
            <w:tcMar>
              <w:top w:w="40" w:type="dxa"/>
              <w:left w:w="20" w:type="dxa"/>
              <w:bottom w:w="40" w:type="dxa"/>
              <w:right w:w="20" w:type="dxa"/>
            </w:tcMar>
          </w:tcPr>
          <w:p w14:paraId="67538380" w14:textId="77777777" w:rsidR="001B77DD" w:rsidRDefault="00BF0A28">
            <w:pPr>
              <w:textAlignment w:val="top"/>
            </w:pPr>
            <w:r>
              <w:rPr>
                <w:rFonts w:ascii="Arial" w:eastAsia="宋体" w:hAnsi="Arial" w:cs="Arial"/>
                <w:color w:val="0068B5"/>
                <w:sz w:val="18"/>
                <w:szCs w:val="18"/>
              </w:rPr>
              <w:t>Exchange Act</w:t>
            </w:r>
          </w:p>
        </w:tc>
        <w:tc>
          <w:tcPr>
            <w:tcW w:w="0" w:type="auto"/>
            <w:gridSpan w:val="3"/>
            <w:shd w:val="clear" w:color="auto" w:fill="auto"/>
            <w:tcMar>
              <w:top w:w="0" w:type="dxa"/>
              <w:left w:w="20" w:type="dxa"/>
              <w:bottom w:w="0" w:type="dxa"/>
              <w:right w:w="20" w:type="dxa"/>
            </w:tcMar>
            <w:vAlign w:val="bottom"/>
          </w:tcPr>
          <w:p w14:paraId="6753838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82" w14:textId="77777777" w:rsidR="001B77DD" w:rsidRDefault="00BF0A28">
            <w:pPr>
              <w:textAlignment w:val="top"/>
            </w:pPr>
            <w:r>
              <w:rPr>
                <w:rFonts w:ascii="Arial" w:eastAsia="宋体" w:hAnsi="Arial" w:cs="Arial"/>
                <w:color w:val="262626"/>
                <w:sz w:val="18"/>
                <w:szCs w:val="18"/>
              </w:rPr>
              <w:t>Securities Exchange Act of 1934</w:t>
            </w:r>
          </w:p>
        </w:tc>
      </w:tr>
      <w:tr w:rsidR="001B77DD" w14:paraId="67538387" w14:textId="77777777">
        <w:tc>
          <w:tcPr>
            <w:tcW w:w="0" w:type="auto"/>
            <w:gridSpan w:val="3"/>
            <w:shd w:val="clear" w:color="auto" w:fill="auto"/>
            <w:tcMar>
              <w:top w:w="40" w:type="dxa"/>
              <w:left w:w="20" w:type="dxa"/>
              <w:bottom w:w="40" w:type="dxa"/>
              <w:right w:w="20" w:type="dxa"/>
            </w:tcMar>
          </w:tcPr>
          <w:p w14:paraId="67538384" w14:textId="77777777" w:rsidR="001B77DD" w:rsidRDefault="00BF0A28">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vAlign w:val="bottom"/>
          </w:tcPr>
          <w:p w14:paraId="6753838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86" w14:textId="77777777" w:rsidR="001B77DD" w:rsidRDefault="00BF0A28">
            <w:pPr>
              <w:textAlignment w:val="top"/>
            </w:pPr>
            <w:r>
              <w:rPr>
                <w:rFonts w:ascii="Arial" w:eastAsia="宋体" w:hAnsi="Arial" w:cs="Arial"/>
                <w:color w:val="262626"/>
                <w:sz w:val="18"/>
                <w:szCs w:val="18"/>
              </w:rPr>
              <w:t>Annual Report on Form 10-K</w:t>
            </w:r>
          </w:p>
        </w:tc>
      </w:tr>
      <w:tr w:rsidR="001B77DD" w14:paraId="6753838B" w14:textId="77777777">
        <w:tc>
          <w:tcPr>
            <w:tcW w:w="0" w:type="auto"/>
            <w:gridSpan w:val="3"/>
            <w:shd w:val="clear" w:color="auto" w:fill="auto"/>
            <w:tcMar>
              <w:top w:w="40" w:type="dxa"/>
              <w:left w:w="20" w:type="dxa"/>
              <w:bottom w:w="40" w:type="dxa"/>
              <w:right w:w="20" w:type="dxa"/>
            </w:tcMar>
          </w:tcPr>
          <w:p w14:paraId="67538388" w14:textId="77777777" w:rsidR="001B77DD" w:rsidRDefault="00BF0A28">
            <w:pPr>
              <w:textAlignment w:val="top"/>
            </w:pPr>
            <w:r>
              <w:rPr>
                <w:rFonts w:ascii="Arial" w:eastAsia="宋体" w:hAnsi="Arial" w:cs="Arial"/>
                <w:color w:val="0068B5"/>
                <w:sz w:val="18"/>
                <w:szCs w:val="18"/>
              </w:rPr>
              <w:t>Foveros</w:t>
            </w:r>
          </w:p>
        </w:tc>
        <w:tc>
          <w:tcPr>
            <w:tcW w:w="0" w:type="auto"/>
            <w:gridSpan w:val="3"/>
            <w:shd w:val="clear" w:color="auto" w:fill="auto"/>
            <w:tcMar>
              <w:top w:w="0" w:type="dxa"/>
              <w:left w:w="20" w:type="dxa"/>
              <w:bottom w:w="0" w:type="dxa"/>
              <w:right w:w="20" w:type="dxa"/>
            </w:tcMar>
            <w:vAlign w:val="bottom"/>
          </w:tcPr>
          <w:p w14:paraId="6753838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38A" w14:textId="77777777" w:rsidR="001B77DD" w:rsidRDefault="00BF0A28">
            <w:pPr>
              <w:textAlignment w:val="bottom"/>
            </w:pPr>
            <w:r>
              <w:rPr>
                <w:rFonts w:ascii="Arial" w:eastAsia="宋体" w:hAnsi="Arial" w:cs="Arial"/>
                <w:color w:val="262626"/>
                <w:sz w:val="18"/>
                <w:szCs w:val="18"/>
              </w:rPr>
              <w:t xml:space="preserve">Intel's high-performance, three-dimensional stacked chip packaging </w:t>
            </w:r>
            <w:r>
              <w:rPr>
                <w:rFonts w:ascii="Arial" w:eastAsia="宋体" w:hAnsi="Arial" w:cs="Arial"/>
                <w:color w:val="262626"/>
                <w:sz w:val="18"/>
                <w:szCs w:val="18"/>
              </w:rPr>
              <w:t>technology</w:t>
            </w:r>
          </w:p>
        </w:tc>
      </w:tr>
      <w:tr w:rsidR="001B77DD" w14:paraId="6753838F" w14:textId="77777777">
        <w:tc>
          <w:tcPr>
            <w:tcW w:w="0" w:type="auto"/>
            <w:gridSpan w:val="3"/>
            <w:shd w:val="clear" w:color="auto" w:fill="auto"/>
            <w:tcMar>
              <w:top w:w="40" w:type="dxa"/>
              <w:left w:w="20" w:type="dxa"/>
              <w:bottom w:w="40" w:type="dxa"/>
              <w:right w:w="20" w:type="dxa"/>
            </w:tcMar>
          </w:tcPr>
          <w:p w14:paraId="6753838C" w14:textId="77777777" w:rsidR="001B77DD" w:rsidRDefault="00BF0A28">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vAlign w:val="bottom"/>
          </w:tcPr>
          <w:p w14:paraId="6753838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8E" w14:textId="77777777" w:rsidR="001B77DD" w:rsidRDefault="00BF0A28">
            <w:pPr>
              <w:textAlignment w:val="top"/>
            </w:pPr>
            <w:r>
              <w:rPr>
                <w:rFonts w:ascii="Arial" w:eastAsia="宋体" w:hAnsi="Arial" w:cs="Arial"/>
                <w:color w:val="262626"/>
                <w:sz w:val="18"/>
                <w:szCs w:val="18"/>
              </w:rPr>
              <w:t>Field-programmable gate array</w:t>
            </w:r>
          </w:p>
        </w:tc>
      </w:tr>
      <w:tr w:rsidR="001B77DD" w14:paraId="67538393" w14:textId="77777777">
        <w:trPr>
          <w:hidden/>
        </w:trPr>
        <w:tc>
          <w:tcPr>
            <w:tcW w:w="0" w:type="auto"/>
            <w:gridSpan w:val="3"/>
            <w:shd w:val="clear" w:color="auto" w:fill="auto"/>
            <w:vAlign w:val="bottom"/>
          </w:tcPr>
          <w:p w14:paraId="67538390" w14:textId="77777777" w:rsidR="001B77DD" w:rsidRDefault="001B77DD">
            <w:pPr>
              <w:rPr>
                <w:rFonts w:ascii="宋体"/>
                <w:vanish/>
              </w:rPr>
            </w:pPr>
          </w:p>
        </w:tc>
        <w:tc>
          <w:tcPr>
            <w:tcW w:w="0" w:type="auto"/>
            <w:gridSpan w:val="3"/>
            <w:shd w:val="clear" w:color="auto" w:fill="auto"/>
            <w:vAlign w:val="bottom"/>
          </w:tcPr>
          <w:p w14:paraId="67538391" w14:textId="77777777" w:rsidR="001B77DD" w:rsidRDefault="001B77DD">
            <w:pPr>
              <w:rPr>
                <w:rFonts w:ascii="宋体"/>
                <w:vanish/>
              </w:rPr>
            </w:pPr>
          </w:p>
        </w:tc>
        <w:tc>
          <w:tcPr>
            <w:tcW w:w="0" w:type="auto"/>
            <w:gridSpan w:val="3"/>
            <w:shd w:val="clear" w:color="auto" w:fill="auto"/>
            <w:vAlign w:val="bottom"/>
          </w:tcPr>
          <w:p w14:paraId="67538392" w14:textId="77777777" w:rsidR="001B77DD" w:rsidRDefault="001B77DD">
            <w:pPr>
              <w:rPr>
                <w:rFonts w:ascii="宋体"/>
                <w:vanish/>
              </w:rPr>
            </w:pPr>
          </w:p>
        </w:tc>
      </w:tr>
      <w:tr w:rsidR="001B77DD" w14:paraId="67538397" w14:textId="77777777">
        <w:tc>
          <w:tcPr>
            <w:tcW w:w="0" w:type="auto"/>
            <w:gridSpan w:val="3"/>
            <w:shd w:val="clear" w:color="auto" w:fill="auto"/>
            <w:tcMar>
              <w:top w:w="40" w:type="dxa"/>
              <w:left w:w="20" w:type="dxa"/>
              <w:bottom w:w="40" w:type="dxa"/>
              <w:right w:w="20" w:type="dxa"/>
            </w:tcMar>
          </w:tcPr>
          <w:p w14:paraId="67538394" w14:textId="77777777" w:rsidR="001B77DD" w:rsidRDefault="00BF0A28">
            <w:pPr>
              <w:textAlignment w:val="top"/>
            </w:pPr>
            <w:r>
              <w:rPr>
                <w:rFonts w:ascii="Arial" w:eastAsia="宋体" w:hAnsi="Arial" w:cs="Arial"/>
                <w:color w:val="0068B5"/>
                <w:sz w:val="18"/>
                <w:szCs w:val="18"/>
              </w:rPr>
              <w:t>GPU</w:t>
            </w:r>
          </w:p>
        </w:tc>
        <w:tc>
          <w:tcPr>
            <w:tcW w:w="0" w:type="auto"/>
            <w:gridSpan w:val="3"/>
            <w:shd w:val="clear" w:color="auto" w:fill="auto"/>
            <w:tcMar>
              <w:top w:w="0" w:type="dxa"/>
              <w:left w:w="20" w:type="dxa"/>
              <w:bottom w:w="0" w:type="dxa"/>
              <w:right w:w="20" w:type="dxa"/>
            </w:tcMar>
            <w:vAlign w:val="bottom"/>
          </w:tcPr>
          <w:p w14:paraId="6753839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96" w14:textId="77777777" w:rsidR="001B77DD" w:rsidRDefault="00BF0A28">
            <w:pPr>
              <w:textAlignment w:val="top"/>
            </w:pPr>
            <w:r>
              <w:rPr>
                <w:rFonts w:ascii="Arial" w:eastAsia="宋体" w:hAnsi="Arial" w:cs="Arial"/>
                <w:color w:val="262626"/>
                <w:sz w:val="18"/>
                <w:szCs w:val="18"/>
              </w:rPr>
              <w:t>Graphics processing unit</w:t>
            </w:r>
          </w:p>
        </w:tc>
      </w:tr>
      <w:tr w:rsidR="001B77DD" w14:paraId="6753839B" w14:textId="77777777">
        <w:tc>
          <w:tcPr>
            <w:tcW w:w="0" w:type="auto"/>
            <w:gridSpan w:val="3"/>
            <w:shd w:val="clear" w:color="auto" w:fill="auto"/>
            <w:tcMar>
              <w:top w:w="40" w:type="dxa"/>
              <w:left w:w="20" w:type="dxa"/>
              <w:bottom w:w="40" w:type="dxa"/>
              <w:right w:w="20" w:type="dxa"/>
            </w:tcMar>
          </w:tcPr>
          <w:p w14:paraId="67538398" w14:textId="77777777" w:rsidR="001B77DD" w:rsidRDefault="00BF0A28">
            <w:pPr>
              <w:textAlignment w:val="top"/>
            </w:pPr>
            <w:r>
              <w:rPr>
                <w:rFonts w:ascii="Arial" w:eastAsia="宋体" w:hAnsi="Arial" w:cs="Arial"/>
                <w:color w:val="0068B5"/>
                <w:sz w:val="18"/>
                <w:szCs w:val="18"/>
              </w:rPr>
              <w:t>GSR</w:t>
            </w:r>
          </w:p>
        </w:tc>
        <w:tc>
          <w:tcPr>
            <w:tcW w:w="0" w:type="auto"/>
            <w:gridSpan w:val="3"/>
            <w:shd w:val="clear" w:color="auto" w:fill="auto"/>
            <w:tcMar>
              <w:top w:w="0" w:type="dxa"/>
              <w:left w:w="20" w:type="dxa"/>
              <w:bottom w:w="0" w:type="dxa"/>
              <w:right w:w="20" w:type="dxa"/>
            </w:tcMar>
            <w:vAlign w:val="bottom"/>
          </w:tcPr>
          <w:p w14:paraId="6753839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9A" w14:textId="77777777" w:rsidR="001B77DD" w:rsidRDefault="00BF0A28">
            <w:pPr>
              <w:textAlignment w:val="top"/>
            </w:pPr>
            <w:r>
              <w:rPr>
                <w:rFonts w:ascii="Arial" w:eastAsia="宋体" w:hAnsi="Arial" w:cs="Arial"/>
                <w:color w:val="262626"/>
                <w:sz w:val="18"/>
                <w:szCs w:val="18"/>
              </w:rPr>
              <w:t>The EU-General Safety Regulation for motor vehicles</w:t>
            </w:r>
          </w:p>
        </w:tc>
      </w:tr>
      <w:tr w:rsidR="001B77DD" w14:paraId="6753839F" w14:textId="77777777">
        <w:tc>
          <w:tcPr>
            <w:tcW w:w="0" w:type="auto"/>
            <w:gridSpan w:val="3"/>
            <w:shd w:val="clear" w:color="auto" w:fill="auto"/>
            <w:tcMar>
              <w:top w:w="40" w:type="dxa"/>
              <w:left w:w="20" w:type="dxa"/>
              <w:bottom w:w="40" w:type="dxa"/>
              <w:right w:w="20" w:type="dxa"/>
            </w:tcMar>
          </w:tcPr>
          <w:p w14:paraId="6753839C" w14:textId="77777777" w:rsidR="001B77DD" w:rsidRDefault="00BF0A28">
            <w:pPr>
              <w:textAlignment w:val="top"/>
            </w:pPr>
            <w:r>
              <w:rPr>
                <w:rFonts w:ascii="Arial" w:eastAsia="宋体" w:hAnsi="Arial" w:cs="Arial"/>
                <w:color w:val="0068B5"/>
                <w:sz w:val="18"/>
                <w:szCs w:val="18"/>
              </w:rPr>
              <w:t>IDM</w:t>
            </w:r>
          </w:p>
        </w:tc>
        <w:tc>
          <w:tcPr>
            <w:tcW w:w="0" w:type="auto"/>
            <w:gridSpan w:val="3"/>
            <w:shd w:val="clear" w:color="auto" w:fill="auto"/>
            <w:tcMar>
              <w:top w:w="0" w:type="dxa"/>
              <w:left w:w="20" w:type="dxa"/>
              <w:bottom w:w="0" w:type="dxa"/>
              <w:right w:w="20" w:type="dxa"/>
            </w:tcMar>
            <w:vAlign w:val="bottom"/>
          </w:tcPr>
          <w:p w14:paraId="6753839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9E" w14:textId="77777777" w:rsidR="001B77DD" w:rsidRDefault="00BF0A28">
            <w:pPr>
              <w:textAlignment w:val="top"/>
            </w:pPr>
            <w:r>
              <w:rPr>
                <w:rFonts w:ascii="Arial" w:eastAsia="宋体" w:hAnsi="Arial" w:cs="Arial"/>
                <w:color w:val="262626"/>
                <w:sz w:val="18"/>
                <w:szCs w:val="18"/>
              </w:rPr>
              <w:t>Integrated device manufacturer, a semiconductor company that both designs and builds chips</w:t>
            </w:r>
          </w:p>
        </w:tc>
      </w:tr>
      <w:tr w:rsidR="001B77DD" w14:paraId="675383A3" w14:textId="77777777">
        <w:trPr>
          <w:hidden/>
        </w:trPr>
        <w:tc>
          <w:tcPr>
            <w:tcW w:w="0" w:type="auto"/>
            <w:gridSpan w:val="3"/>
            <w:shd w:val="clear" w:color="auto" w:fill="auto"/>
            <w:vAlign w:val="bottom"/>
          </w:tcPr>
          <w:p w14:paraId="675383A0" w14:textId="77777777" w:rsidR="001B77DD" w:rsidRDefault="001B77DD">
            <w:pPr>
              <w:rPr>
                <w:rFonts w:ascii="宋体"/>
                <w:vanish/>
              </w:rPr>
            </w:pPr>
          </w:p>
        </w:tc>
        <w:tc>
          <w:tcPr>
            <w:tcW w:w="0" w:type="auto"/>
            <w:gridSpan w:val="3"/>
            <w:shd w:val="clear" w:color="auto" w:fill="auto"/>
            <w:vAlign w:val="bottom"/>
          </w:tcPr>
          <w:p w14:paraId="675383A1" w14:textId="77777777" w:rsidR="001B77DD" w:rsidRDefault="001B77DD">
            <w:pPr>
              <w:rPr>
                <w:rFonts w:ascii="宋体"/>
                <w:vanish/>
              </w:rPr>
            </w:pPr>
          </w:p>
        </w:tc>
        <w:tc>
          <w:tcPr>
            <w:tcW w:w="0" w:type="auto"/>
            <w:gridSpan w:val="3"/>
            <w:shd w:val="clear" w:color="auto" w:fill="auto"/>
            <w:vAlign w:val="bottom"/>
          </w:tcPr>
          <w:p w14:paraId="675383A2" w14:textId="77777777" w:rsidR="001B77DD" w:rsidRDefault="001B77DD">
            <w:pPr>
              <w:rPr>
                <w:rFonts w:ascii="宋体"/>
                <w:vanish/>
              </w:rPr>
            </w:pPr>
          </w:p>
        </w:tc>
      </w:tr>
      <w:tr w:rsidR="001B77DD" w14:paraId="675383A7" w14:textId="77777777">
        <w:tc>
          <w:tcPr>
            <w:tcW w:w="0" w:type="auto"/>
            <w:gridSpan w:val="3"/>
            <w:shd w:val="clear" w:color="auto" w:fill="auto"/>
            <w:tcMar>
              <w:top w:w="40" w:type="dxa"/>
              <w:left w:w="20" w:type="dxa"/>
              <w:bottom w:w="40" w:type="dxa"/>
              <w:right w:w="20" w:type="dxa"/>
            </w:tcMar>
          </w:tcPr>
          <w:p w14:paraId="675383A4" w14:textId="77777777" w:rsidR="001B77DD" w:rsidRDefault="00BF0A28">
            <w:pPr>
              <w:textAlignment w:val="top"/>
            </w:pPr>
            <w:r>
              <w:rPr>
                <w:rFonts w:ascii="Arial" w:eastAsia="宋体" w:hAnsi="Arial" w:cs="Arial"/>
                <w:color w:val="0068B5"/>
                <w:sz w:val="18"/>
                <w:szCs w:val="18"/>
              </w:rPr>
              <w:t>IFS</w:t>
            </w:r>
          </w:p>
        </w:tc>
        <w:tc>
          <w:tcPr>
            <w:tcW w:w="0" w:type="auto"/>
            <w:gridSpan w:val="3"/>
            <w:shd w:val="clear" w:color="auto" w:fill="auto"/>
            <w:tcMar>
              <w:top w:w="0" w:type="dxa"/>
              <w:left w:w="20" w:type="dxa"/>
              <w:bottom w:w="0" w:type="dxa"/>
              <w:right w:w="20" w:type="dxa"/>
            </w:tcMar>
            <w:vAlign w:val="bottom"/>
          </w:tcPr>
          <w:p w14:paraId="675383A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A6" w14:textId="77777777" w:rsidR="001B77DD" w:rsidRDefault="00BF0A28">
            <w:pPr>
              <w:textAlignment w:val="top"/>
            </w:pPr>
            <w:r>
              <w:rPr>
                <w:rFonts w:ascii="Arial" w:eastAsia="宋体" w:hAnsi="Arial" w:cs="Arial"/>
                <w:color w:val="262626"/>
                <w:sz w:val="18"/>
                <w:szCs w:val="18"/>
              </w:rPr>
              <w:t>Intel Foundry Services</w:t>
            </w:r>
          </w:p>
        </w:tc>
      </w:tr>
      <w:tr w:rsidR="001B77DD" w14:paraId="675383AB" w14:textId="77777777">
        <w:trPr>
          <w:hidden/>
        </w:trPr>
        <w:tc>
          <w:tcPr>
            <w:tcW w:w="0" w:type="auto"/>
            <w:gridSpan w:val="3"/>
            <w:shd w:val="clear" w:color="auto" w:fill="auto"/>
            <w:vAlign w:val="bottom"/>
          </w:tcPr>
          <w:p w14:paraId="675383A8" w14:textId="77777777" w:rsidR="001B77DD" w:rsidRDefault="001B77DD">
            <w:pPr>
              <w:rPr>
                <w:rFonts w:ascii="宋体"/>
                <w:vanish/>
              </w:rPr>
            </w:pPr>
          </w:p>
        </w:tc>
        <w:tc>
          <w:tcPr>
            <w:tcW w:w="0" w:type="auto"/>
            <w:gridSpan w:val="3"/>
            <w:shd w:val="clear" w:color="auto" w:fill="auto"/>
            <w:vAlign w:val="bottom"/>
          </w:tcPr>
          <w:p w14:paraId="675383A9" w14:textId="77777777" w:rsidR="001B77DD" w:rsidRDefault="001B77DD">
            <w:pPr>
              <w:rPr>
                <w:rFonts w:ascii="宋体"/>
                <w:vanish/>
              </w:rPr>
            </w:pPr>
          </w:p>
        </w:tc>
        <w:tc>
          <w:tcPr>
            <w:tcW w:w="0" w:type="auto"/>
            <w:gridSpan w:val="3"/>
            <w:shd w:val="clear" w:color="auto" w:fill="auto"/>
            <w:vAlign w:val="bottom"/>
          </w:tcPr>
          <w:p w14:paraId="675383AA" w14:textId="77777777" w:rsidR="001B77DD" w:rsidRDefault="001B77DD">
            <w:pPr>
              <w:rPr>
                <w:rFonts w:ascii="宋体"/>
                <w:vanish/>
              </w:rPr>
            </w:pPr>
          </w:p>
        </w:tc>
      </w:tr>
      <w:tr w:rsidR="001B77DD" w14:paraId="675383AF" w14:textId="77777777">
        <w:trPr>
          <w:hidden/>
        </w:trPr>
        <w:tc>
          <w:tcPr>
            <w:tcW w:w="0" w:type="auto"/>
            <w:gridSpan w:val="3"/>
            <w:shd w:val="clear" w:color="auto" w:fill="auto"/>
            <w:vAlign w:val="bottom"/>
          </w:tcPr>
          <w:p w14:paraId="675383AC" w14:textId="77777777" w:rsidR="001B77DD" w:rsidRDefault="001B77DD">
            <w:pPr>
              <w:rPr>
                <w:rFonts w:ascii="宋体"/>
                <w:vanish/>
              </w:rPr>
            </w:pPr>
          </w:p>
        </w:tc>
        <w:tc>
          <w:tcPr>
            <w:tcW w:w="0" w:type="auto"/>
            <w:gridSpan w:val="3"/>
            <w:shd w:val="clear" w:color="auto" w:fill="auto"/>
            <w:vAlign w:val="bottom"/>
          </w:tcPr>
          <w:p w14:paraId="675383AD" w14:textId="77777777" w:rsidR="001B77DD" w:rsidRDefault="001B77DD">
            <w:pPr>
              <w:rPr>
                <w:rFonts w:ascii="宋体"/>
                <w:vanish/>
              </w:rPr>
            </w:pPr>
          </w:p>
        </w:tc>
        <w:tc>
          <w:tcPr>
            <w:tcW w:w="0" w:type="auto"/>
            <w:gridSpan w:val="3"/>
            <w:shd w:val="clear" w:color="auto" w:fill="auto"/>
            <w:vAlign w:val="bottom"/>
          </w:tcPr>
          <w:p w14:paraId="675383AE" w14:textId="77777777" w:rsidR="001B77DD" w:rsidRDefault="001B77DD">
            <w:pPr>
              <w:rPr>
                <w:rFonts w:ascii="宋体"/>
                <w:vanish/>
              </w:rPr>
            </w:pPr>
          </w:p>
        </w:tc>
      </w:tr>
      <w:tr w:rsidR="001B77DD" w14:paraId="675383B3" w14:textId="77777777">
        <w:trPr>
          <w:hidden/>
        </w:trPr>
        <w:tc>
          <w:tcPr>
            <w:tcW w:w="0" w:type="auto"/>
            <w:gridSpan w:val="3"/>
            <w:shd w:val="clear" w:color="auto" w:fill="auto"/>
            <w:vAlign w:val="bottom"/>
          </w:tcPr>
          <w:p w14:paraId="675383B0" w14:textId="77777777" w:rsidR="001B77DD" w:rsidRDefault="001B77DD">
            <w:pPr>
              <w:rPr>
                <w:rFonts w:ascii="宋体"/>
                <w:vanish/>
              </w:rPr>
            </w:pPr>
          </w:p>
        </w:tc>
        <w:tc>
          <w:tcPr>
            <w:tcW w:w="0" w:type="auto"/>
            <w:gridSpan w:val="3"/>
            <w:shd w:val="clear" w:color="auto" w:fill="auto"/>
            <w:vAlign w:val="bottom"/>
          </w:tcPr>
          <w:p w14:paraId="675383B1" w14:textId="77777777" w:rsidR="001B77DD" w:rsidRDefault="001B77DD">
            <w:pPr>
              <w:rPr>
                <w:rFonts w:ascii="宋体"/>
                <w:vanish/>
              </w:rPr>
            </w:pPr>
          </w:p>
        </w:tc>
        <w:tc>
          <w:tcPr>
            <w:tcW w:w="0" w:type="auto"/>
            <w:gridSpan w:val="3"/>
            <w:shd w:val="clear" w:color="auto" w:fill="auto"/>
            <w:vAlign w:val="bottom"/>
          </w:tcPr>
          <w:p w14:paraId="675383B2" w14:textId="77777777" w:rsidR="001B77DD" w:rsidRDefault="001B77DD">
            <w:pPr>
              <w:rPr>
                <w:rFonts w:ascii="宋体"/>
                <w:vanish/>
              </w:rPr>
            </w:pPr>
          </w:p>
        </w:tc>
      </w:tr>
      <w:tr w:rsidR="001B77DD" w14:paraId="675383B7" w14:textId="77777777">
        <w:trPr>
          <w:hidden/>
        </w:trPr>
        <w:tc>
          <w:tcPr>
            <w:tcW w:w="0" w:type="auto"/>
            <w:gridSpan w:val="3"/>
            <w:shd w:val="clear" w:color="auto" w:fill="auto"/>
            <w:vAlign w:val="bottom"/>
          </w:tcPr>
          <w:p w14:paraId="675383B4" w14:textId="77777777" w:rsidR="001B77DD" w:rsidRDefault="001B77DD">
            <w:pPr>
              <w:rPr>
                <w:rFonts w:ascii="宋体"/>
                <w:vanish/>
              </w:rPr>
            </w:pPr>
          </w:p>
        </w:tc>
        <w:tc>
          <w:tcPr>
            <w:tcW w:w="0" w:type="auto"/>
            <w:gridSpan w:val="3"/>
            <w:shd w:val="clear" w:color="auto" w:fill="auto"/>
            <w:vAlign w:val="bottom"/>
          </w:tcPr>
          <w:p w14:paraId="675383B5" w14:textId="77777777" w:rsidR="001B77DD" w:rsidRDefault="001B77DD">
            <w:pPr>
              <w:rPr>
                <w:rFonts w:ascii="宋体"/>
                <w:vanish/>
              </w:rPr>
            </w:pPr>
          </w:p>
        </w:tc>
        <w:tc>
          <w:tcPr>
            <w:tcW w:w="0" w:type="auto"/>
            <w:gridSpan w:val="3"/>
            <w:shd w:val="clear" w:color="auto" w:fill="auto"/>
            <w:vAlign w:val="bottom"/>
          </w:tcPr>
          <w:p w14:paraId="675383B6" w14:textId="77777777" w:rsidR="001B77DD" w:rsidRDefault="001B77DD">
            <w:pPr>
              <w:rPr>
                <w:rFonts w:ascii="宋体"/>
                <w:vanish/>
              </w:rPr>
            </w:pPr>
          </w:p>
        </w:tc>
      </w:tr>
      <w:tr w:rsidR="001B77DD" w14:paraId="675383BB" w14:textId="77777777">
        <w:tc>
          <w:tcPr>
            <w:tcW w:w="0" w:type="auto"/>
            <w:gridSpan w:val="3"/>
            <w:shd w:val="clear" w:color="auto" w:fill="auto"/>
            <w:tcMar>
              <w:top w:w="40" w:type="dxa"/>
              <w:left w:w="20" w:type="dxa"/>
              <w:bottom w:w="40" w:type="dxa"/>
              <w:right w:w="20" w:type="dxa"/>
            </w:tcMar>
          </w:tcPr>
          <w:p w14:paraId="675383B8" w14:textId="77777777" w:rsidR="001B77DD" w:rsidRDefault="00BF0A28">
            <w:pPr>
              <w:textAlignment w:val="top"/>
            </w:pPr>
            <w:r>
              <w:rPr>
                <w:rFonts w:ascii="Arial" w:eastAsia="宋体" w:hAnsi="Arial" w:cs="Arial"/>
                <w:color w:val="0068B5"/>
                <w:sz w:val="18"/>
                <w:szCs w:val="18"/>
              </w:rPr>
              <w:t>IMECAS</w:t>
            </w:r>
          </w:p>
        </w:tc>
        <w:tc>
          <w:tcPr>
            <w:tcW w:w="0" w:type="auto"/>
            <w:gridSpan w:val="3"/>
            <w:shd w:val="clear" w:color="auto" w:fill="auto"/>
            <w:tcMar>
              <w:top w:w="0" w:type="dxa"/>
              <w:left w:w="20" w:type="dxa"/>
              <w:bottom w:w="0" w:type="dxa"/>
              <w:right w:w="20" w:type="dxa"/>
            </w:tcMar>
            <w:vAlign w:val="bottom"/>
          </w:tcPr>
          <w:p w14:paraId="675383B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BA" w14:textId="77777777" w:rsidR="001B77DD" w:rsidRDefault="00BF0A28">
            <w:pPr>
              <w:textAlignment w:val="top"/>
            </w:pPr>
            <w:r>
              <w:rPr>
                <w:rFonts w:ascii="Arial" w:eastAsia="宋体" w:hAnsi="Arial" w:cs="Arial"/>
                <w:color w:val="262626"/>
                <w:sz w:val="18"/>
                <w:szCs w:val="18"/>
              </w:rPr>
              <w:t>Institute of Microelectronics, Chinese Academy of Sciences</w:t>
            </w:r>
          </w:p>
        </w:tc>
      </w:tr>
      <w:tr w:rsidR="001B77DD" w14:paraId="675383BF" w14:textId="77777777">
        <w:tc>
          <w:tcPr>
            <w:tcW w:w="0" w:type="auto"/>
            <w:gridSpan w:val="3"/>
            <w:shd w:val="clear" w:color="auto" w:fill="auto"/>
            <w:tcMar>
              <w:top w:w="40" w:type="dxa"/>
              <w:left w:w="20" w:type="dxa"/>
              <w:bottom w:w="40" w:type="dxa"/>
              <w:right w:w="20" w:type="dxa"/>
            </w:tcMar>
          </w:tcPr>
          <w:p w14:paraId="675383BC" w14:textId="77777777" w:rsidR="001B77DD" w:rsidRDefault="00BF0A28">
            <w:pPr>
              <w:textAlignment w:val="top"/>
            </w:pPr>
            <w:r>
              <w:rPr>
                <w:rFonts w:ascii="Arial" w:eastAsia="宋体" w:hAnsi="Arial" w:cs="Arial"/>
                <w:color w:val="0068B5"/>
                <w:sz w:val="18"/>
                <w:szCs w:val="18"/>
              </w:rPr>
              <w:t>IMRS</w:t>
            </w:r>
          </w:p>
        </w:tc>
        <w:tc>
          <w:tcPr>
            <w:tcW w:w="0" w:type="auto"/>
            <w:gridSpan w:val="3"/>
            <w:shd w:val="clear" w:color="auto" w:fill="auto"/>
            <w:tcMar>
              <w:top w:w="0" w:type="dxa"/>
              <w:left w:w="20" w:type="dxa"/>
              <w:bottom w:w="0" w:type="dxa"/>
              <w:right w:w="20" w:type="dxa"/>
            </w:tcMar>
            <w:vAlign w:val="bottom"/>
          </w:tcPr>
          <w:p w14:paraId="675383B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BE" w14:textId="77777777" w:rsidR="001B77DD" w:rsidRDefault="00BF0A28">
            <w:pPr>
              <w:textAlignment w:val="top"/>
            </w:pPr>
            <w:r>
              <w:rPr>
                <w:rFonts w:ascii="Arial" w:eastAsia="宋体" w:hAnsi="Arial" w:cs="Arial"/>
                <w:color w:val="262626"/>
                <w:sz w:val="18"/>
                <w:szCs w:val="18"/>
              </w:rPr>
              <w:t>Internet of Things Market Ready Solutions</w:t>
            </w:r>
          </w:p>
        </w:tc>
      </w:tr>
      <w:tr w:rsidR="001B77DD" w14:paraId="675383C3" w14:textId="77777777">
        <w:tc>
          <w:tcPr>
            <w:tcW w:w="0" w:type="auto"/>
            <w:gridSpan w:val="3"/>
            <w:shd w:val="clear" w:color="auto" w:fill="auto"/>
            <w:tcMar>
              <w:top w:w="40" w:type="dxa"/>
              <w:left w:w="20" w:type="dxa"/>
              <w:bottom w:w="40" w:type="dxa"/>
              <w:right w:w="20" w:type="dxa"/>
            </w:tcMar>
          </w:tcPr>
          <w:p w14:paraId="675383C0" w14:textId="77777777" w:rsidR="001B77DD" w:rsidRDefault="00BF0A28">
            <w:pPr>
              <w:textAlignment w:val="top"/>
            </w:pPr>
            <w:r>
              <w:rPr>
                <w:rFonts w:ascii="Arial" w:eastAsia="宋体" w:hAnsi="Arial" w:cs="Arial"/>
                <w:color w:val="0068B5"/>
                <w:sz w:val="18"/>
                <w:szCs w:val="18"/>
              </w:rPr>
              <w:t>Internet of Things</w:t>
            </w:r>
          </w:p>
        </w:tc>
        <w:tc>
          <w:tcPr>
            <w:tcW w:w="0" w:type="auto"/>
            <w:gridSpan w:val="3"/>
            <w:shd w:val="clear" w:color="auto" w:fill="auto"/>
            <w:tcMar>
              <w:top w:w="0" w:type="dxa"/>
              <w:left w:w="20" w:type="dxa"/>
              <w:bottom w:w="0" w:type="dxa"/>
              <w:right w:w="20" w:type="dxa"/>
            </w:tcMar>
            <w:vAlign w:val="bottom"/>
          </w:tcPr>
          <w:p w14:paraId="675383C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C2" w14:textId="77777777" w:rsidR="001B77DD" w:rsidRDefault="00BF0A28">
            <w:pPr>
              <w:textAlignment w:val="top"/>
            </w:pPr>
            <w:r>
              <w:rPr>
                <w:rFonts w:ascii="Arial" w:eastAsia="宋体" w:hAnsi="Arial" w:cs="Arial"/>
                <w:color w:val="262626"/>
                <w:sz w:val="18"/>
                <w:szCs w:val="18"/>
              </w:rPr>
              <w:t xml:space="preserve">The Internet of Things market in which we sell our IOTG and Mobileye </w:t>
            </w:r>
            <w:r>
              <w:rPr>
                <w:rFonts w:ascii="Arial" w:eastAsia="宋体" w:hAnsi="Arial" w:cs="Arial"/>
                <w:color w:val="262626"/>
                <w:sz w:val="18"/>
                <w:szCs w:val="18"/>
              </w:rPr>
              <w:t>products</w:t>
            </w:r>
          </w:p>
        </w:tc>
      </w:tr>
      <w:tr w:rsidR="001B77DD" w14:paraId="675383C7" w14:textId="77777777">
        <w:trPr>
          <w:hidden/>
        </w:trPr>
        <w:tc>
          <w:tcPr>
            <w:tcW w:w="0" w:type="auto"/>
            <w:gridSpan w:val="3"/>
            <w:shd w:val="clear" w:color="auto" w:fill="auto"/>
            <w:vAlign w:val="bottom"/>
          </w:tcPr>
          <w:p w14:paraId="675383C4" w14:textId="77777777" w:rsidR="001B77DD" w:rsidRDefault="001B77DD">
            <w:pPr>
              <w:rPr>
                <w:rFonts w:ascii="宋体"/>
                <w:vanish/>
              </w:rPr>
            </w:pPr>
          </w:p>
        </w:tc>
        <w:tc>
          <w:tcPr>
            <w:tcW w:w="0" w:type="auto"/>
            <w:gridSpan w:val="3"/>
            <w:shd w:val="clear" w:color="auto" w:fill="auto"/>
            <w:vAlign w:val="bottom"/>
          </w:tcPr>
          <w:p w14:paraId="675383C5" w14:textId="77777777" w:rsidR="001B77DD" w:rsidRDefault="001B77DD">
            <w:pPr>
              <w:rPr>
                <w:rFonts w:ascii="宋体"/>
                <w:vanish/>
              </w:rPr>
            </w:pPr>
          </w:p>
        </w:tc>
        <w:tc>
          <w:tcPr>
            <w:tcW w:w="0" w:type="auto"/>
            <w:gridSpan w:val="3"/>
            <w:shd w:val="clear" w:color="auto" w:fill="auto"/>
            <w:vAlign w:val="bottom"/>
          </w:tcPr>
          <w:p w14:paraId="675383C6" w14:textId="77777777" w:rsidR="001B77DD" w:rsidRDefault="001B77DD">
            <w:pPr>
              <w:rPr>
                <w:rFonts w:ascii="宋体"/>
                <w:vanish/>
              </w:rPr>
            </w:pPr>
          </w:p>
        </w:tc>
      </w:tr>
      <w:tr w:rsidR="001B77DD" w14:paraId="675383CB" w14:textId="77777777">
        <w:trPr>
          <w:hidden/>
        </w:trPr>
        <w:tc>
          <w:tcPr>
            <w:tcW w:w="0" w:type="auto"/>
            <w:gridSpan w:val="3"/>
            <w:shd w:val="clear" w:color="auto" w:fill="auto"/>
            <w:vAlign w:val="bottom"/>
          </w:tcPr>
          <w:p w14:paraId="675383C8" w14:textId="77777777" w:rsidR="001B77DD" w:rsidRDefault="001B77DD">
            <w:pPr>
              <w:rPr>
                <w:rFonts w:ascii="宋体"/>
                <w:vanish/>
              </w:rPr>
            </w:pPr>
          </w:p>
        </w:tc>
        <w:tc>
          <w:tcPr>
            <w:tcW w:w="0" w:type="auto"/>
            <w:gridSpan w:val="3"/>
            <w:shd w:val="clear" w:color="auto" w:fill="auto"/>
            <w:vAlign w:val="bottom"/>
          </w:tcPr>
          <w:p w14:paraId="675383C9" w14:textId="77777777" w:rsidR="001B77DD" w:rsidRDefault="001B77DD">
            <w:pPr>
              <w:rPr>
                <w:rFonts w:ascii="宋体"/>
                <w:vanish/>
              </w:rPr>
            </w:pPr>
          </w:p>
        </w:tc>
        <w:tc>
          <w:tcPr>
            <w:tcW w:w="0" w:type="auto"/>
            <w:gridSpan w:val="3"/>
            <w:shd w:val="clear" w:color="auto" w:fill="auto"/>
            <w:vAlign w:val="bottom"/>
          </w:tcPr>
          <w:p w14:paraId="675383CA" w14:textId="77777777" w:rsidR="001B77DD" w:rsidRDefault="001B77DD">
            <w:pPr>
              <w:rPr>
                <w:rFonts w:ascii="宋体"/>
                <w:vanish/>
              </w:rPr>
            </w:pPr>
          </w:p>
        </w:tc>
      </w:tr>
      <w:tr w:rsidR="001B77DD" w14:paraId="675383CF" w14:textId="77777777">
        <w:tc>
          <w:tcPr>
            <w:tcW w:w="0" w:type="auto"/>
            <w:gridSpan w:val="3"/>
            <w:shd w:val="clear" w:color="auto" w:fill="auto"/>
            <w:tcMar>
              <w:top w:w="40" w:type="dxa"/>
              <w:left w:w="20" w:type="dxa"/>
              <w:bottom w:w="40" w:type="dxa"/>
              <w:right w:w="20" w:type="dxa"/>
            </w:tcMar>
          </w:tcPr>
          <w:p w14:paraId="675383CC" w14:textId="77777777" w:rsidR="001B77DD" w:rsidRDefault="00BF0A28">
            <w:pPr>
              <w:textAlignment w:val="top"/>
            </w:pPr>
            <w:r>
              <w:rPr>
                <w:rFonts w:ascii="Arial" w:eastAsia="宋体" w:hAnsi="Arial" w:cs="Arial"/>
                <w:color w:val="0068B5"/>
                <w:sz w:val="18"/>
                <w:szCs w:val="18"/>
              </w:rPr>
              <w:t>I/O</w:t>
            </w:r>
          </w:p>
        </w:tc>
        <w:tc>
          <w:tcPr>
            <w:tcW w:w="0" w:type="auto"/>
            <w:gridSpan w:val="3"/>
            <w:shd w:val="clear" w:color="auto" w:fill="auto"/>
            <w:tcMar>
              <w:top w:w="0" w:type="dxa"/>
              <w:left w:w="20" w:type="dxa"/>
              <w:bottom w:w="0" w:type="dxa"/>
              <w:right w:w="20" w:type="dxa"/>
            </w:tcMar>
            <w:vAlign w:val="bottom"/>
          </w:tcPr>
          <w:p w14:paraId="675383C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CE" w14:textId="77777777" w:rsidR="001B77DD" w:rsidRDefault="00BF0A28">
            <w:pPr>
              <w:textAlignment w:val="top"/>
            </w:pPr>
            <w:r>
              <w:rPr>
                <w:rFonts w:ascii="Arial" w:eastAsia="宋体" w:hAnsi="Arial" w:cs="Arial"/>
                <w:color w:val="262626"/>
                <w:sz w:val="18"/>
                <w:szCs w:val="18"/>
              </w:rPr>
              <w:t>Input/output</w:t>
            </w:r>
          </w:p>
        </w:tc>
      </w:tr>
      <w:tr w:rsidR="001B77DD" w14:paraId="675383D3" w14:textId="77777777">
        <w:tc>
          <w:tcPr>
            <w:tcW w:w="0" w:type="auto"/>
            <w:gridSpan w:val="3"/>
            <w:shd w:val="clear" w:color="auto" w:fill="auto"/>
            <w:tcMar>
              <w:top w:w="40" w:type="dxa"/>
              <w:left w:w="20" w:type="dxa"/>
              <w:bottom w:w="40" w:type="dxa"/>
              <w:right w:w="20" w:type="dxa"/>
            </w:tcMar>
          </w:tcPr>
          <w:p w14:paraId="675383D0" w14:textId="77777777" w:rsidR="001B77DD" w:rsidRDefault="00BF0A28">
            <w:pPr>
              <w:textAlignment w:val="top"/>
            </w:pPr>
            <w:r>
              <w:rPr>
                <w:rFonts w:ascii="Arial" w:eastAsia="宋体" w:hAnsi="Arial" w:cs="Arial"/>
                <w:color w:val="0068B5"/>
                <w:sz w:val="18"/>
                <w:szCs w:val="18"/>
              </w:rPr>
              <w:t>IOTG</w:t>
            </w:r>
          </w:p>
        </w:tc>
        <w:tc>
          <w:tcPr>
            <w:tcW w:w="0" w:type="auto"/>
            <w:gridSpan w:val="3"/>
            <w:shd w:val="clear" w:color="auto" w:fill="auto"/>
            <w:tcMar>
              <w:top w:w="0" w:type="dxa"/>
              <w:left w:w="20" w:type="dxa"/>
              <w:bottom w:w="0" w:type="dxa"/>
              <w:right w:w="20" w:type="dxa"/>
            </w:tcMar>
            <w:vAlign w:val="bottom"/>
          </w:tcPr>
          <w:p w14:paraId="675383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D2" w14:textId="77777777" w:rsidR="001B77DD" w:rsidRDefault="00BF0A28">
            <w:pPr>
              <w:textAlignment w:val="top"/>
            </w:pPr>
            <w:r>
              <w:rPr>
                <w:rFonts w:ascii="Arial" w:eastAsia="宋体" w:hAnsi="Arial" w:cs="Arial"/>
                <w:color w:val="262626"/>
                <w:sz w:val="18"/>
                <w:szCs w:val="18"/>
              </w:rPr>
              <w:t>Internet of Things Group operating segment</w:t>
            </w:r>
          </w:p>
        </w:tc>
      </w:tr>
      <w:tr w:rsidR="001B77DD" w14:paraId="675383D7" w14:textId="77777777">
        <w:tc>
          <w:tcPr>
            <w:tcW w:w="0" w:type="auto"/>
            <w:gridSpan w:val="3"/>
            <w:shd w:val="clear" w:color="auto" w:fill="auto"/>
            <w:tcMar>
              <w:top w:w="40" w:type="dxa"/>
              <w:left w:w="20" w:type="dxa"/>
              <w:bottom w:w="40" w:type="dxa"/>
              <w:right w:w="20" w:type="dxa"/>
            </w:tcMar>
          </w:tcPr>
          <w:p w14:paraId="675383D4" w14:textId="77777777" w:rsidR="001B77DD" w:rsidRDefault="00BF0A28">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vAlign w:val="bottom"/>
          </w:tcPr>
          <w:p w14:paraId="675383D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D6" w14:textId="77777777" w:rsidR="001B77DD" w:rsidRDefault="00BF0A28">
            <w:pPr>
              <w:textAlignment w:val="top"/>
            </w:pPr>
            <w:r>
              <w:rPr>
                <w:rFonts w:ascii="Arial" w:eastAsia="宋体" w:hAnsi="Arial" w:cs="Arial"/>
                <w:color w:val="262626"/>
                <w:sz w:val="18"/>
                <w:szCs w:val="18"/>
              </w:rPr>
              <w:t>Intellectual property</w:t>
            </w:r>
          </w:p>
        </w:tc>
      </w:tr>
      <w:tr w:rsidR="001B77DD" w14:paraId="675383DB" w14:textId="77777777">
        <w:trPr>
          <w:hidden/>
        </w:trPr>
        <w:tc>
          <w:tcPr>
            <w:tcW w:w="0" w:type="auto"/>
            <w:gridSpan w:val="3"/>
            <w:shd w:val="clear" w:color="auto" w:fill="auto"/>
            <w:vAlign w:val="bottom"/>
          </w:tcPr>
          <w:p w14:paraId="675383D8" w14:textId="77777777" w:rsidR="001B77DD" w:rsidRDefault="001B77DD">
            <w:pPr>
              <w:rPr>
                <w:rFonts w:ascii="宋体"/>
                <w:vanish/>
              </w:rPr>
            </w:pPr>
          </w:p>
        </w:tc>
        <w:tc>
          <w:tcPr>
            <w:tcW w:w="0" w:type="auto"/>
            <w:gridSpan w:val="3"/>
            <w:shd w:val="clear" w:color="auto" w:fill="auto"/>
            <w:vAlign w:val="bottom"/>
          </w:tcPr>
          <w:p w14:paraId="675383D9" w14:textId="77777777" w:rsidR="001B77DD" w:rsidRDefault="001B77DD">
            <w:pPr>
              <w:rPr>
                <w:rFonts w:ascii="宋体"/>
                <w:vanish/>
              </w:rPr>
            </w:pPr>
          </w:p>
        </w:tc>
        <w:tc>
          <w:tcPr>
            <w:tcW w:w="0" w:type="auto"/>
            <w:gridSpan w:val="3"/>
            <w:shd w:val="clear" w:color="auto" w:fill="auto"/>
            <w:vAlign w:val="bottom"/>
          </w:tcPr>
          <w:p w14:paraId="675383DA" w14:textId="77777777" w:rsidR="001B77DD" w:rsidRDefault="001B77DD">
            <w:pPr>
              <w:rPr>
                <w:rFonts w:ascii="宋体"/>
                <w:vanish/>
              </w:rPr>
            </w:pPr>
          </w:p>
        </w:tc>
      </w:tr>
      <w:tr w:rsidR="001B77DD" w14:paraId="675383DF" w14:textId="77777777">
        <w:trPr>
          <w:hidden/>
        </w:trPr>
        <w:tc>
          <w:tcPr>
            <w:tcW w:w="0" w:type="auto"/>
            <w:gridSpan w:val="3"/>
            <w:shd w:val="clear" w:color="auto" w:fill="auto"/>
            <w:vAlign w:val="bottom"/>
          </w:tcPr>
          <w:p w14:paraId="675383DC" w14:textId="77777777" w:rsidR="001B77DD" w:rsidRDefault="001B77DD">
            <w:pPr>
              <w:rPr>
                <w:rFonts w:ascii="宋体"/>
                <w:vanish/>
              </w:rPr>
            </w:pPr>
          </w:p>
        </w:tc>
        <w:tc>
          <w:tcPr>
            <w:tcW w:w="0" w:type="auto"/>
            <w:gridSpan w:val="3"/>
            <w:shd w:val="clear" w:color="auto" w:fill="auto"/>
            <w:vAlign w:val="bottom"/>
          </w:tcPr>
          <w:p w14:paraId="675383DD" w14:textId="77777777" w:rsidR="001B77DD" w:rsidRDefault="001B77DD">
            <w:pPr>
              <w:rPr>
                <w:rFonts w:ascii="宋体"/>
                <w:vanish/>
              </w:rPr>
            </w:pPr>
          </w:p>
        </w:tc>
        <w:tc>
          <w:tcPr>
            <w:tcW w:w="0" w:type="auto"/>
            <w:gridSpan w:val="3"/>
            <w:shd w:val="clear" w:color="auto" w:fill="auto"/>
            <w:vAlign w:val="bottom"/>
          </w:tcPr>
          <w:p w14:paraId="675383DE" w14:textId="77777777" w:rsidR="001B77DD" w:rsidRDefault="001B77DD">
            <w:pPr>
              <w:rPr>
                <w:rFonts w:ascii="宋体"/>
                <w:vanish/>
              </w:rPr>
            </w:pPr>
          </w:p>
        </w:tc>
      </w:tr>
      <w:tr w:rsidR="001B77DD" w14:paraId="675383E7" w14:textId="77777777">
        <w:trPr>
          <w:hidden/>
        </w:trPr>
        <w:tc>
          <w:tcPr>
            <w:tcW w:w="0" w:type="auto"/>
            <w:gridSpan w:val="3"/>
            <w:shd w:val="clear" w:color="auto" w:fill="auto"/>
            <w:vAlign w:val="bottom"/>
          </w:tcPr>
          <w:p w14:paraId="675383E0" w14:textId="77777777" w:rsidR="001B77DD" w:rsidRDefault="001B77DD">
            <w:pPr>
              <w:rPr>
                <w:rFonts w:ascii="宋体"/>
                <w:vanish/>
              </w:rPr>
            </w:pPr>
          </w:p>
        </w:tc>
        <w:tc>
          <w:tcPr>
            <w:tcW w:w="0" w:type="auto"/>
            <w:shd w:val="clear" w:color="auto" w:fill="auto"/>
            <w:vAlign w:val="bottom"/>
          </w:tcPr>
          <w:p w14:paraId="675383E1" w14:textId="77777777" w:rsidR="001B77DD" w:rsidRDefault="001B77DD">
            <w:pPr>
              <w:rPr>
                <w:rFonts w:ascii="宋体"/>
              </w:rPr>
            </w:pPr>
          </w:p>
        </w:tc>
        <w:tc>
          <w:tcPr>
            <w:tcW w:w="0" w:type="auto"/>
            <w:shd w:val="clear" w:color="auto" w:fill="auto"/>
            <w:vAlign w:val="bottom"/>
          </w:tcPr>
          <w:p w14:paraId="675383E2" w14:textId="77777777" w:rsidR="001B77DD" w:rsidRDefault="001B77DD">
            <w:pPr>
              <w:rPr>
                <w:rFonts w:ascii="宋体"/>
              </w:rPr>
            </w:pPr>
          </w:p>
        </w:tc>
        <w:tc>
          <w:tcPr>
            <w:tcW w:w="0" w:type="auto"/>
            <w:shd w:val="clear" w:color="auto" w:fill="auto"/>
            <w:vAlign w:val="bottom"/>
          </w:tcPr>
          <w:p w14:paraId="675383E3" w14:textId="77777777" w:rsidR="001B77DD" w:rsidRDefault="001B77DD">
            <w:pPr>
              <w:rPr>
                <w:rFonts w:ascii="宋体"/>
              </w:rPr>
            </w:pPr>
          </w:p>
        </w:tc>
        <w:tc>
          <w:tcPr>
            <w:tcW w:w="0" w:type="auto"/>
            <w:shd w:val="clear" w:color="auto" w:fill="auto"/>
            <w:vAlign w:val="bottom"/>
          </w:tcPr>
          <w:p w14:paraId="675383E4" w14:textId="77777777" w:rsidR="001B77DD" w:rsidRDefault="001B77DD">
            <w:pPr>
              <w:rPr>
                <w:rFonts w:ascii="宋体"/>
              </w:rPr>
            </w:pPr>
          </w:p>
        </w:tc>
        <w:tc>
          <w:tcPr>
            <w:tcW w:w="0" w:type="auto"/>
            <w:shd w:val="clear" w:color="auto" w:fill="auto"/>
            <w:vAlign w:val="bottom"/>
          </w:tcPr>
          <w:p w14:paraId="675383E5" w14:textId="77777777" w:rsidR="001B77DD" w:rsidRDefault="001B77DD">
            <w:pPr>
              <w:rPr>
                <w:rFonts w:ascii="宋体"/>
              </w:rPr>
            </w:pPr>
          </w:p>
        </w:tc>
        <w:tc>
          <w:tcPr>
            <w:tcW w:w="0" w:type="auto"/>
            <w:shd w:val="clear" w:color="auto" w:fill="auto"/>
            <w:vAlign w:val="bottom"/>
          </w:tcPr>
          <w:p w14:paraId="675383E6" w14:textId="77777777" w:rsidR="001B77DD" w:rsidRDefault="001B77DD">
            <w:pPr>
              <w:rPr>
                <w:rFonts w:ascii="宋体"/>
              </w:rPr>
            </w:pPr>
          </w:p>
        </w:tc>
      </w:tr>
      <w:tr w:rsidR="001B77DD" w14:paraId="675383EB" w14:textId="77777777">
        <w:trPr>
          <w:hidden/>
        </w:trPr>
        <w:tc>
          <w:tcPr>
            <w:tcW w:w="0" w:type="auto"/>
            <w:gridSpan w:val="3"/>
            <w:shd w:val="clear" w:color="auto" w:fill="auto"/>
            <w:vAlign w:val="bottom"/>
          </w:tcPr>
          <w:p w14:paraId="675383E8" w14:textId="77777777" w:rsidR="001B77DD" w:rsidRDefault="001B77DD">
            <w:pPr>
              <w:rPr>
                <w:rFonts w:ascii="宋体"/>
                <w:vanish/>
              </w:rPr>
            </w:pPr>
          </w:p>
        </w:tc>
        <w:tc>
          <w:tcPr>
            <w:tcW w:w="0" w:type="auto"/>
            <w:gridSpan w:val="3"/>
            <w:shd w:val="clear" w:color="auto" w:fill="auto"/>
            <w:vAlign w:val="bottom"/>
          </w:tcPr>
          <w:p w14:paraId="675383E9" w14:textId="77777777" w:rsidR="001B77DD" w:rsidRDefault="001B77DD">
            <w:pPr>
              <w:rPr>
                <w:rFonts w:ascii="宋体"/>
                <w:vanish/>
              </w:rPr>
            </w:pPr>
          </w:p>
        </w:tc>
        <w:tc>
          <w:tcPr>
            <w:tcW w:w="0" w:type="auto"/>
            <w:gridSpan w:val="3"/>
            <w:shd w:val="clear" w:color="auto" w:fill="auto"/>
            <w:vAlign w:val="bottom"/>
          </w:tcPr>
          <w:p w14:paraId="675383EA" w14:textId="77777777" w:rsidR="001B77DD" w:rsidRDefault="001B77DD">
            <w:pPr>
              <w:rPr>
                <w:rFonts w:ascii="宋体"/>
                <w:vanish/>
              </w:rPr>
            </w:pPr>
          </w:p>
        </w:tc>
      </w:tr>
      <w:tr w:rsidR="001B77DD" w14:paraId="675383EF" w14:textId="77777777">
        <w:trPr>
          <w:hidden/>
        </w:trPr>
        <w:tc>
          <w:tcPr>
            <w:tcW w:w="0" w:type="auto"/>
            <w:gridSpan w:val="3"/>
            <w:shd w:val="clear" w:color="auto" w:fill="auto"/>
            <w:vAlign w:val="bottom"/>
          </w:tcPr>
          <w:p w14:paraId="675383EC" w14:textId="77777777" w:rsidR="001B77DD" w:rsidRDefault="001B77DD">
            <w:pPr>
              <w:rPr>
                <w:rFonts w:ascii="宋体"/>
                <w:vanish/>
              </w:rPr>
            </w:pPr>
          </w:p>
        </w:tc>
        <w:tc>
          <w:tcPr>
            <w:tcW w:w="0" w:type="auto"/>
            <w:gridSpan w:val="3"/>
            <w:shd w:val="clear" w:color="auto" w:fill="auto"/>
            <w:vAlign w:val="bottom"/>
          </w:tcPr>
          <w:p w14:paraId="675383ED" w14:textId="77777777" w:rsidR="001B77DD" w:rsidRDefault="001B77DD">
            <w:pPr>
              <w:rPr>
                <w:rFonts w:ascii="宋体"/>
                <w:vanish/>
              </w:rPr>
            </w:pPr>
          </w:p>
        </w:tc>
        <w:tc>
          <w:tcPr>
            <w:tcW w:w="0" w:type="auto"/>
            <w:gridSpan w:val="3"/>
            <w:shd w:val="clear" w:color="auto" w:fill="auto"/>
            <w:vAlign w:val="bottom"/>
          </w:tcPr>
          <w:p w14:paraId="675383EE" w14:textId="77777777" w:rsidR="001B77DD" w:rsidRDefault="001B77DD">
            <w:pPr>
              <w:rPr>
                <w:rFonts w:ascii="宋体"/>
                <w:vanish/>
              </w:rPr>
            </w:pPr>
          </w:p>
        </w:tc>
      </w:tr>
      <w:tr w:rsidR="001B77DD" w14:paraId="675383F3" w14:textId="77777777">
        <w:tc>
          <w:tcPr>
            <w:tcW w:w="0" w:type="auto"/>
            <w:gridSpan w:val="3"/>
            <w:shd w:val="clear" w:color="auto" w:fill="auto"/>
            <w:tcMar>
              <w:top w:w="40" w:type="dxa"/>
              <w:left w:w="20" w:type="dxa"/>
              <w:bottom w:w="40" w:type="dxa"/>
              <w:right w:w="20" w:type="dxa"/>
            </w:tcMar>
          </w:tcPr>
          <w:p w14:paraId="675383F0" w14:textId="77777777" w:rsidR="001B77DD" w:rsidRDefault="00BF0A28">
            <w:pPr>
              <w:textAlignment w:val="top"/>
            </w:pPr>
            <w:r>
              <w:rPr>
                <w:rFonts w:ascii="Arial" w:eastAsia="宋体" w:hAnsi="Arial" w:cs="Arial"/>
                <w:color w:val="0068B5"/>
                <w:sz w:val="18"/>
                <w:szCs w:val="18"/>
              </w:rPr>
              <w:t>IPO</w:t>
            </w:r>
          </w:p>
        </w:tc>
        <w:tc>
          <w:tcPr>
            <w:tcW w:w="0" w:type="auto"/>
            <w:gridSpan w:val="3"/>
            <w:shd w:val="clear" w:color="auto" w:fill="auto"/>
            <w:tcMar>
              <w:top w:w="0" w:type="dxa"/>
              <w:left w:w="20" w:type="dxa"/>
              <w:bottom w:w="0" w:type="dxa"/>
              <w:right w:w="20" w:type="dxa"/>
            </w:tcMar>
            <w:vAlign w:val="bottom"/>
          </w:tcPr>
          <w:p w14:paraId="675383F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3F2" w14:textId="77777777" w:rsidR="001B77DD" w:rsidRDefault="00BF0A28">
            <w:pPr>
              <w:textAlignment w:val="top"/>
            </w:pPr>
            <w:r>
              <w:rPr>
                <w:rFonts w:ascii="Arial" w:eastAsia="宋体" w:hAnsi="Arial" w:cs="Arial"/>
                <w:color w:val="262626"/>
                <w:sz w:val="18"/>
                <w:szCs w:val="18"/>
              </w:rPr>
              <w:t>Initial public offering</w:t>
            </w:r>
          </w:p>
        </w:tc>
      </w:tr>
    </w:tbl>
    <w:p w14:paraId="675383F4"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3FE" w14:textId="77777777">
        <w:tc>
          <w:tcPr>
            <w:tcW w:w="50" w:type="pct"/>
            <w:shd w:val="clear" w:color="auto" w:fill="auto"/>
            <w:vAlign w:val="bottom"/>
          </w:tcPr>
          <w:p w14:paraId="675383F5" w14:textId="77777777" w:rsidR="001B77DD" w:rsidRDefault="001B77DD">
            <w:pPr>
              <w:rPr>
                <w:rFonts w:ascii="宋体"/>
              </w:rPr>
            </w:pPr>
          </w:p>
        </w:tc>
        <w:tc>
          <w:tcPr>
            <w:tcW w:w="283" w:type="pct"/>
            <w:shd w:val="clear" w:color="auto" w:fill="auto"/>
            <w:vAlign w:val="bottom"/>
          </w:tcPr>
          <w:p w14:paraId="675383F6" w14:textId="77777777" w:rsidR="001B77DD" w:rsidRDefault="001B77DD">
            <w:pPr>
              <w:rPr>
                <w:rFonts w:ascii="宋体"/>
              </w:rPr>
            </w:pPr>
          </w:p>
        </w:tc>
        <w:tc>
          <w:tcPr>
            <w:tcW w:w="5" w:type="pct"/>
            <w:shd w:val="clear" w:color="auto" w:fill="auto"/>
            <w:vAlign w:val="bottom"/>
          </w:tcPr>
          <w:p w14:paraId="675383F7" w14:textId="77777777" w:rsidR="001B77DD" w:rsidRDefault="001B77DD">
            <w:pPr>
              <w:rPr>
                <w:rFonts w:ascii="宋体"/>
              </w:rPr>
            </w:pPr>
          </w:p>
        </w:tc>
        <w:tc>
          <w:tcPr>
            <w:tcW w:w="50" w:type="pct"/>
            <w:shd w:val="clear" w:color="auto" w:fill="auto"/>
            <w:vAlign w:val="bottom"/>
          </w:tcPr>
          <w:p w14:paraId="675383F8" w14:textId="77777777" w:rsidR="001B77DD" w:rsidRDefault="001B77DD">
            <w:pPr>
              <w:rPr>
                <w:rFonts w:ascii="宋体"/>
              </w:rPr>
            </w:pPr>
          </w:p>
        </w:tc>
        <w:tc>
          <w:tcPr>
            <w:tcW w:w="2656" w:type="pct"/>
            <w:shd w:val="clear" w:color="auto" w:fill="auto"/>
            <w:vAlign w:val="bottom"/>
          </w:tcPr>
          <w:p w14:paraId="675383F9" w14:textId="77777777" w:rsidR="001B77DD" w:rsidRDefault="001B77DD">
            <w:pPr>
              <w:rPr>
                <w:rFonts w:ascii="宋体"/>
              </w:rPr>
            </w:pPr>
          </w:p>
        </w:tc>
        <w:tc>
          <w:tcPr>
            <w:tcW w:w="5" w:type="pct"/>
            <w:shd w:val="clear" w:color="auto" w:fill="auto"/>
            <w:vAlign w:val="bottom"/>
          </w:tcPr>
          <w:p w14:paraId="675383FA" w14:textId="77777777" w:rsidR="001B77DD" w:rsidRDefault="001B77DD">
            <w:pPr>
              <w:rPr>
                <w:rFonts w:ascii="宋体"/>
              </w:rPr>
            </w:pPr>
          </w:p>
        </w:tc>
        <w:tc>
          <w:tcPr>
            <w:tcW w:w="50" w:type="pct"/>
            <w:shd w:val="clear" w:color="auto" w:fill="auto"/>
            <w:vAlign w:val="bottom"/>
          </w:tcPr>
          <w:p w14:paraId="675383FB" w14:textId="77777777" w:rsidR="001B77DD" w:rsidRDefault="001B77DD">
            <w:pPr>
              <w:rPr>
                <w:rFonts w:ascii="宋体"/>
              </w:rPr>
            </w:pPr>
          </w:p>
        </w:tc>
        <w:tc>
          <w:tcPr>
            <w:tcW w:w="1894" w:type="pct"/>
            <w:shd w:val="clear" w:color="auto" w:fill="auto"/>
            <w:vAlign w:val="bottom"/>
          </w:tcPr>
          <w:p w14:paraId="675383FC" w14:textId="77777777" w:rsidR="001B77DD" w:rsidRDefault="001B77DD">
            <w:pPr>
              <w:rPr>
                <w:rFonts w:ascii="宋体"/>
              </w:rPr>
            </w:pPr>
          </w:p>
        </w:tc>
        <w:tc>
          <w:tcPr>
            <w:tcW w:w="5" w:type="pct"/>
            <w:shd w:val="clear" w:color="auto" w:fill="auto"/>
            <w:vAlign w:val="bottom"/>
          </w:tcPr>
          <w:p w14:paraId="675383FD" w14:textId="77777777" w:rsidR="001B77DD" w:rsidRDefault="001B77DD">
            <w:pPr>
              <w:rPr>
                <w:rFonts w:ascii="宋体"/>
              </w:rPr>
            </w:pPr>
          </w:p>
        </w:tc>
      </w:tr>
      <w:tr w:rsidR="001B77DD" w14:paraId="6753840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3FF"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8D" wp14:editId="67538F8E">
                  <wp:extent cx="304800" cy="304800"/>
                  <wp:effectExtent l="0" t="0" r="0" b="0"/>
                  <wp:docPr id="118" name="图片 35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5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400"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401" w14:textId="77777777" w:rsidR="001B77DD" w:rsidRDefault="00BF0A28">
            <w:pPr>
              <w:jc w:val="right"/>
              <w:textAlignment w:val="center"/>
            </w:pPr>
            <w:r>
              <w:rPr>
                <w:rFonts w:ascii="Arial" w:eastAsia="宋体" w:hAnsi="Arial" w:cs="Arial"/>
                <w:color w:val="262626"/>
                <w:sz w:val="16"/>
                <w:szCs w:val="16"/>
              </w:rPr>
              <w:t>111</w:t>
            </w:r>
          </w:p>
        </w:tc>
      </w:tr>
    </w:tbl>
    <w:p w14:paraId="67538403" w14:textId="77777777" w:rsidR="001B77DD" w:rsidRDefault="00BF0A28">
      <w:r>
        <w:pict w14:anchorId="67538F8F">
          <v:rect id="_x0000_i1137" style="width:415.3pt;height:1.5pt" o:hralign="center" o:hrstd="t" o:hr="t" fillcolor="#a0a0a0" stroked="f"/>
        </w:pict>
      </w:r>
    </w:p>
    <w:p w14:paraId="67538404" w14:textId="77777777" w:rsidR="001B77DD" w:rsidRDefault="00BF0A28">
      <w:pPr>
        <w:jc w:val="right"/>
      </w:pPr>
      <w:hyperlink r:id="rId199" w:anchor="i6c9ced68f6b24d58a3dcf326e8c3c699_16" w:history="1">
        <w:r>
          <w:rPr>
            <w:rStyle w:val="a5"/>
            <w:rFonts w:ascii="Arial" w:eastAsia="宋体" w:hAnsi="Arial" w:cs="Arial"/>
            <w:b/>
            <w:bCs/>
            <w:sz w:val="16"/>
            <w:szCs w:val="16"/>
          </w:rPr>
          <w:t>Table of Contents</w:t>
        </w:r>
      </w:hyperlink>
    </w:p>
    <w:p w14:paraId="67538405"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2"/>
        <w:gridCol w:w="1187"/>
        <w:gridCol w:w="37"/>
        <w:gridCol w:w="36"/>
        <w:gridCol w:w="36"/>
        <w:gridCol w:w="36"/>
        <w:gridCol w:w="53"/>
        <w:gridCol w:w="6861"/>
        <w:gridCol w:w="38"/>
      </w:tblGrid>
      <w:tr w:rsidR="001B77DD" w14:paraId="6753840F" w14:textId="77777777">
        <w:tc>
          <w:tcPr>
            <w:tcW w:w="50" w:type="pct"/>
            <w:shd w:val="clear" w:color="auto" w:fill="auto"/>
            <w:vAlign w:val="bottom"/>
          </w:tcPr>
          <w:p w14:paraId="67538406" w14:textId="77777777" w:rsidR="001B77DD" w:rsidRDefault="001B77DD">
            <w:pPr>
              <w:rPr>
                <w:rFonts w:ascii="宋体"/>
              </w:rPr>
            </w:pPr>
          </w:p>
        </w:tc>
        <w:tc>
          <w:tcPr>
            <w:tcW w:w="730" w:type="pct"/>
            <w:shd w:val="clear" w:color="auto" w:fill="auto"/>
            <w:vAlign w:val="bottom"/>
          </w:tcPr>
          <w:p w14:paraId="67538407" w14:textId="77777777" w:rsidR="001B77DD" w:rsidRDefault="001B77DD">
            <w:pPr>
              <w:rPr>
                <w:rFonts w:ascii="宋体"/>
              </w:rPr>
            </w:pPr>
          </w:p>
        </w:tc>
        <w:tc>
          <w:tcPr>
            <w:tcW w:w="5" w:type="pct"/>
            <w:shd w:val="clear" w:color="auto" w:fill="auto"/>
            <w:vAlign w:val="bottom"/>
          </w:tcPr>
          <w:p w14:paraId="67538408" w14:textId="77777777" w:rsidR="001B77DD" w:rsidRDefault="001B77DD">
            <w:pPr>
              <w:rPr>
                <w:rFonts w:ascii="宋体"/>
              </w:rPr>
            </w:pPr>
          </w:p>
        </w:tc>
        <w:tc>
          <w:tcPr>
            <w:tcW w:w="5" w:type="pct"/>
            <w:shd w:val="clear" w:color="auto" w:fill="auto"/>
            <w:vAlign w:val="bottom"/>
          </w:tcPr>
          <w:p w14:paraId="67538409" w14:textId="77777777" w:rsidR="001B77DD" w:rsidRDefault="001B77DD">
            <w:pPr>
              <w:rPr>
                <w:rFonts w:ascii="宋体"/>
              </w:rPr>
            </w:pPr>
          </w:p>
        </w:tc>
        <w:tc>
          <w:tcPr>
            <w:tcW w:w="17" w:type="pct"/>
            <w:shd w:val="clear" w:color="auto" w:fill="auto"/>
            <w:vAlign w:val="bottom"/>
          </w:tcPr>
          <w:p w14:paraId="6753840A" w14:textId="77777777" w:rsidR="001B77DD" w:rsidRDefault="001B77DD">
            <w:pPr>
              <w:rPr>
                <w:rFonts w:ascii="宋体"/>
              </w:rPr>
            </w:pPr>
          </w:p>
        </w:tc>
        <w:tc>
          <w:tcPr>
            <w:tcW w:w="5" w:type="pct"/>
            <w:shd w:val="clear" w:color="auto" w:fill="auto"/>
            <w:vAlign w:val="bottom"/>
          </w:tcPr>
          <w:p w14:paraId="6753840B" w14:textId="77777777" w:rsidR="001B77DD" w:rsidRDefault="001B77DD">
            <w:pPr>
              <w:rPr>
                <w:rFonts w:ascii="宋体"/>
              </w:rPr>
            </w:pPr>
          </w:p>
        </w:tc>
        <w:tc>
          <w:tcPr>
            <w:tcW w:w="50" w:type="pct"/>
            <w:shd w:val="clear" w:color="auto" w:fill="auto"/>
            <w:vAlign w:val="bottom"/>
          </w:tcPr>
          <w:p w14:paraId="6753840C" w14:textId="77777777" w:rsidR="001B77DD" w:rsidRDefault="001B77DD">
            <w:pPr>
              <w:rPr>
                <w:rFonts w:ascii="宋体"/>
              </w:rPr>
            </w:pPr>
          </w:p>
        </w:tc>
        <w:tc>
          <w:tcPr>
            <w:tcW w:w="4132" w:type="pct"/>
            <w:shd w:val="clear" w:color="auto" w:fill="auto"/>
            <w:vAlign w:val="bottom"/>
          </w:tcPr>
          <w:p w14:paraId="6753840D" w14:textId="77777777" w:rsidR="001B77DD" w:rsidRDefault="001B77DD">
            <w:pPr>
              <w:rPr>
                <w:rFonts w:ascii="宋体"/>
              </w:rPr>
            </w:pPr>
          </w:p>
        </w:tc>
        <w:tc>
          <w:tcPr>
            <w:tcW w:w="5" w:type="pct"/>
            <w:shd w:val="clear" w:color="auto" w:fill="auto"/>
            <w:vAlign w:val="bottom"/>
          </w:tcPr>
          <w:p w14:paraId="6753840E" w14:textId="77777777" w:rsidR="001B77DD" w:rsidRDefault="001B77DD">
            <w:pPr>
              <w:rPr>
                <w:rFonts w:ascii="宋体"/>
              </w:rPr>
            </w:pPr>
          </w:p>
        </w:tc>
      </w:tr>
      <w:tr w:rsidR="001B77DD" w14:paraId="67538413" w14:textId="77777777">
        <w:tc>
          <w:tcPr>
            <w:tcW w:w="0" w:type="auto"/>
            <w:gridSpan w:val="3"/>
            <w:shd w:val="clear" w:color="auto" w:fill="auto"/>
            <w:tcMar>
              <w:top w:w="40" w:type="dxa"/>
              <w:left w:w="20" w:type="dxa"/>
              <w:bottom w:w="40" w:type="dxa"/>
              <w:right w:w="20" w:type="dxa"/>
            </w:tcMar>
          </w:tcPr>
          <w:p w14:paraId="67538410" w14:textId="77777777" w:rsidR="001B77DD" w:rsidRDefault="00BF0A28">
            <w:pPr>
              <w:textAlignment w:val="top"/>
            </w:pPr>
            <w:r>
              <w:rPr>
                <w:rFonts w:ascii="Arial" w:eastAsia="宋体" w:hAnsi="Arial" w:cs="Arial"/>
                <w:color w:val="0068B5"/>
                <w:sz w:val="18"/>
                <w:szCs w:val="18"/>
              </w:rPr>
              <w:t>IPU</w:t>
            </w:r>
          </w:p>
        </w:tc>
        <w:tc>
          <w:tcPr>
            <w:tcW w:w="0" w:type="auto"/>
            <w:gridSpan w:val="3"/>
            <w:shd w:val="clear" w:color="auto" w:fill="auto"/>
            <w:tcMar>
              <w:top w:w="0" w:type="dxa"/>
              <w:left w:w="20" w:type="dxa"/>
              <w:bottom w:w="0" w:type="dxa"/>
              <w:right w:w="20" w:type="dxa"/>
            </w:tcMar>
            <w:vAlign w:val="bottom"/>
          </w:tcPr>
          <w:p w14:paraId="6753841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12" w14:textId="77777777" w:rsidR="001B77DD" w:rsidRDefault="00BF0A28">
            <w:pPr>
              <w:textAlignment w:val="top"/>
            </w:pPr>
            <w:r>
              <w:rPr>
                <w:rFonts w:ascii="Arial" w:eastAsia="宋体" w:hAnsi="Arial" w:cs="Arial"/>
                <w:color w:val="262626"/>
                <w:sz w:val="18"/>
                <w:szCs w:val="18"/>
              </w:rPr>
              <w:t xml:space="preserve">Infrastructure Processing Unit, a programmable networking device designed to enable cloud and communication service providers to reduce overhead and free up performance for CPUs </w:t>
            </w:r>
          </w:p>
        </w:tc>
      </w:tr>
      <w:tr w:rsidR="001B77DD" w14:paraId="67538417" w14:textId="77777777">
        <w:trPr>
          <w:hidden/>
        </w:trPr>
        <w:tc>
          <w:tcPr>
            <w:tcW w:w="0" w:type="auto"/>
            <w:gridSpan w:val="3"/>
            <w:shd w:val="clear" w:color="auto" w:fill="auto"/>
            <w:vAlign w:val="bottom"/>
          </w:tcPr>
          <w:p w14:paraId="67538414" w14:textId="77777777" w:rsidR="001B77DD" w:rsidRDefault="001B77DD">
            <w:pPr>
              <w:rPr>
                <w:rFonts w:ascii="宋体"/>
                <w:vanish/>
              </w:rPr>
            </w:pPr>
          </w:p>
        </w:tc>
        <w:tc>
          <w:tcPr>
            <w:tcW w:w="0" w:type="auto"/>
            <w:gridSpan w:val="3"/>
            <w:shd w:val="clear" w:color="auto" w:fill="auto"/>
            <w:vAlign w:val="bottom"/>
          </w:tcPr>
          <w:p w14:paraId="67538415" w14:textId="77777777" w:rsidR="001B77DD" w:rsidRDefault="001B77DD">
            <w:pPr>
              <w:rPr>
                <w:rFonts w:ascii="宋体"/>
                <w:vanish/>
              </w:rPr>
            </w:pPr>
          </w:p>
        </w:tc>
        <w:tc>
          <w:tcPr>
            <w:tcW w:w="0" w:type="auto"/>
            <w:gridSpan w:val="3"/>
            <w:shd w:val="clear" w:color="auto" w:fill="auto"/>
            <w:vAlign w:val="bottom"/>
          </w:tcPr>
          <w:p w14:paraId="67538416" w14:textId="77777777" w:rsidR="001B77DD" w:rsidRDefault="001B77DD">
            <w:pPr>
              <w:rPr>
                <w:rFonts w:ascii="宋体"/>
                <w:vanish/>
              </w:rPr>
            </w:pPr>
          </w:p>
        </w:tc>
      </w:tr>
      <w:tr w:rsidR="001B77DD" w14:paraId="6753841B" w14:textId="77777777">
        <w:tc>
          <w:tcPr>
            <w:tcW w:w="0" w:type="auto"/>
            <w:gridSpan w:val="3"/>
            <w:shd w:val="clear" w:color="auto" w:fill="auto"/>
            <w:tcMar>
              <w:top w:w="40" w:type="dxa"/>
              <w:left w:w="20" w:type="dxa"/>
              <w:bottom w:w="40" w:type="dxa"/>
              <w:right w:w="20" w:type="dxa"/>
            </w:tcMar>
          </w:tcPr>
          <w:p w14:paraId="67538418" w14:textId="77777777" w:rsidR="001B77DD" w:rsidRDefault="00BF0A28">
            <w:pPr>
              <w:textAlignment w:val="top"/>
            </w:pPr>
            <w:r>
              <w:rPr>
                <w:rFonts w:ascii="Arial" w:eastAsia="宋体" w:hAnsi="Arial" w:cs="Arial"/>
                <w:color w:val="0068B5"/>
                <w:sz w:val="18"/>
                <w:szCs w:val="18"/>
              </w:rPr>
              <w:t>L1</w:t>
            </w:r>
          </w:p>
        </w:tc>
        <w:tc>
          <w:tcPr>
            <w:tcW w:w="0" w:type="auto"/>
            <w:gridSpan w:val="3"/>
            <w:shd w:val="clear" w:color="auto" w:fill="auto"/>
            <w:tcMar>
              <w:top w:w="0" w:type="dxa"/>
              <w:left w:w="20" w:type="dxa"/>
              <w:bottom w:w="0" w:type="dxa"/>
              <w:right w:w="20" w:type="dxa"/>
            </w:tcMar>
            <w:vAlign w:val="bottom"/>
          </w:tcPr>
          <w:p w14:paraId="6753841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1A" w14:textId="77777777" w:rsidR="001B77DD" w:rsidRDefault="00BF0A28">
            <w:pPr>
              <w:textAlignment w:val="top"/>
            </w:pPr>
            <w:r>
              <w:rPr>
                <w:rFonts w:ascii="Arial" w:eastAsia="宋体" w:hAnsi="Arial" w:cs="Arial"/>
                <w:color w:val="262626"/>
                <w:sz w:val="18"/>
                <w:szCs w:val="18"/>
              </w:rPr>
              <w:t xml:space="preserve">Level 1 of autonomous driving; most functions are </w:t>
            </w:r>
            <w:r>
              <w:rPr>
                <w:rFonts w:ascii="Arial" w:eastAsia="宋体" w:hAnsi="Arial" w:cs="Arial"/>
                <w:color w:val="262626"/>
                <w:sz w:val="18"/>
                <w:szCs w:val="18"/>
              </w:rPr>
              <w:t>controlled by a human driver; certain functions (parking assist, acceleration, and limited steering) can be done automatically by the vehicle</w:t>
            </w:r>
          </w:p>
        </w:tc>
      </w:tr>
      <w:tr w:rsidR="001B77DD" w14:paraId="6753841F" w14:textId="77777777">
        <w:tc>
          <w:tcPr>
            <w:tcW w:w="0" w:type="auto"/>
            <w:gridSpan w:val="3"/>
            <w:shd w:val="clear" w:color="auto" w:fill="auto"/>
            <w:tcMar>
              <w:top w:w="40" w:type="dxa"/>
              <w:left w:w="20" w:type="dxa"/>
              <w:bottom w:w="40" w:type="dxa"/>
              <w:right w:w="20" w:type="dxa"/>
            </w:tcMar>
          </w:tcPr>
          <w:p w14:paraId="6753841C" w14:textId="77777777" w:rsidR="001B77DD" w:rsidRDefault="00BF0A28">
            <w:pPr>
              <w:textAlignment w:val="top"/>
            </w:pPr>
            <w:r>
              <w:rPr>
                <w:rFonts w:ascii="Arial" w:eastAsia="宋体" w:hAnsi="Arial" w:cs="Arial"/>
                <w:color w:val="0068B5"/>
                <w:sz w:val="18"/>
                <w:szCs w:val="18"/>
              </w:rPr>
              <w:t>L2</w:t>
            </w:r>
          </w:p>
        </w:tc>
        <w:tc>
          <w:tcPr>
            <w:tcW w:w="0" w:type="auto"/>
            <w:gridSpan w:val="3"/>
            <w:shd w:val="clear" w:color="auto" w:fill="auto"/>
            <w:tcMar>
              <w:top w:w="0" w:type="dxa"/>
              <w:left w:w="20" w:type="dxa"/>
              <w:bottom w:w="0" w:type="dxa"/>
              <w:right w:w="20" w:type="dxa"/>
            </w:tcMar>
            <w:vAlign w:val="bottom"/>
          </w:tcPr>
          <w:p w14:paraId="6753841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1E" w14:textId="77777777" w:rsidR="001B77DD" w:rsidRDefault="00BF0A28">
            <w:pPr>
              <w:textAlignment w:val="top"/>
            </w:pPr>
            <w:r>
              <w:rPr>
                <w:rFonts w:ascii="Arial" w:eastAsia="宋体" w:hAnsi="Arial" w:cs="Arial"/>
                <w:color w:val="262626"/>
                <w:sz w:val="18"/>
                <w:szCs w:val="18"/>
              </w:rPr>
              <w:t xml:space="preserve">Level 2 of autonomous driving; the system controls both steering and acceleration using </w:t>
            </w:r>
            <w:r>
              <w:rPr>
                <w:rFonts w:ascii="Arial" w:eastAsia="宋体" w:hAnsi="Arial" w:cs="Arial"/>
                <w:color w:val="262626"/>
                <w:sz w:val="18"/>
                <w:szCs w:val="18"/>
              </w:rPr>
              <w:t>information about the driving environment, but with the expectation that a human will perform all remaining aspects of driving; the driver can have his or her hands off the steering wheel, but must monitor the "dynamic driving task" at all times</w:t>
            </w:r>
          </w:p>
        </w:tc>
      </w:tr>
      <w:tr w:rsidR="001B77DD" w14:paraId="67538423" w14:textId="77777777">
        <w:tc>
          <w:tcPr>
            <w:tcW w:w="0" w:type="auto"/>
            <w:gridSpan w:val="3"/>
            <w:shd w:val="clear" w:color="auto" w:fill="auto"/>
            <w:tcMar>
              <w:top w:w="40" w:type="dxa"/>
              <w:left w:w="20" w:type="dxa"/>
              <w:bottom w:w="40" w:type="dxa"/>
              <w:right w:w="20" w:type="dxa"/>
            </w:tcMar>
          </w:tcPr>
          <w:p w14:paraId="67538420" w14:textId="77777777" w:rsidR="001B77DD" w:rsidRDefault="00BF0A28">
            <w:pPr>
              <w:textAlignment w:val="top"/>
            </w:pPr>
            <w:r>
              <w:rPr>
                <w:rFonts w:ascii="Arial" w:eastAsia="宋体" w:hAnsi="Arial" w:cs="Arial"/>
                <w:color w:val="0068B5"/>
                <w:sz w:val="18"/>
                <w:szCs w:val="18"/>
              </w:rPr>
              <w:t>L2+</w:t>
            </w:r>
          </w:p>
        </w:tc>
        <w:tc>
          <w:tcPr>
            <w:tcW w:w="0" w:type="auto"/>
            <w:gridSpan w:val="3"/>
            <w:shd w:val="clear" w:color="auto" w:fill="auto"/>
            <w:tcMar>
              <w:top w:w="0" w:type="dxa"/>
              <w:left w:w="20" w:type="dxa"/>
              <w:bottom w:w="0" w:type="dxa"/>
              <w:right w:w="20" w:type="dxa"/>
            </w:tcMar>
            <w:vAlign w:val="bottom"/>
          </w:tcPr>
          <w:p w14:paraId="6753842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22" w14:textId="77777777" w:rsidR="001B77DD" w:rsidRDefault="00BF0A28">
            <w:pPr>
              <w:textAlignment w:val="top"/>
            </w:pPr>
            <w:r>
              <w:rPr>
                <w:rFonts w:ascii="Arial" w:eastAsia="宋体" w:hAnsi="Arial" w:cs="Arial"/>
                <w:color w:val="262626"/>
                <w:sz w:val="18"/>
                <w:szCs w:val="18"/>
              </w:rPr>
              <w:t>Leve</w:t>
            </w:r>
            <w:r>
              <w:rPr>
                <w:rFonts w:ascii="Arial" w:eastAsia="宋体" w:hAnsi="Arial" w:cs="Arial"/>
                <w:color w:val="262626"/>
                <w:sz w:val="18"/>
                <w:szCs w:val="18"/>
              </w:rPr>
              <w:t>l 2+ of autonomous driving; the system controls both steering and acceleration using a multi-camera sensor suite and/or high-definition maps to enhance and solidify L2 capabilities</w:t>
            </w:r>
          </w:p>
        </w:tc>
      </w:tr>
      <w:tr w:rsidR="001B77DD" w14:paraId="67538427" w14:textId="77777777">
        <w:trPr>
          <w:hidden/>
        </w:trPr>
        <w:tc>
          <w:tcPr>
            <w:tcW w:w="0" w:type="auto"/>
            <w:gridSpan w:val="3"/>
            <w:shd w:val="clear" w:color="auto" w:fill="auto"/>
            <w:vAlign w:val="bottom"/>
          </w:tcPr>
          <w:p w14:paraId="67538424" w14:textId="77777777" w:rsidR="001B77DD" w:rsidRDefault="001B77DD">
            <w:pPr>
              <w:rPr>
                <w:rFonts w:ascii="宋体"/>
                <w:vanish/>
              </w:rPr>
            </w:pPr>
          </w:p>
        </w:tc>
        <w:tc>
          <w:tcPr>
            <w:tcW w:w="0" w:type="auto"/>
            <w:gridSpan w:val="3"/>
            <w:shd w:val="clear" w:color="auto" w:fill="auto"/>
            <w:vAlign w:val="bottom"/>
          </w:tcPr>
          <w:p w14:paraId="67538425" w14:textId="77777777" w:rsidR="001B77DD" w:rsidRDefault="001B77DD">
            <w:pPr>
              <w:rPr>
                <w:rFonts w:ascii="宋体"/>
                <w:vanish/>
              </w:rPr>
            </w:pPr>
          </w:p>
        </w:tc>
        <w:tc>
          <w:tcPr>
            <w:tcW w:w="0" w:type="auto"/>
            <w:gridSpan w:val="3"/>
            <w:shd w:val="clear" w:color="auto" w:fill="auto"/>
            <w:vAlign w:val="bottom"/>
          </w:tcPr>
          <w:p w14:paraId="67538426" w14:textId="77777777" w:rsidR="001B77DD" w:rsidRDefault="001B77DD">
            <w:pPr>
              <w:rPr>
                <w:rFonts w:ascii="宋体"/>
                <w:vanish/>
              </w:rPr>
            </w:pPr>
          </w:p>
        </w:tc>
      </w:tr>
      <w:tr w:rsidR="001B77DD" w14:paraId="6753842B" w14:textId="77777777">
        <w:tc>
          <w:tcPr>
            <w:tcW w:w="0" w:type="auto"/>
            <w:gridSpan w:val="3"/>
            <w:shd w:val="clear" w:color="auto" w:fill="auto"/>
            <w:tcMar>
              <w:top w:w="40" w:type="dxa"/>
              <w:left w:w="20" w:type="dxa"/>
              <w:bottom w:w="40" w:type="dxa"/>
              <w:right w:w="20" w:type="dxa"/>
            </w:tcMar>
          </w:tcPr>
          <w:p w14:paraId="67538428" w14:textId="77777777" w:rsidR="001B77DD" w:rsidRDefault="00BF0A28">
            <w:pPr>
              <w:textAlignment w:val="top"/>
            </w:pPr>
            <w:r>
              <w:rPr>
                <w:rFonts w:ascii="Arial" w:eastAsia="宋体" w:hAnsi="Arial" w:cs="Arial"/>
                <w:color w:val="0068B5"/>
                <w:sz w:val="18"/>
                <w:szCs w:val="18"/>
              </w:rPr>
              <w:t>L4</w:t>
            </w:r>
          </w:p>
        </w:tc>
        <w:tc>
          <w:tcPr>
            <w:tcW w:w="0" w:type="auto"/>
            <w:gridSpan w:val="3"/>
            <w:shd w:val="clear" w:color="auto" w:fill="auto"/>
            <w:tcMar>
              <w:top w:w="0" w:type="dxa"/>
              <w:left w:w="20" w:type="dxa"/>
              <w:bottom w:w="0" w:type="dxa"/>
              <w:right w:w="20" w:type="dxa"/>
            </w:tcMar>
            <w:vAlign w:val="bottom"/>
          </w:tcPr>
          <w:p w14:paraId="6753842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2A" w14:textId="77777777" w:rsidR="001B77DD" w:rsidRDefault="00BF0A28">
            <w:pPr>
              <w:textAlignment w:val="top"/>
            </w:pPr>
            <w:r>
              <w:rPr>
                <w:rFonts w:ascii="Arial" w:eastAsia="宋体" w:hAnsi="Arial" w:cs="Arial"/>
                <w:color w:val="262626"/>
                <w:sz w:val="18"/>
                <w:szCs w:val="18"/>
              </w:rPr>
              <w:t xml:space="preserve">Level 4 of autonomous driving; the system performs all </w:t>
            </w:r>
            <w:r>
              <w:rPr>
                <w:rFonts w:ascii="Arial" w:eastAsia="宋体" w:hAnsi="Arial" w:cs="Arial"/>
                <w:color w:val="262626"/>
                <w:sz w:val="18"/>
                <w:szCs w:val="18"/>
              </w:rPr>
              <w:t>aspects of the driving task even if the driver does not respond appropriately to a request for intervention, including all safety-critical driving functions and monitoring roadway conditions for an entire trip. For a defined use case, no driver interventio</w:t>
            </w:r>
            <w:r>
              <w:rPr>
                <w:rFonts w:ascii="Arial" w:eastAsia="宋体" w:hAnsi="Arial" w:cs="Arial"/>
                <w:color w:val="262626"/>
                <w:sz w:val="18"/>
                <w:szCs w:val="18"/>
              </w:rPr>
              <w:t>n is required at all.</w:t>
            </w:r>
          </w:p>
        </w:tc>
      </w:tr>
      <w:tr w:rsidR="001B77DD" w14:paraId="6753842F" w14:textId="77777777">
        <w:trPr>
          <w:hidden/>
        </w:trPr>
        <w:tc>
          <w:tcPr>
            <w:tcW w:w="0" w:type="auto"/>
            <w:gridSpan w:val="3"/>
            <w:shd w:val="clear" w:color="auto" w:fill="auto"/>
            <w:vAlign w:val="bottom"/>
          </w:tcPr>
          <w:p w14:paraId="6753842C" w14:textId="77777777" w:rsidR="001B77DD" w:rsidRDefault="001B77DD">
            <w:pPr>
              <w:rPr>
                <w:rFonts w:ascii="宋体"/>
                <w:vanish/>
              </w:rPr>
            </w:pPr>
          </w:p>
        </w:tc>
        <w:tc>
          <w:tcPr>
            <w:tcW w:w="0" w:type="auto"/>
            <w:gridSpan w:val="3"/>
            <w:shd w:val="clear" w:color="auto" w:fill="auto"/>
            <w:vAlign w:val="bottom"/>
          </w:tcPr>
          <w:p w14:paraId="6753842D" w14:textId="77777777" w:rsidR="001B77DD" w:rsidRDefault="001B77DD">
            <w:pPr>
              <w:rPr>
                <w:rFonts w:ascii="宋体"/>
                <w:vanish/>
              </w:rPr>
            </w:pPr>
          </w:p>
        </w:tc>
        <w:tc>
          <w:tcPr>
            <w:tcW w:w="0" w:type="auto"/>
            <w:gridSpan w:val="3"/>
            <w:shd w:val="clear" w:color="auto" w:fill="auto"/>
            <w:vAlign w:val="bottom"/>
          </w:tcPr>
          <w:p w14:paraId="6753842E" w14:textId="77777777" w:rsidR="001B77DD" w:rsidRDefault="001B77DD">
            <w:pPr>
              <w:rPr>
                <w:rFonts w:ascii="宋体"/>
                <w:vanish/>
              </w:rPr>
            </w:pPr>
          </w:p>
        </w:tc>
      </w:tr>
      <w:tr w:rsidR="001B77DD" w14:paraId="67538433" w14:textId="77777777">
        <w:tc>
          <w:tcPr>
            <w:tcW w:w="0" w:type="auto"/>
            <w:gridSpan w:val="3"/>
            <w:shd w:val="clear" w:color="auto" w:fill="auto"/>
            <w:tcMar>
              <w:top w:w="40" w:type="dxa"/>
              <w:left w:w="20" w:type="dxa"/>
              <w:bottom w:w="40" w:type="dxa"/>
              <w:right w:w="20" w:type="dxa"/>
            </w:tcMar>
          </w:tcPr>
          <w:p w14:paraId="67538430" w14:textId="77777777" w:rsidR="001B77DD" w:rsidRDefault="00BF0A28">
            <w:pPr>
              <w:textAlignment w:val="top"/>
            </w:pPr>
            <w:r>
              <w:rPr>
                <w:rFonts w:ascii="Arial" w:eastAsia="宋体" w:hAnsi="Arial" w:cs="Arial"/>
                <w:color w:val="0068B5"/>
                <w:sz w:val="18"/>
                <w:szCs w:val="18"/>
              </w:rPr>
              <w:t>MaaS</w:t>
            </w:r>
          </w:p>
        </w:tc>
        <w:tc>
          <w:tcPr>
            <w:tcW w:w="0" w:type="auto"/>
            <w:gridSpan w:val="3"/>
            <w:shd w:val="clear" w:color="auto" w:fill="auto"/>
            <w:tcMar>
              <w:top w:w="0" w:type="dxa"/>
              <w:left w:w="20" w:type="dxa"/>
              <w:bottom w:w="0" w:type="dxa"/>
              <w:right w:w="20" w:type="dxa"/>
            </w:tcMar>
            <w:vAlign w:val="bottom"/>
          </w:tcPr>
          <w:p w14:paraId="6753843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32" w14:textId="77777777" w:rsidR="001B77DD" w:rsidRDefault="00BF0A28">
            <w:pPr>
              <w:textAlignment w:val="top"/>
            </w:pPr>
            <w:r>
              <w:rPr>
                <w:rFonts w:ascii="Arial" w:eastAsia="宋体" w:hAnsi="Arial" w:cs="Arial"/>
                <w:color w:val="262626"/>
                <w:sz w:val="18"/>
                <w:szCs w:val="18"/>
              </w:rPr>
              <w:t>Mobility-as-a-Service</w:t>
            </w:r>
          </w:p>
        </w:tc>
      </w:tr>
      <w:tr w:rsidR="001B77DD" w14:paraId="67538437" w14:textId="77777777">
        <w:trPr>
          <w:hidden/>
        </w:trPr>
        <w:tc>
          <w:tcPr>
            <w:tcW w:w="0" w:type="auto"/>
            <w:gridSpan w:val="3"/>
            <w:shd w:val="clear" w:color="auto" w:fill="auto"/>
            <w:vAlign w:val="bottom"/>
          </w:tcPr>
          <w:p w14:paraId="67538434" w14:textId="77777777" w:rsidR="001B77DD" w:rsidRDefault="001B77DD">
            <w:pPr>
              <w:rPr>
                <w:rFonts w:ascii="宋体"/>
                <w:vanish/>
              </w:rPr>
            </w:pPr>
          </w:p>
        </w:tc>
        <w:tc>
          <w:tcPr>
            <w:tcW w:w="0" w:type="auto"/>
            <w:gridSpan w:val="3"/>
            <w:shd w:val="clear" w:color="auto" w:fill="auto"/>
            <w:vAlign w:val="bottom"/>
          </w:tcPr>
          <w:p w14:paraId="67538435" w14:textId="77777777" w:rsidR="001B77DD" w:rsidRDefault="001B77DD">
            <w:pPr>
              <w:rPr>
                <w:rFonts w:ascii="宋体"/>
                <w:vanish/>
              </w:rPr>
            </w:pPr>
          </w:p>
        </w:tc>
        <w:tc>
          <w:tcPr>
            <w:tcW w:w="0" w:type="auto"/>
            <w:gridSpan w:val="3"/>
            <w:shd w:val="clear" w:color="auto" w:fill="auto"/>
            <w:vAlign w:val="bottom"/>
          </w:tcPr>
          <w:p w14:paraId="67538436" w14:textId="77777777" w:rsidR="001B77DD" w:rsidRDefault="001B77DD">
            <w:pPr>
              <w:rPr>
                <w:rFonts w:ascii="宋体"/>
                <w:vanish/>
              </w:rPr>
            </w:pPr>
          </w:p>
        </w:tc>
      </w:tr>
      <w:tr w:rsidR="001B77DD" w14:paraId="6753843B" w14:textId="77777777">
        <w:tc>
          <w:tcPr>
            <w:tcW w:w="0" w:type="auto"/>
            <w:gridSpan w:val="3"/>
            <w:shd w:val="clear" w:color="auto" w:fill="auto"/>
            <w:tcMar>
              <w:top w:w="40" w:type="dxa"/>
              <w:left w:w="20" w:type="dxa"/>
              <w:bottom w:w="40" w:type="dxa"/>
              <w:right w:w="20" w:type="dxa"/>
            </w:tcMar>
          </w:tcPr>
          <w:p w14:paraId="67538438" w14:textId="77777777" w:rsidR="001B77DD" w:rsidRDefault="00BF0A28">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vAlign w:val="bottom"/>
          </w:tcPr>
          <w:p w14:paraId="6753843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3A" w14:textId="77777777" w:rsidR="001B77DD" w:rsidRDefault="00BF0A28">
            <w:pPr>
              <w:textAlignment w:val="top"/>
            </w:pPr>
            <w:r>
              <w:rPr>
                <w:rFonts w:ascii="Arial" w:eastAsia="宋体" w:hAnsi="Arial" w:cs="Arial"/>
                <w:color w:val="262626"/>
                <w:sz w:val="18"/>
                <w:szCs w:val="18"/>
              </w:rPr>
              <w:t>Management's Discussion &amp; Analysis</w:t>
            </w:r>
          </w:p>
        </w:tc>
      </w:tr>
      <w:tr w:rsidR="001B77DD" w14:paraId="6753843F" w14:textId="77777777">
        <w:trPr>
          <w:hidden/>
        </w:trPr>
        <w:tc>
          <w:tcPr>
            <w:tcW w:w="0" w:type="auto"/>
            <w:gridSpan w:val="3"/>
            <w:shd w:val="clear" w:color="auto" w:fill="auto"/>
            <w:vAlign w:val="bottom"/>
          </w:tcPr>
          <w:p w14:paraId="6753843C" w14:textId="77777777" w:rsidR="001B77DD" w:rsidRDefault="001B77DD">
            <w:pPr>
              <w:rPr>
                <w:rFonts w:ascii="宋体"/>
                <w:vanish/>
              </w:rPr>
            </w:pPr>
          </w:p>
        </w:tc>
        <w:tc>
          <w:tcPr>
            <w:tcW w:w="0" w:type="auto"/>
            <w:gridSpan w:val="3"/>
            <w:shd w:val="clear" w:color="auto" w:fill="auto"/>
            <w:vAlign w:val="bottom"/>
          </w:tcPr>
          <w:p w14:paraId="6753843D" w14:textId="77777777" w:rsidR="001B77DD" w:rsidRDefault="001B77DD">
            <w:pPr>
              <w:rPr>
                <w:rFonts w:ascii="宋体"/>
                <w:vanish/>
              </w:rPr>
            </w:pPr>
          </w:p>
        </w:tc>
        <w:tc>
          <w:tcPr>
            <w:tcW w:w="0" w:type="auto"/>
            <w:gridSpan w:val="3"/>
            <w:shd w:val="clear" w:color="auto" w:fill="auto"/>
            <w:vAlign w:val="bottom"/>
          </w:tcPr>
          <w:p w14:paraId="6753843E" w14:textId="77777777" w:rsidR="001B77DD" w:rsidRDefault="001B77DD">
            <w:pPr>
              <w:rPr>
                <w:rFonts w:ascii="宋体"/>
                <w:vanish/>
              </w:rPr>
            </w:pPr>
          </w:p>
        </w:tc>
      </w:tr>
      <w:tr w:rsidR="001B77DD" w14:paraId="67538443" w14:textId="77777777">
        <w:tc>
          <w:tcPr>
            <w:tcW w:w="0" w:type="auto"/>
            <w:gridSpan w:val="3"/>
            <w:shd w:val="clear" w:color="auto" w:fill="auto"/>
            <w:tcMar>
              <w:top w:w="40" w:type="dxa"/>
              <w:left w:w="20" w:type="dxa"/>
              <w:bottom w:w="40" w:type="dxa"/>
              <w:right w:w="20" w:type="dxa"/>
            </w:tcMar>
          </w:tcPr>
          <w:p w14:paraId="67538440" w14:textId="77777777" w:rsidR="001B77DD" w:rsidRDefault="00BF0A28">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vAlign w:val="bottom"/>
          </w:tcPr>
          <w:p w14:paraId="6753844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42" w14:textId="77777777" w:rsidR="001B77DD" w:rsidRDefault="00BF0A28">
            <w:pPr>
              <w:textAlignment w:val="top"/>
            </w:pPr>
            <w:r>
              <w:rPr>
                <w:rFonts w:ascii="Arial" w:eastAsia="宋体" w:hAnsi="Arial" w:cs="Arial"/>
                <w:color w:val="262626"/>
                <w:sz w:val="18"/>
                <w:szCs w:val="18"/>
              </w:rPr>
              <w:t>Marketing, general and administrative</w:t>
            </w:r>
          </w:p>
        </w:tc>
      </w:tr>
      <w:tr w:rsidR="001B77DD" w14:paraId="67538447" w14:textId="77777777">
        <w:trPr>
          <w:hidden/>
        </w:trPr>
        <w:tc>
          <w:tcPr>
            <w:tcW w:w="0" w:type="auto"/>
            <w:gridSpan w:val="3"/>
            <w:shd w:val="clear" w:color="auto" w:fill="auto"/>
            <w:vAlign w:val="bottom"/>
          </w:tcPr>
          <w:p w14:paraId="67538444" w14:textId="77777777" w:rsidR="001B77DD" w:rsidRDefault="001B77DD">
            <w:pPr>
              <w:rPr>
                <w:rFonts w:ascii="宋体"/>
                <w:vanish/>
              </w:rPr>
            </w:pPr>
          </w:p>
        </w:tc>
        <w:tc>
          <w:tcPr>
            <w:tcW w:w="0" w:type="auto"/>
            <w:gridSpan w:val="3"/>
            <w:shd w:val="clear" w:color="auto" w:fill="auto"/>
            <w:vAlign w:val="bottom"/>
          </w:tcPr>
          <w:p w14:paraId="67538445" w14:textId="77777777" w:rsidR="001B77DD" w:rsidRDefault="001B77DD">
            <w:pPr>
              <w:rPr>
                <w:rFonts w:ascii="宋体"/>
                <w:vanish/>
              </w:rPr>
            </w:pPr>
          </w:p>
        </w:tc>
        <w:tc>
          <w:tcPr>
            <w:tcW w:w="0" w:type="auto"/>
            <w:gridSpan w:val="3"/>
            <w:shd w:val="clear" w:color="auto" w:fill="auto"/>
            <w:vAlign w:val="bottom"/>
          </w:tcPr>
          <w:p w14:paraId="67538446" w14:textId="77777777" w:rsidR="001B77DD" w:rsidRDefault="001B77DD">
            <w:pPr>
              <w:rPr>
                <w:rFonts w:ascii="宋体"/>
                <w:vanish/>
              </w:rPr>
            </w:pPr>
          </w:p>
        </w:tc>
      </w:tr>
      <w:tr w:rsidR="001B77DD" w14:paraId="6753844B" w14:textId="77777777">
        <w:trPr>
          <w:hidden/>
        </w:trPr>
        <w:tc>
          <w:tcPr>
            <w:tcW w:w="0" w:type="auto"/>
            <w:gridSpan w:val="3"/>
            <w:shd w:val="clear" w:color="auto" w:fill="auto"/>
            <w:vAlign w:val="bottom"/>
          </w:tcPr>
          <w:p w14:paraId="67538448" w14:textId="77777777" w:rsidR="001B77DD" w:rsidRDefault="001B77DD">
            <w:pPr>
              <w:rPr>
                <w:rFonts w:ascii="宋体"/>
                <w:vanish/>
              </w:rPr>
            </w:pPr>
          </w:p>
        </w:tc>
        <w:tc>
          <w:tcPr>
            <w:tcW w:w="0" w:type="auto"/>
            <w:gridSpan w:val="3"/>
            <w:shd w:val="clear" w:color="auto" w:fill="auto"/>
            <w:vAlign w:val="bottom"/>
          </w:tcPr>
          <w:p w14:paraId="67538449" w14:textId="77777777" w:rsidR="001B77DD" w:rsidRDefault="001B77DD">
            <w:pPr>
              <w:rPr>
                <w:rFonts w:ascii="宋体"/>
                <w:vanish/>
              </w:rPr>
            </w:pPr>
          </w:p>
        </w:tc>
        <w:tc>
          <w:tcPr>
            <w:tcW w:w="0" w:type="auto"/>
            <w:gridSpan w:val="3"/>
            <w:shd w:val="clear" w:color="auto" w:fill="auto"/>
            <w:vAlign w:val="bottom"/>
          </w:tcPr>
          <w:p w14:paraId="6753844A" w14:textId="77777777" w:rsidR="001B77DD" w:rsidRDefault="001B77DD">
            <w:pPr>
              <w:rPr>
                <w:rFonts w:ascii="宋体"/>
                <w:vanish/>
              </w:rPr>
            </w:pPr>
          </w:p>
        </w:tc>
      </w:tr>
      <w:tr w:rsidR="001B77DD" w14:paraId="6753844F" w14:textId="77777777">
        <w:tc>
          <w:tcPr>
            <w:tcW w:w="0" w:type="auto"/>
            <w:gridSpan w:val="3"/>
            <w:shd w:val="clear" w:color="auto" w:fill="auto"/>
            <w:tcMar>
              <w:top w:w="40" w:type="dxa"/>
              <w:left w:w="20" w:type="dxa"/>
              <w:bottom w:w="40" w:type="dxa"/>
              <w:right w:w="20" w:type="dxa"/>
            </w:tcMar>
          </w:tcPr>
          <w:p w14:paraId="6753844C" w14:textId="77777777" w:rsidR="001B77DD" w:rsidRDefault="00BF0A28">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vAlign w:val="bottom"/>
          </w:tcPr>
          <w:p w14:paraId="6753844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4E" w14:textId="77777777" w:rsidR="001B77DD" w:rsidRDefault="00BF0A28">
            <w:pPr>
              <w:textAlignment w:val="top"/>
            </w:pPr>
            <w:r>
              <w:rPr>
                <w:rFonts w:ascii="Arial" w:eastAsia="宋体" w:hAnsi="Arial" w:cs="Arial"/>
                <w:color w:val="262626"/>
                <w:sz w:val="18"/>
                <w:szCs w:val="18"/>
              </w:rPr>
              <w:t>NAND flash memory</w:t>
            </w:r>
          </w:p>
        </w:tc>
      </w:tr>
      <w:tr w:rsidR="001B77DD" w14:paraId="67538453" w14:textId="77777777">
        <w:tc>
          <w:tcPr>
            <w:tcW w:w="0" w:type="auto"/>
            <w:gridSpan w:val="3"/>
            <w:shd w:val="clear" w:color="auto" w:fill="auto"/>
            <w:tcMar>
              <w:top w:w="40" w:type="dxa"/>
              <w:left w:w="20" w:type="dxa"/>
              <w:bottom w:w="40" w:type="dxa"/>
              <w:right w:w="20" w:type="dxa"/>
            </w:tcMar>
          </w:tcPr>
          <w:p w14:paraId="67538450" w14:textId="77777777" w:rsidR="001B77DD" w:rsidRDefault="00BF0A28">
            <w:pPr>
              <w:textAlignment w:val="top"/>
            </w:pPr>
            <w:r>
              <w:rPr>
                <w:rFonts w:ascii="Arial" w:eastAsia="宋体" w:hAnsi="Arial" w:cs="Arial"/>
                <w:color w:val="0068B5"/>
                <w:sz w:val="18"/>
                <w:szCs w:val="18"/>
              </w:rPr>
              <w:t>NIC</w:t>
            </w:r>
          </w:p>
        </w:tc>
        <w:tc>
          <w:tcPr>
            <w:tcW w:w="0" w:type="auto"/>
            <w:gridSpan w:val="3"/>
            <w:shd w:val="clear" w:color="auto" w:fill="auto"/>
            <w:tcMar>
              <w:top w:w="0" w:type="dxa"/>
              <w:left w:w="20" w:type="dxa"/>
              <w:bottom w:w="0" w:type="dxa"/>
              <w:right w:w="20" w:type="dxa"/>
            </w:tcMar>
            <w:vAlign w:val="bottom"/>
          </w:tcPr>
          <w:p w14:paraId="6753845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452" w14:textId="77777777" w:rsidR="001B77DD" w:rsidRDefault="00BF0A28">
            <w:pPr>
              <w:textAlignment w:val="bottom"/>
            </w:pPr>
            <w:r>
              <w:rPr>
                <w:rFonts w:ascii="Arial" w:eastAsia="宋体" w:hAnsi="Arial" w:cs="Arial"/>
                <w:color w:val="262626"/>
                <w:sz w:val="18"/>
                <w:szCs w:val="18"/>
              </w:rPr>
              <w:t>Network interface controller</w:t>
            </w:r>
          </w:p>
        </w:tc>
      </w:tr>
      <w:tr w:rsidR="001B77DD" w14:paraId="67538457" w14:textId="77777777">
        <w:tc>
          <w:tcPr>
            <w:tcW w:w="0" w:type="auto"/>
            <w:gridSpan w:val="3"/>
            <w:shd w:val="clear" w:color="auto" w:fill="auto"/>
            <w:tcMar>
              <w:top w:w="40" w:type="dxa"/>
              <w:left w:w="20" w:type="dxa"/>
              <w:bottom w:w="40" w:type="dxa"/>
              <w:right w:w="20" w:type="dxa"/>
            </w:tcMar>
          </w:tcPr>
          <w:p w14:paraId="67538454" w14:textId="77777777" w:rsidR="001B77DD" w:rsidRDefault="00BF0A28">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vAlign w:val="bottom"/>
          </w:tcPr>
          <w:p w14:paraId="6753845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56" w14:textId="77777777" w:rsidR="001B77DD" w:rsidRDefault="00BF0A28">
            <w:pPr>
              <w:textAlignment w:val="top"/>
            </w:pPr>
            <w:r>
              <w:rPr>
                <w:rFonts w:ascii="Arial" w:eastAsia="宋体" w:hAnsi="Arial" w:cs="Arial"/>
                <w:color w:val="262626"/>
                <w:sz w:val="18"/>
                <w:szCs w:val="18"/>
              </w:rPr>
              <w:t>Nanometer</w:t>
            </w:r>
          </w:p>
        </w:tc>
      </w:tr>
      <w:tr w:rsidR="001B77DD" w14:paraId="6753845B" w14:textId="77777777">
        <w:tc>
          <w:tcPr>
            <w:tcW w:w="0" w:type="auto"/>
            <w:gridSpan w:val="3"/>
            <w:shd w:val="clear" w:color="auto" w:fill="auto"/>
            <w:tcMar>
              <w:top w:w="40" w:type="dxa"/>
              <w:left w:w="20" w:type="dxa"/>
              <w:bottom w:w="40" w:type="dxa"/>
              <w:right w:w="20" w:type="dxa"/>
            </w:tcMar>
          </w:tcPr>
          <w:p w14:paraId="67538458" w14:textId="77777777" w:rsidR="001B77DD" w:rsidRDefault="00BF0A28">
            <w:pPr>
              <w:textAlignment w:val="top"/>
            </w:pPr>
            <w:r>
              <w:rPr>
                <w:rFonts w:ascii="Arial" w:eastAsia="宋体" w:hAnsi="Arial" w:cs="Arial"/>
                <w:color w:val="0068B5"/>
                <w:sz w:val="18"/>
                <w:szCs w:val="18"/>
              </w:rPr>
              <w:t>NSG</w:t>
            </w:r>
          </w:p>
        </w:tc>
        <w:tc>
          <w:tcPr>
            <w:tcW w:w="0" w:type="auto"/>
            <w:gridSpan w:val="3"/>
            <w:shd w:val="clear" w:color="auto" w:fill="auto"/>
            <w:tcMar>
              <w:top w:w="0" w:type="dxa"/>
              <w:left w:w="20" w:type="dxa"/>
              <w:bottom w:w="0" w:type="dxa"/>
              <w:right w:w="20" w:type="dxa"/>
            </w:tcMar>
            <w:vAlign w:val="bottom"/>
          </w:tcPr>
          <w:p w14:paraId="6753845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5A" w14:textId="77777777" w:rsidR="001B77DD" w:rsidRDefault="00BF0A28">
            <w:pPr>
              <w:textAlignment w:val="top"/>
            </w:pPr>
            <w:r>
              <w:rPr>
                <w:rFonts w:ascii="Arial" w:eastAsia="宋体" w:hAnsi="Arial" w:cs="Arial"/>
                <w:color w:val="262626"/>
                <w:sz w:val="18"/>
                <w:szCs w:val="18"/>
              </w:rPr>
              <w:t>Non-Volatile Memory Solutions Group operating segment</w:t>
            </w:r>
          </w:p>
        </w:tc>
      </w:tr>
      <w:tr w:rsidR="001B77DD" w14:paraId="6753845F" w14:textId="77777777">
        <w:trPr>
          <w:hidden/>
        </w:trPr>
        <w:tc>
          <w:tcPr>
            <w:tcW w:w="0" w:type="auto"/>
            <w:gridSpan w:val="3"/>
            <w:shd w:val="clear" w:color="auto" w:fill="auto"/>
            <w:vAlign w:val="bottom"/>
          </w:tcPr>
          <w:p w14:paraId="6753845C" w14:textId="77777777" w:rsidR="001B77DD" w:rsidRDefault="001B77DD">
            <w:pPr>
              <w:rPr>
                <w:rFonts w:ascii="宋体"/>
                <w:vanish/>
              </w:rPr>
            </w:pPr>
          </w:p>
        </w:tc>
        <w:tc>
          <w:tcPr>
            <w:tcW w:w="0" w:type="auto"/>
            <w:gridSpan w:val="3"/>
            <w:shd w:val="clear" w:color="auto" w:fill="auto"/>
            <w:vAlign w:val="bottom"/>
          </w:tcPr>
          <w:p w14:paraId="6753845D" w14:textId="77777777" w:rsidR="001B77DD" w:rsidRDefault="001B77DD">
            <w:pPr>
              <w:rPr>
                <w:rFonts w:ascii="宋体"/>
                <w:vanish/>
              </w:rPr>
            </w:pPr>
          </w:p>
        </w:tc>
        <w:tc>
          <w:tcPr>
            <w:tcW w:w="0" w:type="auto"/>
            <w:gridSpan w:val="3"/>
            <w:shd w:val="clear" w:color="auto" w:fill="auto"/>
            <w:vAlign w:val="bottom"/>
          </w:tcPr>
          <w:p w14:paraId="6753845E" w14:textId="77777777" w:rsidR="001B77DD" w:rsidRDefault="001B77DD">
            <w:pPr>
              <w:rPr>
                <w:rFonts w:ascii="宋体"/>
                <w:vanish/>
              </w:rPr>
            </w:pPr>
          </w:p>
        </w:tc>
      </w:tr>
      <w:tr w:rsidR="001B77DD" w14:paraId="67538463" w14:textId="77777777">
        <w:tc>
          <w:tcPr>
            <w:tcW w:w="0" w:type="auto"/>
            <w:gridSpan w:val="3"/>
            <w:shd w:val="clear" w:color="auto" w:fill="auto"/>
            <w:tcMar>
              <w:top w:w="40" w:type="dxa"/>
              <w:left w:w="20" w:type="dxa"/>
              <w:bottom w:w="40" w:type="dxa"/>
              <w:right w:w="20" w:type="dxa"/>
            </w:tcMar>
          </w:tcPr>
          <w:p w14:paraId="67538460" w14:textId="77777777" w:rsidR="001B77DD" w:rsidRDefault="00BF0A28">
            <w:pPr>
              <w:textAlignment w:val="top"/>
            </w:pPr>
            <w:r>
              <w:rPr>
                <w:rFonts w:ascii="Arial" w:eastAsia="宋体" w:hAnsi="Arial" w:cs="Arial"/>
                <w:color w:val="0068B5"/>
                <w:sz w:val="18"/>
                <w:szCs w:val="18"/>
              </w:rPr>
              <w:t>ODM</w:t>
            </w:r>
          </w:p>
        </w:tc>
        <w:tc>
          <w:tcPr>
            <w:tcW w:w="0" w:type="auto"/>
            <w:gridSpan w:val="3"/>
            <w:shd w:val="clear" w:color="auto" w:fill="auto"/>
            <w:tcMar>
              <w:top w:w="0" w:type="dxa"/>
              <w:left w:w="20" w:type="dxa"/>
              <w:bottom w:w="0" w:type="dxa"/>
              <w:right w:w="20" w:type="dxa"/>
            </w:tcMar>
            <w:vAlign w:val="bottom"/>
          </w:tcPr>
          <w:p w14:paraId="6753846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62" w14:textId="77777777" w:rsidR="001B77DD" w:rsidRDefault="00BF0A28">
            <w:pPr>
              <w:textAlignment w:val="top"/>
            </w:pPr>
            <w:r>
              <w:rPr>
                <w:rFonts w:ascii="Arial" w:eastAsia="宋体" w:hAnsi="Arial" w:cs="Arial"/>
                <w:color w:val="262626"/>
                <w:sz w:val="18"/>
                <w:szCs w:val="18"/>
              </w:rPr>
              <w:t>Original design manufacturer</w:t>
            </w:r>
          </w:p>
        </w:tc>
      </w:tr>
      <w:tr w:rsidR="001B77DD" w14:paraId="67538467" w14:textId="77777777">
        <w:tc>
          <w:tcPr>
            <w:tcW w:w="0" w:type="auto"/>
            <w:gridSpan w:val="3"/>
            <w:shd w:val="clear" w:color="auto" w:fill="auto"/>
            <w:tcMar>
              <w:top w:w="40" w:type="dxa"/>
              <w:left w:w="20" w:type="dxa"/>
              <w:bottom w:w="40" w:type="dxa"/>
              <w:right w:w="20" w:type="dxa"/>
            </w:tcMar>
          </w:tcPr>
          <w:p w14:paraId="67538464" w14:textId="77777777" w:rsidR="001B77DD" w:rsidRDefault="00BF0A28">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vAlign w:val="bottom"/>
          </w:tcPr>
          <w:p w14:paraId="6753846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66" w14:textId="77777777" w:rsidR="001B77DD" w:rsidRDefault="00BF0A28">
            <w:pPr>
              <w:textAlignment w:val="top"/>
            </w:pPr>
            <w:r>
              <w:rPr>
                <w:rFonts w:ascii="Arial" w:eastAsia="宋体" w:hAnsi="Arial" w:cs="Arial"/>
                <w:color w:val="262626"/>
                <w:sz w:val="18"/>
                <w:szCs w:val="18"/>
              </w:rPr>
              <w:t>Original equipment manufacturer</w:t>
            </w:r>
          </w:p>
        </w:tc>
      </w:tr>
      <w:tr w:rsidR="001B77DD" w14:paraId="6753846B" w14:textId="77777777">
        <w:trPr>
          <w:hidden/>
        </w:trPr>
        <w:tc>
          <w:tcPr>
            <w:tcW w:w="0" w:type="auto"/>
            <w:gridSpan w:val="3"/>
            <w:shd w:val="clear" w:color="auto" w:fill="auto"/>
            <w:vAlign w:val="bottom"/>
          </w:tcPr>
          <w:p w14:paraId="67538468" w14:textId="77777777" w:rsidR="001B77DD" w:rsidRDefault="001B77DD">
            <w:pPr>
              <w:rPr>
                <w:rFonts w:ascii="宋体"/>
                <w:vanish/>
              </w:rPr>
            </w:pPr>
          </w:p>
        </w:tc>
        <w:tc>
          <w:tcPr>
            <w:tcW w:w="0" w:type="auto"/>
            <w:gridSpan w:val="3"/>
            <w:shd w:val="clear" w:color="auto" w:fill="auto"/>
            <w:vAlign w:val="bottom"/>
          </w:tcPr>
          <w:p w14:paraId="67538469" w14:textId="77777777" w:rsidR="001B77DD" w:rsidRDefault="001B77DD">
            <w:pPr>
              <w:rPr>
                <w:rFonts w:ascii="宋体"/>
                <w:vanish/>
              </w:rPr>
            </w:pPr>
          </w:p>
        </w:tc>
        <w:tc>
          <w:tcPr>
            <w:tcW w:w="0" w:type="auto"/>
            <w:gridSpan w:val="3"/>
            <w:shd w:val="clear" w:color="auto" w:fill="auto"/>
            <w:vAlign w:val="bottom"/>
          </w:tcPr>
          <w:p w14:paraId="6753846A" w14:textId="77777777" w:rsidR="001B77DD" w:rsidRDefault="001B77DD">
            <w:pPr>
              <w:rPr>
                <w:rFonts w:ascii="宋体"/>
                <w:vanish/>
              </w:rPr>
            </w:pPr>
          </w:p>
        </w:tc>
      </w:tr>
      <w:tr w:rsidR="001B77DD" w14:paraId="6753846F" w14:textId="77777777">
        <w:trPr>
          <w:hidden/>
        </w:trPr>
        <w:tc>
          <w:tcPr>
            <w:tcW w:w="0" w:type="auto"/>
            <w:gridSpan w:val="3"/>
            <w:shd w:val="clear" w:color="auto" w:fill="auto"/>
            <w:vAlign w:val="bottom"/>
          </w:tcPr>
          <w:p w14:paraId="6753846C" w14:textId="77777777" w:rsidR="001B77DD" w:rsidRDefault="001B77DD">
            <w:pPr>
              <w:rPr>
                <w:rFonts w:ascii="宋体"/>
                <w:vanish/>
              </w:rPr>
            </w:pPr>
          </w:p>
        </w:tc>
        <w:tc>
          <w:tcPr>
            <w:tcW w:w="0" w:type="auto"/>
            <w:gridSpan w:val="3"/>
            <w:shd w:val="clear" w:color="auto" w:fill="auto"/>
            <w:vAlign w:val="bottom"/>
          </w:tcPr>
          <w:p w14:paraId="6753846D" w14:textId="77777777" w:rsidR="001B77DD" w:rsidRDefault="001B77DD">
            <w:pPr>
              <w:rPr>
                <w:rFonts w:ascii="宋体"/>
                <w:vanish/>
              </w:rPr>
            </w:pPr>
          </w:p>
        </w:tc>
        <w:tc>
          <w:tcPr>
            <w:tcW w:w="0" w:type="auto"/>
            <w:gridSpan w:val="3"/>
            <w:shd w:val="clear" w:color="auto" w:fill="auto"/>
            <w:vAlign w:val="bottom"/>
          </w:tcPr>
          <w:p w14:paraId="6753846E" w14:textId="77777777" w:rsidR="001B77DD" w:rsidRDefault="001B77DD">
            <w:pPr>
              <w:rPr>
                <w:rFonts w:ascii="宋体"/>
                <w:vanish/>
              </w:rPr>
            </w:pPr>
          </w:p>
        </w:tc>
      </w:tr>
      <w:tr w:rsidR="001B77DD" w14:paraId="67538473" w14:textId="77777777">
        <w:trPr>
          <w:hidden/>
        </w:trPr>
        <w:tc>
          <w:tcPr>
            <w:tcW w:w="0" w:type="auto"/>
            <w:gridSpan w:val="3"/>
            <w:shd w:val="clear" w:color="auto" w:fill="auto"/>
            <w:vAlign w:val="bottom"/>
          </w:tcPr>
          <w:p w14:paraId="67538470" w14:textId="77777777" w:rsidR="001B77DD" w:rsidRDefault="001B77DD">
            <w:pPr>
              <w:rPr>
                <w:rFonts w:ascii="宋体"/>
                <w:vanish/>
              </w:rPr>
            </w:pPr>
          </w:p>
        </w:tc>
        <w:tc>
          <w:tcPr>
            <w:tcW w:w="0" w:type="auto"/>
            <w:gridSpan w:val="3"/>
            <w:shd w:val="clear" w:color="auto" w:fill="auto"/>
            <w:vAlign w:val="bottom"/>
          </w:tcPr>
          <w:p w14:paraId="67538471" w14:textId="77777777" w:rsidR="001B77DD" w:rsidRDefault="001B77DD">
            <w:pPr>
              <w:rPr>
                <w:rFonts w:ascii="宋体"/>
                <w:vanish/>
              </w:rPr>
            </w:pPr>
          </w:p>
        </w:tc>
        <w:tc>
          <w:tcPr>
            <w:tcW w:w="0" w:type="auto"/>
            <w:gridSpan w:val="3"/>
            <w:shd w:val="clear" w:color="auto" w:fill="auto"/>
            <w:vAlign w:val="bottom"/>
          </w:tcPr>
          <w:p w14:paraId="67538472" w14:textId="77777777" w:rsidR="001B77DD" w:rsidRDefault="001B77DD">
            <w:pPr>
              <w:rPr>
                <w:rFonts w:ascii="宋体"/>
                <w:vanish/>
              </w:rPr>
            </w:pPr>
          </w:p>
        </w:tc>
      </w:tr>
      <w:tr w:rsidR="001B77DD" w14:paraId="67538477" w14:textId="77777777">
        <w:trPr>
          <w:hidden/>
        </w:trPr>
        <w:tc>
          <w:tcPr>
            <w:tcW w:w="0" w:type="auto"/>
            <w:gridSpan w:val="3"/>
            <w:shd w:val="clear" w:color="auto" w:fill="auto"/>
            <w:vAlign w:val="bottom"/>
          </w:tcPr>
          <w:p w14:paraId="67538474" w14:textId="77777777" w:rsidR="001B77DD" w:rsidRDefault="001B77DD">
            <w:pPr>
              <w:rPr>
                <w:rFonts w:ascii="宋体"/>
                <w:vanish/>
              </w:rPr>
            </w:pPr>
          </w:p>
        </w:tc>
        <w:tc>
          <w:tcPr>
            <w:tcW w:w="0" w:type="auto"/>
            <w:gridSpan w:val="3"/>
            <w:shd w:val="clear" w:color="auto" w:fill="auto"/>
            <w:vAlign w:val="bottom"/>
          </w:tcPr>
          <w:p w14:paraId="67538475" w14:textId="77777777" w:rsidR="001B77DD" w:rsidRDefault="001B77DD">
            <w:pPr>
              <w:rPr>
                <w:rFonts w:ascii="宋体"/>
                <w:vanish/>
              </w:rPr>
            </w:pPr>
          </w:p>
        </w:tc>
        <w:tc>
          <w:tcPr>
            <w:tcW w:w="0" w:type="auto"/>
            <w:gridSpan w:val="3"/>
            <w:shd w:val="clear" w:color="auto" w:fill="auto"/>
            <w:vAlign w:val="bottom"/>
          </w:tcPr>
          <w:p w14:paraId="67538476" w14:textId="77777777" w:rsidR="001B77DD" w:rsidRDefault="001B77DD">
            <w:pPr>
              <w:rPr>
                <w:rFonts w:ascii="宋体"/>
                <w:vanish/>
              </w:rPr>
            </w:pPr>
          </w:p>
        </w:tc>
      </w:tr>
      <w:tr w:rsidR="001B77DD" w14:paraId="6753847B" w14:textId="77777777">
        <w:trPr>
          <w:hidden/>
        </w:trPr>
        <w:tc>
          <w:tcPr>
            <w:tcW w:w="0" w:type="auto"/>
            <w:gridSpan w:val="3"/>
            <w:shd w:val="clear" w:color="auto" w:fill="auto"/>
            <w:vAlign w:val="bottom"/>
          </w:tcPr>
          <w:p w14:paraId="67538478" w14:textId="77777777" w:rsidR="001B77DD" w:rsidRDefault="001B77DD">
            <w:pPr>
              <w:rPr>
                <w:rFonts w:ascii="宋体"/>
                <w:vanish/>
              </w:rPr>
            </w:pPr>
          </w:p>
        </w:tc>
        <w:tc>
          <w:tcPr>
            <w:tcW w:w="0" w:type="auto"/>
            <w:gridSpan w:val="3"/>
            <w:shd w:val="clear" w:color="auto" w:fill="auto"/>
            <w:vAlign w:val="bottom"/>
          </w:tcPr>
          <w:p w14:paraId="67538479" w14:textId="77777777" w:rsidR="001B77DD" w:rsidRDefault="001B77DD">
            <w:pPr>
              <w:rPr>
                <w:rFonts w:ascii="宋体"/>
                <w:vanish/>
              </w:rPr>
            </w:pPr>
          </w:p>
        </w:tc>
        <w:tc>
          <w:tcPr>
            <w:tcW w:w="0" w:type="auto"/>
            <w:gridSpan w:val="3"/>
            <w:shd w:val="clear" w:color="auto" w:fill="auto"/>
            <w:vAlign w:val="bottom"/>
          </w:tcPr>
          <w:p w14:paraId="6753847A" w14:textId="77777777" w:rsidR="001B77DD" w:rsidRDefault="001B77DD">
            <w:pPr>
              <w:rPr>
                <w:rFonts w:ascii="宋体"/>
                <w:vanish/>
              </w:rPr>
            </w:pPr>
          </w:p>
        </w:tc>
      </w:tr>
      <w:tr w:rsidR="001B77DD" w14:paraId="6753847F" w14:textId="77777777">
        <w:trPr>
          <w:hidden/>
        </w:trPr>
        <w:tc>
          <w:tcPr>
            <w:tcW w:w="0" w:type="auto"/>
            <w:gridSpan w:val="3"/>
            <w:shd w:val="clear" w:color="auto" w:fill="auto"/>
            <w:vAlign w:val="bottom"/>
          </w:tcPr>
          <w:p w14:paraId="6753847C" w14:textId="77777777" w:rsidR="001B77DD" w:rsidRDefault="001B77DD">
            <w:pPr>
              <w:rPr>
                <w:rFonts w:ascii="宋体"/>
                <w:vanish/>
              </w:rPr>
            </w:pPr>
          </w:p>
        </w:tc>
        <w:tc>
          <w:tcPr>
            <w:tcW w:w="0" w:type="auto"/>
            <w:gridSpan w:val="3"/>
            <w:shd w:val="clear" w:color="auto" w:fill="auto"/>
            <w:vAlign w:val="bottom"/>
          </w:tcPr>
          <w:p w14:paraId="6753847D" w14:textId="77777777" w:rsidR="001B77DD" w:rsidRDefault="001B77DD">
            <w:pPr>
              <w:rPr>
                <w:rFonts w:ascii="宋体"/>
                <w:vanish/>
              </w:rPr>
            </w:pPr>
          </w:p>
        </w:tc>
        <w:tc>
          <w:tcPr>
            <w:tcW w:w="0" w:type="auto"/>
            <w:gridSpan w:val="3"/>
            <w:shd w:val="clear" w:color="auto" w:fill="auto"/>
            <w:vAlign w:val="bottom"/>
          </w:tcPr>
          <w:p w14:paraId="6753847E" w14:textId="77777777" w:rsidR="001B77DD" w:rsidRDefault="001B77DD">
            <w:pPr>
              <w:rPr>
                <w:rFonts w:ascii="宋体"/>
                <w:vanish/>
              </w:rPr>
            </w:pPr>
          </w:p>
        </w:tc>
      </w:tr>
      <w:tr w:rsidR="001B77DD" w14:paraId="67538483" w14:textId="77777777">
        <w:tc>
          <w:tcPr>
            <w:tcW w:w="0" w:type="auto"/>
            <w:gridSpan w:val="3"/>
            <w:shd w:val="clear" w:color="auto" w:fill="auto"/>
            <w:tcMar>
              <w:top w:w="40" w:type="dxa"/>
              <w:left w:w="20" w:type="dxa"/>
              <w:bottom w:w="40" w:type="dxa"/>
              <w:right w:w="20" w:type="dxa"/>
            </w:tcMar>
          </w:tcPr>
          <w:p w14:paraId="67538480" w14:textId="77777777" w:rsidR="001B77DD" w:rsidRDefault="00BF0A28">
            <w:pPr>
              <w:textAlignment w:val="top"/>
            </w:pPr>
            <w:r>
              <w:rPr>
                <w:rFonts w:ascii="Arial" w:eastAsia="宋体" w:hAnsi="Arial" w:cs="Arial"/>
                <w:color w:val="0068B5"/>
                <w:sz w:val="18"/>
                <w:szCs w:val="18"/>
              </w:rPr>
              <w:t>Platform products</w:t>
            </w:r>
          </w:p>
        </w:tc>
        <w:tc>
          <w:tcPr>
            <w:tcW w:w="0" w:type="auto"/>
            <w:gridSpan w:val="3"/>
            <w:shd w:val="clear" w:color="auto" w:fill="auto"/>
            <w:tcMar>
              <w:top w:w="0" w:type="dxa"/>
              <w:left w:w="20" w:type="dxa"/>
              <w:bottom w:w="0" w:type="dxa"/>
              <w:right w:w="20" w:type="dxa"/>
            </w:tcMar>
            <w:vAlign w:val="bottom"/>
          </w:tcPr>
          <w:p w14:paraId="6753848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82" w14:textId="77777777" w:rsidR="001B77DD" w:rsidRDefault="00BF0A28">
            <w:pPr>
              <w:textAlignment w:val="top"/>
            </w:pPr>
            <w:r>
              <w:rPr>
                <w:rFonts w:ascii="Arial" w:eastAsia="宋体" w:hAnsi="Arial" w:cs="Arial"/>
                <w:color w:val="262626"/>
                <w:sz w:val="18"/>
                <w:szCs w:val="18"/>
              </w:rPr>
              <w:t xml:space="preserve">A microprocessor (CPU) and chipset, a stand-alone SoC, or a multichip </w:t>
            </w:r>
            <w:r>
              <w:rPr>
                <w:rFonts w:ascii="Arial" w:eastAsia="宋体" w:hAnsi="Arial" w:cs="Arial"/>
                <w:color w:val="262626"/>
                <w:sz w:val="18"/>
                <w:szCs w:val="18"/>
              </w:rPr>
              <w:t>package, based on Intel architecture. Platform products are primarily used in solutions sold through the CCG, DCG, and IOTG segments</w:t>
            </w:r>
          </w:p>
        </w:tc>
      </w:tr>
      <w:tr w:rsidR="001B77DD" w14:paraId="67538487" w14:textId="77777777">
        <w:tc>
          <w:tcPr>
            <w:tcW w:w="0" w:type="auto"/>
            <w:gridSpan w:val="3"/>
            <w:shd w:val="clear" w:color="auto" w:fill="auto"/>
            <w:tcMar>
              <w:top w:w="40" w:type="dxa"/>
              <w:left w:w="20" w:type="dxa"/>
              <w:bottom w:w="40" w:type="dxa"/>
              <w:right w:w="20" w:type="dxa"/>
            </w:tcMar>
          </w:tcPr>
          <w:p w14:paraId="67538484" w14:textId="77777777" w:rsidR="001B77DD" w:rsidRDefault="00BF0A28">
            <w:pPr>
              <w:textAlignment w:val="top"/>
            </w:pPr>
            <w:r>
              <w:rPr>
                <w:rFonts w:ascii="Arial" w:eastAsia="宋体" w:hAnsi="Arial" w:cs="Arial"/>
                <w:color w:val="0068B5"/>
                <w:sz w:val="18"/>
                <w:szCs w:val="18"/>
              </w:rPr>
              <w:t>PLD</w:t>
            </w:r>
          </w:p>
        </w:tc>
        <w:tc>
          <w:tcPr>
            <w:tcW w:w="0" w:type="auto"/>
            <w:gridSpan w:val="3"/>
            <w:shd w:val="clear" w:color="auto" w:fill="auto"/>
            <w:tcMar>
              <w:top w:w="0" w:type="dxa"/>
              <w:left w:w="20" w:type="dxa"/>
              <w:bottom w:w="0" w:type="dxa"/>
              <w:right w:w="20" w:type="dxa"/>
            </w:tcMar>
            <w:vAlign w:val="bottom"/>
          </w:tcPr>
          <w:p w14:paraId="6753848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86" w14:textId="77777777" w:rsidR="001B77DD" w:rsidRDefault="00BF0A28">
            <w:pPr>
              <w:textAlignment w:val="top"/>
            </w:pPr>
            <w:r>
              <w:rPr>
                <w:rFonts w:ascii="Arial" w:eastAsia="宋体" w:hAnsi="Arial" w:cs="Arial"/>
                <w:color w:val="262626"/>
                <w:sz w:val="18"/>
                <w:szCs w:val="18"/>
              </w:rPr>
              <w:t>Programmable logic device</w:t>
            </w:r>
          </w:p>
        </w:tc>
      </w:tr>
      <w:tr w:rsidR="001B77DD" w14:paraId="6753848B" w14:textId="77777777">
        <w:tc>
          <w:tcPr>
            <w:tcW w:w="0" w:type="auto"/>
            <w:gridSpan w:val="3"/>
            <w:shd w:val="clear" w:color="auto" w:fill="auto"/>
            <w:tcMar>
              <w:top w:w="40" w:type="dxa"/>
              <w:left w:w="20" w:type="dxa"/>
              <w:bottom w:w="40" w:type="dxa"/>
              <w:right w:w="20" w:type="dxa"/>
            </w:tcMar>
          </w:tcPr>
          <w:p w14:paraId="67538488" w14:textId="77777777" w:rsidR="001B77DD" w:rsidRDefault="00BF0A28">
            <w:pPr>
              <w:textAlignment w:val="top"/>
            </w:pPr>
            <w:r>
              <w:rPr>
                <w:rFonts w:ascii="Arial" w:eastAsia="宋体" w:hAnsi="Arial" w:cs="Arial"/>
                <w:color w:val="0068B5"/>
                <w:sz w:val="18"/>
                <w:szCs w:val="18"/>
              </w:rPr>
              <w:t>Program (specific to Mobileye business)</w:t>
            </w:r>
          </w:p>
        </w:tc>
        <w:tc>
          <w:tcPr>
            <w:tcW w:w="0" w:type="auto"/>
            <w:gridSpan w:val="3"/>
            <w:shd w:val="clear" w:color="auto" w:fill="auto"/>
            <w:tcMar>
              <w:top w:w="0" w:type="dxa"/>
              <w:left w:w="20" w:type="dxa"/>
              <w:bottom w:w="0" w:type="dxa"/>
              <w:right w:w="20" w:type="dxa"/>
            </w:tcMar>
            <w:vAlign w:val="bottom"/>
          </w:tcPr>
          <w:p w14:paraId="6753848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48A" w14:textId="77777777" w:rsidR="001B77DD" w:rsidRDefault="00BF0A28">
            <w:pPr>
              <w:textAlignment w:val="bottom"/>
            </w:pPr>
            <w:r>
              <w:rPr>
                <w:rFonts w:ascii="Arial" w:eastAsia="宋体" w:hAnsi="Arial" w:cs="Arial"/>
                <w:color w:val="262626"/>
                <w:sz w:val="18"/>
                <w:szCs w:val="18"/>
              </w:rPr>
              <w:t xml:space="preserve">A process that takes two to three years of </w:t>
            </w:r>
            <w:r>
              <w:rPr>
                <w:rFonts w:ascii="Arial" w:eastAsia="宋体" w:hAnsi="Arial" w:cs="Arial"/>
                <w:color w:val="262626"/>
                <w:sz w:val="18"/>
                <w:szCs w:val="18"/>
              </w:rPr>
              <w:t>intense activity with the carmaker and Tier 1 after a design win until Mobileye technology is launched into production</w:t>
            </w:r>
          </w:p>
        </w:tc>
      </w:tr>
      <w:tr w:rsidR="001B77DD" w14:paraId="6753848F" w14:textId="77777777">
        <w:tc>
          <w:tcPr>
            <w:tcW w:w="0" w:type="auto"/>
            <w:gridSpan w:val="3"/>
            <w:shd w:val="clear" w:color="auto" w:fill="auto"/>
            <w:tcMar>
              <w:top w:w="40" w:type="dxa"/>
              <w:left w:w="20" w:type="dxa"/>
              <w:bottom w:w="40" w:type="dxa"/>
              <w:right w:w="20" w:type="dxa"/>
            </w:tcMar>
          </w:tcPr>
          <w:p w14:paraId="6753848C" w14:textId="77777777" w:rsidR="001B77DD" w:rsidRDefault="00BF0A28">
            <w:pPr>
              <w:textAlignment w:val="top"/>
            </w:pPr>
            <w:r>
              <w:rPr>
                <w:rFonts w:ascii="Arial" w:eastAsia="宋体" w:hAnsi="Arial" w:cs="Arial"/>
                <w:color w:val="0068B5"/>
                <w:sz w:val="18"/>
                <w:szCs w:val="18"/>
              </w:rPr>
              <w:t>PRQ</w:t>
            </w:r>
          </w:p>
        </w:tc>
        <w:tc>
          <w:tcPr>
            <w:tcW w:w="0" w:type="auto"/>
            <w:gridSpan w:val="3"/>
            <w:shd w:val="clear" w:color="auto" w:fill="auto"/>
            <w:tcMar>
              <w:top w:w="0" w:type="dxa"/>
              <w:left w:w="20" w:type="dxa"/>
              <w:bottom w:w="0" w:type="dxa"/>
              <w:right w:w="20" w:type="dxa"/>
            </w:tcMar>
            <w:vAlign w:val="bottom"/>
          </w:tcPr>
          <w:p w14:paraId="6753848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8E" w14:textId="77777777" w:rsidR="001B77DD" w:rsidRDefault="00BF0A28">
            <w:pPr>
              <w:textAlignment w:val="top"/>
            </w:pPr>
            <w:r>
              <w:rPr>
                <w:rFonts w:ascii="Arial" w:eastAsia="宋体" w:hAnsi="Arial" w:cs="Arial"/>
                <w:color w:val="262626"/>
                <w:sz w:val="18"/>
                <w:szCs w:val="18"/>
              </w:rPr>
              <w:t xml:space="preserve">Product release qualification, which is the milestone when costs to manufacture a product are included in inventory </w:t>
            </w:r>
            <w:r>
              <w:rPr>
                <w:rFonts w:ascii="Arial" w:eastAsia="宋体" w:hAnsi="Arial" w:cs="Arial"/>
                <w:color w:val="262626"/>
                <w:sz w:val="18"/>
                <w:szCs w:val="18"/>
              </w:rPr>
              <w:t>valuation</w:t>
            </w:r>
          </w:p>
        </w:tc>
      </w:tr>
      <w:tr w:rsidR="001B77DD" w14:paraId="67538493" w14:textId="77777777">
        <w:tc>
          <w:tcPr>
            <w:tcW w:w="0" w:type="auto"/>
            <w:gridSpan w:val="3"/>
            <w:shd w:val="clear" w:color="auto" w:fill="auto"/>
            <w:tcMar>
              <w:top w:w="40" w:type="dxa"/>
              <w:left w:w="20" w:type="dxa"/>
              <w:bottom w:w="40" w:type="dxa"/>
              <w:right w:w="20" w:type="dxa"/>
            </w:tcMar>
          </w:tcPr>
          <w:p w14:paraId="67538490" w14:textId="77777777" w:rsidR="001B77DD" w:rsidRDefault="00BF0A28">
            <w:pPr>
              <w:textAlignment w:val="top"/>
            </w:pPr>
            <w:r>
              <w:rPr>
                <w:rFonts w:ascii="Arial" w:eastAsia="宋体" w:hAnsi="Arial" w:cs="Arial"/>
                <w:color w:val="0068B5"/>
                <w:sz w:val="18"/>
                <w:szCs w:val="18"/>
              </w:rPr>
              <w:t>PSG</w:t>
            </w:r>
          </w:p>
        </w:tc>
        <w:tc>
          <w:tcPr>
            <w:tcW w:w="0" w:type="auto"/>
            <w:gridSpan w:val="3"/>
            <w:shd w:val="clear" w:color="auto" w:fill="auto"/>
            <w:tcMar>
              <w:top w:w="0" w:type="dxa"/>
              <w:left w:w="20" w:type="dxa"/>
              <w:bottom w:w="0" w:type="dxa"/>
              <w:right w:w="20" w:type="dxa"/>
            </w:tcMar>
            <w:vAlign w:val="bottom"/>
          </w:tcPr>
          <w:p w14:paraId="6753849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92" w14:textId="77777777" w:rsidR="001B77DD" w:rsidRDefault="00BF0A28">
            <w:pPr>
              <w:textAlignment w:val="top"/>
            </w:pPr>
            <w:r>
              <w:rPr>
                <w:rFonts w:ascii="Arial" w:eastAsia="宋体" w:hAnsi="Arial" w:cs="Arial"/>
                <w:color w:val="262626"/>
                <w:sz w:val="18"/>
                <w:szCs w:val="18"/>
              </w:rPr>
              <w:t>Programmable Solutions Group operating segment</w:t>
            </w:r>
          </w:p>
        </w:tc>
      </w:tr>
      <w:tr w:rsidR="001B77DD" w14:paraId="67538497" w14:textId="77777777">
        <w:tc>
          <w:tcPr>
            <w:tcW w:w="0" w:type="auto"/>
            <w:gridSpan w:val="3"/>
            <w:shd w:val="clear" w:color="auto" w:fill="auto"/>
            <w:tcMar>
              <w:top w:w="40" w:type="dxa"/>
              <w:left w:w="20" w:type="dxa"/>
              <w:bottom w:w="40" w:type="dxa"/>
              <w:right w:w="20" w:type="dxa"/>
            </w:tcMar>
          </w:tcPr>
          <w:p w14:paraId="67538494" w14:textId="77777777" w:rsidR="001B77DD" w:rsidRDefault="00BF0A28">
            <w:pPr>
              <w:textAlignment w:val="top"/>
            </w:pPr>
            <w:r>
              <w:rPr>
                <w:rFonts w:ascii="Arial" w:eastAsia="宋体" w:hAnsi="Arial" w:cs="Arial"/>
                <w:color w:val="0068B5"/>
                <w:sz w:val="18"/>
                <w:szCs w:val="18"/>
              </w:rPr>
              <w:t>PSU</w:t>
            </w:r>
          </w:p>
        </w:tc>
        <w:tc>
          <w:tcPr>
            <w:tcW w:w="0" w:type="auto"/>
            <w:gridSpan w:val="3"/>
            <w:shd w:val="clear" w:color="auto" w:fill="auto"/>
            <w:tcMar>
              <w:top w:w="0" w:type="dxa"/>
              <w:left w:w="20" w:type="dxa"/>
              <w:bottom w:w="0" w:type="dxa"/>
              <w:right w:w="20" w:type="dxa"/>
            </w:tcMar>
            <w:vAlign w:val="bottom"/>
          </w:tcPr>
          <w:p w14:paraId="6753849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96" w14:textId="77777777" w:rsidR="001B77DD" w:rsidRDefault="00BF0A28">
            <w:pPr>
              <w:textAlignment w:val="top"/>
            </w:pPr>
            <w:r>
              <w:rPr>
                <w:rFonts w:ascii="Arial" w:eastAsia="宋体" w:hAnsi="Arial" w:cs="Arial"/>
                <w:color w:val="262626"/>
                <w:sz w:val="18"/>
                <w:szCs w:val="18"/>
              </w:rPr>
              <w:t>Performance stock unit</w:t>
            </w:r>
          </w:p>
        </w:tc>
      </w:tr>
      <w:tr w:rsidR="001B77DD" w14:paraId="6753849B" w14:textId="77777777">
        <w:tc>
          <w:tcPr>
            <w:tcW w:w="0" w:type="auto"/>
            <w:gridSpan w:val="3"/>
            <w:shd w:val="clear" w:color="auto" w:fill="auto"/>
            <w:tcMar>
              <w:top w:w="40" w:type="dxa"/>
              <w:left w:w="20" w:type="dxa"/>
              <w:bottom w:w="40" w:type="dxa"/>
              <w:right w:w="20" w:type="dxa"/>
            </w:tcMar>
          </w:tcPr>
          <w:p w14:paraId="67538498" w14:textId="77777777" w:rsidR="001B77DD" w:rsidRDefault="00BF0A28">
            <w:pPr>
              <w:textAlignment w:val="top"/>
            </w:pPr>
            <w:r>
              <w:rPr>
                <w:rFonts w:ascii="Arial" w:eastAsia="宋体" w:hAnsi="Arial" w:cs="Arial"/>
                <w:color w:val="0068B5"/>
                <w:sz w:val="18"/>
                <w:szCs w:val="18"/>
              </w:rPr>
              <w:t>QLC</w:t>
            </w:r>
          </w:p>
        </w:tc>
        <w:tc>
          <w:tcPr>
            <w:tcW w:w="0" w:type="auto"/>
            <w:gridSpan w:val="3"/>
            <w:shd w:val="clear" w:color="auto" w:fill="auto"/>
            <w:tcMar>
              <w:top w:w="0" w:type="dxa"/>
              <w:left w:w="20" w:type="dxa"/>
              <w:bottom w:w="0" w:type="dxa"/>
              <w:right w:w="20" w:type="dxa"/>
            </w:tcMar>
            <w:vAlign w:val="bottom"/>
          </w:tcPr>
          <w:p w14:paraId="6753849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9A" w14:textId="77777777" w:rsidR="001B77DD" w:rsidRDefault="00BF0A28">
            <w:pPr>
              <w:textAlignment w:val="top"/>
            </w:pPr>
            <w:r>
              <w:rPr>
                <w:rFonts w:ascii="Arial" w:eastAsia="宋体" w:hAnsi="Arial" w:cs="Arial"/>
                <w:color w:val="262626"/>
                <w:sz w:val="18"/>
                <w:szCs w:val="18"/>
              </w:rPr>
              <w:t xml:space="preserve">Quad-level cell </w:t>
            </w:r>
          </w:p>
        </w:tc>
      </w:tr>
      <w:tr w:rsidR="001B77DD" w14:paraId="6753849F" w14:textId="77777777">
        <w:tc>
          <w:tcPr>
            <w:tcW w:w="0" w:type="auto"/>
            <w:gridSpan w:val="3"/>
            <w:shd w:val="clear" w:color="auto" w:fill="auto"/>
            <w:tcMar>
              <w:top w:w="40" w:type="dxa"/>
              <w:left w:w="20" w:type="dxa"/>
              <w:bottom w:w="40" w:type="dxa"/>
              <w:right w:w="20" w:type="dxa"/>
            </w:tcMar>
          </w:tcPr>
          <w:p w14:paraId="6753849C" w14:textId="77777777" w:rsidR="001B77DD" w:rsidRDefault="00BF0A28">
            <w:pPr>
              <w:textAlignment w:val="top"/>
            </w:pPr>
            <w:r>
              <w:rPr>
                <w:rFonts w:ascii="Arial" w:eastAsia="宋体" w:hAnsi="Arial" w:cs="Arial"/>
                <w:color w:val="0068B5"/>
                <w:sz w:val="18"/>
                <w:szCs w:val="18"/>
              </w:rPr>
              <w:t>RAMP-C</w:t>
            </w:r>
          </w:p>
        </w:tc>
        <w:tc>
          <w:tcPr>
            <w:tcW w:w="0" w:type="auto"/>
            <w:gridSpan w:val="3"/>
            <w:shd w:val="clear" w:color="auto" w:fill="auto"/>
            <w:tcMar>
              <w:top w:w="0" w:type="dxa"/>
              <w:left w:w="20" w:type="dxa"/>
              <w:bottom w:w="0" w:type="dxa"/>
              <w:right w:w="20" w:type="dxa"/>
            </w:tcMar>
            <w:vAlign w:val="bottom"/>
          </w:tcPr>
          <w:p w14:paraId="6753849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9E" w14:textId="77777777" w:rsidR="001B77DD" w:rsidRDefault="00BF0A28">
            <w:pPr>
              <w:textAlignment w:val="top"/>
            </w:pPr>
            <w:r>
              <w:rPr>
                <w:rFonts w:ascii="Arial" w:eastAsia="宋体" w:hAnsi="Arial" w:cs="Arial"/>
                <w:color w:val="262626"/>
                <w:sz w:val="18"/>
                <w:szCs w:val="18"/>
              </w:rPr>
              <w:t xml:space="preserve">Rapid Assured Microelectronics Prototypes-Commercial, a program from the US Department of Defense to facilitate the use of a </w:t>
            </w:r>
            <w:r>
              <w:rPr>
                <w:rFonts w:ascii="Arial" w:eastAsia="宋体" w:hAnsi="Arial" w:cs="Arial"/>
                <w:color w:val="262626"/>
                <w:sz w:val="18"/>
                <w:szCs w:val="18"/>
              </w:rPr>
              <w:t>domestic commercial foundry infrastructure</w:t>
            </w:r>
          </w:p>
        </w:tc>
      </w:tr>
      <w:tr w:rsidR="001B77DD" w14:paraId="675384A3" w14:textId="77777777">
        <w:tc>
          <w:tcPr>
            <w:tcW w:w="0" w:type="auto"/>
            <w:gridSpan w:val="3"/>
            <w:shd w:val="clear" w:color="auto" w:fill="auto"/>
            <w:tcMar>
              <w:top w:w="40" w:type="dxa"/>
              <w:left w:w="20" w:type="dxa"/>
              <w:bottom w:w="40" w:type="dxa"/>
              <w:right w:w="20" w:type="dxa"/>
            </w:tcMar>
          </w:tcPr>
          <w:p w14:paraId="675384A0" w14:textId="77777777" w:rsidR="001B77DD" w:rsidRDefault="00BF0A28">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vAlign w:val="bottom"/>
          </w:tcPr>
          <w:p w14:paraId="675384A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A2" w14:textId="77777777" w:rsidR="001B77DD" w:rsidRDefault="00BF0A28">
            <w:pPr>
              <w:textAlignment w:val="top"/>
            </w:pPr>
            <w:r>
              <w:rPr>
                <w:rFonts w:ascii="Arial" w:eastAsia="宋体" w:hAnsi="Arial" w:cs="Arial"/>
                <w:color w:val="262626"/>
                <w:sz w:val="18"/>
                <w:szCs w:val="18"/>
              </w:rPr>
              <w:t>Research and development</w:t>
            </w:r>
          </w:p>
        </w:tc>
      </w:tr>
      <w:tr w:rsidR="001B77DD" w14:paraId="675384A7" w14:textId="77777777">
        <w:tc>
          <w:tcPr>
            <w:tcW w:w="0" w:type="auto"/>
            <w:gridSpan w:val="3"/>
            <w:shd w:val="clear" w:color="auto" w:fill="auto"/>
            <w:tcMar>
              <w:top w:w="40" w:type="dxa"/>
              <w:left w:w="20" w:type="dxa"/>
              <w:bottom w:w="40" w:type="dxa"/>
              <w:right w:w="20" w:type="dxa"/>
            </w:tcMar>
          </w:tcPr>
          <w:p w14:paraId="675384A4" w14:textId="77777777" w:rsidR="001B77DD" w:rsidRDefault="00BF0A28">
            <w:pPr>
              <w:textAlignment w:val="top"/>
            </w:pPr>
            <w:r>
              <w:rPr>
                <w:rFonts w:ascii="Arial" w:eastAsia="宋体" w:hAnsi="Arial" w:cs="Arial"/>
                <w:color w:val="0068B5"/>
                <w:sz w:val="18"/>
                <w:szCs w:val="18"/>
              </w:rPr>
              <w:t>RDFV</w:t>
            </w:r>
          </w:p>
        </w:tc>
        <w:tc>
          <w:tcPr>
            <w:tcW w:w="0" w:type="auto"/>
            <w:gridSpan w:val="3"/>
            <w:shd w:val="clear" w:color="auto" w:fill="auto"/>
            <w:tcMar>
              <w:top w:w="0" w:type="dxa"/>
              <w:left w:w="20" w:type="dxa"/>
              <w:bottom w:w="0" w:type="dxa"/>
              <w:right w:w="20" w:type="dxa"/>
            </w:tcMar>
            <w:vAlign w:val="bottom"/>
          </w:tcPr>
          <w:p w14:paraId="675384A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A6" w14:textId="77777777" w:rsidR="001B77DD" w:rsidRDefault="00BF0A28">
            <w:pPr>
              <w:textAlignment w:val="top"/>
            </w:pPr>
            <w:r>
              <w:rPr>
                <w:rFonts w:ascii="Arial" w:eastAsia="宋体" w:hAnsi="Arial" w:cs="Arial"/>
                <w:color w:val="262626"/>
                <w:sz w:val="18"/>
                <w:szCs w:val="18"/>
              </w:rPr>
              <w:t>Readily determinable fair value</w:t>
            </w:r>
          </w:p>
        </w:tc>
      </w:tr>
      <w:tr w:rsidR="001B77DD" w14:paraId="675384AB" w14:textId="77777777">
        <w:tc>
          <w:tcPr>
            <w:tcW w:w="0" w:type="auto"/>
            <w:gridSpan w:val="3"/>
            <w:shd w:val="clear" w:color="auto" w:fill="auto"/>
            <w:tcMar>
              <w:top w:w="40" w:type="dxa"/>
              <w:left w:w="20" w:type="dxa"/>
              <w:bottom w:w="40" w:type="dxa"/>
              <w:right w:w="20" w:type="dxa"/>
            </w:tcMar>
          </w:tcPr>
          <w:p w14:paraId="675384A8" w14:textId="77777777" w:rsidR="001B77DD" w:rsidRDefault="00BF0A28">
            <w:pPr>
              <w:textAlignment w:val="top"/>
            </w:pPr>
            <w:r>
              <w:rPr>
                <w:rFonts w:ascii="Arial" w:eastAsia="宋体" w:hAnsi="Arial" w:cs="Arial"/>
                <w:color w:val="0068B5"/>
                <w:sz w:val="18"/>
                <w:szCs w:val="18"/>
              </w:rPr>
              <w:t>REM</w:t>
            </w:r>
          </w:p>
        </w:tc>
        <w:tc>
          <w:tcPr>
            <w:tcW w:w="0" w:type="auto"/>
            <w:gridSpan w:val="3"/>
            <w:shd w:val="clear" w:color="auto" w:fill="auto"/>
            <w:tcMar>
              <w:top w:w="0" w:type="dxa"/>
              <w:left w:w="20" w:type="dxa"/>
              <w:bottom w:w="0" w:type="dxa"/>
              <w:right w:w="20" w:type="dxa"/>
            </w:tcMar>
            <w:vAlign w:val="bottom"/>
          </w:tcPr>
          <w:p w14:paraId="675384A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AA" w14:textId="77777777" w:rsidR="001B77DD" w:rsidRDefault="00BF0A28">
            <w:pPr>
              <w:textAlignment w:val="top"/>
            </w:pPr>
            <w:r>
              <w:rPr>
                <w:rFonts w:ascii="Arial" w:eastAsia="宋体" w:hAnsi="Arial" w:cs="Arial"/>
                <w:color w:val="262626"/>
                <w:sz w:val="18"/>
                <w:szCs w:val="18"/>
              </w:rPr>
              <w:t>Road Experience Management</w:t>
            </w:r>
          </w:p>
        </w:tc>
      </w:tr>
      <w:tr w:rsidR="001B77DD" w14:paraId="675384AF" w14:textId="77777777">
        <w:trPr>
          <w:hidden/>
        </w:trPr>
        <w:tc>
          <w:tcPr>
            <w:tcW w:w="0" w:type="auto"/>
            <w:gridSpan w:val="3"/>
            <w:shd w:val="clear" w:color="auto" w:fill="auto"/>
            <w:vAlign w:val="bottom"/>
          </w:tcPr>
          <w:p w14:paraId="675384AC" w14:textId="77777777" w:rsidR="001B77DD" w:rsidRDefault="001B77DD">
            <w:pPr>
              <w:rPr>
                <w:rFonts w:ascii="宋体"/>
                <w:vanish/>
              </w:rPr>
            </w:pPr>
          </w:p>
        </w:tc>
        <w:tc>
          <w:tcPr>
            <w:tcW w:w="0" w:type="auto"/>
            <w:gridSpan w:val="3"/>
            <w:shd w:val="clear" w:color="auto" w:fill="auto"/>
            <w:vAlign w:val="bottom"/>
          </w:tcPr>
          <w:p w14:paraId="675384AD" w14:textId="77777777" w:rsidR="001B77DD" w:rsidRDefault="001B77DD">
            <w:pPr>
              <w:rPr>
                <w:rFonts w:ascii="宋体"/>
                <w:vanish/>
              </w:rPr>
            </w:pPr>
          </w:p>
        </w:tc>
        <w:tc>
          <w:tcPr>
            <w:tcW w:w="0" w:type="auto"/>
            <w:gridSpan w:val="3"/>
            <w:shd w:val="clear" w:color="auto" w:fill="auto"/>
            <w:vAlign w:val="bottom"/>
          </w:tcPr>
          <w:p w14:paraId="675384AE" w14:textId="77777777" w:rsidR="001B77DD" w:rsidRDefault="001B77DD">
            <w:pPr>
              <w:rPr>
                <w:rFonts w:ascii="宋体"/>
                <w:vanish/>
              </w:rPr>
            </w:pPr>
          </w:p>
        </w:tc>
      </w:tr>
      <w:tr w:rsidR="001B77DD" w14:paraId="675384B3" w14:textId="77777777">
        <w:trPr>
          <w:hidden/>
        </w:trPr>
        <w:tc>
          <w:tcPr>
            <w:tcW w:w="0" w:type="auto"/>
            <w:gridSpan w:val="3"/>
            <w:shd w:val="clear" w:color="auto" w:fill="auto"/>
            <w:vAlign w:val="bottom"/>
          </w:tcPr>
          <w:p w14:paraId="675384B0" w14:textId="77777777" w:rsidR="001B77DD" w:rsidRDefault="001B77DD">
            <w:pPr>
              <w:rPr>
                <w:rFonts w:ascii="宋体"/>
                <w:vanish/>
              </w:rPr>
            </w:pPr>
          </w:p>
        </w:tc>
        <w:tc>
          <w:tcPr>
            <w:tcW w:w="0" w:type="auto"/>
            <w:gridSpan w:val="3"/>
            <w:shd w:val="clear" w:color="auto" w:fill="auto"/>
            <w:vAlign w:val="bottom"/>
          </w:tcPr>
          <w:p w14:paraId="675384B1" w14:textId="77777777" w:rsidR="001B77DD" w:rsidRDefault="001B77DD">
            <w:pPr>
              <w:rPr>
                <w:rFonts w:ascii="宋体"/>
                <w:vanish/>
              </w:rPr>
            </w:pPr>
          </w:p>
        </w:tc>
        <w:tc>
          <w:tcPr>
            <w:tcW w:w="0" w:type="auto"/>
            <w:gridSpan w:val="3"/>
            <w:shd w:val="clear" w:color="auto" w:fill="auto"/>
            <w:vAlign w:val="bottom"/>
          </w:tcPr>
          <w:p w14:paraId="675384B2" w14:textId="77777777" w:rsidR="001B77DD" w:rsidRDefault="001B77DD">
            <w:pPr>
              <w:rPr>
                <w:rFonts w:ascii="宋体"/>
                <w:vanish/>
              </w:rPr>
            </w:pPr>
          </w:p>
        </w:tc>
      </w:tr>
      <w:tr w:rsidR="001B77DD" w14:paraId="675384B7" w14:textId="77777777">
        <w:tc>
          <w:tcPr>
            <w:tcW w:w="0" w:type="auto"/>
            <w:gridSpan w:val="3"/>
            <w:shd w:val="clear" w:color="auto" w:fill="auto"/>
            <w:tcMar>
              <w:top w:w="40" w:type="dxa"/>
              <w:left w:w="20" w:type="dxa"/>
              <w:bottom w:w="40" w:type="dxa"/>
              <w:right w:w="20" w:type="dxa"/>
            </w:tcMar>
          </w:tcPr>
          <w:p w14:paraId="675384B4" w14:textId="77777777" w:rsidR="001B77DD" w:rsidRDefault="00BF0A28">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vAlign w:val="bottom"/>
          </w:tcPr>
          <w:p w14:paraId="675384B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B6" w14:textId="77777777" w:rsidR="001B77DD" w:rsidRDefault="00BF0A28">
            <w:pPr>
              <w:textAlignment w:val="top"/>
            </w:pPr>
            <w:r>
              <w:rPr>
                <w:rFonts w:ascii="Arial" w:eastAsia="宋体" w:hAnsi="Arial" w:cs="Arial"/>
                <w:color w:val="262626"/>
                <w:sz w:val="18"/>
                <w:szCs w:val="18"/>
              </w:rPr>
              <w:t>Restricted stock unit</w:t>
            </w:r>
          </w:p>
        </w:tc>
      </w:tr>
      <w:tr w:rsidR="001B77DD" w14:paraId="675384BB" w14:textId="77777777">
        <w:trPr>
          <w:hidden/>
        </w:trPr>
        <w:tc>
          <w:tcPr>
            <w:tcW w:w="0" w:type="auto"/>
            <w:gridSpan w:val="3"/>
            <w:shd w:val="clear" w:color="auto" w:fill="auto"/>
            <w:vAlign w:val="bottom"/>
          </w:tcPr>
          <w:p w14:paraId="675384B8" w14:textId="77777777" w:rsidR="001B77DD" w:rsidRDefault="001B77DD">
            <w:pPr>
              <w:rPr>
                <w:rFonts w:ascii="宋体"/>
                <w:vanish/>
              </w:rPr>
            </w:pPr>
          </w:p>
        </w:tc>
        <w:tc>
          <w:tcPr>
            <w:tcW w:w="0" w:type="auto"/>
            <w:gridSpan w:val="3"/>
            <w:shd w:val="clear" w:color="auto" w:fill="auto"/>
            <w:vAlign w:val="bottom"/>
          </w:tcPr>
          <w:p w14:paraId="675384B9" w14:textId="77777777" w:rsidR="001B77DD" w:rsidRDefault="001B77DD">
            <w:pPr>
              <w:rPr>
                <w:rFonts w:ascii="宋体"/>
                <w:vanish/>
              </w:rPr>
            </w:pPr>
          </w:p>
        </w:tc>
        <w:tc>
          <w:tcPr>
            <w:tcW w:w="0" w:type="auto"/>
            <w:gridSpan w:val="3"/>
            <w:shd w:val="clear" w:color="auto" w:fill="auto"/>
            <w:vAlign w:val="bottom"/>
          </w:tcPr>
          <w:p w14:paraId="675384BA" w14:textId="77777777" w:rsidR="001B77DD" w:rsidRDefault="001B77DD">
            <w:pPr>
              <w:rPr>
                <w:rFonts w:ascii="宋体"/>
                <w:vanish/>
              </w:rPr>
            </w:pPr>
          </w:p>
        </w:tc>
      </w:tr>
      <w:tr w:rsidR="001B77DD" w14:paraId="675384BF" w14:textId="77777777">
        <w:trPr>
          <w:hidden/>
        </w:trPr>
        <w:tc>
          <w:tcPr>
            <w:tcW w:w="0" w:type="auto"/>
            <w:gridSpan w:val="3"/>
            <w:shd w:val="clear" w:color="auto" w:fill="auto"/>
            <w:vAlign w:val="bottom"/>
          </w:tcPr>
          <w:p w14:paraId="675384BC" w14:textId="77777777" w:rsidR="001B77DD" w:rsidRDefault="001B77DD">
            <w:pPr>
              <w:rPr>
                <w:rFonts w:ascii="宋体"/>
                <w:vanish/>
              </w:rPr>
            </w:pPr>
          </w:p>
        </w:tc>
        <w:tc>
          <w:tcPr>
            <w:tcW w:w="0" w:type="auto"/>
            <w:gridSpan w:val="3"/>
            <w:shd w:val="clear" w:color="auto" w:fill="auto"/>
            <w:vAlign w:val="bottom"/>
          </w:tcPr>
          <w:p w14:paraId="675384BD" w14:textId="77777777" w:rsidR="001B77DD" w:rsidRDefault="001B77DD">
            <w:pPr>
              <w:rPr>
                <w:rFonts w:ascii="宋体"/>
                <w:vanish/>
              </w:rPr>
            </w:pPr>
          </w:p>
        </w:tc>
        <w:tc>
          <w:tcPr>
            <w:tcW w:w="0" w:type="auto"/>
            <w:gridSpan w:val="3"/>
            <w:shd w:val="clear" w:color="auto" w:fill="auto"/>
            <w:vAlign w:val="bottom"/>
          </w:tcPr>
          <w:p w14:paraId="675384BE" w14:textId="77777777" w:rsidR="001B77DD" w:rsidRDefault="001B77DD">
            <w:pPr>
              <w:rPr>
                <w:rFonts w:ascii="宋体"/>
                <w:vanish/>
              </w:rPr>
            </w:pPr>
          </w:p>
        </w:tc>
      </w:tr>
      <w:tr w:rsidR="001B77DD" w14:paraId="675384C3" w14:textId="77777777">
        <w:trPr>
          <w:hidden/>
        </w:trPr>
        <w:tc>
          <w:tcPr>
            <w:tcW w:w="0" w:type="auto"/>
            <w:gridSpan w:val="3"/>
            <w:shd w:val="clear" w:color="auto" w:fill="auto"/>
            <w:vAlign w:val="bottom"/>
          </w:tcPr>
          <w:p w14:paraId="675384C0" w14:textId="77777777" w:rsidR="001B77DD" w:rsidRDefault="001B77DD">
            <w:pPr>
              <w:rPr>
                <w:rFonts w:ascii="宋体"/>
                <w:vanish/>
              </w:rPr>
            </w:pPr>
          </w:p>
        </w:tc>
        <w:tc>
          <w:tcPr>
            <w:tcW w:w="0" w:type="auto"/>
            <w:gridSpan w:val="3"/>
            <w:shd w:val="clear" w:color="auto" w:fill="auto"/>
            <w:vAlign w:val="bottom"/>
          </w:tcPr>
          <w:p w14:paraId="675384C1" w14:textId="77777777" w:rsidR="001B77DD" w:rsidRDefault="001B77DD">
            <w:pPr>
              <w:rPr>
                <w:rFonts w:ascii="宋体"/>
                <w:vanish/>
              </w:rPr>
            </w:pPr>
          </w:p>
        </w:tc>
        <w:tc>
          <w:tcPr>
            <w:tcW w:w="0" w:type="auto"/>
            <w:gridSpan w:val="3"/>
            <w:shd w:val="clear" w:color="auto" w:fill="auto"/>
            <w:vAlign w:val="bottom"/>
          </w:tcPr>
          <w:p w14:paraId="675384C2" w14:textId="77777777" w:rsidR="001B77DD" w:rsidRDefault="001B77DD">
            <w:pPr>
              <w:rPr>
                <w:rFonts w:ascii="宋体"/>
                <w:vanish/>
              </w:rPr>
            </w:pPr>
          </w:p>
        </w:tc>
      </w:tr>
      <w:tr w:rsidR="001B77DD" w14:paraId="675384C7" w14:textId="77777777">
        <w:trPr>
          <w:hidden/>
        </w:trPr>
        <w:tc>
          <w:tcPr>
            <w:tcW w:w="0" w:type="auto"/>
            <w:gridSpan w:val="3"/>
            <w:shd w:val="clear" w:color="auto" w:fill="auto"/>
            <w:vAlign w:val="bottom"/>
          </w:tcPr>
          <w:p w14:paraId="675384C4" w14:textId="77777777" w:rsidR="001B77DD" w:rsidRDefault="001B77DD">
            <w:pPr>
              <w:rPr>
                <w:rFonts w:ascii="宋体"/>
                <w:vanish/>
              </w:rPr>
            </w:pPr>
          </w:p>
        </w:tc>
        <w:tc>
          <w:tcPr>
            <w:tcW w:w="0" w:type="auto"/>
            <w:gridSpan w:val="3"/>
            <w:shd w:val="clear" w:color="auto" w:fill="auto"/>
            <w:vAlign w:val="bottom"/>
          </w:tcPr>
          <w:p w14:paraId="675384C5" w14:textId="77777777" w:rsidR="001B77DD" w:rsidRDefault="001B77DD">
            <w:pPr>
              <w:rPr>
                <w:rFonts w:ascii="宋体"/>
                <w:vanish/>
              </w:rPr>
            </w:pPr>
          </w:p>
        </w:tc>
        <w:tc>
          <w:tcPr>
            <w:tcW w:w="0" w:type="auto"/>
            <w:gridSpan w:val="3"/>
            <w:shd w:val="clear" w:color="auto" w:fill="auto"/>
            <w:vAlign w:val="bottom"/>
          </w:tcPr>
          <w:p w14:paraId="675384C6" w14:textId="77777777" w:rsidR="001B77DD" w:rsidRDefault="001B77DD">
            <w:pPr>
              <w:rPr>
                <w:rFonts w:ascii="宋体"/>
                <w:vanish/>
              </w:rPr>
            </w:pPr>
          </w:p>
        </w:tc>
      </w:tr>
      <w:tr w:rsidR="001B77DD" w14:paraId="675384CB" w14:textId="77777777">
        <w:trPr>
          <w:hidden/>
        </w:trPr>
        <w:tc>
          <w:tcPr>
            <w:tcW w:w="0" w:type="auto"/>
            <w:gridSpan w:val="3"/>
            <w:shd w:val="clear" w:color="auto" w:fill="auto"/>
            <w:vAlign w:val="bottom"/>
          </w:tcPr>
          <w:p w14:paraId="675384C8" w14:textId="77777777" w:rsidR="001B77DD" w:rsidRDefault="001B77DD">
            <w:pPr>
              <w:rPr>
                <w:rFonts w:ascii="宋体"/>
                <w:vanish/>
              </w:rPr>
            </w:pPr>
          </w:p>
        </w:tc>
        <w:tc>
          <w:tcPr>
            <w:tcW w:w="0" w:type="auto"/>
            <w:gridSpan w:val="3"/>
            <w:shd w:val="clear" w:color="auto" w:fill="auto"/>
            <w:vAlign w:val="bottom"/>
          </w:tcPr>
          <w:p w14:paraId="675384C9" w14:textId="77777777" w:rsidR="001B77DD" w:rsidRDefault="001B77DD">
            <w:pPr>
              <w:rPr>
                <w:rFonts w:ascii="宋体"/>
                <w:vanish/>
              </w:rPr>
            </w:pPr>
          </w:p>
        </w:tc>
        <w:tc>
          <w:tcPr>
            <w:tcW w:w="0" w:type="auto"/>
            <w:gridSpan w:val="3"/>
            <w:shd w:val="clear" w:color="auto" w:fill="auto"/>
            <w:vAlign w:val="bottom"/>
          </w:tcPr>
          <w:p w14:paraId="675384CA" w14:textId="77777777" w:rsidR="001B77DD" w:rsidRDefault="001B77DD">
            <w:pPr>
              <w:rPr>
                <w:rFonts w:ascii="宋体"/>
                <w:vanish/>
              </w:rPr>
            </w:pPr>
          </w:p>
        </w:tc>
      </w:tr>
      <w:tr w:rsidR="001B77DD" w14:paraId="675384CF" w14:textId="77777777">
        <w:tc>
          <w:tcPr>
            <w:tcW w:w="0" w:type="auto"/>
            <w:gridSpan w:val="3"/>
            <w:shd w:val="clear" w:color="auto" w:fill="auto"/>
            <w:tcMar>
              <w:top w:w="40" w:type="dxa"/>
              <w:left w:w="20" w:type="dxa"/>
              <w:bottom w:w="40" w:type="dxa"/>
              <w:right w:w="20" w:type="dxa"/>
            </w:tcMar>
          </w:tcPr>
          <w:p w14:paraId="675384CC" w14:textId="77777777" w:rsidR="001B77DD" w:rsidRDefault="00BF0A28">
            <w:pPr>
              <w:textAlignment w:val="top"/>
            </w:pPr>
            <w:r>
              <w:rPr>
                <w:rFonts w:ascii="Arial" w:eastAsia="宋体" w:hAnsi="Arial" w:cs="Arial"/>
                <w:color w:val="0068B5"/>
                <w:sz w:val="18"/>
                <w:szCs w:val="18"/>
              </w:rPr>
              <w:t>SDS</w:t>
            </w:r>
          </w:p>
        </w:tc>
        <w:tc>
          <w:tcPr>
            <w:tcW w:w="0" w:type="auto"/>
            <w:gridSpan w:val="3"/>
            <w:shd w:val="clear" w:color="auto" w:fill="auto"/>
            <w:tcMar>
              <w:top w:w="0" w:type="dxa"/>
              <w:left w:w="20" w:type="dxa"/>
              <w:bottom w:w="0" w:type="dxa"/>
              <w:right w:w="20" w:type="dxa"/>
            </w:tcMar>
            <w:vAlign w:val="bottom"/>
          </w:tcPr>
          <w:p w14:paraId="675384C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CE" w14:textId="77777777" w:rsidR="001B77DD" w:rsidRDefault="00BF0A28">
            <w:pPr>
              <w:textAlignment w:val="top"/>
            </w:pPr>
            <w:r>
              <w:rPr>
                <w:rFonts w:ascii="Arial" w:eastAsia="宋体" w:hAnsi="Arial" w:cs="Arial"/>
                <w:color w:val="262626"/>
                <w:sz w:val="18"/>
                <w:szCs w:val="18"/>
              </w:rPr>
              <w:t>Self-driving system</w:t>
            </w:r>
          </w:p>
        </w:tc>
      </w:tr>
      <w:tr w:rsidR="001B77DD" w14:paraId="675384D3" w14:textId="77777777">
        <w:tc>
          <w:tcPr>
            <w:tcW w:w="0" w:type="auto"/>
            <w:gridSpan w:val="3"/>
            <w:shd w:val="clear" w:color="auto" w:fill="auto"/>
            <w:tcMar>
              <w:top w:w="40" w:type="dxa"/>
              <w:left w:w="20" w:type="dxa"/>
              <w:bottom w:w="40" w:type="dxa"/>
              <w:right w:w="20" w:type="dxa"/>
            </w:tcMar>
          </w:tcPr>
          <w:p w14:paraId="675384D0" w14:textId="77777777" w:rsidR="001B77DD" w:rsidRDefault="00BF0A28">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vAlign w:val="bottom"/>
          </w:tcPr>
          <w:p w14:paraId="675384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D2" w14:textId="77777777" w:rsidR="001B77DD" w:rsidRDefault="00BF0A28">
            <w:pPr>
              <w:textAlignment w:val="top"/>
            </w:pPr>
            <w:r>
              <w:rPr>
                <w:rFonts w:ascii="Arial" w:eastAsia="宋体" w:hAnsi="Arial" w:cs="Arial"/>
                <w:color w:val="262626"/>
                <w:sz w:val="18"/>
                <w:szCs w:val="18"/>
              </w:rPr>
              <w:t xml:space="preserve">US </w:t>
            </w:r>
            <w:r>
              <w:rPr>
                <w:rFonts w:ascii="Arial" w:eastAsia="宋体" w:hAnsi="Arial" w:cs="Arial"/>
                <w:color w:val="262626"/>
                <w:sz w:val="18"/>
                <w:szCs w:val="18"/>
              </w:rPr>
              <w:t>Securities and Exchange Commission</w:t>
            </w:r>
          </w:p>
        </w:tc>
      </w:tr>
      <w:tr w:rsidR="001B77DD" w14:paraId="675384D7" w14:textId="77777777">
        <w:trPr>
          <w:hidden/>
        </w:trPr>
        <w:tc>
          <w:tcPr>
            <w:tcW w:w="0" w:type="auto"/>
            <w:gridSpan w:val="3"/>
            <w:shd w:val="clear" w:color="auto" w:fill="auto"/>
            <w:vAlign w:val="bottom"/>
          </w:tcPr>
          <w:p w14:paraId="675384D4" w14:textId="77777777" w:rsidR="001B77DD" w:rsidRDefault="001B77DD">
            <w:pPr>
              <w:rPr>
                <w:rFonts w:ascii="宋体"/>
                <w:vanish/>
              </w:rPr>
            </w:pPr>
          </w:p>
        </w:tc>
        <w:tc>
          <w:tcPr>
            <w:tcW w:w="0" w:type="auto"/>
            <w:gridSpan w:val="3"/>
            <w:shd w:val="clear" w:color="auto" w:fill="auto"/>
            <w:vAlign w:val="bottom"/>
          </w:tcPr>
          <w:p w14:paraId="675384D5" w14:textId="77777777" w:rsidR="001B77DD" w:rsidRDefault="001B77DD">
            <w:pPr>
              <w:rPr>
                <w:rFonts w:ascii="宋体"/>
                <w:vanish/>
              </w:rPr>
            </w:pPr>
          </w:p>
        </w:tc>
        <w:tc>
          <w:tcPr>
            <w:tcW w:w="0" w:type="auto"/>
            <w:gridSpan w:val="3"/>
            <w:shd w:val="clear" w:color="auto" w:fill="auto"/>
            <w:vAlign w:val="bottom"/>
          </w:tcPr>
          <w:p w14:paraId="675384D6" w14:textId="77777777" w:rsidR="001B77DD" w:rsidRDefault="001B77DD">
            <w:pPr>
              <w:rPr>
                <w:rFonts w:ascii="宋体"/>
                <w:vanish/>
              </w:rPr>
            </w:pPr>
          </w:p>
        </w:tc>
      </w:tr>
      <w:tr w:rsidR="001B77DD" w14:paraId="675384DB" w14:textId="77777777">
        <w:trPr>
          <w:hidden/>
        </w:trPr>
        <w:tc>
          <w:tcPr>
            <w:tcW w:w="0" w:type="auto"/>
            <w:gridSpan w:val="3"/>
            <w:shd w:val="clear" w:color="auto" w:fill="auto"/>
            <w:vAlign w:val="bottom"/>
          </w:tcPr>
          <w:p w14:paraId="675384D8" w14:textId="77777777" w:rsidR="001B77DD" w:rsidRDefault="001B77DD">
            <w:pPr>
              <w:rPr>
                <w:rFonts w:ascii="宋体"/>
                <w:vanish/>
              </w:rPr>
            </w:pPr>
          </w:p>
        </w:tc>
        <w:tc>
          <w:tcPr>
            <w:tcW w:w="0" w:type="auto"/>
            <w:gridSpan w:val="3"/>
            <w:shd w:val="clear" w:color="auto" w:fill="auto"/>
            <w:vAlign w:val="bottom"/>
          </w:tcPr>
          <w:p w14:paraId="675384D9" w14:textId="77777777" w:rsidR="001B77DD" w:rsidRDefault="001B77DD">
            <w:pPr>
              <w:rPr>
                <w:rFonts w:ascii="宋体"/>
                <w:vanish/>
              </w:rPr>
            </w:pPr>
          </w:p>
        </w:tc>
        <w:tc>
          <w:tcPr>
            <w:tcW w:w="0" w:type="auto"/>
            <w:gridSpan w:val="3"/>
            <w:shd w:val="clear" w:color="auto" w:fill="auto"/>
            <w:vAlign w:val="bottom"/>
          </w:tcPr>
          <w:p w14:paraId="675384DA" w14:textId="77777777" w:rsidR="001B77DD" w:rsidRDefault="001B77DD">
            <w:pPr>
              <w:rPr>
                <w:rFonts w:ascii="宋体"/>
                <w:vanish/>
              </w:rPr>
            </w:pPr>
          </w:p>
        </w:tc>
      </w:tr>
      <w:tr w:rsidR="001B77DD" w14:paraId="675384DF" w14:textId="77777777">
        <w:tc>
          <w:tcPr>
            <w:tcW w:w="0" w:type="auto"/>
            <w:gridSpan w:val="3"/>
            <w:shd w:val="clear" w:color="auto" w:fill="auto"/>
            <w:tcMar>
              <w:top w:w="40" w:type="dxa"/>
              <w:left w:w="20" w:type="dxa"/>
              <w:bottom w:w="40" w:type="dxa"/>
              <w:right w:w="20" w:type="dxa"/>
            </w:tcMar>
          </w:tcPr>
          <w:p w14:paraId="675384DC" w14:textId="77777777" w:rsidR="001B77DD" w:rsidRDefault="00BF0A28">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vAlign w:val="bottom"/>
          </w:tcPr>
          <w:p w14:paraId="675384D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DE" w14:textId="77777777" w:rsidR="001B77DD" w:rsidRDefault="00BF0A28">
            <w:pPr>
              <w:textAlignment w:val="top"/>
            </w:pPr>
            <w:r>
              <w:rPr>
                <w:rFonts w:ascii="Arial" w:eastAsia="宋体" w:hAnsi="Arial" w:cs="Arial"/>
                <w:color w:val="262626"/>
                <w:sz w:val="18"/>
                <w:szCs w:val="18"/>
              </w:rPr>
              <w:t>A System-on-a-Chip, which integrates most of the components of a computer or other electronic system into a single silicon chip. We offer a range of SoC platform products in CCG, DCG, and IOTG</w:t>
            </w:r>
          </w:p>
        </w:tc>
      </w:tr>
      <w:tr w:rsidR="001B77DD" w14:paraId="675384E3" w14:textId="77777777">
        <w:trPr>
          <w:hidden/>
        </w:trPr>
        <w:tc>
          <w:tcPr>
            <w:tcW w:w="0" w:type="auto"/>
            <w:gridSpan w:val="3"/>
            <w:shd w:val="clear" w:color="auto" w:fill="auto"/>
            <w:vAlign w:val="bottom"/>
          </w:tcPr>
          <w:p w14:paraId="675384E0" w14:textId="77777777" w:rsidR="001B77DD" w:rsidRDefault="001B77DD">
            <w:pPr>
              <w:rPr>
                <w:rFonts w:ascii="宋体"/>
                <w:vanish/>
              </w:rPr>
            </w:pPr>
          </w:p>
        </w:tc>
        <w:tc>
          <w:tcPr>
            <w:tcW w:w="0" w:type="auto"/>
            <w:gridSpan w:val="3"/>
            <w:shd w:val="clear" w:color="auto" w:fill="auto"/>
            <w:vAlign w:val="bottom"/>
          </w:tcPr>
          <w:p w14:paraId="675384E1" w14:textId="77777777" w:rsidR="001B77DD" w:rsidRDefault="001B77DD">
            <w:pPr>
              <w:rPr>
                <w:rFonts w:ascii="宋体"/>
                <w:vanish/>
              </w:rPr>
            </w:pPr>
          </w:p>
        </w:tc>
        <w:tc>
          <w:tcPr>
            <w:tcW w:w="0" w:type="auto"/>
            <w:gridSpan w:val="3"/>
            <w:shd w:val="clear" w:color="auto" w:fill="auto"/>
            <w:vAlign w:val="bottom"/>
          </w:tcPr>
          <w:p w14:paraId="675384E2" w14:textId="77777777" w:rsidR="001B77DD" w:rsidRDefault="001B77DD">
            <w:pPr>
              <w:rPr>
                <w:rFonts w:ascii="宋体"/>
                <w:vanish/>
              </w:rPr>
            </w:pPr>
          </w:p>
        </w:tc>
      </w:tr>
      <w:tr w:rsidR="001B77DD" w14:paraId="675384E7" w14:textId="77777777">
        <w:trPr>
          <w:hidden/>
        </w:trPr>
        <w:tc>
          <w:tcPr>
            <w:tcW w:w="0" w:type="auto"/>
            <w:gridSpan w:val="3"/>
            <w:shd w:val="clear" w:color="auto" w:fill="auto"/>
            <w:vAlign w:val="bottom"/>
          </w:tcPr>
          <w:p w14:paraId="675384E4" w14:textId="77777777" w:rsidR="001B77DD" w:rsidRDefault="001B77DD">
            <w:pPr>
              <w:rPr>
                <w:rFonts w:ascii="宋体"/>
                <w:vanish/>
              </w:rPr>
            </w:pPr>
          </w:p>
        </w:tc>
        <w:tc>
          <w:tcPr>
            <w:tcW w:w="0" w:type="auto"/>
            <w:gridSpan w:val="3"/>
            <w:shd w:val="clear" w:color="auto" w:fill="auto"/>
            <w:vAlign w:val="bottom"/>
          </w:tcPr>
          <w:p w14:paraId="675384E5" w14:textId="77777777" w:rsidR="001B77DD" w:rsidRDefault="001B77DD">
            <w:pPr>
              <w:rPr>
                <w:rFonts w:ascii="宋体"/>
                <w:vanish/>
              </w:rPr>
            </w:pPr>
          </w:p>
        </w:tc>
        <w:tc>
          <w:tcPr>
            <w:tcW w:w="0" w:type="auto"/>
            <w:gridSpan w:val="3"/>
            <w:shd w:val="clear" w:color="auto" w:fill="auto"/>
            <w:vAlign w:val="bottom"/>
          </w:tcPr>
          <w:p w14:paraId="675384E6" w14:textId="77777777" w:rsidR="001B77DD" w:rsidRDefault="001B77DD">
            <w:pPr>
              <w:rPr>
                <w:rFonts w:ascii="宋体"/>
                <w:vanish/>
              </w:rPr>
            </w:pPr>
          </w:p>
        </w:tc>
      </w:tr>
      <w:tr w:rsidR="001B77DD" w14:paraId="675384EB" w14:textId="77777777">
        <w:tc>
          <w:tcPr>
            <w:tcW w:w="0" w:type="auto"/>
            <w:gridSpan w:val="3"/>
            <w:shd w:val="clear" w:color="auto" w:fill="auto"/>
            <w:tcMar>
              <w:top w:w="40" w:type="dxa"/>
              <w:left w:w="20" w:type="dxa"/>
              <w:bottom w:w="40" w:type="dxa"/>
              <w:right w:w="20" w:type="dxa"/>
            </w:tcMar>
          </w:tcPr>
          <w:p w14:paraId="675384E8" w14:textId="77777777" w:rsidR="001B77DD" w:rsidRDefault="00BF0A28">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vAlign w:val="bottom"/>
          </w:tcPr>
          <w:p w14:paraId="675384E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EA" w14:textId="77777777" w:rsidR="001B77DD" w:rsidRDefault="00BF0A28">
            <w:pPr>
              <w:textAlignment w:val="top"/>
            </w:pPr>
            <w:r>
              <w:rPr>
                <w:rFonts w:ascii="Arial" w:eastAsia="宋体" w:hAnsi="Arial" w:cs="Arial"/>
                <w:color w:val="262626"/>
                <w:sz w:val="18"/>
                <w:szCs w:val="18"/>
              </w:rPr>
              <w:t>Solid-state drive</w:t>
            </w:r>
          </w:p>
        </w:tc>
      </w:tr>
      <w:tr w:rsidR="001B77DD" w14:paraId="675384EF" w14:textId="77777777">
        <w:tc>
          <w:tcPr>
            <w:tcW w:w="0" w:type="auto"/>
            <w:gridSpan w:val="3"/>
            <w:shd w:val="clear" w:color="auto" w:fill="auto"/>
            <w:tcMar>
              <w:top w:w="40" w:type="dxa"/>
              <w:left w:w="20" w:type="dxa"/>
              <w:bottom w:w="40" w:type="dxa"/>
              <w:right w:w="20" w:type="dxa"/>
            </w:tcMar>
          </w:tcPr>
          <w:p w14:paraId="675384EC" w14:textId="77777777" w:rsidR="001B77DD" w:rsidRDefault="00BF0A28">
            <w:pPr>
              <w:textAlignment w:val="top"/>
            </w:pPr>
            <w:r>
              <w:rPr>
                <w:rFonts w:ascii="Arial" w:eastAsia="宋体" w:hAnsi="Arial" w:cs="Arial"/>
                <w:color w:val="0068B5"/>
                <w:sz w:val="18"/>
                <w:szCs w:val="18"/>
              </w:rPr>
              <w:t>TAM</w:t>
            </w:r>
          </w:p>
        </w:tc>
        <w:tc>
          <w:tcPr>
            <w:tcW w:w="0" w:type="auto"/>
            <w:gridSpan w:val="3"/>
            <w:shd w:val="clear" w:color="auto" w:fill="auto"/>
            <w:tcMar>
              <w:top w:w="0" w:type="dxa"/>
              <w:left w:w="20" w:type="dxa"/>
              <w:bottom w:w="0" w:type="dxa"/>
              <w:right w:w="20" w:type="dxa"/>
            </w:tcMar>
            <w:vAlign w:val="bottom"/>
          </w:tcPr>
          <w:p w14:paraId="675384E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EE" w14:textId="77777777" w:rsidR="001B77DD" w:rsidRDefault="00BF0A28">
            <w:pPr>
              <w:textAlignment w:val="top"/>
            </w:pPr>
            <w:r>
              <w:rPr>
                <w:rFonts w:ascii="Arial" w:eastAsia="宋体" w:hAnsi="Arial" w:cs="Arial"/>
                <w:color w:val="262626"/>
                <w:sz w:val="18"/>
                <w:szCs w:val="18"/>
              </w:rPr>
              <w:t>Total addressable market</w:t>
            </w:r>
          </w:p>
        </w:tc>
      </w:tr>
      <w:tr w:rsidR="001B77DD" w14:paraId="675384F3" w14:textId="77777777">
        <w:tc>
          <w:tcPr>
            <w:tcW w:w="0" w:type="auto"/>
            <w:gridSpan w:val="3"/>
            <w:shd w:val="clear" w:color="auto" w:fill="auto"/>
            <w:tcMar>
              <w:top w:w="40" w:type="dxa"/>
              <w:left w:w="20" w:type="dxa"/>
              <w:bottom w:w="40" w:type="dxa"/>
              <w:right w:w="20" w:type="dxa"/>
            </w:tcMar>
          </w:tcPr>
          <w:p w14:paraId="675384F0" w14:textId="77777777" w:rsidR="001B77DD" w:rsidRDefault="00BF0A28">
            <w:pPr>
              <w:textAlignment w:val="top"/>
            </w:pPr>
            <w:r>
              <w:rPr>
                <w:rFonts w:ascii="Arial" w:eastAsia="宋体" w:hAnsi="Arial" w:cs="Arial"/>
                <w:color w:val="0068B5"/>
                <w:sz w:val="18"/>
                <w:szCs w:val="18"/>
              </w:rPr>
              <w:t>Tax Reform</w:t>
            </w:r>
          </w:p>
        </w:tc>
        <w:tc>
          <w:tcPr>
            <w:tcW w:w="0" w:type="auto"/>
            <w:gridSpan w:val="3"/>
            <w:shd w:val="clear" w:color="auto" w:fill="auto"/>
            <w:tcMar>
              <w:top w:w="0" w:type="dxa"/>
              <w:left w:w="20" w:type="dxa"/>
              <w:bottom w:w="0" w:type="dxa"/>
              <w:right w:w="20" w:type="dxa"/>
            </w:tcMar>
            <w:vAlign w:val="bottom"/>
          </w:tcPr>
          <w:p w14:paraId="675384F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F2" w14:textId="77777777" w:rsidR="001B77DD" w:rsidRDefault="00BF0A28">
            <w:pPr>
              <w:textAlignment w:val="top"/>
            </w:pPr>
            <w:r>
              <w:rPr>
                <w:rFonts w:ascii="Arial" w:eastAsia="宋体" w:hAnsi="Arial" w:cs="Arial"/>
                <w:color w:val="262626"/>
                <w:sz w:val="18"/>
                <w:szCs w:val="18"/>
              </w:rPr>
              <w:t xml:space="preserve">US Tax Cuts and Jobs Act </w:t>
            </w:r>
          </w:p>
        </w:tc>
      </w:tr>
      <w:tr w:rsidR="001B77DD" w14:paraId="675384F7" w14:textId="77777777">
        <w:tc>
          <w:tcPr>
            <w:tcW w:w="0" w:type="auto"/>
            <w:gridSpan w:val="3"/>
            <w:shd w:val="clear" w:color="auto" w:fill="auto"/>
            <w:tcMar>
              <w:top w:w="40" w:type="dxa"/>
              <w:left w:w="20" w:type="dxa"/>
              <w:bottom w:w="40" w:type="dxa"/>
              <w:right w:w="20" w:type="dxa"/>
            </w:tcMar>
          </w:tcPr>
          <w:p w14:paraId="675384F4" w14:textId="77777777" w:rsidR="001B77DD" w:rsidRDefault="00BF0A28">
            <w:pPr>
              <w:textAlignment w:val="top"/>
            </w:pPr>
            <w:r>
              <w:rPr>
                <w:rFonts w:ascii="Arial" w:eastAsia="宋体" w:hAnsi="Arial" w:cs="Arial"/>
                <w:color w:val="0068B5"/>
                <w:sz w:val="18"/>
                <w:szCs w:val="18"/>
              </w:rPr>
              <w:t>TCFD</w:t>
            </w:r>
          </w:p>
        </w:tc>
        <w:tc>
          <w:tcPr>
            <w:tcW w:w="0" w:type="auto"/>
            <w:gridSpan w:val="3"/>
            <w:shd w:val="clear" w:color="auto" w:fill="auto"/>
            <w:tcMar>
              <w:top w:w="0" w:type="dxa"/>
              <w:left w:w="20" w:type="dxa"/>
              <w:bottom w:w="0" w:type="dxa"/>
              <w:right w:w="20" w:type="dxa"/>
            </w:tcMar>
            <w:vAlign w:val="bottom"/>
          </w:tcPr>
          <w:p w14:paraId="675384F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F6" w14:textId="77777777" w:rsidR="001B77DD" w:rsidRDefault="00BF0A28">
            <w:pPr>
              <w:textAlignment w:val="top"/>
            </w:pPr>
            <w:r>
              <w:rPr>
                <w:rFonts w:ascii="Arial" w:eastAsia="宋体" w:hAnsi="Arial" w:cs="Arial"/>
                <w:color w:val="262626"/>
                <w:sz w:val="18"/>
                <w:szCs w:val="18"/>
              </w:rPr>
              <w:t>Task Force on Climate-Related Financial Disclosures</w:t>
            </w:r>
          </w:p>
        </w:tc>
      </w:tr>
      <w:tr w:rsidR="001B77DD" w14:paraId="675384FB" w14:textId="77777777">
        <w:tc>
          <w:tcPr>
            <w:tcW w:w="0" w:type="auto"/>
            <w:gridSpan w:val="3"/>
            <w:shd w:val="clear" w:color="auto" w:fill="auto"/>
            <w:tcMar>
              <w:top w:w="40" w:type="dxa"/>
              <w:left w:w="20" w:type="dxa"/>
              <w:bottom w:w="40" w:type="dxa"/>
              <w:right w:w="20" w:type="dxa"/>
            </w:tcMar>
          </w:tcPr>
          <w:p w14:paraId="675384F8" w14:textId="77777777" w:rsidR="001B77DD" w:rsidRDefault="00BF0A28">
            <w:pPr>
              <w:textAlignment w:val="top"/>
            </w:pPr>
            <w:r>
              <w:rPr>
                <w:rFonts w:ascii="Arial" w:eastAsia="宋体" w:hAnsi="Arial" w:cs="Arial"/>
                <w:color w:val="0068B5"/>
                <w:sz w:val="18"/>
                <w:szCs w:val="18"/>
              </w:rPr>
              <w:t>TLC</w:t>
            </w:r>
          </w:p>
        </w:tc>
        <w:tc>
          <w:tcPr>
            <w:tcW w:w="0" w:type="auto"/>
            <w:gridSpan w:val="3"/>
            <w:shd w:val="clear" w:color="auto" w:fill="auto"/>
            <w:tcMar>
              <w:top w:w="0" w:type="dxa"/>
              <w:left w:w="20" w:type="dxa"/>
              <w:bottom w:w="0" w:type="dxa"/>
              <w:right w:w="20" w:type="dxa"/>
            </w:tcMar>
            <w:vAlign w:val="bottom"/>
          </w:tcPr>
          <w:p w14:paraId="675384F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4FA" w14:textId="77777777" w:rsidR="001B77DD" w:rsidRDefault="00BF0A28">
            <w:pPr>
              <w:textAlignment w:val="top"/>
            </w:pPr>
            <w:r>
              <w:rPr>
                <w:rFonts w:ascii="Arial" w:eastAsia="宋体" w:hAnsi="Arial" w:cs="Arial"/>
                <w:color w:val="262626"/>
                <w:sz w:val="18"/>
                <w:szCs w:val="18"/>
              </w:rPr>
              <w:t>Triple-level cell</w:t>
            </w:r>
          </w:p>
        </w:tc>
      </w:tr>
      <w:tr w:rsidR="001B77DD" w14:paraId="675384FF" w14:textId="77777777">
        <w:trPr>
          <w:hidden/>
        </w:trPr>
        <w:tc>
          <w:tcPr>
            <w:tcW w:w="0" w:type="auto"/>
            <w:gridSpan w:val="3"/>
            <w:shd w:val="clear" w:color="auto" w:fill="auto"/>
            <w:vAlign w:val="bottom"/>
          </w:tcPr>
          <w:p w14:paraId="675384FC" w14:textId="77777777" w:rsidR="001B77DD" w:rsidRDefault="001B77DD">
            <w:pPr>
              <w:rPr>
                <w:rFonts w:ascii="宋体"/>
                <w:vanish/>
              </w:rPr>
            </w:pPr>
          </w:p>
        </w:tc>
        <w:tc>
          <w:tcPr>
            <w:tcW w:w="0" w:type="auto"/>
            <w:gridSpan w:val="3"/>
            <w:shd w:val="clear" w:color="auto" w:fill="auto"/>
            <w:vAlign w:val="bottom"/>
          </w:tcPr>
          <w:p w14:paraId="675384FD" w14:textId="77777777" w:rsidR="001B77DD" w:rsidRDefault="001B77DD">
            <w:pPr>
              <w:rPr>
                <w:rFonts w:ascii="宋体"/>
                <w:vanish/>
              </w:rPr>
            </w:pPr>
          </w:p>
        </w:tc>
        <w:tc>
          <w:tcPr>
            <w:tcW w:w="0" w:type="auto"/>
            <w:gridSpan w:val="3"/>
            <w:shd w:val="clear" w:color="auto" w:fill="auto"/>
            <w:vAlign w:val="bottom"/>
          </w:tcPr>
          <w:p w14:paraId="675384FE" w14:textId="77777777" w:rsidR="001B77DD" w:rsidRDefault="001B77DD">
            <w:pPr>
              <w:rPr>
                <w:rFonts w:ascii="宋体"/>
                <w:vanish/>
              </w:rPr>
            </w:pPr>
          </w:p>
        </w:tc>
      </w:tr>
      <w:tr w:rsidR="001B77DD" w14:paraId="67538503" w14:textId="77777777">
        <w:trPr>
          <w:hidden/>
        </w:trPr>
        <w:tc>
          <w:tcPr>
            <w:tcW w:w="0" w:type="auto"/>
            <w:gridSpan w:val="3"/>
            <w:shd w:val="clear" w:color="auto" w:fill="auto"/>
            <w:vAlign w:val="bottom"/>
          </w:tcPr>
          <w:p w14:paraId="67538500" w14:textId="77777777" w:rsidR="001B77DD" w:rsidRDefault="001B77DD">
            <w:pPr>
              <w:rPr>
                <w:rFonts w:ascii="宋体"/>
                <w:vanish/>
              </w:rPr>
            </w:pPr>
          </w:p>
        </w:tc>
        <w:tc>
          <w:tcPr>
            <w:tcW w:w="0" w:type="auto"/>
            <w:gridSpan w:val="3"/>
            <w:shd w:val="clear" w:color="auto" w:fill="auto"/>
            <w:vAlign w:val="bottom"/>
          </w:tcPr>
          <w:p w14:paraId="67538501" w14:textId="77777777" w:rsidR="001B77DD" w:rsidRDefault="001B77DD">
            <w:pPr>
              <w:rPr>
                <w:rFonts w:ascii="宋体"/>
                <w:vanish/>
              </w:rPr>
            </w:pPr>
          </w:p>
        </w:tc>
        <w:tc>
          <w:tcPr>
            <w:tcW w:w="0" w:type="auto"/>
            <w:gridSpan w:val="3"/>
            <w:shd w:val="clear" w:color="auto" w:fill="auto"/>
            <w:vAlign w:val="bottom"/>
          </w:tcPr>
          <w:p w14:paraId="67538502" w14:textId="77777777" w:rsidR="001B77DD" w:rsidRDefault="001B77DD">
            <w:pPr>
              <w:rPr>
                <w:rFonts w:ascii="宋体"/>
                <w:vanish/>
              </w:rPr>
            </w:pPr>
          </w:p>
        </w:tc>
      </w:tr>
      <w:tr w:rsidR="001B77DD" w14:paraId="67538507" w14:textId="77777777">
        <w:trPr>
          <w:hidden/>
        </w:trPr>
        <w:tc>
          <w:tcPr>
            <w:tcW w:w="0" w:type="auto"/>
            <w:gridSpan w:val="3"/>
            <w:shd w:val="clear" w:color="auto" w:fill="auto"/>
            <w:vAlign w:val="bottom"/>
          </w:tcPr>
          <w:p w14:paraId="67538504" w14:textId="77777777" w:rsidR="001B77DD" w:rsidRDefault="001B77DD">
            <w:pPr>
              <w:rPr>
                <w:rFonts w:ascii="宋体"/>
                <w:vanish/>
              </w:rPr>
            </w:pPr>
          </w:p>
        </w:tc>
        <w:tc>
          <w:tcPr>
            <w:tcW w:w="0" w:type="auto"/>
            <w:gridSpan w:val="3"/>
            <w:shd w:val="clear" w:color="auto" w:fill="auto"/>
            <w:vAlign w:val="bottom"/>
          </w:tcPr>
          <w:p w14:paraId="67538505" w14:textId="77777777" w:rsidR="001B77DD" w:rsidRDefault="001B77DD">
            <w:pPr>
              <w:rPr>
                <w:rFonts w:ascii="宋体"/>
                <w:vanish/>
              </w:rPr>
            </w:pPr>
          </w:p>
        </w:tc>
        <w:tc>
          <w:tcPr>
            <w:tcW w:w="0" w:type="auto"/>
            <w:gridSpan w:val="3"/>
            <w:shd w:val="clear" w:color="auto" w:fill="auto"/>
            <w:vAlign w:val="bottom"/>
          </w:tcPr>
          <w:p w14:paraId="67538506" w14:textId="77777777" w:rsidR="001B77DD" w:rsidRDefault="001B77DD">
            <w:pPr>
              <w:rPr>
                <w:rFonts w:ascii="宋体"/>
                <w:vanish/>
              </w:rPr>
            </w:pPr>
          </w:p>
        </w:tc>
      </w:tr>
      <w:tr w:rsidR="001B77DD" w14:paraId="6753850B" w14:textId="77777777">
        <w:tc>
          <w:tcPr>
            <w:tcW w:w="0" w:type="auto"/>
            <w:gridSpan w:val="3"/>
            <w:shd w:val="clear" w:color="auto" w:fill="auto"/>
            <w:tcMar>
              <w:top w:w="40" w:type="dxa"/>
              <w:left w:w="20" w:type="dxa"/>
              <w:bottom w:w="40" w:type="dxa"/>
              <w:right w:w="20" w:type="dxa"/>
            </w:tcMar>
          </w:tcPr>
          <w:p w14:paraId="67538508" w14:textId="77777777" w:rsidR="001B77DD" w:rsidRDefault="00BF0A28">
            <w:pPr>
              <w:textAlignment w:val="top"/>
            </w:pPr>
            <w:r>
              <w:rPr>
                <w:rFonts w:ascii="Arial" w:eastAsia="宋体" w:hAnsi="Arial" w:cs="Arial"/>
                <w:color w:val="0068B5"/>
                <w:sz w:val="18"/>
                <w:szCs w:val="18"/>
              </w:rPr>
              <w:t>TSR</w:t>
            </w:r>
          </w:p>
        </w:tc>
        <w:tc>
          <w:tcPr>
            <w:tcW w:w="0" w:type="auto"/>
            <w:gridSpan w:val="3"/>
            <w:shd w:val="clear" w:color="auto" w:fill="auto"/>
            <w:tcMar>
              <w:top w:w="0" w:type="dxa"/>
              <w:left w:w="20" w:type="dxa"/>
              <w:bottom w:w="0" w:type="dxa"/>
              <w:right w:w="20" w:type="dxa"/>
            </w:tcMar>
            <w:vAlign w:val="bottom"/>
          </w:tcPr>
          <w:p w14:paraId="6753850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50A" w14:textId="77777777" w:rsidR="001B77DD" w:rsidRDefault="00BF0A28">
            <w:pPr>
              <w:textAlignment w:val="top"/>
            </w:pPr>
            <w:r>
              <w:rPr>
                <w:rFonts w:ascii="Arial" w:eastAsia="宋体" w:hAnsi="Arial" w:cs="Arial"/>
                <w:color w:val="262626"/>
                <w:sz w:val="18"/>
                <w:szCs w:val="18"/>
              </w:rPr>
              <w:t>Total stockholder return</w:t>
            </w:r>
          </w:p>
        </w:tc>
      </w:tr>
      <w:tr w:rsidR="001B77DD" w14:paraId="6753850F" w14:textId="77777777">
        <w:trPr>
          <w:hidden/>
        </w:trPr>
        <w:tc>
          <w:tcPr>
            <w:tcW w:w="0" w:type="auto"/>
            <w:gridSpan w:val="3"/>
            <w:shd w:val="clear" w:color="auto" w:fill="auto"/>
            <w:vAlign w:val="bottom"/>
          </w:tcPr>
          <w:p w14:paraId="6753850C" w14:textId="77777777" w:rsidR="001B77DD" w:rsidRDefault="001B77DD">
            <w:pPr>
              <w:rPr>
                <w:rFonts w:ascii="宋体"/>
                <w:vanish/>
              </w:rPr>
            </w:pPr>
          </w:p>
        </w:tc>
        <w:tc>
          <w:tcPr>
            <w:tcW w:w="0" w:type="auto"/>
            <w:gridSpan w:val="3"/>
            <w:shd w:val="clear" w:color="auto" w:fill="auto"/>
            <w:vAlign w:val="bottom"/>
          </w:tcPr>
          <w:p w14:paraId="6753850D" w14:textId="77777777" w:rsidR="001B77DD" w:rsidRDefault="001B77DD">
            <w:pPr>
              <w:rPr>
                <w:rFonts w:ascii="宋体"/>
                <w:vanish/>
              </w:rPr>
            </w:pPr>
          </w:p>
        </w:tc>
        <w:tc>
          <w:tcPr>
            <w:tcW w:w="0" w:type="auto"/>
            <w:gridSpan w:val="3"/>
            <w:shd w:val="clear" w:color="auto" w:fill="auto"/>
            <w:vAlign w:val="bottom"/>
          </w:tcPr>
          <w:p w14:paraId="6753850E" w14:textId="77777777" w:rsidR="001B77DD" w:rsidRDefault="001B77DD">
            <w:pPr>
              <w:rPr>
                <w:rFonts w:ascii="宋体"/>
                <w:vanish/>
              </w:rPr>
            </w:pPr>
          </w:p>
        </w:tc>
      </w:tr>
      <w:tr w:rsidR="001B77DD" w14:paraId="67538513" w14:textId="77777777">
        <w:trPr>
          <w:hidden/>
        </w:trPr>
        <w:tc>
          <w:tcPr>
            <w:tcW w:w="0" w:type="auto"/>
            <w:gridSpan w:val="3"/>
            <w:shd w:val="clear" w:color="auto" w:fill="auto"/>
            <w:vAlign w:val="bottom"/>
          </w:tcPr>
          <w:p w14:paraId="67538510" w14:textId="77777777" w:rsidR="001B77DD" w:rsidRDefault="001B77DD">
            <w:pPr>
              <w:rPr>
                <w:rFonts w:ascii="宋体"/>
                <w:vanish/>
              </w:rPr>
            </w:pPr>
          </w:p>
        </w:tc>
        <w:tc>
          <w:tcPr>
            <w:tcW w:w="0" w:type="auto"/>
            <w:gridSpan w:val="3"/>
            <w:shd w:val="clear" w:color="auto" w:fill="auto"/>
            <w:vAlign w:val="bottom"/>
          </w:tcPr>
          <w:p w14:paraId="67538511" w14:textId="77777777" w:rsidR="001B77DD" w:rsidRDefault="001B77DD">
            <w:pPr>
              <w:rPr>
                <w:rFonts w:ascii="宋体"/>
                <w:vanish/>
              </w:rPr>
            </w:pPr>
          </w:p>
        </w:tc>
        <w:tc>
          <w:tcPr>
            <w:tcW w:w="0" w:type="auto"/>
            <w:gridSpan w:val="3"/>
            <w:shd w:val="clear" w:color="auto" w:fill="auto"/>
            <w:vAlign w:val="bottom"/>
          </w:tcPr>
          <w:p w14:paraId="67538512" w14:textId="77777777" w:rsidR="001B77DD" w:rsidRDefault="001B77DD">
            <w:pPr>
              <w:rPr>
                <w:rFonts w:ascii="宋体"/>
                <w:vanish/>
              </w:rPr>
            </w:pPr>
          </w:p>
        </w:tc>
      </w:tr>
      <w:tr w:rsidR="001B77DD" w14:paraId="67538517" w14:textId="77777777">
        <w:trPr>
          <w:hidden/>
        </w:trPr>
        <w:tc>
          <w:tcPr>
            <w:tcW w:w="0" w:type="auto"/>
            <w:gridSpan w:val="3"/>
            <w:shd w:val="clear" w:color="auto" w:fill="auto"/>
            <w:vAlign w:val="bottom"/>
          </w:tcPr>
          <w:p w14:paraId="67538514" w14:textId="77777777" w:rsidR="001B77DD" w:rsidRDefault="001B77DD">
            <w:pPr>
              <w:rPr>
                <w:rFonts w:ascii="宋体"/>
                <w:vanish/>
              </w:rPr>
            </w:pPr>
          </w:p>
        </w:tc>
        <w:tc>
          <w:tcPr>
            <w:tcW w:w="0" w:type="auto"/>
            <w:gridSpan w:val="3"/>
            <w:shd w:val="clear" w:color="auto" w:fill="auto"/>
            <w:vAlign w:val="bottom"/>
          </w:tcPr>
          <w:p w14:paraId="67538515" w14:textId="77777777" w:rsidR="001B77DD" w:rsidRDefault="001B77DD">
            <w:pPr>
              <w:rPr>
                <w:rFonts w:ascii="宋体"/>
                <w:vanish/>
              </w:rPr>
            </w:pPr>
          </w:p>
        </w:tc>
        <w:tc>
          <w:tcPr>
            <w:tcW w:w="0" w:type="auto"/>
            <w:gridSpan w:val="3"/>
            <w:shd w:val="clear" w:color="auto" w:fill="auto"/>
            <w:vAlign w:val="bottom"/>
          </w:tcPr>
          <w:p w14:paraId="67538516" w14:textId="77777777" w:rsidR="001B77DD" w:rsidRDefault="001B77DD">
            <w:pPr>
              <w:rPr>
                <w:rFonts w:ascii="宋体"/>
                <w:vanish/>
              </w:rPr>
            </w:pPr>
          </w:p>
        </w:tc>
      </w:tr>
      <w:tr w:rsidR="001B77DD" w14:paraId="6753851B" w14:textId="77777777">
        <w:trPr>
          <w:hidden/>
        </w:trPr>
        <w:tc>
          <w:tcPr>
            <w:tcW w:w="0" w:type="auto"/>
            <w:gridSpan w:val="3"/>
            <w:shd w:val="clear" w:color="auto" w:fill="auto"/>
            <w:vAlign w:val="bottom"/>
          </w:tcPr>
          <w:p w14:paraId="67538518" w14:textId="77777777" w:rsidR="001B77DD" w:rsidRDefault="001B77DD">
            <w:pPr>
              <w:rPr>
                <w:rFonts w:ascii="宋体"/>
                <w:vanish/>
              </w:rPr>
            </w:pPr>
          </w:p>
        </w:tc>
        <w:tc>
          <w:tcPr>
            <w:tcW w:w="0" w:type="auto"/>
            <w:gridSpan w:val="3"/>
            <w:shd w:val="clear" w:color="auto" w:fill="auto"/>
            <w:vAlign w:val="bottom"/>
          </w:tcPr>
          <w:p w14:paraId="67538519" w14:textId="77777777" w:rsidR="001B77DD" w:rsidRDefault="001B77DD">
            <w:pPr>
              <w:rPr>
                <w:rFonts w:ascii="宋体"/>
                <w:vanish/>
              </w:rPr>
            </w:pPr>
          </w:p>
        </w:tc>
        <w:tc>
          <w:tcPr>
            <w:tcW w:w="0" w:type="auto"/>
            <w:gridSpan w:val="3"/>
            <w:shd w:val="clear" w:color="auto" w:fill="auto"/>
            <w:vAlign w:val="bottom"/>
          </w:tcPr>
          <w:p w14:paraId="6753851A" w14:textId="77777777" w:rsidR="001B77DD" w:rsidRDefault="001B77DD">
            <w:pPr>
              <w:rPr>
                <w:rFonts w:ascii="宋体"/>
                <w:vanish/>
              </w:rPr>
            </w:pPr>
          </w:p>
        </w:tc>
      </w:tr>
      <w:tr w:rsidR="001B77DD" w14:paraId="6753851F" w14:textId="77777777">
        <w:tc>
          <w:tcPr>
            <w:tcW w:w="0" w:type="auto"/>
            <w:gridSpan w:val="3"/>
            <w:shd w:val="clear" w:color="auto" w:fill="auto"/>
            <w:tcMar>
              <w:top w:w="40" w:type="dxa"/>
              <w:left w:w="20" w:type="dxa"/>
              <w:bottom w:w="40" w:type="dxa"/>
              <w:right w:w="20" w:type="dxa"/>
            </w:tcMar>
          </w:tcPr>
          <w:p w14:paraId="6753851C" w14:textId="77777777" w:rsidR="001B77DD" w:rsidRDefault="00BF0A28">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vAlign w:val="bottom"/>
          </w:tcPr>
          <w:p w14:paraId="6753851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51E" w14:textId="77777777" w:rsidR="001B77DD" w:rsidRDefault="00BF0A28">
            <w:pPr>
              <w:textAlignment w:val="top"/>
            </w:pPr>
            <w:r>
              <w:rPr>
                <w:rFonts w:ascii="Arial" w:eastAsia="宋体" w:hAnsi="Arial" w:cs="Arial"/>
                <w:color w:val="262626"/>
                <w:sz w:val="18"/>
                <w:szCs w:val="18"/>
              </w:rPr>
              <w:t xml:space="preserve">US </w:t>
            </w:r>
            <w:r>
              <w:rPr>
                <w:rFonts w:ascii="Arial" w:eastAsia="宋体" w:hAnsi="Arial" w:cs="Arial"/>
                <w:color w:val="262626"/>
                <w:sz w:val="18"/>
                <w:szCs w:val="18"/>
              </w:rPr>
              <w:t>Generally Accepted Accounting Principles</w:t>
            </w:r>
          </w:p>
        </w:tc>
      </w:tr>
      <w:tr w:rsidR="001B77DD" w14:paraId="67538523" w14:textId="77777777">
        <w:tc>
          <w:tcPr>
            <w:tcW w:w="0" w:type="auto"/>
            <w:gridSpan w:val="3"/>
            <w:shd w:val="clear" w:color="auto" w:fill="auto"/>
            <w:tcMar>
              <w:top w:w="40" w:type="dxa"/>
              <w:left w:w="20" w:type="dxa"/>
              <w:bottom w:w="40" w:type="dxa"/>
              <w:right w:w="20" w:type="dxa"/>
            </w:tcMar>
          </w:tcPr>
          <w:p w14:paraId="67538520" w14:textId="77777777" w:rsidR="001B77DD" w:rsidRDefault="00BF0A28">
            <w:pPr>
              <w:textAlignment w:val="top"/>
            </w:pPr>
            <w:r>
              <w:rPr>
                <w:rFonts w:ascii="Arial" w:eastAsia="宋体" w:hAnsi="Arial" w:cs="Arial"/>
                <w:color w:val="0068B5"/>
                <w:sz w:val="18"/>
                <w:szCs w:val="18"/>
              </w:rPr>
              <w:t>US Pension Plan</w:t>
            </w:r>
          </w:p>
        </w:tc>
        <w:tc>
          <w:tcPr>
            <w:tcW w:w="0" w:type="auto"/>
            <w:gridSpan w:val="3"/>
            <w:shd w:val="clear" w:color="auto" w:fill="auto"/>
            <w:tcMar>
              <w:top w:w="0" w:type="dxa"/>
              <w:left w:w="20" w:type="dxa"/>
              <w:bottom w:w="0" w:type="dxa"/>
              <w:right w:w="20" w:type="dxa"/>
            </w:tcMar>
            <w:vAlign w:val="bottom"/>
          </w:tcPr>
          <w:p w14:paraId="6753852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522" w14:textId="77777777" w:rsidR="001B77DD" w:rsidRDefault="00BF0A28">
            <w:pPr>
              <w:textAlignment w:val="top"/>
            </w:pPr>
            <w:r>
              <w:rPr>
                <w:rFonts w:ascii="Arial" w:eastAsia="宋体" w:hAnsi="Arial" w:cs="Arial"/>
                <w:color w:val="262626"/>
                <w:sz w:val="18"/>
                <w:szCs w:val="18"/>
              </w:rPr>
              <w:t>US Intel Minimum Pension Plan</w:t>
            </w:r>
          </w:p>
        </w:tc>
      </w:tr>
      <w:tr w:rsidR="001B77DD" w14:paraId="67538527" w14:textId="77777777">
        <w:tc>
          <w:tcPr>
            <w:tcW w:w="0" w:type="auto"/>
            <w:gridSpan w:val="3"/>
            <w:shd w:val="clear" w:color="auto" w:fill="auto"/>
            <w:tcMar>
              <w:top w:w="40" w:type="dxa"/>
              <w:left w:w="20" w:type="dxa"/>
              <w:bottom w:w="40" w:type="dxa"/>
              <w:right w:w="20" w:type="dxa"/>
            </w:tcMar>
          </w:tcPr>
          <w:p w14:paraId="67538524" w14:textId="77777777" w:rsidR="001B77DD" w:rsidRDefault="00BF0A28">
            <w:pPr>
              <w:textAlignment w:val="top"/>
            </w:pPr>
            <w:r>
              <w:rPr>
                <w:rFonts w:ascii="Arial" w:eastAsia="宋体" w:hAnsi="Arial" w:cs="Arial"/>
                <w:color w:val="0068B5"/>
                <w:sz w:val="18"/>
                <w:szCs w:val="18"/>
              </w:rPr>
              <w:t>US Retiree Medical Plan</w:t>
            </w:r>
          </w:p>
        </w:tc>
        <w:tc>
          <w:tcPr>
            <w:tcW w:w="0" w:type="auto"/>
            <w:gridSpan w:val="3"/>
            <w:shd w:val="clear" w:color="auto" w:fill="auto"/>
            <w:tcMar>
              <w:top w:w="0" w:type="dxa"/>
              <w:left w:w="20" w:type="dxa"/>
              <w:bottom w:w="0" w:type="dxa"/>
              <w:right w:w="20" w:type="dxa"/>
            </w:tcMar>
            <w:vAlign w:val="bottom"/>
          </w:tcPr>
          <w:p w14:paraId="6753852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526" w14:textId="77777777" w:rsidR="001B77DD" w:rsidRDefault="00BF0A28">
            <w:pPr>
              <w:textAlignment w:val="top"/>
            </w:pPr>
            <w:r>
              <w:rPr>
                <w:rFonts w:ascii="Arial" w:eastAsia="宋体" w:hAnsi="Arial" w:cs="Arial"/>
                <w:color w:val="262626"/>
                <w:sz w:val="18"/>
                <w:szCs w:val="18"/>
              </w:rPr>
              <w:t>US Postretirement Medical Benefits Plan</w:t>
            </w:r>
          </w:p>
        </w:tc>
      </w:tr>
      <w:tr w:rsidR="001B77DD" w14:paraId="6753852B" w14:textId="77777777">
        <w:trPr>
          <w:hidden/>
        </w:trPr>
        <w:tc>
          <w:tcPr>
            <w:tcW w:w="0" w:type="auto"/>
            <w:gridSpan w:val="3"/>
            <w:shd w:val="clear" w:color="auto" w:fill="auto"/>
            <w:vAlign w:val="bottom"/>
          </w:tcPr>
          <w:p w14:paraId="67538528" w14:textId="77777777" w:rsidR="001B77DD" w:rsidRDefault="001B77DD">
            <w:pPr>
              <w:rPr>
                <w:rFonts w:ascii="宋体"/>
                <w:vanish/>
              </w:rPr>
            </w:pPr>
          </w:p>
        </w:tc>
        <w:tc>
          <w:tcPr>
            <w:tcW w:w="0" w:type="auto"/>
            <w:gridSpan w:val="3"/>
            <w:shd w:val="clear" w:color="auto" w:fill="auto"/>
            <w:vAlign w:val="bottom"/>
          </w:tcPr>
          <w:p w14:paraId="67538529" w14:textId="77777777" w:rsidR="001B77DD" w:rsidRDefault="001B77DD">
            <w:pPr>
              <w:rPr>
                <w:rFonts w:ascii="宋体"/>
                <w:vanish/>
              </w:rPr>
            </w:pPr>
          </w:p>
        </w:tc>
        <w:tc>
          <w:tcPr>
            <w:tcW w:w="0" w:type="auto"/>
            <w:gridSpan w:val="3"/>
            <w:shd w:val="clear" w:color="auto" w:fill="auto"/>
            <w:vAlign w:val="bottom"/>
          </w:tcPr>
          <w:p w14:paraId="6753852A" w14:textId="77777777" w:rsidR="001B77DD" w:rsidRDefault="001B77DD">
            <w:pPr>
              <w:rPr>
                <w:rFonts w:ascii="宋体"/>
                <w:vanish/>
              </w:rPr>
            </w:pPr>
          </w:p>
        </w:tc>
      </w:tr>
      <w:tr w:rsidR="001B77DD" w14:paraId="6753852F" w14:textId="77777777">
        <w:tc>
          <w:tcPr>
            <w:tcW w:w="0" w:type="auto"/>
            <w:gridSpan w:val="3"/>
            <w:shd w:val="clear" w:color="auto" w:fill="auto"/>
            <w:tcMar>
              <w:top w:w="40" w:type="dxa"/>
              <w:left w:w="20" w:type="dxa"/>
              <w:bottom w:w="40" w:type="dxa"/>
              <w:right w:w="20" w:type="dxa"/>
            </w:tcMar>
          </w:tcPr>
          <w:p w14:paraId="6753852C" w14:textId="77777777" w:rsidR="001B77DD" w:rsidRDefault="00BF0A28">
            <w:pPr>
              <w:textAlignment w:val="top"/>
            </w:pPr>
            <w:r>
              <w:rPr>
                <w:rFonts w:ascii="Arial" w:eastAsia="宋体" w:hAnsi="Arial" w:cs="Arial"/>
                <w:color w:val="0068B5"/>
                <w:sz w:val="18"/>
                <w:szCs w:val="18"/>
              </w:rPr>
              <w:t>VPU</w:t>
            </w:r>
          </w:p>
        </w:tc>
        <w:tc>
          <w:tcPr>
            <w:tcW w:w="0" w:type="auto"/>
            <w:gridSpan w:val="3"/>
            <w:shd w:val="clear" w:color="auto" w:fill="auto"/>
            <w:tcMar>
              <w:top w:w="0" w:type="dxa"/>
              <w:left w:w="20" w:type="dxa"/>
              <w:bottom w:w="0" w:type="dxa"/>
              <w:right w:w="20" w:type="dxa"/>
            </w:tcMar>
            <w:vAlign w:val="bottom"/>
          </w:tcPr>
          <w:p w14:paraId="6753852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52E" w14:textId="77777777" w:rsidR="001B77DD" w:rsidRDefault="00BF0A28">
            <w:pPr>
              <w:textAlignment w:val="top"/>
            </w:pPr>
            <w:r>
              <w:rPr>
                <w:rFonts w:ascii="Arial" w:eastAsia="宋体" w:hAnsi="Arial" w:cs="Arial"/>
                <w:color w:val="262626"/>
                <w:sz w:val="18"/>
                <w:szCs w:val="18"/>
              </w:rPr>
              <w:t>Vision processing unit</w:t>
            </w:r>
          </w:p>
        </w:tc>
      </w:tr>
      <w:tr w:rsidR="001B77DD" w14:paraId="67538533" w14:textId="77777777">
        <w:trPr>
          <w:hidden/>
        </w:trPr>
        <w:tc>
          <w:tcPr>
            <w:tcW w:w="0" w:type="auto"/>
            <w:gridSpan w:val="3"/>
            <w:shd w:val="clear" w:color="auto" w:fill="auto"/>
            <w:vAlign w:val="bottom"/>
          </w:tcPr>
          <w:p w14:paraId="67538530" w14:textId="77777777" w:rsidR="001B77DD" w:rsidRDefault="001B77DD">
            <w:pPr>
              <w:rPr>
                <w:rFonts w:ascii="宋体"/>
                <w:vanish/>
              </w:rPr>
            </w:pPr>
          </w:p>
        </w:tc>
        <w:tc>
          <w:tcPr>
            <w:tcW w:w="0" w:type="auto"/>
            <w:gridSpan w:val="3"/>
            <w:shd w:val="clear" w:color="auto" w:fill="auto"/>
            <w:vAlign w:val="bottom"/>
          </w:tcPr>
          <w:p w14:paraId="67538531" w14:textId="77777777" w:rsidR="001B77DD" w:rsidRDefault="001B77DD">
            <w:pPr>
              <w:rPr>
                <w:rFonts w:ascii="宋体"/>
                <w:vanish/>
              </w:rPr>
            </w:pPr>
          </w:p>
        </w:tc>
        <w:tc>
          <w:tcPr>
            <w:tcW w:w="0" w:type="auto"/>
            <w:gridSpan w:val="3"/>
            <w:shd w:val="clear" w:color="auto" w:fill="auto"/>
            <w:vAlign w:val="bottom"/>
          </w:tcPr>
          <w:p w14:paraId="67538532" w14:textId="77777777" w:rsidR="001B77DD" w:rsidRDefault="001B77DD">
            <w:pPr>
              <w:rPr>
                <w:rFonts w:ascii="宋体"/>
                <w:vanish/>
              </w:rPr>
            </w:pPr>
          </w:p>
        </w:tc>
      </w:tr>
      <w:tr w:rsidR="001B77DD" w14:paraId="67538537" w14:textId="77777777">
        <w:trPr>
          <w:hidden/>
        </w:trPr>
        <w:tc>
          <w:tcPr>
            <w:tcW w:w="0" w:type="auto"/>
            <w:gridSpan w:val="3"/>
            <w:shd w:val="clear" w:color="auto" w:fill="auto"/>
            <w:vAlign w:val="bottom"/>
          </w:tcPr>
          <w:p w14:paraId="67538534" w14:textId="77777777" w:rsidR="001B77DD" w:rsidRDefault="001B77DD">
            <w:pPr>
              <w:rPr>
                <w:rFonts w:ascii="宋体"/>
                <w:vanish/>
              </w:rPr>
            </w:pPr>
          </w:p>
        </w:tc>
        <w:tc>
          <w:tcPr>
            <w:tcW w:w="0" w:type="auto"/>
            <w:gridSpan w:val="3"/>
            <w:shd w:val="clear" w:color="auto" w:fill="auto"/>
            <w:vAlign w:val="bottom"/>
          </w:tcPr>
          <w:p w14:paraId="67538535" w14:textId="77777777" w:rsidR="001B77DD" w:rsidRDefault="001B77DD">
            <w:pPr>
              <w:rPr>
                <w:rFonts w:ascii="宋体"/>
                <w:vanish/>
              </w:rPr>
            </w:pPr>
          </w:p>
        </w:tc>
        <w:tc>
          <w:tcPr>
            <w:tcW w:w="0" w:type="auto"/>
            <w:gridSpan w:val="3"/>
            <w:shd w:val="clear" w:color="auto" w:fill="auto"/>
            <w:vAlign w:val="bottom"/>
          </w:tcPr>
          <w:p w14:paraId="67538536" w14:textId="77777777" w:rsidR="001B77DD" w:rsidRDefault="001B77DD">
            <w:pPr>
              <w:rPr>
                <w:rFonts w:ascii="宋体"/>
                <w:vanish/>
              </w:rPr>
            </w:pPr>
          </w:p>
        </w:tc>
      </w:tr>
      <w:tr w:rsidR="001B77DD" w14:paraId="6753853B" w14:textId="77777777">
        <w:tc>
          <w:tcPr>
            <w:tcW w:w="0" w:type="auto"/>
            <w:gridSpan w:val="3"/>
            <w:shd w:val="clear" w:color="auto" w:fill="auto"/>
            <w:tcMar>
              <w:top w:w="40" w:type="dxa"/>
              <w:left w:w="20" w:type="dxa"/>
              <w:bottom w:w="40" w:type="dxa"/>
              <w:right w:w="20" w:type="dxa"/>
            </w:tcMar>
          </w:tcPr>
          <w:p w14:paraId="67538538" w14:textId="77777777" w:rsidR="001B77DD" w:rsidRDefault="00BF0A28">
            <w:pPr>
              <w:textAlignment w:val="top"/>
            </w:pPr>
            <w:r>
              <w:rPr>
                <w:rFonts w:ascii="Arial" w:eastAsia="宋体" w:hAnsi="Arial" w:cs="Arial"/>
                <w:color w:val="0068B5"/>
                <w:sz w:val="18"/>
                <w:szCs w:val="18"/>
              </w:rPr>
              <w:t>xPU</w:t>
            </w:r>
          </w:p>
        </w:tc>
        <w:tc>
          <w:tcPr>
            <w:tcW w:w="0" w:type="auto"/>
            <w:gridSpan w:val="3"/>
            <w:shd w:val="clear" w:color="auto" w:fill="auto"/>
            <w:tcMar>
              <w:top w:w="0" w:type="dxa"/>
              <w:left w:w="20" w:type="dxa"/>
              <w:bottom w:w="0" w:type="dxa"/>
              <w:right w:w="20" w:type="dxa"/>
            </w:tcMar>
            <w:vAlign w:val="bottom"/>
          </w:tcPr>
          <w:p w14:paraId="6753853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53A" w14:textId="77777777" w:rsidR="001B77DD" w:rsidRDefault="00BF0A28">
            <w:pPr>
              <w:textAlignment w:val="top"/>
            </w:pPr>
            <w:r>
              <w:rPr>
                <w:rFonts w:ascii="Arial" w:eastAsia="宋体" w:hAnsi="Arial" w:cs="Arial"/>
                <w:color w:val="262626"/>
                <w:sz w:val="18"/>
                <w:szCs w:val="18"/>
              </w:rPr>
              <w:t xml:space="preserve">A term for processors that are designed for one of </w:t>
            </w:r>
            <w:r>
              <w:rPr>
                <w:rFonts w:ascii="Arial" w:eastAsia="宋体" w:hAnsi="Arial" w:cs="Arial"/>
                <w:color w:val="262626"/>
                <w:sz w:val="18"/>
                <w:szCs w:val="18"/>
              </w:rPr>
              <w:t>four major computing architectures: CPU, GPU, accelerators, and FPGA</w:t>
            </w:r>
          </w:p>
        </w:tc>
      </w:tr>
    </w:tbl>
    <w:p w14:paraId="6753853C"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546" w14:textId="77777777">
        <w:tc>
          <w:tcPr>
            <w:tcW w:w="50" w:type="pct"/>
            <w:shd w:val="clear" w:color="auto" w:fill="auto"/>
            <w:vAlign w:val="bottom"/>
          </w:tcPr>
          <w:p w14:paraId="6753853D" w14:textId="77777777" w:rsidR="001B77DD" w:rsidRDefault="001B77DD">
            <w:pPr>
              <w:rPr>
                <w:rFonts w:ascii="宋体"/>
              </w:rPr>
            </w:pPr>
          </w:p>
        </w:tc>
        <w:tc>
          <w:tcPr>
            <w:tcW w:w="283" w:type="pct"/>
            <w:shd w:val="clear" w:color="auto" w:fill="auto"/>
            <w:vAlign w:val="bottom"/>
          </w:tcPr>
          <w:p w14:paraId="6753853E" w14:textId="77777777" w:rsidR="001B77DD" w:rsidRDefault="001B77DD">
            <w:pPr>
              <w:rPr>
                <w:rFonts w:ascii="宋体"/>
              </w:rPr>
            </w:pPr>
          </w:p>
        </w:tc>
        <w:tc>
          <w:tcPr>
            <w:tcW w:w="5" w:type="pct"/>
            <w:shd w:val="clear" w:color="auto" w:fill="auto"/>
            <w:vAlign w:val="bottom"/>
          </w:tcPr>
          <w:p w14:paraId="6753853F" w14:textId="77777777" w:rsidR="001B77DD" w:rsidRDefault="001B77DD">
            <w:pPr>
              <w:rPr>
                <w:rFonts w:ascii="宋体"/>
              </w:rPr>
            </w:pPr>
          </w:p>
        </w:tc>
        <w:tc>
          <w:tcPr>
            <w:tcW w:w="50" w:type="pct"/>
            <w:shd w:val="clear" w:color="auto" w:fill="auto"/>
            <w:vAlign w:val="bottom"/>
          </w:tcPr>
          <w:p w14:paraId="67538540" w14:textId="77777777" w:rsidR="001B77DD" w:rsidRDefault="001B77DD">
            <w:pPr>
              <w:rPr>
                <w:rFonts w:ascii="宋体"/>
              </w:rPr>
            </w:pPr>
          </w:p>
        </w:tc>
        <w:tc>
          <w:tcPr>
            <w:tcW w:w="2656" w:type="pct"/>
            <w:shd w:val="clear" w:color="auto" w:fill="auto"/>
            <w:vAlign w:val="bottom"/>
          </w:tcPr>
          <w:p w14:paraId="67538541" w14:textId="77777777" w:rsidR="001B77DD" w:rsidRDefault="001B77DD">
            <w:pPr>
              <w:rPr>
                <w:rFonts w:ascii="宋体"/>
              </w:rPr>
            </w:pPr>
          </w:p>
        </w:tc>
        <w:tc>
          <w:tcPr>
            <w:tcW w:w="5" w:type="pct"/>
            <w:shd w:val="clear" w:color="auto" w:fill="auto"/>
            <w:vAlign w:val="bottom"/>
          </w:tcPr>
          <w:p w14:paraId="67538542" w14:textId="77777777" w:rsidR="001B77DD" w:rsidRDefault="001B77DD">
            <w:pPr>
              <w:rPr>
                <w:rFonts w:ascii="宋体"/>
              </w:rPr>
            </w:pPr>
          </w:p>
        </w:tc>
        <w:tc>
          <w:tcPr>
            <w:tcW w:w="50" w:type="pct"/>
            <w:shd w:val="clear" w:color="auto" w:fill="auto"/>
            <w:vAlign w:val="bottom"/>
          </w:tcPr>
          <w:p w14:paraId="67538543" w14:textId="77777777" w:rsidR="001B77DD" w:rsidRDefault="001B77DD">
            <w:pPr>
              <w:rPr>
                <w:rFonts w:ascii="宋体"/>
              </w:rPr>
            </w:pPr>
          </w:p>
        </w:tc>
        <w:tc>
          <w:tcPr>
            <w:tcW w:w="1894" w:type="pct"/>
            <w:shd w:val="clear" w:color="auto" w:fill="auto"/>
            <w:vAlign w:val="bottom"/>
          </w:tcPr>
          <w:p w14:paraId="67538544" w14:textId="77777777" w:rsidR="001B77DD" w:rsidRDefault="001B77DD">
            <w:pPr>
              <w:rPr>
                <w:rFonts w:ascii="宋体"/>
              </w:rPr>
            </w:pPr>
          </w:p>
        </w:tc>
        <w:tc>
          <w:tcPr>
            <w:tcW w:w="5" w:type="pct"/>
            <w:shd w:val="clear" w:color="auto" w:fill="auto"/>
            <w:vAlign w:val="bottom"/>
          </w:tcPr>
          <w:p w14:paraId="67538545" w14:textId="77777777" w:rsidR="001B77DD" w:rsidRDefault="001B77DD">
            <w:pPr>
              <w:rPr>
                <w:rFonts w:ascii="宋体"/>
              </w:rPr>
            </w:pPr>
          </w:p>
        </w:tc>
      </w:tr>
      <w:tr w:rsidR="001B77DD" w14:paraId="6753854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547"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90" wp14:editId="67538F91">
                  <wp:extent cx="304800" cy="304800"/>
                  <wp:effectExtent l="0" t="0" r="0" b="0"/>
                  <wp:docPr id="122" name="图片 35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5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548"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549" w14:textId="77777777" w:rsidR="001B77DD" w:rsidRDefault="00BF0A28">
            <w:pPr>
              <w:jc w:val="right"/>
              <w:textAlignment w:val="center"/>
            </w:pPr>
            <w:r>
              <w:rPr>
                <w:rFonts w:ascii="Arial" w:eastAsia="宋体" w:hAnsi="Arial" w:cs="Arial"/>
                <w:color w:val="262626"/>
                <w:sz w:val="16"/>
                <w:szCs w:val="16"/>
              </w:rPr>
              <w:t>112</w:t>
            </w:r>
          </w:p>
        </w:tc>
      </w:tr>
    </w:tbl>
    <w:p w14:paraId="6753854B" w14:textId="77777777" w:rsidR="001B77DD" w:rsidRDefault="00BF0A28">
      <w:r>
        <w:pict w14:anchorId="67538F92">
          <v:rect id="_x0000_i1138" style="width:415.3pt;height:1.5pt" o:hralign="center" o:hrstd="t" o:hr="t" fillcolor="#a0a0a0" stroked="f"/>
        </w:pict>
      </w:r>
    </w:p>
    <w:p w14:paraId="6753854C" w14:textId="77777777" w:rsidR="001B77DD" w:rsidRDefault="00BF0A28">
      <w:pPr>
        <w:jc w:val="right"/>
      </w:pPr>
      <w:hyperlink r:id="rId200" w:anchor="i6c9ced68f6b24d58a3dcf326e8c3c699_16" w:history="1">
        <w:r>
          <w:rPr>
            <w:rStyle w:val="a5"/>
            <w:rFonts w:ascii="Arial" w:eastAsia="宋体" w:hAnsi="Arial" w:cs="Arial"/>
            <w:b/>
            <w:bCs/>
            <w:sz w:val="16"/>
            <w:szCs w:val="16"/>
          </w:rPr>
          <w:t>Table of Contents</w:t>
        </w:r>
      </w:hyperlink>
    </w:p>
    <w:p w14:paraId="6753854D" w14:textId="77777777" w:rsidR="001B77DD" w:rsidRDefault="001B77DD">
      <w:pPr>
        <w:jc w:val="right"/>
      </w:pPr>
    </w:p>
    <w:p w14:paraId="6753854E" w14:textId="77777777" w:rsidR="001B77DD" w:rsidRDefault="00BF0A28">
      <w:pPr>
        <w:spacing w:after="120"/>
      </w:pPr>
      <w:r>
        <w:rPr>
          <w:rFonts w:ascii="Arial" w:eastAsia="宋体" w:hAnsi="Arial" w:cs="Arial"/>
          <w:color w:val="262626"/>
          <w:sz w:val="18"/>
          <w:szCs w:val="18"/>
        </w:rPr>
        <w:t xml:space="preserve">On July 26, 2021, we provided an update on our manufacturing process and packaging </w:t>
      </w:r>
      <w:r>
        <w:rPr>
          <w:rFonts w:ascii="Arial" w:eastAsia="宋体" w:hAnsi="Arial" w:cs="Arial"/>
          <w:color w:val="262626"/>
          <w:sz w:val="18"/>
          <w:szCs w:val="18"/>
        </w:rPr>
        <w:t>technology roadmaps. As part of this update, we introduced a new naming structure for our manufacturing process nodes, which includes the name changes summarized below:</w:t>
      </w:r>
    </w:p>
    <w:tbl>
      <w:tblPr>
        <w:tblW w:w="5000" w:type="pct"/>
        <w:tblCellMar>
          <w:top w:w="15" w:type="dxa"/>
          <w:left w:w="15" w:type="dxa"/>
          <w:bottom w:w="15" w:type="dxa"/>
          <w:right w:w="15" w:type="dxa"/>
        </w:tblCellMar>
        <w:tblLook w:val="04A0" w:firstRow="1" w:lastRow="0" w:firstColumn="1" w:lastColumn="0" w:noHBand="0" w:noVBand="1"/>
      </w:tblPr>
      <w:tblGrid>
        <w:gridCol w:w="36"/>
        <w:gridCol w:w="851"/>
        <w:gridCol w:w="37"/>
        <w:gridCol w:w="3125"/>
        <w:gridCol w:w="36"/>
        <w:gridCol w:w="78"/>
        <w:gridCol w:w="896"/>
        <w:gridCol w:w="77"/>
        <w:gridCol w:w="37"/>
        <w:gridCol w:w="3127"/>
        <w:gridCol w:w="36"/>
      </w:tblGrid>
      <w:tr w:rsidR="001B77DD" w14:paraId="6753855A" w14:textId="77777777">
        <w:trPr>
          <w:hidden/>
        </w:trPr>
        <w:tc>
          <w:tcPr>
            <w:tcW w:w="0" w:type="auto"/>
            <w:shd w:val="clear" w:color="auto" w:fill="auto"/>
            <w:vAlign w:val="bottom"/>
          </w:tcPr>
          <w:p w14:paraId="6753854F" w14:textId="77777777" w:rsidR="001B77DD" w:rsidRDefault="001B77DD">
            <w:pPr>
              <w:rPr>
                <w:rFonts w:ascii="宋体"/>
                <w:vanish/>
              </w:rPr>
            </w:pPr>
          </w:p>
        </w:tc>
        <w:tc>
          <w:tcPr>
            <w:tcW w:w="0" w:type="auto"/>
            <w:shd w:val="clear" w:color="auto" w:fill="auto"/>
            <w:vAlign w:val="bottom"/>
          </w:tcPr>
          <w:p w14:paraId="67538550" w14:textId="77777777" w:rsidR="001B77DD" w:rsidRDefault="001B77DD">
            <w:pPr>
              <w:rPr>
                <w:rFonts w:ascii="宋体"/>
                <w:vanish/>
              </w:rPr>
            </w:pPr>
          </w:p>
        </w:tc>
        <w:tc>
          <w:tcPr>
            <w:tcW w:w="50" w:type="pct"/>
            <w:shd w:val="clear" w:color="auto" w:fill="auto"/>
            <w:vAlign w:val="bottom"/>
          </w:tcPr>
          <w:p w14:paraId="67538551" w14:textId="77777777" w:rsidR="001B77DD" w:rsidRDefault="001B77DD">
            <w:pPr>
              <w:rPr>
                <w:rFonts w:ascii="宋体"/>
              </w:rPr>
            </w:pPr>
          </w:p>
        </w:tc>
        <w:tc>
          <w:tcPr>
            <w:tcW w:w="2410" w:type="pct"/>
            <w:shd w:val="clear" w:color="auto" w:fill="auto"/>
            <w:vAlign w:val="bottom"/>
          </w:tcPr>
          <w:p w14:paraId="67538552" w14:textId="77777777" w:rsidR="001B77DD" w:rsidRDefault="001B77DD">
            <w:pPr>
              <w:rPr>
                <w:rFonts w:ascii="宋体"/>
              </w:rPr>
            </w:pPr>
          </w:p>
        </w:tc>
        <w:tc>
          <w:tcPr>
            <w:tcW w:w="5" w:type="pct"/>
            <w:shd w:val="clear" w:color="auto" w:fill="auto"/>
            <w:vAlign w:val="bottom"/>
          </w:tcPr>
          <w:p w14:paraId="67538553" w14:textId="77777777" w:rsidR="001B77DD" w:rsidRDefault="001B77DD">
            <w:pPr>
              <w:rPr>
                <w:rFonts w:ascii="宋体"/>
              </w:rPr>
            </w:pPr>
          </w:p>
        </w:tc>
        <w:tc>
          <w:tcPr>
            <w:tcW w:w="5" w:type="pct"/>
            <w:shd w:val="clear" w:color="auto" w:fill="auto"/>
            <w:vAlign w:val="bottom"/>
          </w:tcPr>
          <w:p w14:paraId="67538554" w14:textId="77777777" w:rsidR="001B77DD" w:rsidRDefault="001B77DD">
            <w:pPr>
              <w:rPr>
                <w:rFonts w:ascii="宋体"/>
              </w:rPr>
            </w:pPr>
          </w:p>
        </w:tc>
        <w:tc>
          <w:tcPr>
            <w:tcW w:w="58" w:type="pct"/>
            <w:shd w:val="clear" w:color="auto" w:fill="auto"/>
            <w:vAlign w:val="bottom"/>
          </w:tcPr>
          <w:p w14:paraId="67538555" w14:textId="77777777" w:rsidR="001B77DD" w:rsidRDefault="001B77DD">
            <w:pPr>
              <w:rPr>
                <w:rFonts w:ascii="宋体"/>
              </w:rPr>
            </w:pPr>
          </w:p>
        </w:tc>
        <w:tc>
          <w:tcPr>
            <w:tcW w:w="5" w:type="pct"/>
            <w:shd w:val="clear" w:color="auto" w:fill="auto"/>
            <w:vAlign w:val="bottom"/>
          </w:tcPr>
          <w:p w14:paraId="67538556" w14:textId="77777777" w:rsidR="001B77DD" w:rsidRDefault="001B77DD">
            <w:pPr>
              <w:rPr>
                <w:rFonts w:ascii="宋体"/>
              </w:rPr>
            </w:pPr>
          </w:p>
        </w:tc>
        <w:tc>
          <w:tcPr>
            <w:tcW w:w="50" w:type="pct"/>
            <w:shd w:val="clear" w:color="auto" w:fill="auto"/>
            <w:vAlign w:val="bottom"/>
          </w:tcPr>
          <w:p w14:paraId="67538557" w14:textId="77777777" w:rsidR="001B77DD" w:rsidRDefault="001B77DD">
            <w:pPr>
              <w:rPr>
                <w:rFonts w:ascii="宋体"/>
              </w:rPr>
            </w:pPr>
          </w:p>
        </w:tc>
        <w:tc>
          <w:tcPr>
            <w:tcW w:w="2410" w:type="pct"/>
            <w:shd w:val="clear" w:color="auto" w:fill="auto"/>
            <w:vAlign w:val="bottom"/>
          </w:tcPr>
          <w:p w14:paraId="67538558" w14:textId="77777777" w:rsidR="001B77DD" w:rsidRDefault="001B77DD">
            <w:pPr>
              <w:rPr>
                <w:rFonts w:ascii="宋体"/>
              </w:rPr>
            </w:pPr>
          </w:p>
        </w:tc>
        <w:tc>
          <w:tcPr>
            <w:tcW w:w="5" w:type="pct"/>
            <w:shd w:val="clear" w:color="auto" w:fill="auto"/>
            <w:vAlign w:val="bottom"/>
          </w:tcPr>
          <w:p w14:paraId="67538559" w14:textId="77777777" w:rsidR="001B77DD" w:rsidRDefault="001B77DD">
            <w:pPr>
              <w:rPr>
                <w:rFonts w:ascii="宋体"/>
              </w:rPr>
            </w:pPr>
          </w:p>
        </w:tc>
      </w:tr>
      <w:tr w:rsidR="001B77DD" w14:paraId="67538560" w14:textId="77777777">
        <w:trPr>
          <w:trHeight w:val="240"/>
          <w:hidden/>
        </w:trPr>
        <w:tc>
          <w:tcPr>
            <w:tcW w:w="0" w:type="auto"/>
            <w:shd w:val="clear" w:color="auto" w:fill="auto"/>
            <w:vAlign w:val="bottom"/>
          </w:tcPr>
          <w:p w14:paraId="6753855B" w14:textId="77777777" w:rsidR="001B77DD" w:rsidRDefault="001B77DD">
            <w:pPr>
              <w:rPr>
                <w:rFonts w:ascii="宋体"/>
                <w:vanish/>
              </w:rPr>
            </w:pPr>
          </w:p>
        </w:tc>
        <w:tc>
          <w:tcPr>
            <w:tcW w:w="0" w:type="auto"/>
            <w:shd w:val="clear" w:color="auto" w:fill="auto"/>
            <w:vAlign w:val="bottom"/>
          </w:tcPr>
          <w:p w14:paraId="6753855C" w14:textId="77777777" w:rsidR="001B77DD" w:rsidRDefault="001B77DD">
            <w:pPr>
              <w:rPr>
                <w:rFonts w:ascii="宋体"/>
                <w:vanish/>
              </w:rPr>
            </w:pPr>
          </w:p>
        </w:tc>
        <w:tc>
          <w:tcPr>
            <w:tcW w:w="0" w:type="auto"/>
            <w:gridSpan w:val="3"/>
            <w:shd w:val="clear" w:color="auto" w:fill="auto"/>
            <w:tcMar>
              <w:top w:w="40" w:type="dxa"/>
              <w:left w:w="20" w:type="dxa"/>
              <w:bottom w:w="40" w:type="dxa"/>
              <w:right w:w="20" w:type="dxa"/>
            </w:tcMar>
            <w:vAlign w:val="bottom"/>
          </w:tcPr>
          <w:p w14:paraId="6753855D" w14:textId="77777777" w:rsidR="001B77DD" w:rsidRDefault="00BF0A28">
            <w:pPr>
              <w:textAlignment w:val="bottom"/>
            </w:pPr>
            <w:r>
              <w:rPr>
                <w:rFonts w:ascii="Arial" w:eastAsia="宋体" w:hAnsi="Arial" w:cs="Arial"/>
                <w:color w:val="0068B5"/>
                <w:sz w:val="18"/>
                <w:szCs w:val="18"/>
              </w:rPr>
              <w:t>Previous Process Node Name</w:t>
            </w:r>
          </w:p>
        </w:tc>
        <w:tc>
          <w:tcPr>
            <w:tcW w:w="0" w:type="auto"/>
            <w:gridSpan w:val="3"/>
            <w:shd w:val="clear" w:color="auto" w:fill="auto"/>
            <w:tcMar>
              <w:top w:w="0" w:type="dxa"/>
              <w:left w:w="20" w:type="dxa"/>
              <w:bottom w:w="0" w:type="dxa"/>
              <w:right w:w="20" w:type="dxa"/>
            </w:tcMar>
            <w:vAlign w:val="bottom"/>
          </w:tcPr>
          <w:p w14:paraId="6753855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55F" w14:textId="77777777" w:rsidR="001B77DD" w:rsidRDefault="00BF0A28">
            <w:pPr>
              <w:textAlignment w:val="bottom"/>
            </w:pPr>
            <w:r>
              <w:rPr>
                <w:rFonts w:ascii="Arial" w:eastAsia="宋体" w:hAnsi="Arial" w:cs="Arial"/>
                <w:color w:val="0068B5"/>
                <w:sz w:val="18"/>
                <w:szCs w:val="18"/>
              </w:rPr>
              <w:t>New Process Node Name</w:t>
            </w:r>
          </w:p>
        </w:tc>
      </w:tr>
      <w:tr w:rsidR="001B77DD" w14:paraId="67538568" w14:textId="77777777">
        <w:trPr>
          <w:trHeight w:val="240"/>
          <w:hidden/>
        </w:trPr>
        <w:tc>
          <w:tcPr>
            <w:tcW w:w="0" w:type="auto"/>
            <w:shd w:val="clear" w:color="auto" w:fill="auto"/>
            <w:vAlign w:val="bottom"/>
          </w:tcPr>
          <w:p w14:paraId="67538561" w14:textId="77777777" w:rsidR="001B77DD" w:rsidRDefault="001B77DD">
            <w:pPr>
              <w:rPr>
                <w:rFonts w:ascii="宋体"/>
                <w:vanish/>
              </w:rPr>
            </w:pPr>
          </w:p>
        </w:tc>
        <w:tc>
          <w:tcPr>
            <w:tcW w:w="0" w:type="auto"/>
            <w:tcBorders>
              <w:top w:val="single" w:sz="8" w:space="0" w:color="0068B5"/>
            </w:tcBorders>
            <w:shd w:val="clear" w:color="auto" w:fill="auto"/>
            <w:tcMar>
              <w:top w:w="40" w:type="dxa"/>
              <w:left w:w="20" w:type="dxa"/>
              <w:bottom w:w="40" w:type="dxa"/>
              <w:right w:w="20" w:type="dxa"/>
            </w:tcMar>
            <w:vAlign w:val="bottom"/>
          </w:tcPr>
          <w:p w14:paraId="67538562" w14:textId="77777777" w:rsidR="001B77DD" w:rsidRDefault="00BF0A28">
            <w:pPr>
              <w:textAlignment w:val="bottom"/>
            </w:pPr>
            <w:r>
              <w:rPr>
                <w:rFonts w:ascii="Arial" w:eastAsia="宋体" w:hAnsi="Arial" w:cs="Arial"/>
                <w:color w:val="262626"/>
                <w:sz w:val="18"/>
                <w:szCs w:val="18"/>
              </w:rPr>
              <w:t>10nm SuperFin</w:t>
            </w:r>
          </w:p>
        </w:tc>
        <w:tc>
          <w:tcPr>
            <w:tcW w:w="0" w:type="auto"/>
            <w:gridSpan w:val="3"/>
            <w:shd w:val="clear" w:color="auto" w:fill="auto"/>
            <w:tcMar>
              <w:top w:w="0" w:type="dxa"/>
              <w:left w:w="20" w:type="dxa"/>
              <w:bottom w:w="0" w:type="dxa"/>
              <w:right w:w="20" w:type="dxa"/>
            </w:tcMar>
            <w:vAlign w:val="bottom"/>
          </w:tcPr>
          <w:p w14:paraId="67538563"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7538564" w14:textId="77777777" w:rsidR="001B77DD" w:rsidRDefault="00BF0A28">
            <w:pPr>
              <w:textAlignment w:val="bottom"/>
            </w:pPr>
            <w:r>
              <w:rPr>
                <w:rFonts w:ascii="Arial" w:eastAsia="宋体" w:hAnsi="Arial" w:cs="Arial"/>
                <w:color w:val="262626"/>
                <w:sz w:val="18"/>
                <w:szCs w:val="18"/>
              </w:rPr>
              <w:t>10nm SuperFin (unchanged)</w:t>
            </w:r>
          </w:p>
        </w:tc>
        <w:tc>
          <w:tcPr>
            <w:tcW w:w="0" w:type="auto"/>
            <w:shd w:val="clear" w:color="auto" w:fill="auto"/>
            <w:vAlign w:val="bottom"/>
          </w:tcPr>
          <w:p w14:paraId="67538565" w14:textId="77777777" w:rsidR="001B77DD" w:rsidRDefault="001B77DD">
            <w:pPr>
              <w:rPr>
                <w:rFonts w:ascii="宋体"/>
              </w:rPr>
            </w:pPr>
          </w:p>
        </w:tc>
        <w:tc>
          <w:tcPr>
            <w:tcW w:w="0" w:type="auto"/>
            <w:shd w:val="clear" w:color="auto" w:fill="auto"/>
            <w:vAlign w:val="bottom"/>
          </w:tcPr>
          <w:p w14:paraId="67538566" w14:textId="77777777" w:rsidR="001B77DD" w:rsidRDefault="001B77DD">
            <w:pPr>
              <w:rPr>
                <w:rFonts w:ascii="宋体"/>
              </w:rPr>
            </w:pPr>
          </w:p>
        </w:tc>
        <w:tc>
          <w:tcPr>
            <w:tcW w:w="0" w:type="auto"/>
            <w:shd w:val="clear" w:color="auto" w:fill="auto"/>
            <w:vAlign w:val="bottom"/>
          </w:tcPr>
          <w:p w14:paraId="67538567" w14:textId="77777777" w:rsidR="001B77DD" w:rsidRDefault="001B77DD">
            <w:pPr>
              <w:rPr>
                <w:rFonts w:ascii="宋体"/>
              </w:rPr>
            </w:pPr>
          </w:p>
        </w:tc>
      </w:tr>
      <w:tr w:rsidR="001B77DD" w14:paraId="67538570" w14:textId="77777777">
        <w:trPr>
          <w:trHeight w:val="240"/>
          <w:hidden/>
        </w:trPr>
        <w:tc>
          <w:tcPr>
            <w:tcW w:w="0" w:type="auto"/>
            <w:shd w:val="clear" w:color="auto" w:fill="auto"/>
            <w:vAlign w:val="bottom"/>
          </w:tcPr>
          <w:p w14:paraId="67538569" w14:textId="77777777" w:rsidR="001B77DD" w:rsidRDefault="001B77DD">
            <w:pPr>
              <w:rPr>
                <w:rFonts w:ascii="宋体"/>
                <w:vanish/>
              </w:rPr>
            </w:pPr>
          </w:p>
        </w:tc>
        <w:tc>
          <w:tcPr>
            <w:tcW w:w="0" w:type="auto"/>
            <w:shd w:val="clear" w:color="auto" w:fill="auto"/>
            <w:tcMar>
              <w:top w:w="40" w:type="dxa"/>
              <w:left w:w="20" w:type="dxa"/>
              <w:bottom w:w="40" w:type="dxa"/>
              <w:right w:w="20" w:type="dxa"/>
            </w:tcMar>
            <w:vAlign w:val="bottom"/>
          </w:tcPr>
          <w:p w14:paraId="6753856A" w14:textId="77777777" w:rsidR="001B77DD" w:rsidRDefault="00BF0A28">
            <w:pPr>
              <w:textAlignment w:val="bottom"/>
            </w:pPr>
            <w:r>
              <w:rPr>
                <w:rFonts w:ascii="Arial" w:eastAsia="宋体" w:hAnsi="Arial" w:cs="Arial"/>
                <w:color w:val="262626"/>
                <w:sz w:val="18"/>
                <w:szCs w:val="18"/>
              </w:rPr>
              <w:t>10nm Enhanced SuperFin</w:t>
            </w:r>
          </w:p>
        </w:tc>
        <w:tc>
          <w:tcPr>
            <w:tcW w:w="0" w:type="auto"/>
            <w:gridSpan w:val="3"/>
            <w:shd w:val="clear" w:color="auto" w:fill="auto"/>
            <w:tcMar>
              <w:top w:w="0" w:type="dxa"/>
              <w:left w:w="20" w:type="dxa"/>
              <w:bottom w:w="0" w:type="dxa"/>
              <w:right w:w="20" w:type="dxa"/>
            </w:tcMar>
            <w:vAlign w:val="bottom"/>
          </w:tcPr>
          <w:p w14:paraId="6753856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56C" w14:textId="77777777" w:rsidR="001B77DD" w:rsidRDefault="00BF0A28">
            <w:pPr>
              <w:textAlignment w:val="bottom"/>
            </w:pPr>
            <w:r>
              <w:rPr>
                <w:rFonts w:ascii="Arial" w:eastAsia="宋体" w:hAnsi="Arial" w:cs="Arial"/>
                <w:color w:val="262626"/>
                <w:sz w:val="18"/>
                <w:szCs w:val="18"/>
              </w:rPr>
              <w:t>Intel 7</w:t>
            </w:r>
          </w:p>
        </w:tc>
        <w:tc>
          <w:tcPr>
            <w:tcW w:w="0" w:type="auto"/>
            <w:shd w:val="clear" w:color="auto" w:fill="auto"/>
            <w:vAlign w:val="bottom"/>
          </w:tcPr>
          <w:p w14:paraId="6753856D" w14:textId="77777777" w:rsidR="001B77DD" w:rsidRDefault="001B77DD">
            <w:pPr>
              <w:rPr>
                <w:rFonts w:ascii="宋体"/>
              </w:rPr>
            </w:pPr>
          </w:p>
        </w:tc>
        <w:tc>
          <w:tcPr>
            <w:tcW w:w="0" w:type="auto"/>
            <w:shd w:val="clear" w:color="auto" w:fill="auto"/>
            <w:vAlign w:val="bottom"/>
          </w:tcPr>
          <w:p w14:paraId="6753856E" w14:textId="77777777" w:rsidR="001B77DD" w:rsidRDefault="001B77DD">
            <w:pPr>
              <w:rPr>
                <w:rFonts w:ascii="宋体"/>
              </w:rPr>
            </w:pPr>
          </w:p>
        </w:tc>
        <w:tc>
          <w:tcPr>
            <w:tcW w:w="0" w:type="auto"/>
            <w:shd w:val="clear" w:color="auto" w:fill="auto"/>
            <w:vAlign w:val="bottom"/>
          </w:tcPr>
          <w:p w14:paraId="6753856F" w14:textId="77777777" w:rsidR="001B77DD" w:rsidRDefault="001B77DD">
            <w:pPr>
              <w:rPr>
                <w:rFonts w:ascii="宋体"/>
              </w:rPr>
            </w:pPr>
          </w:p>
        </w:tc>
      </w:tr>
      <w:tr w:rsidR="001B77DD" w14:paraId="67538578" w14:textId="77777777">
        <w:trPr>
          <w:trHeight w:val="240"/>
          <w:hidden/>
        </w:trPr>
        <w:tc>
          <w:tcPr>
            <w:tcW w:w="0" w:type="auto"/>
            <w:shd w:val="clear" w:color="auto" w:fill="auto"/>
            <w:vAlign w:val="bottom"/>
          </w:tcPr>
          <w:p w14:paraId="67538571" w14:textId="77777777" w:rsidR="001B77DD" w:rsidRDefault="001B77DD">
            <w:pPr>
              <w:rPr>
                <w:rFonts w:ascii="宋体"/>
                <w:vanish/>
              </w:rPr>
            </w:pPr>
          </w:p>
        </w:tc>
        <w:tc>
          <w:tcPr>
            <w:tcW w:w="0" w:type="auto"/>
            <w:shd w:val="clear" w:color="auto" w:fill="auto"/>
            <w:tcMar>
              <w:top w:w="40" w:type="dxa"/>
              <w:left w:w="20" w:type="dxa"/>
              <w:bottom w:w="40" w:type="dxa"/>
              <w:right w:w="20" w:type="dxa"/>
            </w:tcMar>
            <w:vAlign w:val="bottom"/>
          </w:tcPr>
          <w:p w14:paraId="67538572" w14:textId="77777777" w:rsidR="001B77DD" w:rsidRDefault="00BF0A28">
            <w:pPr>
              <w:textAlignment w:val="bottom"/>
            </w:pPr>
            <w:r>
              <w:rPr>
                <w:rFonts w:ascii="Arial" w:eastAsia="宋体" w:hAnsi="Arial" w:cs="Arial"/>
                <w:color w:val="262626"/>
                <w:sz w:val="18"/>
                <w:szCs w:val="18"/>
              </w:rPr>
              <w:t>Intel 7nm</w:t>
            </w:r>
          </w:p>
        </w:tc>
        <w:tc>
          <w:tcPr>
            <w:tcW w:w="0" w:type="auto"/>
            <w:gridSpan w:val="3"/>
            <w:shd w:val="clear" w:color="auto" w:fill="auto"/>
            <w:tcMar>
              <w:top w:w="0" w:type="dxa"/>
              <w:left w:w="20" w:type="dxa"/>
              <w:bottom w:w="0" w:type="dxa"/>
              <w:right w:w="20" w:type="dxa"/>
            </w:tcMar>
            <w:vAlign w:val="bottom"/>
          </w:tcPr>
          <w:p w14:paraId="6753857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574" w14:textId="77777777" w:rsidR="001B77DD" w:rsidRDefault="00BF0A28">
            <w:pPr>
              <w:textAlignment w:val="bottom"/>
            </w:pPr>
            <w:r>
              <w:rPr>
                <w:rFonts w:ascii="Arial" w:eastAsia="宋体" w:hAnsi="Arial" w:cs="Arial"/>
                <w:color w:val="262626"/>
                <w:sz w:val="18"/>
                <w:szCs w:val="18"/>
              </w:rPr>
              <w:t>Intel 4</w:t>
            </w:r>
          </w:p>
        </w:tc>
        <w:tc>
          <w:tcPr>
            <w:tcW w:w="0" w:type="auto"/>
            <w:shd w:val="clear" w:color="auto" w:fill="auto"/>
            <w:vAlign w:val="bottom"/>
          </w:tcPr>
          <w:p w14:paraId="67538575" w14:textId="77777777" w:rsidR="001B77DD" w:rsidRDefault="001B77DD">
            <w:pPr>
              <w:rPr>
                <w:rFonts w:ascii="宋体"/>
              </w:rPr>
            </w:pPr>
          </w:p>
        </w:tc>
        <w:tc>
          <w:tcPr>
            <w:tcW w:w="0" w:type="auto"/>
            <w:shd w:val="clear" w:color="auto" w:fill="auto"/>
            <w:vAlign w:val="bottom"/>
          </w:tcPr>
          <w:p w14:paraId="67538576" w14:textId="77777777" w:rsidR="001B77DD" w:rsidRDefault="001B77DD">
            <w:pPr>
              <w:rPr>
                <w:rFonts w:ascii="宋体"/>
              </w:rPr>
            </w:pPr>
          </w:p>
        </w:tc>
        <w:tc>
          <w:tcPr>
            <w:tcW w:w="0" w:type="auto"/>
            <w:shd w:val="clear" w:color="auto" w:fill="auto"/>
            <w:vAlign w:val="bottom"/>
          </w:tcPr>
          <w:p w14:paraId="67538577" w14:textId="77777777" w:rsidR="001B77DD" w:rsidRDefault="001B77DD">
            <w:pPr>
              <w:rPr>
                <w:rFonts w:ascii="宋体"/>
              </w:rPr>
            </w:pPr>
          </w:p>
        </w:tc>
      </w:tr>
    </w:tbl>
    <w:p w14:paraId="67538579"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583" w14:textId="77777777">
        <w:tc>
          <w:tcPr>
            <w:tcW w:w="50" w:type="pct"/>
            <w:shd w:val="clear" w:color="auto" w:fill="auto"/>
            <w:vAlign w:val="bottom"/>
          </w:tcPr>
          <w:p w14:paraId="6753857A" w14:textId="77777777" w:rsidR="001B77DD" w:rsidRDefault="001B77DD">
            <w:pPr>
              <w:rPr>
                <w:rFonts w:ascii="宋体"/>
              </w:rPr>
            </w:pPr>
          </w:p>
        </w:tc>
        <w:tc>
          <w:tcPr>
            <w:tcW w:w="283" w:type="pct"/>
            <w:shd w:val="clear" w:color="auto" w:fill="auto"/>
            <w:vAlign w:val="bottom"/>
          </w:tcPr>
          <w:p w14:paraId="6753857B" w14:textId="77777777" w:rsidR="001B77DD" w:rsidRDefault="001B77DD">
            <w:pPr>
              <w:rPr>
                <w:rFonts w:ascii="宋体"/>
              </w:rPr>
            </w:pPr>
          </w:p>
        </w:tc>
        <w:tc>
          <w:tcPr>
            <w:tcW w:w="5" w:type="pct"/>
            <w:shd w:val="clear" w:color="auto" w:fill="auto"/>
            <w:vAlign w:val="bottom"/>
          </w:tcPr>
          <w:p w14:paraId="6753857C" w14:textId="77777777" w:rsidR="001B77DD" w:rsidRDefault="001B77DD">
            <w:pPr>
              <w:rPr>
                <w:rFonts w:ascii="宋体"/>
              </w:rPr>
            </w:pPr>
          </w:p>
        </w:tc>
        <w:tc>
          <w:tcPr>
            <w:tcW w:w="50" w:type="pct"/>
            <w:shd w:val="clear" w:color="auto" w:fill="auto"/>
            <w:vAlign w:val="bottom"/>
          </w:tcPr>
          <w:p w14:paraId="6753857D" w14:textId="77777777" w:rsidR="001B77DD" w:rsidRDefault="001B77DD">
            <w:pPr>
              <w:rPr>
                <w:rFonts w:ascii="宋体"/>
              </w:rPr>
            </w:pPr>
          </w:p>
        </w:tc>
        <w:tc>
          <w:tcPr>
            <w:tcW w:w="2656" w:type="pct"/>
            <w:shd w:val="clear" w:color="auto" w:fill="auto"/>
            <w:vAlign w:val="bottom"/>
          </w:tcPr>
          <w:p w14:paraId="6753857E" w14:textId="77777777" w:rsidR="001B77DD" w:rsidRDefault="001B77DD">
            <w:pPr>
              <w:rPr>
                <w:rFonts w:ascii="宋体"/>
              </w:rPr>
            </w:pPr>
          </w:p>
        </w:tc>
        <w:tc>
          <w:tcPr>
            <w:tcW w:w="5" w:type="pct"/>
            <w:shd w:val="clear" w:color="auto" w:fill="auto"/>
            <w:vAlign w:val="bottom"/>
          </w:tcPr>
          <w:p w14:paraId="6753857F" w14:textId="77777777" w:rsidR="001B77DD" w:rsidRDefault="001B77DD">
            <w:pPr>
              <w:rPr>
                <w:rFonts w:ascii="宋体"/>
              </w:rPr>
            </w:pPr>
          </w:p>
        </w:tc>
        <w:tc>
          <w:tcPr>
            <w:tcW w:w="50" w:type="pct"/>
            <w:shd w:val="clear" w:color="auto" w:fill="auto"/>
            <w:vAlign w:val="bottom"/>
          </w:tcPr>
          <w:p w14:paraId="67538580" w14:textId="77777777" w:rsidR="001B77DD" w:rsidRDefault="001B77DD">
            <w:pPr>
              <w:rPr>
                <w:rFonts w:ascii="宋体"/>
              </w:rPr>
            </w:pPr>
          </w:p>
        </w:tc>
        <w:tc>
          <w:tcPr>
            <w:tcW w:w="1894" w:type="pct"/>
            <w:shd w:val="clear" w:color="auto" w:fill="auto"/>
            <w:vAlign w:val="bottom"/>
          </w:tcPr>
          <w:p w14:paraId="67538581" w14:textId="77777777" w:rsidR="001B77DD" w:rsidRDefault="001B77DD">
            <w:pPr>
              <w:rPr>
                <w:rFonts w:ascii="宋体"/>
              </w:rPr>
            </w:pPr>
          </w:p>
        </w:tc>
        <w:tc>
          <w:tcPr>
            <w:tcW w:w="5" w:type="pct"/>
            <w:shd w:val="clear" w:color="auto" w:fill="auto"/>
            <w:vAlign w:val="bottom"/>
          </w:tcPr>
          <w:p w14:paraId="67538582" w14:textId="77777777" w:rsidR="001B77DD" w:rsidRDefault="001B77DD">
            <w:pPr>
              <w:rPr>
                <w:rFonts w:ascii="宋体"/>
              </w:rPr>
            </w:pPr>
          </w:p>
        </w:tc>
      </w:tr>
      <w:tr w:rsidR="001B77DD" w14:paraId="6753858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584"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93" wp14:editId="67538F94">
                  <wp:extent cx="304800" cy="304800"/>
                  <wp:effectExtent l="0" t="0" r="0" b="0"/>
                  <wp:docPr id="156" name="图片 35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5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585"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586" w14:textId="77777777" w:rsidR="001B77DD" w:rsidRDefault="00BF0A28">
            <w:pPr>
              <w:jc w:val="right"/>
              <w:textAlignment w:val="center"/>
            </w:pPr>
            <w:r>
              <w:rPr>
                <w:rFonts w:ascii="Arial" w:eastAsia="宋体" w:hAnsi="Arial" w:cs="Arial"/>
                <w:color w:val="262626"/>
                <w:sz w:val="16"/>
                <w:szCs w:val="16"/>
              </w:rPr>
              <w:t>113</w:t>
            </w:r>
          </w:p>
        </w:tc>
      </w:tr>
    </w:tbl>
    <w:p w14:paraId="67538588" w14:textId="77777777" w:rsidR="001B77DD" w:rsidRDefault="00BF0A28">
      <w:r>
        <w:pict w14:anchorId="67538F95">
          <v:rect id="_x0000_i1139" style="width:415.3pt;height:1.5pt" o:hralign="center" o:hrstd="t" o:hr="t" fillcolor="#a0a0a0" stroked="f"/>
        </w:pict>
      </w:r>
    </w:p>
    <w:p w14:paraId="67538589" w14:textId="77777777" w:rsidR="001B77DD" w:rsidRDefault="00BF0A28">
      <w:pPr>
        <w:jc w:val="right"/>
      </w:pPr>
      <w:hyperlink r:id="rId201" w:anchor="i6c9ced68f6b24d58a3dcf326e8c3c699_16" w:history="1">
        <w:r>
          <w:rPr>
            <w:rStyle w:val="a5"/>
            <w:rFonts w:ascii="Arial" w:eastAsia="宋体" w:hAnsi="Arial" w:cs="Arial"/>
            <w:b/>
            <w:bCs/>
            <w:sz w:val="16"/>
            <w:szCs w:val="16"/>
          </w:rPr>
          <w:t>Table of Contents</w:t>
        </w:r>
      </w:hyperlink>
    </w:p>
    <w:p w14:paraId="6753858A"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8591" w14:textId="77777777">
        <w:tc>
          <w:tcPr>
            <w:tcW w:w="50" w:type="pct"/>
            <w:shd w:val="clear" w:color="auto" w:fill="auto"/>
            <w:vAlign w:val="bottom"/>
          </w:tcPr>
          <w:p w14:paraId="6753858B" w14:textId="77777777" w:rsidR="001B77DD" w:rsidRDefault="001B77DD">
            <w:pPr>
              <w:rPr>
                <w:rFonts w:ascii="宋体"/>
              </w:rPr>
            </w:pPr>
          </w:p>
        </w:tc>
        <w:tc>
          <w:tcPr>
            <w:tcW w:w="4870" w:type="pct"/>
            <w:shd w:val="clear" w:color="auto" w:fill="auto"/>
            <w:vAlign w:val="bottom"/>
          </w:tcPr>
          <w:p w14:paraId="6753858C" w14:textId="77777777" w:rsidR="001B77DD" w:rsidRDefault="001B77DD">
            <w:pPr>
              <w:rPr>
                <w:rFonts w:ascii="宋体"/>
              </w:rPr>
            </w:pPr>
          </w:p>
        </w:tc>
        <w:tc>
          <w:tcPr>
            <w:tcW w:w="5" w:type="pct"/>
            <w:shd w:val="clear" w:color="auto" w:fill="auto"/>
            <w:vAlign w:val="bottom"/>
          </w:tcPr>
          <w:p w14:paraId="6753858D" w14:textId="77777777" w:rsidR="001B77DD" w:rsidRDefault="001B77DD">
            <w:pPr>
              <w:rPr>
                <w:rFonts w:ascii="宋体"/>
              </w:rPr>
            </w:pPr>
          </w:p>
        </w:tc>
        <w:tc>
          <w:tcPr>
            <w:tcW w:w="5" w:type="pct"/>
            <w:shd w:val="clear" w:color="auto" w:fill="auto"/>
            <w:vAlign w:val="bottom"/>
          </w:tcPr>
          <w:p w14:paraId="6753858E" w14:textId="77777777" w:rsidR="001B77DD" w:rsidRDefault="001B77DD">
            <w:pPr>
              <w:rPr>
                <w:rFonts w:ascii="宋体"/>
              </w:rPr>
            </w:pPr>
          </w:p>
        </w:tc>
        <w:tc>
          <w:tcPr>
            <w:tcW w:w="64" w:type="pct"/>
            <w:shd w:val="clear" w:color="auto" w:fill="auto"/>
            <w:vAlign w:val="bottom"/>
          </w:tcPr>
          <w:p w14:paraId="6753858F" w14:textId="77777777" w:rsidR="001B77DD" w:rsidRDefault="001B77DD">
            <w:pPr>
              <w:rPr>
                <w:rFonts w:ascii="宋体"/>
              </w:rPr>
            </w:pPr>
          </w:p>
        </w:tc>
        <w:tc>
          <w:tcPr>
            <w:tcW w:w="5" w:type="pct"/>
            <w:shd w:val="clear" w:color="auto" w:fill="auto"/>
            <w:vAlign w:val="bottom"/>
          </w:tcPr>
          <w:p w14:paraId="67538590" w14:textId="77777777" w:rsidR="001B77DD" w:rsidRDefault="001B77DD">
            <w:pPr>
              <w:rPr>
                <w:rFonts w:ascii="宋体"/>
              </w:rPr>
            </w:pPr>
          </w:p>
        </w:tc>
      </w:tr>
      <w:tr w:rsidR="001B77DD" w14:paraId="67538594" w14:textId="77777777">
        <w:tc>
          <w:tcPr>
            <w:tcW w:w="0" w:type="auto"/>
            <w:gridSpan w:val="3"/>
            <w:shd w:val="clear" w:color="auto" w:fill="004A86"/>
            <w:tcMar>
              <w:top w:w="40" w:type="dxa"/>
              <w:left w:w="20" w:type="dxa"/>
              <w:bottom w:w="40" w:type="dxa"/>
              <w:right w:w="20" w:type="dxa"/>
            </w:tcMar>
            <w:vAlign w:val="center"/>
          </w:tcPr>
          <w:p w14:paraId="67538592" w14:textId="77777777" w:rsidR="001B77DD" w:rsidRDefault="00BF0A28">
            <w:pPr>
              <w:textAlignment w:val="center"/>
            </w:pPr>
            <w:r>
              <w:rPr>
                <w:rFonts w:ascii="Arial" w:eastAsia="宋体" w:hAnsi="Arial" w:cs="Arial"/>
                <w:color w:val="FFFFFF"/>
                <w:sz w:val="36"/>
                <w:szCs w:val="36"/>
              </w:rPr>
              <w:t>Controls and Procedures</w:t>
            </w:r>
          </w:p>
        </w:tc>
        <w:tc>
          <w:tcPr>
            <w:tcW w:w="0" w:type="auto"/>
            <w:gridSpan w:val="3"/>
            <w:shd w:val="clear" w:color="auto" w:fill="auto"/>
            <w:tcMar>
              <w:top w:w="0" w:type="dxa"/>
              <w:left w:w="20" w:type="dxa"/>
              <w:bottom w:w="0" w:type="dxa"/>
              <w:right w:w="20" w:type="dxa"/>
            </w:tcMar>
            <w:vAlign w:val="bottom"/>
          </w:tcPr>
          <w:p w14:paraId="67538593" w14:textId="77777777" w:rsidR="001B77DD" w:rsidRDefault="001B77DD">
            <w:pPr>
              <w:rPr>
                <w:rFonts w:ascii="宋体"/>
              </w:rPr>
            </w:pPr>
          </w:p>
        </w:tc>
      </w:tr>
      <w:tr w:rsidR="001B77DD" w14:paraId="67538597" w14:textId="77777777">
        <w:trPr>
          <w:trHeight w:val="160"/>
        </w:trPr>
        <w:tc>
          <w:tcPr>
            <w:tcW w:w="0" w:type="auto"/>
            <w:gridSpan w:val="3"/>
            <w:shd w:val="clear" w:color="auto" w:fill="auto"/>
            <w:tcMar>
              <w:top w:w="0" w:type="dxa"/>
              <w:left w:w="20" w:type="dxa"/>
              <w:bottom w:w="0" w:type="dxa"/>
              <w:right w:w="20" w:type="dxa"/>
            </w:tcMar>
            <w:vAlign w:val="bottom"/>
          </w:tcPr>
          <w:p w14:paraId="67538595"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8596" w14:textId="77777777" w:rsidR="001B77DD" w:rsidRDefault="001B77DD">
            <w:pPr>
              <w:rPr>
                <w:rFonts w:ascii="宋体"/>
              </w:rPr>
            </w:pPr>
          </w:p>
        </w:tc>
      </w:tr>
    </w:tbl>
    <w:p w14:paraId="67538598" w14:textId="77777777" w:rsidR="001B77DD" w:rsidRDefault="00BF0A28">
      <w:pPr>
        <w:spacing w:after="180"/>
      </w:pPr>
      <w:r>
        <w:rPr>
          <w:rFonts w:ascii="Arial" w:eastAsia="宋体" w:hAnsi="Arial" w:cs="Arial"/>
          <w:color w:val="0068B5"/>
          <w:sz w:val="28"/>
          <w:szCs w:val="28"/>
        </w:rPr>
        <w:t xml:space="preserve">Inherent Limitations on </w:t>
      </w:r>
      <w:r>
        <w:rPr>
          <w:rFonts w:ascii="Arial" w:eastAsia="宋体" w:hAnsi="Arial" w:cs="Arial"/>
          <w:color w:val="0068B5"/>
          <w:sz w:val="28"/>
          <w:szCs w:val="28"/>
        </w:rPr>
        <w:t>Effectiveness of Controls</w:t>
      </w:r>
    </w:p>
    <w:p w14:paraId="67538599" w14:textId="77777777" w:rsidR="001B77DD" w:rsidRDefault="00BF0A28">
      <w:pPr>
        <w:spacing w:after="180"/>
      </w:pPr>
      <w:r>
        <w:rPr>
          <w:rFonts w:ascii="Arial" w:eastAsia="宋体" w:hAnsi="Arial" w:cs="Arial"/>
          <w:color w:val="262626"/>
          <w:sz w:val="18"/>
          <w:szCs w:val="18"/>
        </w:rPr>
        <w:t xml:space="preserve">Our management, including the principal executive officer and principal financial officer, does not expect that our disclosure controls and procedures or our internal control over financial reporting will prevent or detect all </w:t>
      </w:r>
      <w:r>
        <w:rPr>
          <w:rFonts w:ascii="Arial" w:eastAsia="宋体" w:hAnsi="Arial" w:cs="Arial"/>
          <w:color w:val="262626"/>
          <w:sz w:val="18"/>
          <w:szCs w:val="18"/>
        </w:rPr>
        <w:t>errors and all fraud. A control system, no matter how well-designed and operated, can provide only reasonable, not absolute, assurance that the control system's objectives will be met. The design of a control system must reflect the fact that there are res</w:t>
      </w:r>
      <w:r>
        <w:rPr>
          <w:rFonts w:ascii="Arial" w:eastAsia="宋体" w:hAnsi="Arial" w:cs="Arial"/>
          <w:color w:val="262626"/>
          <w:sz w:val="18"/>
          <w:szCs w:val="18"/>
        </w:rPr>
        <w:t>ource constraints, and the benefits of controls must be considered relative to their costs. Further, because of the inherent limitations in all control systems, no evaluation of controls can provide absolute assurance that misstatements due to error or fra</w:t>
      </w:r>
      <w:r>
        <w:rPr>
          <w:rFonts w:ascii="Arial" w:eastAsia="宋体" w:hAnsi="Arial" w:cs="Arial"/>
          <w:color w:val="262626"/>
          <w:sz w:val="18"/>
          <w:szCs w:val="18"/>
        </w:rPr>
        <w:t>ud will not occur or that all control issues and instances of fraud, if any, have been detected.</w:t>
      </w:r>
    </w:p>
    <w:p w14:paraId="6753859A" w14:textId="77777777" w:rsidR="001B77DD" w:rsidRDefault="00BF0A28">
      <w:pPr>
        <w:spacing w:after="180"/>
      </w:pPr>
      <w:r>
        <w:rPr>
          <w:rFonts w:ascii="Arial" w:eastAsia="宋体" w:hAnsi="Arial" w:cs="Arial"/>
          <w:color w:val="0068B5"/>
          <w:sz w:val="28"/>
          <w:szCs w:val="28"/>
        </w:rPr>
        <w:t>Evaluation of Disclosure Controls and Procedures</w:t>
      </w:r>
    </w:p>
    <w:p w14:paraId="6753859B" w14:textId="77777777" w:rsidR="001B77DD" w:rsidRDefault="00BF0A28">
      <w:pPr>
        <w:spacing w:after="180"/>
      </w:pPr>
      <w:r>
        <w:rPr>
          <w:rFonts w:ascii="Arial" w:eastAsia="宋体" w:hAnsi="Arial" w:cs="Arial"/>
          <w:color w:val="262626"/>
          <w:sz w:val="18"/>
          <w:szCs w:val="18"/>
        </w:rPr>
        <w:t>Based on management's evaluation (with the participation of our principal executive officer and principal fina</w:t>
      </w:r>
      <w:r>
        <w:rPr>
          <w:rFonts w:ascii="Arial" w:eastAsia="宋体" w:hAnsi="Arial" w:cs="Arial"/>
          <w:color w:val="262626"/>
          <w:sz w:val="18"/>
          <w:szCs w:val="18"/>
        </w:rPr>
        <w:t>ncial officer), as of the end of the period covered by this report, our principal executive officer and principal financial officer have concluded that our disclosure controls and procedures (as defined in Rules 13a-15(e) and 15d-15(e) under the Exchange A</w:t>
      </w:r>
      <w:r>
        <w:rPr>
          <w:rFonts w:ascii="Arial" w:eastAsia="宋体" w:hAnsi="Arial" w:cs="Arial"/>
          <w:color w:val="262626"/>
          <w:sz w:val="18"/>
          <w:szCs w:val="18"/>
        </w:rPr>
        <w:t xml:space="preserve">ct), are effective to provide reasonable assurance that information required to be disclosed by us in reports that we file or submit under the Exchange Act is recorded, processed, summarized, and reported within the time periods specified in SEC rules and </w:t>
      </w:r>
      <w:r>
        <w:rPr>
          <w:rFonts w:ascii="Arial" w:eastAsia="宋体" w:hAnsi="Arial" w:cs="Arial"/>
          <w:color w:val="262626"/>
          <w:sz w:val="18"/>
          <w:szCs w:val="18"/>
        </w:rPr>
        <w:t>forms, and is accumulated and communicated to management, including our principal executive officer and principal financial officer, as appropriate, to allow timely decisions regarding required disclosure.</w:t>
      </w:r>
    </w:p>
    <w:p w14:paraId="6753859C" w14:textId="77777777" w:rsidR="001B77DD" w:rsidRDefault="00BF0A28">
      <w:pPr>
        <w:spacing w:after="180"/>
      </w:pPr>
      <w:r>
        <w:rPr>
          <w:rFonts w:ascii="Arial" w:eastAsia="宋体" w:hAnsi="Arial" w:cs="Arial"/>
          <w:color w:val="0068B5"/>
          <w:sz w:val="28"/>
          <w:szCs w:val="28"/>
        </w:rPr>
        <w:t>Changes in Internal Control Over Financial Reporti</w:t>
      </w:r>
      <w:r>
        <w:rPr>
          <w:rFonts w:ascii="Arial" w:eastAsia="宋体" w:hAnsi="Arial" w:cs="Arial"/>
          <w:color w:val="0068B5"/>
          <w:sz w:val="28"/>
          <w:szCs w:val="28"/>
        </w:rPr>
        <w:t>ng</w:t>
      </w:r>
    </w:p>
    <w:p w14:paraId="6753859D" w14:textId="77777777" w:rsidR="001B77DD" w:rsidRDefault="00BF0A28">
      <w:pPr>
        <w:spacing w:after="180"/>
      </w:pPr>
      <w:r>
        <w:rPr>
          <w:rFonts w:ascii="Arial" w:eastAsia="宋体" w:hAnsi="Arial" w:cs="Arial"/>
          <w:color w:val="262626"/>
          <w:sz w:val="18"/>
          <w:szCs w:val="18"/>
        </w:rPr>
        <w:t xml:space="preserve">There were no changes to our internal control over financial reporting (as defined in Rules 13a-15(f) and 15d-15(f) under the Exchange Act) that occurred during the quarter ended December 25, 2021 that have materially affected, or are reasonably likely </w:t>
      </w:r>
      <w:r>
        <w:rPr>
          <w:rFonts w:ascii="Arial" w:eastAsia="宋体" w:hAnsi="Arial" w:cs="Arial"/>
          <w:color w:val="262626"/>
          <w:sz w:val="18"/>
          <w:szCs w:val="18"/>
        </w:rPr>
        <w:t>to materially affect, our internal control over financial reporting.</w:t>
      </w:r>
    </w:p>
    <w:p w14:paraId="6753859E" w14:textId="77777777" w:rsidR="001B77DD" w:rsidRDefault="00BF0A28">
      <w:pPr>
        <w:spacing w:after="180"/>
      </w:pPr>
      <w:r>
        <w:rPr>
          <w:rFonts w:ascii="Arial" w:eastAsia="宋体" w:hAnsi="Arial" w:cs="Arial"/>
          <w:color w:val="0068B5"/>
          <w:sz w:val="28"/>
          <w:szCs w:val="28"/>
        </w:rPr>
        <w:t xml:space="preserve">Management Report on Internal Control Over Financial Reporting </w:t>
      </w:r>
    </w:p>
    <w:p w14:paraId="6753859F" w14:textId="77777777" w:rsidR="001B77DD" w:rsidRDefault="00BF0A28">
      <w:pPr>
        <w:spacing w:after="180"/>
      </w:pPr>
      <w:r>
        <w:rPr>
          <w:rFonts w:ascii="Arial" w:eastAsia="宋体" w:hAnsi="Arial" w:cs="Arial"/>
          <w:color w:val="262626"/>
          <w:sz w:val="18"/>
          <w:szCs w:val="18"/>
        </w:rPr>
        <w:t>Our management is responsible for establishing and maintaining adequate internal control over financial reporting (as defin</w:t>
      </w:r>
      <w:r>
        <w:rPr>
          <w:rFonts w:ascii="Arial" w:eastAsia="宋体" w:hAnsi="Arial" w:cs="Arial"/>
          <w:color w:val="262626"/>
          <w:sz w:val="18"/>
          <w:szCs w:val="18"/>
        </w:rPr>
        <w:t>ed in Rules 13a-15(f) and 15d-15(f) under the Exchange Act) to provide reasonable assurance regarding the reliability of our financial reporting and the preparation of Consolidated Financial Statements for external purposes in accordance with US GAAP.</w:t>
      </w:r>
    </w:p>
    <w:p w14:paraId="675385A0" w14:textId="77777777" w:rsidR="001B77DD" w:rsidRDefault="00BF0A28">
      <w:pPr>
        <w:spacing w:after="180"/>
      </w:pPr>
      <w:r>
        <w:rPr>
          <w:rFonts w:ascii="Arial" w:eastAsia="宋体" w:hAnsi="Arial" w:cs="Arial"/>
          <w:color w:val="262626"/>
          <w:sz w:val="18"/>
          <w:szCs w:val="18"/>
        </w:rPr>
        <w:t>Mana</w:t>
      </w:r>
      <w:r>
        <w:rPr>
          <w:rFonts w:ascii="Arial" w:eastAsia="宋体" w:hAnsi="Arial" w:cs="Arial"/>
          <w:color w:val="262626"/>
          <w:sz w:val="18"/>
          <w:szCs w:val="18"/>
        </w:rPr>
        <w:t>gement assessed our internal control over financial reporting as of December 25, 2021. Management based its assessment on criteria established in Internal Control—Integrated Framework issued by the Committee of Sponsoring Organizations of the Treadway Comm</w:t>
      </w:r>
      <w:r>
        <w:rPr>
          <w:rFonts w:ascii="Arial" w:eastAsia="宋体" w:hAnsi="Arial" w:cs="Arial"/>
          <w:color w:val="262626"/>
          <w:sz w:val="18"/>
          <w:szCs w:val="18"/>
        </w:rPr>
        <w:t>ission (2013 framework). Management's assessment included evaluation of elements such as the design and operating effectiveness of key financial reporting controls, process documentation, accounting policies, and our overall control environment.</w:t>
      </w:r>
    </w:p>
    <w:p w14:paraId="675385A1" w14:textId="77777777" w:rsidR="001B77DD" w:rsidRDefault="00BF0A28">
      <w:pPr>
        <w:spacing w:after="180"/>
      </w:pPr>
      <w:r>
        <w:rPr>
          <w:rFonts w:ascii="Arial" w:eastAsia="宋体" w:hAnsi="Arial" w:cs="Arial"/>
          <w:color w:val="262626"/>
          <w:sz w:val="18"/>
          <w:szCs w:val="18"/>
        </w:rPr>
        <w:t>Based on t</w:t>
      </w:r>
      <w:r>
        <w:rPr>
          <w:rFonts w:ascii="Arial" w:eastAsia="宋体" w:hAnsi="Arial" w:cs="Arial"/>
          <w:color w:val="262626"/>
          <w:sz w:val="18"/>
          <w:szCs w:val="18"/>
        </w:rPr>
        <w:t xml:space="preserve">his assessment, management has concluded that our internal control over financial reporting was effective as of the end of the fiscal year to provide reasonable assurance regarding the reliability of financial reporting and the preparation of Consolidated </w:t>
      </w:r>
      <w:r>
        <w:rPr>
          <w:rFonts w:ascii="Arial" w:eastAsia="宋体" w:hAnsi="Arial" w:cs="Arial"/>
          <w:color w:val="262626"/>
          <w:sz w:val="18"/>
          <w:szCs w:val="18"/>
        </w:rPr>
        <w:t>Financial Statements for external reporting purposes in accordance with US GAAP. We reviewed the results of management's assessment with the Audit Committee of our Board of Directors.</w:t>
      </w:r>
    </w:p>
    <w:p w14:paraId="675385A2" w14:textId="77777777" w:rsidR="001B77DD" w:rsidRDefault="00BF0A28">
      <w:pPr>
        <w:spacing w:after="180"/>
      </w:pPr>
      <w:r>
        <w:rPr>
          <w:rFonts w:ascii="Arial" w:eastAsia="宋体" w:hAnsi="Arial" w:cs="Arial"/>
          <w:color w:val="262626"/>
          <w:sz w:val="18"/>
          <w:szCs w:val="18"/>
        </w:rPr>
        <w:t>Our independent registered public accounting firm, Ernst &amp; Young LLP, in</w:t>
      </w:r>
      <w:r>
        <w:rPr>
          <w:rFonts w:ascii="Arial" w:eastAsia="宋体" w:hAnsi="Arial" w:cs="Arial"/>
          <w:color w:val="262626"/>
          <w:sz w:val="18"/>
          <w:szCs w:val="18"/>
        </w:rPr>
        <w:t xml:space="preserve">dependently assessed the effectiveness of the company's internal control over financial reporting, as stated in the firm's attestation report, which is included within Financial Statements and Supplemental Details.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5AC" w14:textId="77777777">
        <w:tc>
          <w:tcPr>
            <w:tcW w:w="50" w:type="pct"/>
            <w:shd w:val="clear" w:color="auto" w:fill="auto"/>
            <w:vAlign w:val="bottom"/>
          </w:tcPr>
          <w:p w14:paraId="675385A3" w14:textId="77777777" w:rsidR="001B77DD" w:rsidRDefault="001B77DD">
            <w:pPr>
              <w:rPr>
                <w:rFonts w:ascii="宋体"/>
              </w:rPr>
            </w:pPr>
          </w:p>
        </w:tc>
        <w:tc>
          <w:tcPr>
            <w:tcW w:w="283" w:type="pct"/>
            <w:shd w:val="clear" w:color="auto" w:fill="auto"/>
            <w:vAlign w:val="bottom"/>
          </w:tcPr>
          <w:p w14:paraId="675385A4" w14:textId="77777777" w:rsidR="001B77DD" w:rsidRDefault="001B77DD">
            <w:pPr>
              <w:rPr>
                <w:rFonts w:ascii="宋体"/>
              </w:rPr>
            </w:pPr>
          </w:p>
        </w:tc>
        <w:tc>
          <w:tcPr>
            <w:tcW w:w="5" w:type="pct"/>
            <w:shd w:val="clear" w:color="auto" w:fill="auto"/>
            <w:vAlign w:val="bottom"/>
          </w:tcPr>
          <w:p w14:paraId="675385A5" w14:textId="77777777" w:rsidR="001B77DD" w:rsidRDefault="001B77DD">
            <w:pPr>
              <w:rPr>
                <w:rFonts w:ascii="宋体"/>
              </w:rPr>
            </w:pPr>
          </w:p>
        </w:tc>
        <w:tc>
          <w:tcPr>
            <w:tcW w:w="50" w:type="pct"/>
            <w:shd w:val="clear" w:color="auto" w:fill="auto"/>
            <w:vAlign w:val="bottom"/>
          </w:tcPr>
          <w:p w14:paraId="675385A6" w14:textId="77777777" w:rsidR="001B77DD" w:rsidRDefault="001B77DD">
            <w:pPr>
              <w:rPr>
                <w:rFonts w:ascii="宋体"/>
              </w:rPr>
            </w:pPr>
          </w:p>
        </w:tc>
        <w:tc>
          <w:tcPr>
            <w:tcW w:w="2656" w:type="pct"/>
            <w:shd w:val="clear" w:color="auto" w:fill="auto"/>
            <w:vAlign w:val="bottom"/>
          </w:tcPr>
          <w:p w14:paraId="675385A7" w14:textId="77777777" w:rsidR="001B77DD" w:rsidRDefault="001B77DD">
            <w:pPr>
              <w:rPr>
                <w:rFonts w:ascii="宋体"/>
              </w:rPr>
            </w:pPr>
          </w:p>
        </w:tc>
        <w:tc>
          <w:tcPr>
            <w:tcW w:w="5" w:type="pct"/>
            <w:shd w:val="clear" w:color="auto" w:fill="auto"/>
            <w:vAlign w:val="bottom"/>
          </w:tcPr>
          <w:p w14:paraId="675385A8" w14:textId="77777777" w:rsidR="001B77DD" w:rsidRDefault="001B77DD">
            <w:pPr>
              <w:rPr>
                <w:rFonts w:ascii="宋体"/>
              </w:rPr>
            </w:pPr>
          </w:p>
        </w:tc>
        <w:tc>
          <w:tcPr>
            <w:tcW w:w="50" w:type="pct"/>
            <w:shd w:val="clear" w:color="auto" w:fill="auto"/>
            <w:vAlign w:val="bottom"/>
          </w:tcPr>
          <w:p w14:paraId="675385A9" w14:textId="77777777" w:rsidR="001B77DD" w:rsidRDefault="001B77DD">
            <w:pPr>
              <w:rPr>
                <w:rFonts w:ascii="宋体"/>
              </w:rPr>
            </w:pPr>
          </w:p>
        </w:tc>
        <w:tc>
          <w:tcPr>
            <w:tcW w:w="1894" w:type="pct"/>
            <w:shd w:val="clear" w:color="auto" w:fill="auto"/>
            <w:vAlign w:val="bottom"/>
          </w:tcPr>
          <w:p w14:paraId="675385AA" w14:textId="77777777" w:rsidR="001B77DD" w:rsidRDefault="001B77DD">
            <w:pPr>
              <w:rPr>
                <w:rFonts w:ascii="宋体"/>
              </w:rPr>
            </w:pPr>
          </w:p>
        </w:tc>
        <w:tc>
          <w:tcPr>
            <w:tcW w:w="5" w:type="pct"/>
            <w:shd w:val="clear" w:color="auto" w:fill="auto"/>
            <w:vAlign w:val="bottom"/>
          </w:tcPr>
          <w:p w14:paraId="675385AB" w14:textId="77777777" w:rsidR="001B77DD" w:rsidRDefault="001B77DD">
            <w:pPr>
              <w:rPr>
                <w:rFonts w:ascii="宋体"/>
              </w:rPr>
            </w:pPr>
          </w:p>
        </w:tc>
      </w:tr>
      <w:tr w:rsidR="001B77DD" w14:paraId="675385B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5AD"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96" wp14:editId="67538F97">
                  <wp:extent cx="304800" cy="304800"/>
                  <wp:effectExtent l="0" t="0" r="0" b="0"/>
                  <wp:docPr id="123" name="图片 35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5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5AE"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5AF" w14:textId="77777777" w:rsidR="001B77DD" w:rsidRDefault="00BF0A28">
            <w:pPr>
              <w:jc w:val="right"/>
              <w:textAlignment w:val="center"/>
            </w:pPr>
            <w:r>
              <w:rPr>
                <w:rFonts w:ascii="Arial" w:eastAsia="宋体" w:hAnsi="Arial" w:cs="Arial"/>
                <w:color w:val="262626"/>
                <w:sz w:val="16"/>
                <w:szCs w:val="16"/>
              </w:rPr>
              <w:t>114</w:t>
            </w:r>
          </w:p>
        </w:tc>
      </w:tr>
    </w:tbl>
    <w:p w14:paraId="675385B1" w14:textId="77777777" w:rsidR="001B77DD" w:rsidRDefault="00BF0A28">
      <w:r>
        <w:pict w14:anchorId="67538F98">
          <v:rect id="_x0000_i1140" style="width:415.3pt;height:1.5pt" o:hralign="center" o:hrstd="t" o:hr="t" fillcolor="#a0a0a0" stroked="f"/>
        </w:pict>
      </w:r>
    </w:p>
    <w:p w14:paraId="675385B2" w14:textId="77777777" w:rsidR="001B77DD" w:rsidRDefault="00BF0A28">
      <w:pPr>
        <w:jc w:val="right"/>
      </w:pPr>
      <w:hyperlink r:id="rId202" w:anchor="i6c9ced68f6b24d58a3dcf326e8c3c699_16" w:history="1">
        <w:r>
          <w:rPr>
            <w:rStyle w:val="a5"/>
            <w:rFonts w:ascii="Arial" w:eastAsia="宋体" w:hAnsi="Arial" w:cs="Arial"/>
            <w:b/>
            <w:bCs/>
            <w:sz w:val="16"/>
            <w:szCs w:val="16"/>
          </w:rPr>
          <w:t>Table of Contents</w:t>
        </w:r>
      </w:hyperlink>
    </w:p>
    <w:p w14:paraId="675385B3"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85BA" w14:textId="77777777">
        <w:tc>
          <w:tcPr>
            <w:tcW w:w="50" w:type="pct"/>
            <w:shd w:val="clear" w:color="auto" w:fill="auto"/>
            <w:vAlign w:val="bottom"/>
          </w:tcPr>
          <w:p w14:paraId="675385B4" w14:textId="77777777" w:rsidR="001B77DD" w:rsidRDefault="001B77DD">
            <w:pPr>
              <w:rPr>
                <w:rFonts w:ascii="宋体"/>
              </w:rPr>
            </w:pPr>
          </w:p>
        </w:tc>
        <w:tc>
          <w:tcPr>
            <w:tcW w:w="4870" w:type="pct"/>
            <w:shd w:val="clear" w:color="auto" w:fill="auto"/>
            <w:vAlign w:val="bottom"/>
          </w:tcPr>
          <w:p w14:paraId="675385B5" w14:textId="77777777" w:rsidR="001B77DD" w:rsidRDefault="001B77DD">
            <w:pPr>
              <w:rPr>
                <w:rFonts w:ascii="宋体"/>
              </w:rPr>
            </w:pPr>
          </w:p>
        </w:tc>
        <w:tc>
          <w:tcPr>
            <w:tcW w:w="5" w:type="pct"/>
            <w:shd w:val="clear" w:color="auto" w:fill="auto"/>
            <w:vAlign w:val="bottom"/>
          </w:tcPr>
          <w:p w14:paraId="675385B6" w14:textId="77777777" w:rsidR="001B77DD" w:rsidRDefault="001B77DD">
            <w:pPr>
              <w:rPr>
                <w:rFonts w:ascii="宋体"/>
              </w:rPr>
            </w:pPr>
          </w:p>
        </w:tc>
        <w:tc>
          <w:tcPr>
            <w:tcW w:w="5" w:type="pct"/>
            <w:shd w:val="clear" w:color="auto" w:fill="auto"/>
            <w:vAlign w:val="bottom"/>
          </w:tcPr>
          <w:p w14:paraId="675385B7" w14:textId="77777777" w:rsidR="001B77DD" w:rsidRDefault="001B77DD">
            <w:pPr>
              <w:rPr>
                <w:rFonts w:ascii="宋体"/>
              </w:rPr>
            </w:pPr>
          </w:p>
        </w:tc>
        <w:tc>
          <w:tcPr>
            <w:tcW w:w="64" w:type="pct"/>
            <w:shd w:val="clear" w:color="auto" w:fill="auto"/>
            <w:vAlign w:val="bottom"/>
          </w:tcPr>
          <w:p w14:paraId="675385B8" w14:textId="77777777" w:rsidR="001B77DD" w:rsidRDefault="001B77DD">
            <w:pPr>
              <w:rPr>
                <w:rFonts w:ascii="宋体"/>
              </w:rPr>
            </w:pPr>
          </w:p>
        </w:tc>
        <w:tc>
          <w:tcPr>
            <w:tcW w:w="5" w:type="pct"/>
            <w:shd w:val="clear" w:color="auto" w:fill="auto"/>
            <w:vAlign w:val="bottom"/>
          </w:tcPr>
          <w:p w14:paraId="675385B9" w14:textId="77777777" w:rsidR="001B77DD" w:rsidRDefault="001B77DD">
            <w:pPr>
              <w:rPr>
                <w:rFonts w:ascii="宋体"/>
              </w:rPr>
            </w:pPr>
          </w:p>
        </w:tc>
      </w:tr>
      <w:tr w:rsidR="001B77DD" w14:paraId="675385BD" w14:textId="77777777">
        <w:tc>
          <w:tcPr>
            <w:tcW w:w="0" w:type="auto"/>
            <w:gridSpan w:val="3"/>
            <w:shd w:val="clear" w:color="auto" w:fill="004A86"/>
            <w:tcMar>
              <w:top w:w="40" w:type="dxa"/>
              <w:left w:w="20" w:type="dxa"/>
              <w:bottom w:w="40" w:type="dxa"/>
              <w:right w:w="20" w:type="dxa"/>
            </w:tcMar>
            <w:vAlign w:val="center"/>
          </w:tcPr>
          <w:p w14:paraId="675385BB" w14:textId="77777777" w:rsidR="001B77DD" w:rsidRDefault="00BF0A28">
            <w:pPr>
              <w:textAlignment w:val="center"/>
            </w:pPr>
            <w:r>
              <w:rPr>
                <w:rFonts w:ascii="Arial" w:eastAsia="宋体" w:hAnsi="Arial" w:cs="Arial"/>
                <w:color w:val="FFFFFF"/>
                <w:sz w:val="36"/>
                <w:szCs w:val="36"/>
              </w:rPr>
              <w:t>Exhibits</w:t>
            </w:r>
          </w:p>
        </w:tc>
        <w:tc>
          <w:tcPr>
            <w:tcW w:w="0" w:type="auto"/>
            <w:gridSpan w:val="3"/>
            <w:shd w:val="clear" w:color="auto" w:fill="auto"/>
            <w:tcMar>
              <w:top w:w="0" w:type="dxa"/>
              <w:left w:w="20" w:type="dxa"/>
              <w:bottom w:w="0" w:type="dxa"/>
              <w:right w:w="20" w:type="dxa"/>
            </w:tcMar>
            <w:vAlign w:val="bottom"/>
          </w:tcPr>
          <w:p w14:paraId="675385BC" w14:textId="77777777" w:rsidR="001B77DD" w:rsidRDefault="001B77DD">
            <w:pPr>
              <w:rPr>
                <w:rFonts w:ascii="宋体"/>
              </w:rPr>
            </w:pPr>
          </w:p>
        </w:tc>
      </w:tr>
      <w:tr w:rsidR="001B77DD" w14:paraId="675385C0" w14:textId="77777777">
        <w:trPr>
          <w:trHeight w:val="160"/>
        </w:trPr>
        <w:tc>
          <w:tcPr>
            <w:tcW w:w="0" w:type="auto"/>
            <w:gridSpan w:val="3"/>
            <w:shd w:val="clear" w:color="auto" w:fill="auto"/>
            <w:tcMar>
              <w:top w:w="0" w:type="dxa"/>
              <w:left w:w="20" w:type="dxa"/>
              <w:bottom w:w="0" w:type="dxa"/>
              <w:right w:w="20" w:type="dxa"/>
            </w:tcMar>
            <w:vAlign w:val="bottom"/>
          </w:tcPr>
          <w:p w14:paraId="675385BE"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85BF" w14:textId="77777777" w:rsidR="001B77DD" w:rsidRDefault="001B77DD">
            <w:pPr>
              <w:rPr>
                <w:rFonts w:ascii="宋体"/>
              </w:rPr>
            </w:pPr>
          </w:p>
        </w:tc>
      </w:tr>
    </w:tbl>
    <w:p w14:paraId="675385C1" w14:textId="77777777" w:rsidR="001B77DD" w:rsidRDefault="00BF0A28">
      <w:pPr>
        <w:spacing w:before="180" w:after="180"/>
        <w:ind w:hanging="360"/>
      </w:pPr>
      <w:r>
        <w:rPr>
          <w:rFonts w:ascii="Arial" w:eastAsia="宋体" w:hAnsi="Arial" w:cs="Arial"/>
          <w:color w:val="262626"/>
          <w:sz w:val="18"/>
          <w:szCs w:val="18"/>
        </w:rPr>
        <w:t xml:space="preserve">1.Financial Statements: See "Index to Consolidated </w:t>
      </w:r>
      <w:r>
        <w:rPr>
          <w:rFonts w:ascii="Arial" w:eastAsia="宋体" w:hAnsi="Arial" w:cs="Arial"/>
          <w:color w:val="262626"/>
          <w:sz w:val="18"/>
          <w:szCs w:val="18"/>
        </w:rPr>
        <w:t>Financial Statements" within the Consolidated Financial Statements.</w:t>
      </w:r>
    </w:p>
    <w:p w14:paraId="675385C2" w14:textId="77777777" w:rsidR="001B77DD" w:rsidRDefault="00BF0A28">
      <w:pPr>
        <w:spacing w:after="180"/>
        <w:ind w:hanging="360"/>
      </w:pPr>
      <w:r>
        <w:rPr>
          <w:rFonts w:ascii="Arial" w:eastAsia="宋体" w:hAnsi="Arial" w:cs="Arial"/>
          <w:color w:val="262626"/>
          <w:sz w:val="18"/>
          <w:szCs w:val="18"/>
        </w:rPr>
        <w:t>2.Financial Statement Schedules; not applicable or the required information is otherwise included in the Consolidated Financial Statements and accompanying notes.</w:t>
      </w:r>
    </w:p>
    <w:p w14:paraId="675385C3" w14:textId="77777777" w:rsidR="001B77DD" w:rsidRDefault="00BF0A28">
      <w:pPr>
        <w:spacing w:after="180"/>
        <w:ind w:hanging="360"/>
      </w:pPr>
      <w:r>
        <w:rPr>
          <w:rFonts w:ascii="Arial" w:eastAsia="宋体" w:hAnsi="Arial" w:cs="Arial"/>
          <w:color w:val="262626"/>
          <w:sz w:val="18"/>
          <w:szCs w:val="18"/>
        </w:rPr>
        <w:t xml:space="preserve">3.Exhibits: The exhibits </w:t>
      </w:r>
      <w:r>
        <w:rPr>
          <w:rFonts w:ascii="Arial" w:eastAsia="宋体" w:hAnsi="Arial" w:cs="Arial"/>
          <w:color w:val="262626"/>
          <w:sz w:val="18"/>
          <w:szCs w:val="18"/>
        </w:rPr>
        <w:t>listed in the accompanying index to exhibits are filed, furnished, or incorporated by reference as part of this Form 10-K.</w:t>
      </w:r>
    </w:p>
    <w:p w14:paraId="675385C4" w14:textId="77777777" w:rsidR="001B77DD" w:rsidRDefault="00BF0A28">
      <w:pPr>
        <w:spacing w:after="120"/>
      </w:pPr>
      <w:r>
        <w:rPr>
          <w:rFonts w:ascii="Arial" w:eastAsia="宋体" w:hAnsi="Arial" w:cs="Arial"/>
          <w:color w:val="262626"/>
          <w:sz w:val="18"/>
          <w:szCs w:val="18"/>
        </w:rPr>
        <w:t>Certain of the agreements filed as exhibits to this Form 10-K contain representations and warranties by the parties to the agreements</w:t>
      </w:r>
      <w:r>
        <w:rPr>
          <w:rFonts w:ascii="Arial" w:eastAsia="宋体" w:hAnsi="Arial" w:cs="Arial"/>
          <w:color w:val="262626"/>
          <w:sz w:val="18"/>
          <w:szCs w:val="18"/>
        </w:rPr>
        <w:t xml:space="preserve"> that have been made solely for the benefit of the parties to the agreement. These representations and warranties:</w:t>
      </w:r>
    </w:p>
    <w:p w14:paraId="675385C5"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may have been qualified by disclosures that were made to the other parties in connection with the negotiation of the agreements, which discl</w:t>
      </w:r>
      <w:r>
        <w:rPr>
          <w:rFonts w:ascii="Arial" w:eastAsia="宋体" w:hAnsi="Arial" w:cs="Arial"/>
          <w:color w:val="262626"/>
          <w:sz w:val="18"/>
          <w:szCs w:val="18"/>
        </w:rPr>
        <w:t>osures are not necessarily reflected in the agreements;</w:t>
      </w:r>
    </w:p>
    <w:p w14:paraId="675385C6" w14:textId="77777777" w:rsidR="001B77DD" w:rsidRDefault="00BF0A2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may apply standards of materiality that differ from those of a reasonable investor; and</w:t>
      </w:r>
    </w:p>
    <w:p w14:paraId="675385C7" w14:textId="77777777" w:rsidR="001B77DD" w:rsidRDefault="00BF0A2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were made only as of specified dates contained in the agreements and are subject to subsequent developments an</w:t>
      </w:r>
      <w:r>
        <w:rPr>
          <w:rFonts w:ascii="Arial" w:eastAsia="宋体" w:hAnsi="Arial" w:cs="Arial"/>
          <w:color w:val="262626"/>
          <w:sz w:val="18"/>
          <w:szCs w:val="18"/>
        </w:rPr>
        <w:t>d changed circumstances.</w:t>
      </w:r>
    </w:p>
    <w:p w14:paraId="675385C8" w14:textId="77777777" w:rsidR="001B77DD" w:rsidRDefault="00BF0A28">
      <w:pPr>
        <w:spacing w:after="180"/>
      </w:pPr>
      <w:r>
        <w:rPr>
          <w:rFonts w:ascii="Arial" w:eastAsia="宋体" w:hAnsi="Arial" w:cs="Arial"/>
          <w:color w:val="262626"/>
          <w:sz w:val="18"/>
          <w:szCs w:val="18"/>
        </w:rPr>
        <w:t>Accordingly, these representations and warranties may not describe the actual state of affairs as of the date that these representations and warranties were made or at any other time. Investors should not rely on them as statements</w:t>
      </w:r>
      <w:r>
        <w:rPr>
          <w:rFonts w:ascii="Arial" w:eastAsia="宋体" w:hAnsi="Arial" w:cs="Arial"/>
          <w:color w:val="262626"/>
          <w:sz w:val="18"/>
          <w:szCs w:val="18"/>
        </w:rPr>
        <w:t xml:space="preserve"> of fact.</w:t>
      </w:r>
    </w:p>
    <w:p w14:paraId="675385C9" w14:textId="77777777" w:rsidR="001B77DD" w:rsidRDefault="001B77DD"/>
    <w:p w14:paraId="675385CA" w14:textId="77777777" w:rsidR="001B77DD" w:rsidRDefault="001B77DD"/>
    <w:p w14:paraId="675385CB" w14:textId="77777777" w:rsidR="001B77DD" w:rsidRDefault="001B77DD"/>
    <w:p w14:paraId="675385CC" w14:textId="77777777" w:rsidR="001B77DD" w:rsidRDefault="001B77DD"/>
    <w:p w14:paraId="675385CD" w14:textId="77777777" w:rsidR="001B77DD" w:rsidRDefault="001B77DD"/>
    <w:p w14:paraId="675385CE" w14:textId="77777777" w:rsidR="001B77DD" w:rsidRDefault="001B77DD"/>
    <w:p w14:paraId="675385CF" w14:textId="77777777" w:rsidR="001B77DD" w:rsidRDefault="001B77DD"/>
    <w:p w14:paraId="675385D0" w14:textId="77777777" w:rsidR="001B77DD" w:rsidRDefault="001B77DD"/>
    <w:p w14:paraId="675385D1" w14:textId="77777777" w:rsidR="001B77DD" w:rsidRDefault="001B77DD"/>
    <w:p w14:paraId="675385D2" w14:textId="77777777" w:rsidR="001B77DD" w:rsidRDefault="001B77DD"/>
    <w:p w14:paraId="675385D3" w14:textId="77777777" w:rsidR="001B77DD" w:rsidRDefault="001B77DD"/>
    <w:p w14:paraId="675385D4" w14:textId="77777777" w:rsidR="001B77DD" w:rsidRDefault="001B77DD"/>
    <w:p w14:paraId="675385D5" w14:textId="77777777" w:rsidR="001B77DD" w:rsidRDefault="001B77DD"/>
    <w:p w14:paraId="675385D6" w14:textId="77777777" w:rsidR="001B77DD" w:rsidRDefault="001B77DD"/>
    <w:p w14:paraId="675385D7" w14:textId="77777777" w:rsidR="001B77DD" w:rsidRDefault="001B77DD"/>
    <w:p w14:paraId="675385D8" w14:textId="77777777" w:rsidR="001B77DD" w:rsidRDefault="001B77DD"/>
    <w:p w14:paraId="675385D9" w14:textId="77777777" w:rsidR="001B77DD" w:rsidRDefault="001B77DD"/>
    <w:p w14:paraId="675385DA" w14:textId="77777777" w:rsidR="001B77DD" w:rsidRDefault="001B77DD"/>
    <w:p w14:paraId="675385DB" w14:textId="77777777" w:rsidR="001B77DD" w:rsidRDefault="001B77DD"/>
    <w:p w14:paraId="675385DC" w14:textId="77777777" w:rsidR="001B77DD" w:rsidRDefault="001B77DD"/>
    <w:p w14:paraId="675385DD" w14:textId="77777777" w:rsidR="001B77DD" w:rsidRDefault="001B77DD"/>
    <w:p w14:paraId="675385DE" w14:textId="77777777" w:rsidR="001B77DD" w:rsidRDefault="001B77DD"/>
    <w:p w14:paraId="675385DF"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5E9" w14:textId="77777777">
        <w:tc>
          <w:tcPr>
            <w:tcW w:w="50" w:type="pct"/>
            <w:shd w:val="clear" w:color="auto" w:fill="auto"/>
            <w:vAlign w:val="bottom"/>
          </w:tcPr>
          <w:p w14:paraId="675385E0" w14:textId="77777777" w:rsidR="001B77DD" w:rsidRDefault="001B77DD">
            <w:pPr>
              <w:rPr>
                <w:rFonts w:ascii="宋体"/>
              </w:rPr>
            </w:pPr>
          </w:p>
        </w:tc>
        <w:tc>
          <w:tcPr>
            <w:tcW w:w="283" w:type="pct"/>
            <w:shd w:val="clear" w:color="auto" w:fill="auto"/>
            <w:vAlign w:val="bottom"/>
          </w:tcPr>
          <w:p w14:paraId="675385E1" w14:textId="77777777" w:rsidR="001B77DD" w:rsidRDefault="001B77DD">
            <w:pPr>
              <w:rPr>
                <w:rFonts w:ascii="宋体"/>
              </w:rPr>
            </w:pPr>
          </w:p>
        </w:tc>
        <w:tc>
          <w:tcPr>
            <w:tcW w:w="5" w:type="pct"/>
            <w:shd w:val="clear" w:color="auto" w:fill="auto"/>
            <w:vAlign w:val="bottom"/>
          </w:tcPr>
          <w:p w14:paraId="675385E2" w14:textId="77777777" w:rsidR="001B77DD" w:rsidRDefault="001B77DD">
            <w:pPr>
              <w:rPr>
                <w:rFonts w:ascii="宋体"/>
              </w:rPr>
            </w:pPr>
          </w:p>
        </w:tc>
        <w:tc>
          <w:tcPr>
            <w:tcW w:w="50" w:type="pct"/>
            <w:shd w:val="clear" w:color="auto" w:fill="auto"/>
            <w:vAlign w:val="bottom"/>
          </w:tcPr>
          <w:p w14:paraId="675385E3" w14:textId="77777777" w:rsidR="001B77DD" w:rsidRDefault="001B77DD">
            <w:pPr>
              <w:rPr>
                <w:rFonts w:ascii="宋体"/>
              </w:rPr>
            </w:pPr>
          </w:p>
        </w:tc>
        <w:tc>
          <w:tcPr>
            <w:tcW w:w="2656" w:type="pct"/>
            <w:shd w:val="clear" w:color="auto" w:fill="auto"/>
            <w:vAlign w:val="bottom"/>
          </w:tcPr>
          <w:p w14:paraId="675385E4" w14:textId="77777777" w:rsidR="001B77DD" w:rsidRDefault="001B77DD">
            <w:pPr>
              <w:rPr>
                <w:rFonts w:ascii="宋体"/>
              </w:rPr>
            </w:pPr>
          </w:p>
        </w:tc>
        <w:tc>
          <w:tcPr>
            <w:tcW w:w="5" w:type="pct"/>
            <w:shd w:val="clear" w:color="auto" w:fill="auto"/>
            <w:vAlign w:val="bottom"/>
          </w:tcPr>
          <w:p w14:paraId="675385E5" w14:textId="77777777" w:rsidR="001B77DD" w:rsidRDefault="001B77DD">
            <w:pPr>
              <w:rPr>
                <w:rFonts w:ascii="宋体"/>
              </w:rPr>
            </w:pPr>
          </w:p>
        </w:tc>
        <w:tc>
          <w:tcPr>
            <w:tcW w:w="50" w:type="pct"/>
            <w:shd w:val="clear" w:color="auto" w:fill="auto"/>
            <w:vAlign w:val="bottom"/>
          </w:tcPr>
          <w:p w14:paraId="675385E6" w14:textId="77777777" w:rsidR="001B77DD" w:rsidRDefault="001B77DD">
            <w:pPr>
              <w:rPr>
                <w:rFonts w:ascii="宋体"/>
              </w:rPr>
            </w:pPr>
          </w:p>
        </w:tc>
        <w:tc>
          <w:tcPr>
            <w:tcW w:w="1894" w:type="pct"/>
            <w:shd w:val="clear" w:color="auto" w:fill="auto"/>
            <w:vAlign w:val="bottom"/>
          </w:tcPr>
          <w:p w14:paraId="675385E7" w14:textId="77777777" w:rsidR="001B77DD" w:rsidRDefault="001B77DD">
            <w:pPr>
              <w:rPr>
                <w:rFonts w:ascii="宋体"/>
              </w:rPr>
            </w:pPr>
          </w:p>
        </w:tc>
        <w:tc>
          <w:tcPr>
            <w:tcW w:w="5" w:type="pct"/>
            <w:shd w:val="clear" w:color="auto" w:fill="auto"/>
            <w:vAlign w:val="bottom"/>
          </w:tcPr>
          <w:p w14:paraId="675385E8" w14:textId="77777777" w:rsidR="001B77DD" w:rsidRDefault="001B77DD">
            <w:pPr>
              <w:rPr>
                <w:rFonts w:ascii="宋体"/>
              </w:rPr>
            </w:pPr>
          </w:p>
        </w:tc>
      </w:tr>
      <w:tr w:rsidR="001B77DD" w14:paraId="675385E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5EA"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99" wp14:editId="67538F9A">
                  <wp:extent cx="304800" cy="304800"/>
                  <wp:effectExtent l="0" t="0" r="0" b="0"/>
                  <wp:docPr id="121" name="图片 35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5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5EB"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5EC" w14:textId="77777777" w:rsidR="001B77DD" w:rsidRDefault="00BF0A28">
            <w:pPr>
              <w:jc w:val="right"/>
              <w:textAlignment w:val="center"/>
            </w:pPr>
            <w:r>
              <w:rPr>
                <w:rFonts w:ascii="Arial" w:eastAsia="宋体" w:hAnsi="Arial" w:cs="Arial"/>
                <w:color w:val="262626"/>
                <w:sz w:val="16"/>
                <w:szCs w:val="16"/>
              </w:rPr>
              <w:t>115</w:t>
            </w:r>
          </w:p>
        </w:tc>
      </w:tr>
    </w:tbl>
    <w:p w14:paraId="675385EE" w14:textId="77777777" w:rsidR="001B77DD" w:rsidRDefault="00BF0A28">
      <w:r>
        <w:pict w14:anchorId="67538F9B">
          <v:rect id="_x0000_i1141" style="width:415.3pt;height:1.5pt" o:hralign="center" o:hrstd="t" o:hr="t" fillcolor="#a0a0a0" stroked="f"/>
        </w:pict>
      </w:r>
    </w:p>
    <w:p w14:paraId="675385EF" w14:textId="77777777" w:rsidR="001B77DD" w:rsidRDefault="00BF0A28">
      <w:pPr>
        <w:jc w:val="right"/>
      </w:pPr>
      <w:hyperlink r:id="rId203" w:anchor="i6c9ced68f6b24d58a3dcf326e8c3c699_16" w:history="1">
        <w:r>
          <w:rPr>
            <w:rStyle w:val="a5"/>
            <w:rFonts w:ascii="Arial" w:eastAsia="宋体" w:hAnsi="Arial" w:cs="Arial"/>
            <w:b/>
            <w:bCs/>
            <w:sz w:val="16"/>
            <w:szCs w:val="16"/>
          </w:rPr>
          <w:t>Table of Contents</w:t>
        </w:r>
      </w:hyperlink>
    </w:p>
    <w:p w14:paraId="675385F0" w14:textId="77777777" w:rsidR="001B77DD" w:rsidRDefault="001B77DD">
      <w:pPr>
        <w:jc w:val="right"/>
      </w:pPr>
    </w:p>
    <w:p w14:paraId="675385F1" w14:textId="77777777" w:rsidR="001B77DD" w:rsidRDefault="00BF0A28">
      <w:pPr>
        <w:spacing w:after="180"/>
      </w:pPr>
      <w:r>
        <w:rPr>
          <w:rFonts w:ascii="Arial" w:eastAsia="宋体" w:hAnsi="Arial" w:cs="Arial"/>
          <w:color w:val="0068B5"/>
          <w:sz w:val="28"/>
          <w:szCs w:val="28"/>
        </w:rPr>
        <w:t>Exhibit Index</w:t>
      </w: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39"/>
        <w:gridCol w:w="2403"/>
        <w:gridCol w:w="38"/>
        <w:gridCol w:w="36"/>
        <w:gridCol w:w="36"/>
        <w:gridCol w:w="36"/>
        <w:gridCol w:w="97"/>
        <w:gridCol w:w="58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1B77DD" w14:paraId="67538619" w14:textId="77777777">
        <w:tc>
          <w:tcPr>
            <w:tcW w:w="50" w:type="pct"/>
            <w:shd w:val="clear" w:color="auto" w:fill="auto"/>
            <w:vAlign w:val="bottom"/>
          </w:tcPr>
          <w:p w14:paraId="675385F2" w14:textId="77777777" w:rsidR="001B77DD" w:rsidRDefault="001B77DD">
            <w:pPr>
              <w:rPr>
                <w:rFonts w:ascii="宋体"/>
              </w:rPr>
            </w:pPr>
          </w:p>
        </w:tc>
        <w:tc>
          <w:tcPr>
            <w:tcW w:w="384" w:type="pct"/>
            <w:shd w:val="clear" w:color="auto" w:fill="auto"/>
            <w:vAlign w:val="bottom"/>
          </w:tcPr>
          <w:p w14:paraId="675385F3" w14:textId="77777777" w:rsidR="001B77DD" w:rsidRDefault="001B77DD">
            <w:pPr>
              <w:rPr>
                <w:rFonts w:ascii="宋体"/>
              </w:rPr>
            </w:pPr>
          </w:p>
        </w:tc>
        <w:tc>
          <w:tcPr>
            <w:tcW w:w="5" w:type="pct"/>
            <w:shd w:val="clear" w:color="auto" w:fill="auto"/>
            <w:vAlign w:val="bottom"/>
          </w:tcPr>
          <w:p w14:paraId="675385F4" w14:textId="77777777" w:rsidR="001B77DD" w:rsidRDefault="001B77DD">
            <w:pPr>
              <w:rPr>
                <w:rFonts w:ascii="宋体"/>
              </w:rPr>
            </w:pPr>
          </w:p>
        </w:tc>
        <w:tc>
          <w:tcPr>
            <w:tcW w:w="5" w:type="pct"/>
            <w:shd w:val="clear" w:color="auto" w:fill="auto"/>
            <w:vAlign w:val="bottom"/>
          </w:tcPr>
          <w:p w14:paraId="675385F5" w14:textId="77777777" w:rsidR="001B77DD" w:rsidRDefault="001B77DD">
            <w:pPr>
              <w:rPr>
                <w:rFonts w:ascii="宋体"/>
              </w:rPr>
            </w:pPr>
          </w:p>
        </w:tc>
        <w:tc>
          <w:tcPr>
            <w:tcW w:w="24" w:type="pct"/>
            <w:shd w:val="clear" w:color="auto" w:fill="auto"/>
            <w:vAlign w:val="bottom"/>
          </w:tcPr>
          <w:p w14:paraId="675385F6" w14:textId="77777777" w:rsidR="001B77DD" w:rsidRDefault="001B77DD">
            <w:pPr>
              <w:rPr>
                <w:rFonts w:ascii="宋体"/>
              </w:rPr>
            </w:pPr>
          </w:p>
        </w:tc>
        <w:tc>
          <w:tcPr>
            <w:tcW w:w="5" w:type="pct"/>
            <w:shd w:val="clear" w:color="auto" w:fill="auto"/>
            <w:vAlign w:val="bottom"/>
          </w:tcPr>
          <w:p w14:paraId="675385F7" w14:textId="77777777" w:rsidR="001B77DD" w:rsidRDefault="001B77DD">
            <w:pPr>
              <w:rPr>
                <w:rFonts w:ascii="宋体"/>
              </w:rPr>
            </w:pPr>
          </w:p>
        </w:tc>
        <w:tc>
          <w:tcPr>
            <w:tcW w:w="50" w:type="pct"/>
            <w:shd w:val="clear" w:color="auto" w:fill="auto"/>
            <w:vAlign w:val="bottom"/>
          </w:tcPr>
          <w:p w14:paraId="675385F8" w14:textId="77777777" w:rsidR="001B77DD" w:rsidRDefault="001B77DD">
            <w:pPr>
              <w:rPr>
                <w:rFonts w:ascii="宋体"/>
              </w:rPr>
            </w:pPr>
          </w:p>
        </w:tc>
        <w:tc>
          <w:tcPr>
            <w:tcW w:w="1895" w:type="pct"/>
            <w:shd w:val="clear" w:color="auto" w:fill="auto"/>
            <w:vAlign w:val="bottom"/>
          </w:tcPr>
          <w:p w14:paraId="675385F9" w14:textId="77777777" w:rsidR="001B77DD" w:rsidRDefault="001B77DD">
            <w:pPr>
              <w:rPr>
                <w:rFonts w:ascii="宋体"/>
              </w:rPr>
            </w:pPr>
          </w:p>
        </w:tc>
        <w:tc>
          <w:tcPr>
            <w:tcW w:w="5" w:type="pct"/>
            <w:shd w:val="clear" w:color="auto" w:fill="auto"/>
            <w:vAlign w:val="bottom"/>
          </w:tcPr>
          <w:p w14:paraId="675385FA" w14:textId="77777777" w:rsidR="001B77DD" w:rsidRDefault="001B77DD">
            <w:pPr>
              <w:rPr>
                <w:rFonts w:ascii="宋体"/>
              </w:rPr>
            </w:pPr>
          </w:p>
        </w:tc>
        <w:tc>
          <w:tcPr>
            <w:tcW w:w="5" w:type="pct"/>
            <w:shd w:val="clear" w:color="auto" w:fill="auto"/>
            <w:vAlign w:val="bottom"/>
          </w:tcPr>
          <w:p w14:paraId="675385FB" w14:textId="77777777" w:rsidR="001B77DD" w:rsidRDefault="001B77DD">
            <w:pPr>
              <w:rPr>
                <w:rFonts w:ascii="宋体"/>
              </w:rPr>
            </w:pPr>
          </w:p>
        </w:tc>
        <w:tc>
          <w:tcPr>
            <w:tcW w:w="24" w:type="pct"/>
            <w:shd w:val="clear" w:color="auto" w:fill="auto"/>
            <w:vAlign w:val="bottom"/>
          </w:tcPr>
          <w:p w14:paraId="675385FC" w14:textId="77777777" w:rsidR="001B77DD" w:rsidRDefault="001B77DD">
            <w:pPr>
              <w:rPr>
                <w:rFonts w:ascii="宋体"/>
              </w:rPr>
            </w:pPr>
          </w:p>
        </w:tc>
        <w:tc>
          <w:tcPr>
            <w:tcW w:w="5" w:type="pct"/>
            <w:shd w:val="clear" w:color="auto" w:fill="auto"/>
            <w:vAlign w:val="bottom"/>
          </w:tcPr>
          <w:p w14:paraId="675385FD" w14:textId="77777777" w:rsidR="001B77DD" w:rsidRDefault="001B77DD">
            <w:pPr>
              <w:rPr>
                <w:rFonts w:ascii="宋体"/>
              </w:rPr>
            </w:pPr>
          </w:p>
        </w:tc>
        <w:tc>
          <w:tcPr>
            <w:tcW w:w="50" w:type="pct"/>
            <w:shd w:val="clear" w:color="auto" w:fill="auto"/>
            <w:vAlign w:val="bottom"/>
          </w:tcPr>
          <w:p w14:paraId="675385FE" w14:textId="77777777" w:rsidR="001B77DD" w:rsidRDefault="001B77DD">
            <w:pPr>
              <w:rPr>
                <w:rFonts w:ascii="宋体"/>
              </w:rPr>
            </w:pPr>
          </w:p>
        </w:tc>
        <w:tc>
          <w:tcPr>
            <w:tcW w:w="302" w:type="pct"/>
            <w:shd w:val="clear" w:color="auto" w:fill="auto"/>
            <w:vAlign w:val="bottom"/>
          </w:tcPr>
          <w:p w14:paraId="675385FF" w14:textId="77777777" w:rsidR="001B77DD" w:rsidRDefault="001B77DD">
            <w:pPr>
              <w:rPr>
                <w:rFonts w:ascii="宋体"/>
              </w:rPr>
            </w:pPr>
          </w:p>
        </w:tc>
        <w:tc>
          <w:tcPr>
            <w:tcW w:w="5" w:type="pct"/>
            <w:shd w:val="clear" w:color="auto" w:fill="auto"/>
            <w:vAlign w:val="bottom"/>
          </w:tcPr>
          <w:p w14:paraId="67538600" w14:textId="77777777" w:rsidR="001B77DD" w:rsidRDefault="001B77DD">
            <w:pPr>
              <w:rPr>
                <w:rFonts w:ascii="宋体"/>
              </w:rPr>
            </w:pPr>
          </w:p>
        </w:tc>
        <w:tc>
          <w:tcPr>
            <w:tcW w:w="5" w:type="pct"/>
            <w:shd w:val="clear" w:color="auto" w:fill="auto"/>
            <w:vAlign w:val="bottom"/>
          </w:tcPr>
          <w:p w14:paraId="67538601" w14:textId="77777777" w:rsidR="001B77DD" w:rsidRDefault="001B77DD">
            <w:pPr>
              <w:rPr>
                <w:rFonts w:ascii="宋体"/>
              </w:rPr>
            </w:pPr>
          </w:p>
        </w:tc>
        <w:tc>
          <w:tcPr>
            <w:tcW w:w="24" w:type="pct"/>
            <w:shd w:val="clear" w:color="auto" w:fill="auto"/>
            <w:vAlign w:val="bottom"/>
          </w:tcPr>
          <w:p w14:paraId="67538602" w14:textId="77777777" w:rsidR="001B77DD" w:rsidRDefault="001B77DD">
            <w:pPr>
              <w:rPr>
                <w:rFonts w:ascii="宋体"/>
              </w:rPr>
            </w:pPr>
          </w:p>
        </w:tc>
        <w:tc>
          <w:tcPr>
            <w:tcW w:w="5" w:type="pct"/>
            <w:shd w:val="clear" w:color="auto" w:fill="auto"/>
            <w:vAlign w:val="bottom"/>
          </w:tcPr>
          <w:p w14:paraId="67538603" w14:textId="77777777" w:rsidR="001B77DD" w:rsidRDefault="001B77DD">
            <w:pPr>
              <w:rPr>
                <w:rFonts w:ascii="宋体"/>
              </w:rPr>
            </w:pPr>
          </w:p>
        </w:tc>
        <w:tc>
          <w:tcPr>
            <w:tcW w:w="50" w:type="pct"/>
            <w:shd w:val="clear" w:color="auto" w:fill="auto"/>
            <w:vAlign w:val="bottom"/>
          </w:tcPr>
          <w:p w14:paraId="67538604" w14:textId="77777777" w:rsidR="001B77DD" w:rsidRDefault="001B77DD">
            <w:pPr>
              <w:rPr>
                <w:rFonts w:ascii="宋体"/>
              </w:rPr>
            </w:pPr>
          </w:p>
        </w:tc>
        <w:tc>
          <w:tcPr>
            <w:tcW w:w="576" w:type="pct"/>
            <w:shd w:val="clear" w:color="auto" w:fill="auto"/>
            <w:vAlign w:val="bottom"/>
          </w:tcPr>
          <w:p w14:paraId="67538605" w14:textId="77777777" w:rsidR="001B77DD" w:rsidRDefault="001B77DD">
            <w:pPr>
              <w:rPr>
                <w:rFonts w:ascii="宋体"/>
              </w:rPr>
            </w:pPr>
          </w:p>
        </w:tc>
        <w:tc>
          <w:tcPr>
            <w:tcW w:w="5" w:type="pct"/>
            <w:shd w:val="clear" w:color="auto" w:fill="auto"/>
            <w:vAlign w:val="bottom"/>
          </w:tcPr>
          <w:p w14:paraId="67538606" w14:textId="77777777" w:rsidR="001B77DD" w:rsidRDefault="001B77DD">
            <w:pPr>
              <w:rPr>
                <w:rFonts w:ascii="宋体"/>
              </w:rPr>
            </w:pPr>
          </w:p>
        </w:tc>
        <w:tc>
          <w:tcPr>
            <w:tcW w:w="5" w:type="pct"/>
            <w:shd w:val="clear" w:color="auto" w:fill="auto"/>
            <w:vAlign w:val="bottom"/>
          </w:tcPr>
          <w:p w14:paraId="67538607" w14:textId="77777777" w:rsidR="001B77DD" w:rsidRDefault="001B77DD">
            <w:pPr>
              <w:rPr>
                <w:rFonts w:ascii="宋体"/>
              </w:rPr>
            </w:pPr>
          </w:p>
        </w:tc>
        <w:tc>
          <w:tcPr>
            <w:tcW w:w="24" w:type="pct"/>
            <w:shd w:val="clear" w:color="auto" w:fill="auto"/>
            <w:vAlign w:val="bottom"/>
          </w:tcPr>
          <w:p w14:paraId="67538608" w14:textId="77777777" w:rsidR="001B77DD" w:rsidRDefault="001B77DD">
            <w:pPr>
              <w:rPr>
                <w:rFonts w:ascii="宋体"/>
              </w:rPr>
            </w:pPr>
          </w:p>
        </w:tc>
        <w:tc>
          <w:tcPr>
            <w:tcW w:w="5" w:type="pct"/>
            <w:shd w:val="clear" w:color="auto" w:fill="auto"/>
            <w:vAlign w:val="bottom"/>
          </w:tcPr>
          <w:p w14:paraId="67538609" w14:textId="77777777" w:rsidR="001B77DD" w:rsidRDefault="001B77DD">
            <w:pPr>
              <w:rPr>
                <w:rFonts w:ascii="宋体"/>
              </w:rPr>
            </w:pPr>
          </w:p>
        </w:tc>
        <w:tc>
          <w:tcPr>
            <w:tcW w:w="50" w:type="pct"/>
            <w:shd w:val="clear" w:color="auto" w:fill="auto"/>
            <w:vAlign w:val="bottom"/>
          </w:tcPr>
          <w:p w14:paraId="6753860A" w14:textId="77777777" w:rsidR="001B77DD" w:rsidRDefault="001B77DD">
            <w:pPr>
              <w:rPr>
                <w:rFonts w:ascii="宋体"/>
              </w:rPr>
            </w:pPr>
          </w:p>
        </w:tc>
        <w:tc>
          <w:tcPr>
            <w:tcW w:w="308" w:type="pct"/>
            <w:shd w:val="clear" w:color="auto" w:fill="auto"/>
            <w:vAlign w:val="bottom"/>
          </w:tcPr>
          <w:p w14:paraId="6753860B" w14:textId="77777777" w:rsidR="001B77DD" w:rsidRDefault="001B77DD">
            <w:pPr>
              <w:rPr>
                <w:rFonts w:ascii="宋体"/>
              </w:rPr>
            </w:pPr>
          </w:p>
        </w:tc>
        <w:tc>
          <w:tcPr>
            <w:tcW w:w="5" w:type="pct"/>
            <w:shd w:val="clear" w:color="auto" w:fill="auto"/>
            <w:vAlign w:val="bottom"/>
          </w:tcPr>
          <w:p w14:paraId="6753860C" w14:textId="77777777" w:rsidR="001B77DD" w:rsidRDefault="001B77DD">
            <w:pPr>
              <w:rPr>
                <w:rFonts w:ascii="宋体"/>
              </w:rPr>
            </w:pPr>
          </w:p>
        </w:tc>
        <w:tc>
          <w:tcPr>
            <w:tcW w:w="5" w:type="pct"/>
            <w:shd w:val="clear" w:color="auto" w:fill="auto"/>
            <w:vAlign w:val="bottom"/>
          </w:tcPr>
          <w:p w14:paraId="6753860D" w14:textId="77777777" w:rsidR="001B77DD" w:rsidRDefault="001B77DD">
            <w:pPr>
              <w:rPr>
                <w:rFonts w:ascii="宋体"/>
              </w:rPr>
            </w:pPr>
          </w:p>
        </w:tc>
        <w:tc>
          <w:tcPr>
            <w:tcW w:w="24" w:type="pct"/>
            <w:shd w:val="clear" w:color="auto" w:fill="auto"/>
            <w:vAlign w:val="bottom"/>
          </w:tcPr>
          <w:p w14:paraId="6753860E" w14:textId="77777777" w:rsidR="001B77DD" w:rsidRDefault="001B77DD">
            <w:pPr>
              <w:rPr>
                <w:rFonts w:ascii="宋体"/>
              </w:rPr>
            </w:pPr>
          </w:p>
        </w:tc>
        <w:tc>
          <w:tcPr>
            <w:tcW w:w="5" w:type="pct"/>
            <w:shd w:val="clear" w:color="auto" w:fill="auto"/>
            <w:vAlign w:val="bottom"/>
          </w:tcPr>
          <w:p w14:paraId="6753860F" w14:textId="77777777" w:rsidR="001B77DD" w:rsidRDefault="001B77DD">
            <w:pPr>
              <w:rPr>
                <w:rFonts w:ascii="宋体"/>
              </w:rPr>
            </w:pPr>
          </w:p>
        </w:tc>
        <w:tc>
          <w:tcPr>
            <w:tcW w:w="50" w:type="pct"/>
            <w:shd w:val="clear" w:color="auto" w:fill="auto"/>
            <w:vAlign w:val="bottom"/>
          </w:tcPr>
          <w:p w14:paraId="67538610" w14:textId="77777777" w:rsidR="001B77DD" w:rsidRDefault="001B77DD">
            <w:pPr>
              <w:rPr>
                <w:rFonts w:ascii="宋体"/>
              </w:rPr>
            </w:pPr>
          </w:p>
        </w:tc>
        <w:tc>
          <w:tcPr>
            <w:tcW w:w="466" w:type="pct"/>
            <w:shd w:val="clear" w:color="auto" w:fill="auto"/>
            <w:vAlign w:val="bottom"/>
          </w:tcPr>
          <w:p w14:paraId="67538611" w14:textId="77777777" w:rsidR="001B77DD" w:rsidRDefault="001B77DD">
            <w:pPr>
              <w:rPr>
                <w:rFonts w:ascii="宋体"/>
              </w:rPr>
            </w:pPr>
          </w:p>
        </w:tc>
        <w:tc>
          <w:tcPr>
            <w:tcW w:w="5" w:type="pct"/>
            <w:shd w:val="clear" w:color="auto" w:fill="auto"/>
            <w:vAlign w:val="bottom"/>
          </w:tcPr>
          <w:p w14:paraId="67538612" w14:textId="77777777" w:rsidR="001B77DD" w:rsidRDefault="001B77DD">
            <w:pPr>
              <w:rPr>
                <w:rFonts w:ascii="宋体"/>
              </w:rPr>
            </w:pPr>
          </w:p>
        </w:tc>
        <w:tc>
          <w:tcPr>
            <w:tcW w:w="5" w:type="pct"/>
            <w:shd w:val="clear" w:color="auto" w:fill="auto"/>
            <w:vAlign w:val="bottom"/>
          </w:tcPr>
          <w:p w14:paraId="67538613" w14:textId="77777777" w:rsidR="001B77DD" w:rsidRDefault="001B77DD">
            <w:pPr>
              <w:rPr>
                <w:rFonts w:ascii="宋体"/>
              </w:rPr>
            </w:pPr>
          </w:p>
        </w:tc>
        <w:tc>
          <w:tcPr>
            <w:tcW w:w="24" w:type="pct"/>
            <w:shd w:val="clear" w:color="auto" w:fill="auto"/>
            <w:vAlign w:val="bottom"/>
          </w:tcPr>
          <w:p w14:paraId="67538614" w14:textId="77777777" w:rsidR="001B77DD" w:rsidRDefault="001B77DD">
            <w:pPr>
              <w:rPr>
                <w:rFonts w:ascii="宋体"/>
              </w:rPr>
            </w:pPr>
          </w:p>
        </w:tc>
        <w:tc>
          <w:tcPr>
            <w:tcW w:w="5" w:type="pct"/>
            <w:shd w:val="clear" w:color="auto" w:fill="auto"/>
            <w:vAlign w:val="bottom"/>
          </w:tcPr>
          <w:p w14:paraId="67538615" w14:textId="77777777" w:rsidR="001B77DD" w:rsidRDefault="001B77DD">
            <w:pPr>
              <w:rPr>
                <w:rFonts w:ascii="宋体"/>
              </w:rPr>
            </w:pPr>
          </w:p>
        </w:tc>
        <w:tc>
          <w:tcPr>
            <w:tcW w:w="50" w:type="pct"/>
            <w:shd w:val="clear" w:color="auto" w:fill="auto"/>
            <w:vAlign w:val="bottom"/>
          </w:tcPr>
          <w:p w14:paraId="67538616" w14:textId="77777777" w:rsidR="001B77DD" w:rsidRDefault="001B77DD">
            <w:pPr>
              <w:rPr>
                <w:rFonts w:ascii="宋体"/>
              </w:rPr>
            </w:pPr>
          </w:p>
        </w:tc>
        <w:tc>
          <w:tcPr>
            <w:tcW w:w="474" w:type="pct"/>
            <w:shd w:val="clear" w:color="auto" w:fill="auto"/>
            <w:vAlign w:val="bottom"/>
          </w:tcPr>
          <w:p w14:paraId="67538617" w14:textId="77777777" w:rsidR="001B77DD" w:rsidRDefault="001B77DD">
            <w:pPr>
              <w:rPr>
                <w:rFonts w:ascii="宋体"/>
              </w:rPr>
            </w:pPr>
          </w:p>
        </w:tc>
        <w:tc>
          <w:tcPr>
            <w:tcW w:w="5" w:type="pct"/>
            <w:shd w:val="clear" w:color="auto" w:fill="auto"/>
            <w:vAlign w:val="bottom"/>
          </w:tcPr>
          <w:p w14:paraId="67538618" w14:textId="77777777" w:rsidR="001B77DD" w:rsidRDefault="001B77DD">
            <w:pPr>
              <w:rPr>
                <w:rFonts w:ascii="宋体"/>
              </w:rPr>
            </w:pPr>
          </w:p>
        </w:tc>
      </w:tr>
      <w:tr w:rsidR="001B77DD" w14:paraId="67538622"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6753861A" w14:textId="77777777" w:rsidR="001B77DD" w:rsidRDefault="00BF0A28">
            <w:pPr>
              <w:jc w:val="center"/>
              <w:textAlignment w:val="bottom"/>
            </w:pPr>
            <w:r>
              <w:rPr>
                <w:rFonts w:ascii="Arial" w:eastAsia="宋体" w:hAnsi="Arial" w:cs="Arial"/>
                <w:b/>
                <w:bCs/>
                <w:color w:val="262626"/>
                <w:sz w:val="18"/>
                <w:szCs w:val="18"/>
              </w:rPr>
              <w:t>Exhibit</w:t>
            </w:r>
          </w:p>
          <w:p w14:paraId="6753861B" w14:textId="77777777" w:rsidR="001B77DD" w:rsidRDefault="00BF0A28">
            <w:pP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vAlign w:val="bottom"/>
          </w:tcPr>
          <w:p w14:paraId="6753861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1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1E" w14:textId="77777777" w:rsidR="001B77DD" w:rsidRDefault="001B77DD">
            <w:pPr>
              <w:rPr>
                <w:rFonts w:ascii="宋体"/>
              </w:rPr>
            </w:pPr>
          </w:p>
        </w:tc>
        <w:tc>
          <w:tcPr>
            <w:tcW w:w="0" w:type="auto"/>
            <w:gridSpan w:val="21"/>
            <w:shd w:val="clear" w:color="auto" w:fill="auto"/>
            <w:tcMar>
              <w:top w:w="40" w:type="dxa"/>
              <w:left w:w="20" w:type="dxa"/>
              <w:bottom w:w="40" w:type="dxa"/>
              <w:right w:w="20" w:type="dxa"/>
            </w:tcMar>
            <w:vAlign w:val="bottom"/>
          </w:tcPr>
          <w:p w14:paraId="6753861F" w14:textId="77777777" w:rsidR="001B77DD" w:rsidRDefault="00BF0A28">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67538620" w14:textId="77777777" w:rsidR="001B77DD" w:rsidRDefault="001B77DD">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67538621" w14:textId="77777777" w:rsidR="001B77DD" w:rsidRDefault="00BF0A28">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1B77DD" w14:paraId="67538630"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67538623"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8624" w14:textId="77777777" w:rsidR="001B77DD" w:rsidRDefault="001B77DD">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8625" w14:textId="77777777" w:rsidR="001B77DD" w:rsidRDefault="00BF0A28">
            <w:pP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67538626"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627" w14:textId="77777777" w:rsidR="001B77DD" w:rsidRDefault="00BF0A28">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628"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629" w14:textId="77777777" w:rsidR="001B77DD" w:rsidRDefault="00BF0A28">
            <w:pPr>
              <w:jc w:val="center"/>
              <w:textAlignment w:val="bottom"/>
            </w:pPr>
            <w:r>
              <w:rPr>
                <w:rFonts w:ascii="Arial" w:eastAsia="宋体" w:hAnsi="Arial" w:cs="Arial"/>
                <w:b/>
                <w:bCs/>
                <w:color w:val="262626"/>
                <w:sz w:val="18"/>
                <w:szCs w:val="18"/>
              </w:rPr>
              <w:t>File 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62A"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62B" w14:textId="77777777" w:rsidR="001B77DD" w:rsidRDefault="00BF0A28">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62C"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62D" w14:textId="77777777" w:rsidR="001B77DD" w:rsidRDefault="00BF0A28">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6753862E" w14:textId="77777777" w:rsidR="001B77DD" w:rsidRDefault="001B77DD">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6753862F" w14:textId="77777777" w:rsidR="001B77DD" w:rsidRDefault="001B77DD">
            <w:pPr>
              <w:jc w:val="center"/>
              <w:rPr>
                <w:rFonts w:ascii="宋体"/>
              </w:rPr>
            </w:pPr>
          </w:p>
        </w:tc>
      </w:tr>
      <w:tr w:rsidR="001B77DD" w14:paraId="67538640" w14:textId="77777777">
        <w:tc>
          <w:tcPr>
            <w:tcW w:w="0" w:type="auto"/>
            <w:gridSpan w:val="3"/>
            <w:tcBorders>
              <w:top w:val="single" w:sz="8" w:space="0" w:color="0068B5"/>
            </w:tcBorders>
            <w:shd w:val="clear" w:color="auto" w:fill="auto"/>
            <w:tcMar>
              <w:top w:w="40" w:type="dxa"/>
              <w:left w:w="20" w:type="dxa"/>
              <w:bottom w:w="40" w:type="dxa"/>
              <w:right w:w="20" w:type="dxa"/>
            </w:tcMar>
          </w:tcPr>
          <w:p w14:paraId="67538631" w14:textId="77777777" w:rsidR="001B77DD" w:rsidRDefault="00BF0A28">
            <w:pPr>
              <w:jc w:val="center"/>
              <w:textAlignment w:val="top"/>
            </w:pPr>
            <w:r>
              <w:rPr>
                <w:rFonts w:ascii="Arial" w:eastAsia="宋体" w:hAnsi="Arial" w:cs="Arial"/>
                <w:color w:val="262626"/>
                <w:sz w:val="18"/>
                <w:szCs w:val="18"/>
              </w:rPr>
              <w:t>2.1</w:t>
            </w:r>
          </w:p>
        </w:tc>
        <w:tc>
          <w:tcPr>
            <w:tcW w:w="0" w:type="auto"/>
            <w:gridSpan w:val="3"/>
            <w:shd w:val="clear" w:color="auto" w:fill="auto"/>
            <w:tcMar>
              <w:top w:w="0" w:type="dxa"/>
              <w:left w:w="20" w:type="dxa"/>
              <w:bottom w:w="0" w:type="dxa"/>
              <w:right w:w="20" w:type="dxa"/>
            </w:tcMar>
            <w:vAlign w:val="bottom"/>
          </w:tcPr>
          <w:p w14:paraId="67538632"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7538633" w14:textId="77777777" w:rsidR="001B77DD" w:rsidRDefault="00BF0A28">
            <w:pPr>
              <w:textAlignment w:val="top"/>
            </w:pPr>
            <w:hyperlink r:id="rId204" w:history="1">
              <w:r>
                <w:rPr>
                  <w:rStyle w:val="a5"/>
                  <w:rFonts w:ascii="Arial" w:eastAsia="宋体" w:hAnsi="Arial" w:cs="Arial"/>
                  <w:color w:val="262626"/>
                  <w:sz w:val="18"/>
                  <w:szCs w:val="18"/>
                </w:rPr>
                <w:t>Master Purchase Agreement between Intel Corporation and SK hynix Inc., dated as of Octob</w:t>
              </w:r>
              <w:r>
                <w:rPr>
                  <w:rStyle w:val="a5"/>
                  <w:rFonts w:ascii="Arial" w:eastAsia="宋体" w:hAnsi="Arial" w:cs="Arial"/>
                  <w:color w:val="262626"/>
                  <w:sz w:val="18"/>
                  <w:szCs w:val="18"/>
                </w:rPr>
                <w:t>er 19, 2020</w:t>
              </w:r>
            </w:hyperlink>
          </w:p>
          <w:p w14:paraId="67538634"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635"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7538636"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37"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7538638"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39" w14:textId="77777777" w:rsidR="001B77DD" w:rsidRDefault="001B77DD">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tcPr>
          <w:p w14:paraId="6753863A" w14:textId="77777777" w:rsidR="001B77DD" w:rsidRDefault="00BF0A28">
            <w:pPr>
              <w:jc w:val="right"/>
              <w:textAlignment w:val="top"/>
            </w:pPr>
            <w:r>
              <w:rPr>
                <w:rFonts w:ascii="Arial" w:eastAsia="宋体" w:hAnsi="Arial" w:cs="Arial"/>
                <w:color w:val="262626"/>
                <w:sz w:val="18"/>
                <w:szCs w:val="18"/>
              </w:rPr>
              <w:t>2.1 </w:t>
            </w:r>
          </w:p>
        </w:tc>
        <w:tc>
          <w:tcPr>
            <w:tcW w:w="0" w:type="auto"/>
            <w:tcBorders>
              <w:top w:val="single" w:sz="8" w:space="0" w:color="0068B5"/>
            </w:tcBorders>
            <w:shd w:val="clear" w:color="auto" w:fill="auto"/>
            <w:tcMar>
              <w:top w:w="40" w:type="dxa"/>
              <w:left w:w="0" w:type="dxa"/>
              <w:bottom w:w="40" w:type="dxa"/>
              <w:right w:w="20" w:type="dxa"/>
            </w:tcMar>
          </w:tcPr>
          <w:p w14:paraId="6753863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3C" w14:textId="77777777" w:rsidR="001B77DD" w:rsidRDefault="001B77DD">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753863D" w14:textId="77777777" w:rsidR="001B77DD" w:rsidRDefault="00BF0A28">
            <w:pPr>
              <w:jc w:val="right"/>
              <w:textAlignment w:val="top"/>
            </w:pPr>
            <w:r>
              <w:rPr>
                <w:rFonts w:ascii="Arial" w:eastAsia="宋体" w:hAnsi="Arial" w:cs="Arial"/>
                <w:color w:val="262626"/>
                <w:sz w:val="18"/>
                <w:szCs w:val="18"/>
              </w:rPr>
              <w:t>10/20/2020</w:t>
            </w:r>
          </w:p>
        </w:tc>
        <w:tc>
          <w:tcPr>
            <w:tcW w:w="0" w:type="auto"/>
            <w:gridSpan w:val="3"/>
            <w:shd w:val="clear" w:color="auto" w:fill="auto"/>
            <w:tcMar>
              <w:top w:w="0" w:type="dxa"/>
              <w:left w:w="20" w:type="dxa"/>
              <w:bottom w:w="0" w:type="dxa"/>
              <w:right w:w="20" w:type="dxa"/>
            </w:tcMar>
            <w:vAlign w:val="bottom"/>
          </w:tcPr>
          <w:p w14:paraId="6753863E"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63F" w14:textId="77777777" w:rsidR="001B77DD" w:rsidRDefault="001B77DD">
            <w:pPr>
              <w:rPr>
                <w:rFonts w:ascii="宋体"/>
              </w:rPr>
            </w:pPr>
          </w:p>
        </w:tc>
      </w:tr>
      <w:tr w:rsidR="001B77DD" w14:paraId="6753864F" w14:textId="77777777">
        <w:tc>
          <w:tcPr>
            <w:tcW w:w="0" w:type="auto"/>
            <w:gridSpan w:val="3"/>
            <w:shd w:val="clear" w:color="auto" w:fill="auto"/>
            <w:tcMar>
              <w:top w:w="40" w:type="dxa"/>
              <w:left w:w="20" w:type="dxa"/>
              <w:bottom w:w="40" w:type="dxa"/>
              <w:right w:w="20" w:type="dxa"/>
            </w:tcMar>
          </w:tcPr>
          <w:p w14:paraId="67538641" w14:textId="77777777" w:rsidR="001B77DD" w:rsidRDefault="00BF0A28">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6753864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43" w14:textId="77777777" w:rsidR="001B77DD" w:rsidRDefault="00BF0A28">
            <w:pPr>
              <w:textAlignment w:val="top"/>
            </w:pPr>
            <w:hyperlink r:id="rId205" w:history="1">
              <w:r>
                <w:rPr>
                  <w:rStyle w:val="a5"/>
                  <w:rFonts w:ascii="Arial" w:eastAsia="宋体" w:hAnsi="Arial" w:cs="Arial"/>
                  <w:color w:val="262626"/>
                  <w:sz w:val="18"/>
                  <w:szCs w:val="18"/>
                </w:rPr>
                <w:t>Intel Corporation Third Restated Certificate of Incorporation of Intel Corpo</w:t>
              </w:r>
              <w:r>
                <w:rPr>
                  <w:rStyle w:val="a5"/>
                  <w:rFonts w:ascii="Arial" w:eastAsia="宋体" w:hAnsi="Arial" w:cs="Arial"/>
                  <w:color w:val="262626"/>
                  <w:sz w:val="18"/>
                  <w:szCs w:val="18"/>
                </w:rPr>
                <w:t>ration dated May 17, 2006</w:t>
              </w:r>
            </w:hyperlink>
          </w:p>
        </w:tc>
        <w:tc>
          <w:tcPr>
            <w:tcW w:w="0" w:type="auto"/>
            <w:gridSpan w:val="3"/>
            <w:shd w:val="clear" w:color="auto" w:fill="auto"/>
            <w:tcMar>
              <w:top w:w="0" w:type="dxa"/>
              <w:left w:w="20" w:type="dxa"/>
              <w:bottom w:w="0" w:type="dxa"/>
              <w:right w:w="20" w:type="dxa"/>
            </w:tcMar>
            <w:vAlign w:val="bottom"/>
          </w:tcPr>
          <w:p w14:paraId="6753864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45"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4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47"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4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49" w14:textId="77777777" w:rsidR="001B77DD" w:rsidRDefault="00BF0A28">
            <w:pPr>
              <w:jc w:val="right"/>
              <w:textAlignment w:val="top"/>
            </w:pPr>
            <w:r>
              <w:rPr>
                <w:rFonts w:ascii="Arial" w:eastAsia="宋体" w:hAnsi="Arial" w:cs="Arial"/>
                <w:color w:val="262626"/>
                <w:sz w:val="18"/>
                <w:szCs w:val="18"/>
              </w:rPr>
              <w:t>3.1 </w:t>
            </w:r>
          </w:p>
        </w:tc>
        <w:tc>
          <w:tcPr>
            <w:tcW w:w="0" w:type="auto"/>
            <w:shd w:val="clear" w:color="auto" w:fill="auto"/>
            <w:tcMar>
              <w:top w:w="40" w:type="dxa"/>
              <w:left w:w="0" w:type="dxa"/>
              <w:bottom w:w="40" w:type="dxa"/>
              <w:right w:w="20" w:type="dxa"/>
            </w:tcMar>
          </w:tcPr>
          <w:p w14:paraId="6753864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4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4C" w14:textId="77777777" w:rsidR="001B77DD" w:rsidRDefault="00BF0A28">
            <w:pPr>
              <w:jc w:val="right"/>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vAlign w:val="bottom"/>
          </w:tcPr>
          <w:p w14:paraId="6753864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4E" w14:textId="77777777" w:rsidR="001B77DD" w:rsidRDefault="001B77DD">
            <w:pPr>
              <w:rPr>
                <w:rFonts w:ascii="宋体"/>
              </w:rPr>
            </w:pPr>
          </w:p>
        </w:tc>
      </w:tr>
      <w:tr w:rsidR="001B77DD" w14:paraId="6753865E" w14:textId="77777777">
        <w:tc>
          <w:tcPr>
            <w:tcW w:w="0" w:type="auto"/>
            <w:gridSpan w:val="3"/>
            <w:shd w:val="clear" w:color="auto" w:fill="auto"/>
            <w:tcMar>
              <w:top w:w="40" w:type="dxa"/>
              <w:left w:w="20" w:type="dxa"/>
              <w:bottom w:w="40" w:type="dxa"/>
              <w:right w:w="20" w:type="dxa"/>
            </w:tcMar>
          </w:tcPr>
          <w:p w14:paraId="67538650" w14:textId="77777777" w:rsidR="001B77DD" w:rsidRDefault="00BF0A28">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6753865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52" w14:textId="77777777" w:rsidR="001B77DD" w:rsidRDefault="00BF0A28">
            <w:pPr>
              <w:textAlignment w:val="top"/>
            </w:pPr>
            <w:hyperlink r:id="rId206" w:history="1">
              <w:r>
                <w:rPr>
                  <w:rStyle w:val="a5"/>
                  <w:rFonts w:ascii="Arial" w:eastAsia="宋体" w:hAnsi="Arial" w:cs="Arial"/>
                  <w:color w:val="262626"/>
                  <w:sz w:val="18"/>
                  <w:szCs w:val="18"/>
                </w:rPr>
                <w:t>Intel Corporation Bylaws, as amended and restated on M</w:t>
              </w:r>
            </w:hyperlink>
            <w:hyperlink r:id="rId207" w:history="1">
              <w:r>
                <w:rPr>
                  <w:rStyle w:val="a5"/>
                  <w:rFonts w:ascii="Arial" w:eastAsia="宋体" w:hAnsi="Arial" w:cs="Arial"/>
                  <w:color w:val="262626"/>
                  <w:sz w:val="18"/>
                  <w:szCs w:val="18"/>
                </w:rPr>
                <w:t>arch 10,2021</w:t>
              </w:r>
            </w:hyperlink>
          </w:p>
        </w:tc>
        <w:tc>
          <w:tcPr>
            <w:tcW w:w="0" w:type="auto"/>
            <w:gridSpan w:val="3"/>
            <w:shd w:val="clear" w:color="auto" w:fill="auto"/>
            <w:tcMar>
              <w:top w:w="0" w:type="dxa"/>
              <w:left w:w="20" w:type="dxa"/>
              <w:bottom w:w="0" w:type="dxa"/>
              <w:right w:w="20" w:type="dxa"/>
            </w:tcMar>
            <w:vAlign w:val="bottom"/>
          </w:tcPr>
          <w:p w14:paraId="6753865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54"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5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56"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5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58" w14:textId="77777777" w:rsidR="001B77DD" w:rsidRDefault="00BF0A28">
            <w:pPr>
              <w:jc w:val="right"/>
              <w:textAlignment w:val="top"/>
            </w:pPr>
            <w:r>
              <w:rPr>
                <w:rFonts w:ascii="Arial" w:eastAsia="宋体" w:hAnsi="Arial" w:cs="Arial"/>
                <w:color w:val="262626"/>
                <w:sz w:val="18"/>
                <w:szCs w:val="18"/>
              </w:rPr>
              <w:t>3.2 </w:t>
            </w:r>
          </w:p>
        </w:tc>
        <w:tc>
          <w:tcPr>
            <w:tcW w:w="0" w:type="auto"/>
            <w:shd w:val="clear" w:color="auto" w:fill="auto"/>
            <w:tcMar>
              <w:top w:w="40" w:type="dxa"/>
              <w:left w:w="0" w:type="dxa"/>
              <w:bottom w:w="40" w:type="dxa"/>
              <w:right w:w="20" w:type="dxa"/>
            </w:tcMar>
          </w:tcPr>
          <w:p w14:paraId="6753865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5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5B" w14:textId="77777777" w:rsidR="001B77DD" w:rsidRDefault="00BF0A28">
            <w:pPr>
              <w:jc w:val="right"/>
              <w:textAlignment w:val="top"/>
            </w:pPr>
            <w:r>
              <w:rPr>
                <w:rFonts w:ascii="Arial" w:eastAsia="宋体" w:hAnsi="Arial" w:cs="Arial"/>
                <w:color w:val="262626"/>
                <w:sz w:val="18"/>
                <w:szCs w:val="18"/>
              </w:rPr>
              <w:t>3/16/2021</w:t>
            </w:r>
          </w:p>
        </w:tc>
        <w:tc>
          <w:tcPr>
            <w:tcW w:w="0" w:type="auto"/>
            <w:gridSpan w:val="3"/>
            <w:shd w:val="clear" w:color="auto" w:fill="auto"/>
            <w:tcMar>
              <w:top w:w="0" w:type="dxa"/>
              <w:left w:w="20" w:type="dxa"/>
              <w:bottom w:w="0" w:type="dxa"/>
              <w:right w:w="20" w:type="dxa"/>
            </w:tcMar>
            <w:vAlign w:val="bottom"/>
          </w:tcPr>
          <w:p w14:paraId="6753865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5D" w14:textId="77777777" w:rsidR="001B77DD" w:rsidRDefault="001B77DD">
            <w:pPr>
              <w:rPr>
                <w:rFonts w:ascii="宋体"/>
              </w:rPr>
            </w:pPr>
          </w:p>
        </w:tc>
      </w:tr>
      <w:tr w:rsidR="001B77DD" w14:paraId="6753866D" w14:textId="77777777">
        <w:tc>
          <w:tcPr>
            <w:tcW w:w="0" w:type="auto"/>
            <w:gridSpan w:val="3"/>
            <w:shd w:val="clear" w:color="auto" w:fill="auto"/>
            <w:tcMar>
              <w:top w:w="40" w:type="dxa"/>
              <w:left w:w="20" w:type="dxa"/>
              <w:bottom w:w="40" w:type="dxa"/>
              <w:right w:w="20" w:type="dxa"/>
            </w:tcMar>
          </w:tcPr>
          <w:p w14:paraId="6753865F" w14:textId="77777777" w:rsidR="001B77DD" w:rsidRDefault="00BF0A28">
            <w:pPr>
              <w:jc w:val="center"/>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vAlign w:val="bottom"/>
          </w:tcPr>
          <w:p w14:paraId="6753866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61" w14:textId="77777777" w:rsidR="001B77DD" w:rsidRDefault="00BF0A28">
            <w:pPr>
              <w:textAlignment w:val="top"/>
            </w:pPr>
            <w:hyperlink r:id="rId208" w:history="1">
              <w:r>
                <w:rPr>
                  <w:rStyle w:val="a5"/>
                  <w:rFonts w:ascii="Arial" w:eastAsia="宋体" w:hAnsi="Arial" w:cs="Arial"/>
                  <w:color w:val="262626"/>
                  <w:sz w:val="18"/>
                  <w:szCs w:val="18"/>
                </w:rPr>
                <w:t xml:space="preserve">Indenture dated as of March 29, 2006 between Intel Corporation and Wells Fargo Bank, National Association (as successor to </w:t>
              </w:r>
              <w:r>
                <w:rPr>
                  <w:rStyle w:val="a5"/>
                  <w:rFonts w:ascii="Arial" w:eastAsia="宋体" w:hAnsi="Arial" w:cs="Arial"/>
                  <w:color w:val="262626"/>
                  <w:sz w:val="18"/>
                  <w:szCs w:val="18"/>
                </w:rPr>
                <w:t>Citibank N.A.) (the "Open-Ended Indenture")</w:t>
              </w:r>
            </w:hyperlink>
          </w:p>
        </w:tc>
        <w:tc>
          <w:tcPr>
            <w:tcW w:w="0" w:type="auto"/>
            <w:gridSpan w:val="3"/>
            <w:shd w:val="clear" w:color="auto" w:fill="auto"/>
            <w:tcMar>
              <w:top w:w="0" w:type="dxa"/>
              <w:left w:w="20" w:type="dxa"/>
              <w:bottom w:w="0" w:type="dxa"/>
              <w:right w:w="20" w:type="dxa"/>
            </w:tcMar>
            <w:vAlign w:val="bottom"/>
          </w:tcPr>
          <w:p w14:paraId="6753866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63" w14:textId="77777777" w:rsidR="001B77DD" w:rsidRDefault="00BF0A28">
            <w:pPr>
              <w:jc w:val="right"/>
              <w:textAlignment w:val="top"/>
            </w:pPr>
            <w:r>
              <w:rPr>
                <w:rFonts w:ascii="Arial" w:eastAsia="宋体" w:hAnsi="Arial" w:cs="Arial"/>
                <w:color w:val="262626"/>
                <w:sz w:val="18"/>
                <w:szCs w:val="18"/>
              </w:rPr>
              <w:t>S-3ASR</w:t>
            </w:r>
          </w:p>
        </w:tc>
        <w:tc>
          <w:tcPr>
            <w:tcW w:w="0" w:type="auto"/>
            <w:gridSpan w:val="3"/>
            <w:shd w:val="clear" w:color="auto" w:fill="auto"/>
            <w:tcMar>
              <w:top w:w="0" w:type="dxa"/>
              <w:left w:w="20" w:type="dxa"/>
              <w:bottom w:w="0" w:type="dxa"/>
              <w:right w:w="20" w:type="dxa"/>
            </w:tcMar>
            <w:vAlign w:val="bottom"/>
          </w:tcPr>
          <w:p w14:paraId="6753866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65" w14:textId="77777777" w:rsidR="001B77DD" w:rsidRDefault="00BF0A28">
            <w:pPr>
              <w:jc w:val="right"/>
              <w:textAlignment w:val="top"/>
            </w:pPr>
            <w:r>
              <w:rPr>
                <w:rFonts w:ascii="Arial" w:eastAsia="宋体" w:hAnsi="Arial" w:cs="Arial"/>
                <w:color w:val="262626"/>
                <w:sz w:val="18"/>
                <w:szCs w:val="18"/>
              </w:rPr>
              <w:t>333-132865</w:t>
            </w:r>
          </w:p>
        </w:tc>
        <w:tc>
          <w:tcPr>
            <w:tcW w:w="0" w:type="auto"/>
            <w:gridSpan w:val="3"/>
            <w:shd w:val="clear" w:color="auto" w:fill="auto"/>
            <w:tcMar>
              <w:top w:w="0" w:type="dxa"/>
              <w:left w:w="20" w:type="dxa"/>
              <w:bottom w:w="0" w:type="dxa"/>
              <w:right w:w="20" w:type="dxa"/>
            </w:tcMar>
            <w:vAlign w:val="bottom"/>
          </w:tcPr>
          <w:p w14:paraId="6753866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67" w14:textId="77777777" w:rsidR="001B77DD" w:rsidRDefault="00BF0A28">
            <w:pPr>
              <w:jc w:val="right"/>
              <w:textAlignment w:val="top"/>
            </w:pPr>
            <w:r>
              <w:rPr>
                <w:rFonts w:ascii="Arial" w:eastAsia="宋体" w:hAnsi="Arial" w:cs="Arial"/>
                <w:color w:val="262626"/>
                <w:sz w:val="18"/>
                <w:szCs w:val="18"/>
              </w:rPr>
              <w:t>4.4 </w:t>
            </w:r>
          </w:p>
        </w:tc>
        <w:tc>
          <w:tcPr>
            <w:tcW w:w="0" w:type="auto"/>
            <w:shd w:val="clear" w:color="auto" w:fill="auto"/>
            <w:tcMar>
              <w:top w:w="40" w:type="dxa"/>
              <w:left w:w="0" w:type="dxa"/>
              <w:bottom w:w="40" w:type="dxa"/>
              <w:right w:w="20" w:type="dxa"/>
            </w:tcMar>
          </w:tcPr>
          <w:p w14:paraId="6753866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6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6A" w14:textId="77777777" w:rsidR="001B77DD" w:rsidRDefault="00BF0A28">
            <w:pPr>
              <w:jc w:val="right"/>
              <w:textAlignment w:val="top"/>
            </w:pPr>
            <w:r>
              <w:rPr>
                <w:rFonts w:ascii="Arial" w:eastAsia="宋体" w:hAnsi="Arial" w:cs="Arial"/>
                <w:color w:val="262626"/>
                <w:sz w:val="18"/>
                <w:szCs w:val="18"/>
              </w:rPr>
              <w:t>3/30/2006</w:t>
            </w:r>
          </w:p>
        </w:tc>
        <w:tc>
          <w:tcPr>
            <w:tcW w:w="0" w:type="auto"/>
            <w:gridSpan w:val="3"/>
            <w:shd w:val="clear" w:color="auto" w:fill="auto"/>
            <w:tcMar>
              <w:top w:w="0" w:type="dxa"/>
              <w:left w:w="20" w:type="dxa"/>
              <w:bottom w:w="0" w:type="dxa"/>
              <w:right w:w="20" w:type="dxa"/>
            </w:tcMar>
            <w:vAlign w:val="bottom"/>
          </w:tcPr>
          <w:p w14:paraId="6753866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6C" w14:textId="77777777" w:rsidR="001B77DD" w:rsidRDefault="001B77DD">
            <w:pPr>
              <w:rPr>
                <w:rFonts w:ascii="宋体"/>
              </w:rPr>
            </w:pPr>
          </w:p>
        </w:tc>
      </w:tr>
      <w:tr w:rsidR="001B77DD" w14:paraId="6753867B" w14:textId="77777777">
        <w:tc>
          <w:tcPr>
            <w:tcW w:w="0" w:type="auto"/>
            <w:gridSpan w:val="3"/>
            <w:shd w:val="clear" w:color="auto" w:fill="auto"/>
            <w:tcMar>
              <w:top w:w="40" w:type="dxa"/>
              <w:left w:w="20" w:type="dxa"/>
              <w:bottom w:w="40" w:type="dxa"/>
              <w:right w:w="20" w:type="dxa"/>
            </w:tcMar>
          </w:tcPr>
          <w:p w14:paraId="6753866E" w14:textId="77777777" w:rsidR="001B77DD" w:rsidRDefault="00BF0A28">
            <w:pPr>
              <w:jc w:val="center"/>
              <w:textAlignment w:val="top"/>
            </w:pPr>
            <w:r>
              <w:rPr>
                <w:rFonts w:ascii="Arial" w:eastAsia="宋体" w:hAnsi="Arial" w:cs="Arial"/>
                <w:color w:val="262626"/>
                <w:sz w:val="18"/>
                <w:szCs w:val="18"/>
              </w:rPr>
              <w:t>4.2</w:t>
            </w:r>
          </w:p>
        </w:tc>
        <w:tc>
          <w:tcPr>
            <w:tcW w:w="0" w:type="auto"/>
            <w:gridSpan w:val="3"/>
            <w:shd w:val="clear" w:color="auto" w:fill="auto"/>
            <w:tcMar>
              <w:top w:w="0" w:type="dxa"/>
              <w:left w:w="20" w:type="dxa"/>
              <w:bottom w:w="0" w:type="dxa"/>
              <w:right w:w="20" w:type="dxa"/>
            </w:tcMar>
            <w:vAlign w:val="bottom"/>
          </w:tcPr>
          <w:p w14:paraId="6753866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70" w14:textId="77777777" w:rsidR="001B77DD" w:rsidRDefault="00BF0A28">
            <w:pPr>
              <w:textAlignment w:val="top"/>
            </w:pPr>
            <w:hyperlink r:id="rId209" w:history="1">
              <w:r>
                <w:rPr>
                  <w:rStyle w:val="a5"/>
                  <w:rFonts w:ascii="Arial" w:eastAsia="宋体" w:hAnsi="Arial" w:cs="Arial"/>
                  <w:color w:val="262626"/>
                  <w:sz w:val="18"/>
                  <w:szCs w:val="18"/>
                </w:rPr>
                <w:t>First Supplemental Indenture to Open-Ended Indenture, dated as of December 3, 2007</w:t>
              </w:r>
            </w:hyperlink>
          </w:p>
        </w:tc>
        <w:tc>
          <w:tcPr>
            <w:tcW w:w="0" w:type="auto"/>
            <w:gridSpan w:val="3"/>
            <w:shd w:val="clear" w:color="auto" w:fill="auto"/>
            <w:tcMar>
              <w:top w:w="0" w:type="dxa"/>
              <w:left w:w="20" w:type="dxa"/>
              <w:bottom w:w="0" w:type="dxa"/>
              <w:right w:w="20" w:type="dxa"/>
            </w:tcMar>
            <w:vAlign w:val="bottom"/>
          </w:tcPr>
          <w:p w14:paraId="6753867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72" w14:textId="77777777" w:rsidR="001B77DD" w:rsidRDefault="00BF0A28">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6753867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74"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7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76" w14:textId="77777777" w:rsidR="001B77DD" w:rsidRDefault="00BF0A28">
            <w:pPr>
              <w:jc w:val="right"/>
              <w:textAlignment w:val="top"/>
            </w:pPr>
            <w:r>
              <w:rPr>
                <w:rFonts w:ascii="Arial" w:eastAsia="宋体" w:hAnsi="Arial" w:cs="Arial"/>
                <w:color w:val="262626"/>
                <w:sz w:val="18"/>
                <w:szCs w:val="18"/>
              </w:rPr>
              <w:t>4.2.4</w:t>
            </w:r>
          </w:p>
        </w:tc>
        <w:tc>
          <w:tcPr>
            <w:tcW w:w="0" w:type="auto"/>
            <w:gridSpan w:val="3"/>
            <w:shd w:val="clear" w:color="auto" w:fill="auto"/>
            <w:tcMar>
              <w:top w:w="0" w:type="dxa"/>
              <w:left w:w="20" w:type="dxa"/>
              <w:bottom w:w="0" w:type="dxa"/>
              <w:right w:w="20" w:type="dxa"/>
            </w:tcMar>
            <w:vAlign w:val="bottom"/>
          </w:tcPr>
          <w:p w14:paraId="6753867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78" w14:textId="77777777" w:rsidR="001B77DD" w:rsidRDefault="00BF0A28">
            <w:pPr>
              <w:jc w:val="right"/>
              <w:textAlignment w:val="top"/>
            </w:pPr>
            <w:r>
              <w:rPr>
                <w:rFonts w:ascii="Arial" w:eastAsia="宋体" w:hAnsi="Arial" w:cs="Arial"/>
                <w:color w:val="262626"/>
                <w:sz w:val="18"/>
                <w:szCs w:val="18"/>
              </w:rPr>
              <w:t>2/20/2008</w:t>
            </w:r>
          </w:p>
        </w:tc>
        <w:tc>
          <w:tcPr>
            <w:tcW w:w="0" w:type="auto"/>
            <w:gridSpan w:val="3"/>
            <w:shd w:val="clear" w:color="auto" w:fill="auto"/>
            <w:tcMar>
              <w:top w:w="0" w:type="dxa"/>
              <w:left w:w="20" w:type="dxa"/>
              <w:bottom w:w="0" w:type="dxa"/>
              <w:right w:w="20" w:type="dxa"/>
            </w:tcMar>
            <w:vAlign w:val="bottom"/>
          </w:tcPr>
          <w:p w14:paraId="6753867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7A" w14:textId="77777777" w:rsidR="001B77DD" w:rsidRDefault="001B77DD">
            <w:pPr>
              <w:rPr>
                <w:rFonts w:ascii="宋体"/>
              </w:rPr>
            </w:pPr>
          </w:p>
        </w:tc>
      </w:tr>
      <w:tr w:rsidR="001B77DD" w14:paraId="6753868A" w14:textId="77777777">
        <w:tc>
          <w:tcPr>
            <w:tcW w:w="0" w:type="auto"/>
            <w:gridSpan w:val="3"/>
            <w:shd w:val="clear" w:color="auto" w:fill="auto"/>
            <w:tcMar>
              <w:top w:w="40" w:type="dxa"/>
              <w:left w:w="20" w:type="dxa"/>
              <w:bottom w:w="40" w:type="dxa"/>
              <w:right w:w="20" w:type="dxa"/>
            </w:tcMar>
          </w:tcPr>
          <w:p w14:paraId="6753867C" w14:textId="77777777" w:rsidR="001B77DD" w:rsidRDefault="00BF0A28">
            <w:pPr>
              <w:jc w:val="center"/>
              <w:textAlignment w:val="top"/>
            </w:pPr>
            <w:r>
              <w:rPr>
                <w:rFonts w:ascii="Arial" w:eastAsia="宋体" w:hAnsi="Arial" w:cs="Arial"/>
                <w:color w:val="262626"/>
                <w:sz w:val="18"/>
                <w:szCs w:val="18"/>
              </w:rPr>
              <w:t>4.3</w:t>
            </w:r>
          </w:p>
        </w:tc>
        <w:tc>
          <w:tcPr>
            <w:tcW w:w="0" w:type="auto"/>
            <w:gridSpan w:val="3"/>
            <w:shd w:val="clear" w:color="auto" w:fill="auto"/>
            <w:tcMar>
              <w:top w:w="0" w:type="dxa"/>
              <w:left w:w="20" w:type="dxa"/>
              <w:bottom w:w="0" w:type="dxa"/>
              <w:right w:w="20" w:type="dxa"/>
            </w:tcMar>
            <w:vAlign w:val="bottom"/>
          </w:tcPr>
          <w:p w14:paraId="6753867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7E" w14:textId="77777777" w:rsidR="001B77DD" w:rsidRDefault="00BF0A28">
            <w:pPr>
              <w:textAlignment w:val="top"/>
            </w:pPr>
            <w:hyperlink r:id="rId210" w:history="1">
              <w:r>
                <w:rPr>
                  <w:rStyle w:val="a5"/>
                  <w:rFonts w:ascii="Arial" w:eastAsia="宋体" w:hAnsi="Arial" w:cs="Arial"/>
                  <w:color w:val="262626"/>
                  <w:sz w:val="18"/>
                  <w:szCs w:val="18"/>
                </w:rPr>
                <w:t>Second Supplemental Indenture to Open-Ended Indenture for the Registrant</w:t>
              </w:r>
            </w:hyperlink>
            <w:hyperlink r:id="rId211" w:history="1">
              <w:r>
                <w:rPr>
                  <w:rStyle w:val="a5"/>
                  <w:rFonts w:ascii="Arial" w:eastAsia="宋体" w:hAnsi="Arial" w:cs="Arial"/>
                  <w:color w:val="262626"/>
                  <w:sz w:val="18"/>
                  <w:szCs w:val="18"/>
                </w:rPr>
                <w:t>'</w:t>
              </w:r>
            </w:hyperlink>
            <w:hyperlink r:id="rId212" w:history="1">
              <w:r>
                <w:rPr>
                  <w:rStyle w:val="a5"/>
                  <w:rFonts w:ascii="Arial" w:eastAsia="宋体" w:hAnsi="Arial" w:cs="Arial"/>
                  <w:color w:val="262626"/>
                  <w:sz w:val="18"/>
                  <w:szCs w:val="18"/>
                </w:rPr>
                <w:t>s 1.95% Senior Notes due 2016, 3.30% Senior Notes due 2021, and 4.80% Senior Notes due 2041, dated as of Septem</w:t>
              </w:r>
              <w:r>
                <w:rPr>
                  <w:rStyle w:val="a5"/>
                  <w:rFonts w:ascii="Arial" w:eastAsia="宋体" w:hAnsi="Arial" w:cs="Arial"/>
                  <w:color w:val="262626"/>
                  <w:sz w:val="18"/>
                  <w:szCs w:val="18"/>
                </w:rPr>
                <w:t>ber 19, 2011</w:t>
              </w:r>
            </w:hyperlink>
          </w:p>
        </w:tc>
        <w:tc>
          <w:tcPr>
            <w:tcW w:w="0" w:type="auto"/>
            <w:gridSpan w:val="3"/>
            <w:shd w:val="clear" w:color="auto" w:fill="auto"/>
            <w:tcMar>
              <w:top w:w="0" w:type="dxa"/>
              <w:left w:w="20" w:type="dxa"/>
              <w:bottom w:w="0" w:type="dxa"/>
              <w:right w:w="20" w:type="dxa"/>
            </w:tcMar>
            <w:vAlign w:val="bottom"/>
          </w:tcPr>
          <w:p w14:paraId="6753867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80"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8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82"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8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84" w14:textId="77777777" w:rsidR="001B77DD" w:rsidRDefault="00BF0A28">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6753868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8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87" w14:textId="77777777" w:rsidR="001B77DD" w:rsidRDefault="00BF0A28">
            <w:pPr>
              <w:jc w:val="right"/>
              <w:textAlignment w:val="top"/>
            </w:pPr>
            <w:r>
              <w:rPr>
                <w:rFonts w:ascii="Arial" w:eastAsia="宋体" w:hAnsi="Arial" w:cs="Arial"/>
                <w:color w:val="262626"/>
                <w:sz w:val="18"/>
                <w:szCs w:val="18"/>
              </w:rPr>
              <w:t>9/19/2011</w:t>
            </w:r>
          </w:p>
        </w:tc>
        <w:tc>
          <w:tcPr>
            <w:tcW w:w="0" w:type="auto"/>
            <w:gridSpan w:val="3"/>
            <w:shd w:val="clear" w:color="auto" w:fill="auto"/>
            <w:tcMar>
              <w:top w:w="0" w:type="dxa"/>
              <w:left w:w="20" w:type="dxa"/>
              <w:bottom w:w="0" w:type="dxa"/>
              <w:right w:w="20" w:type="dxa"/>
            </w:tcMar>
            <w:vAlign w:val="bottom"/>
          </w:tcPr>
          <w:p w14:paraId="6753868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89" w14:textId="77777777" w:rsidR="001B77DD" w:rsidRDefault="001B77DD">
            <w:pPr>
              <w:rPr>
                <w:rFonts w:ascii="宋体"/>
              </w:rPr>
            </w:pPr>
          </w:p>
        </w:tc>
      </w:tr>
      <w:tr w:rsidR="001B77DD" w14:paraId="67538699" w14:textId="77777777">
        <w:tc>
          <w:tcPr>
            <w:tcW w:w="0" w:type="auto"/>
            <w:gridSpan w:val="3"/>
            <w:shd w:val="clear" w:color="auto" w:fill="auto"/>
            <w:tcMar>
              <w:top w:w="40" w:type="dxa"/>
              <w:left w:w="20" w:type="dxa"/>
              <w:bottom w:w="40" w:type="dxa"/>
              <w:right w:w="20" w:type="dxa"/>
            </w:tcMar>
          </w:tcPr>
          <w:p w14:paraId="6753868B" w14:textId="77777777" w:rsidR="001B77DD" w:rsidRDefault="00BF0A28">
            <w:pPr>
              <w:jc w:val="center"/>
              <w:textAlignment w:val="top"/>
            </w:pPr>
            <w:r>
              <w:rPr>
                <w:rFonts w:ascii="Arial" w:eastAsia="宋体" w:hAnsi="Arial" w:cs="Arial"/>
                <w:color w:val="262626"/>
                <w:sz w:val="18"/>
                <w:szCs w:val="18"/>
              </w:rPr>
              <w:t>4.4</w:t>
            </w:r>
          </w:p>
        </w:tc>
        <w:tc>
          <w:tcPr>
            <w:tcW w:w="0" w:type="auto"/>
            <w:gridSpan w:val="3"/>
            <w:shd w:val="clear" w:color="auto" w:fill="auto"/>
            <w:tcMar>
              <w:top w:w="0" w:type="dxa"/>
              <w:left w:w="20" w:type="dxa"/>
              <w:bottom w:w="0" w:type="dxa"/>
              <w:right w:w="20" w:type="dxa"/>
            </w:tcMar>
            <w:vAlign w:val="bottom"/>
          </w:tcPr>
          <w:p w14:paraId="6753868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8D" w14:textId="77777777" w:rsidR="001B77DD" w:rsidRDefault="00BF0A28">
            <w:pPr>
              <w:textAlignment w:val="top"/>
            </w:pPr>
            <w:hyperlink r:id="rId213" w:history="1">
              <w:r>
                <w:rPr>
                  <w:rStyle w:val="a5"/>
                  <w:rFonts w:ascii="Arial" w:eastAsia="宋体" w:hAnsi="Arial" w:cs="Arial"/>
                  <w:color w:val="262626"/>
                  <w:sz w:val="18"/>
                  <w:szCs w:val="18"/>
                </w:rPr>
                <w:t>Third Supplemental Indenture to Open-Ended Indenture for the Registrant</w:t>
              </w:r>
            </w:hyperlink>
            <w:hyperlink r:id="rId214" w:history="1">
              <w:r>
                <w:rPr>
                  <w:rStyle w:val="a5"/>
                  <w:rFonts w:ascii="Arial" w:eastAsia="宋体" w:hAnsi="Arial" w:cs="Arial"/>
                  <w:color w:val="262626"/>
                  <w:sz w:val="18"/>
                  <w:szCs w:val="18"/>
                </w:rPr>
                <w:t>'</w:t>
              </w:r>
            </w:hyperlink>
            <w:hyperlink r:id="rId215" w:history="1">
              <w:r>
                <w:rPr>
                  <w:rStyle w:val="a5"/>
                  <w:rFonts w:ascii="Arial" w:eastAsia="宋体" w:hAnsi="Arial" w:cs="Arial"/>
                  <w:color w:val="262626"/>
                  <w:sz w:val="18"/>
                  <w:szCs w:val="18"/>
                </w:rPr>
                <w:t>s 1.35% Senior Notes due 2017, 2.70% Senior Notes du</w:t>
              </w:r>
              <w:r>
                <w:rPr>
                  <w:rStyle w:val="a5"/>
                  <w:rFonts w:ascii="Arial" w:eastAsia="宋体" w:hAnsi="Arial" w:cs="Arial"/>
                  <w:color w:val="262626"/>
                  <w:sz w:val="18"/>
                  <w:szCs w:val="18"/>
                </w:rPr>
                <w:t>e 2022, 4.00% Senior Notes due 2032, and 4.25% Senior Notes due 2042, dated as of December 11, 2012</w:t>
              </w:r>
            </w:hyperlink>
          </w:p>
        </w:tc>
        <w:tc>
          <w:tcPr>
            <w:tcW w:w="0" w:type="auto"/>
            <w:gridSpan w:val="3"/>
            <w:shd w:val="clear" w:color="auto" w:fill="auto"/>
            <w:tcMar>
              <w:top w:w="0" w:type="dxa"/>
              <w:left w:w="20" w:type="dxa"/>
              <w:bottom w:w="0" w:type="dxa"/>
              <w:right w:w="20" w:type="dxa"/>
            </w:tcMar>
            <w:vAlign w:val="bottom"/>
          </w:tcPr>
          <w:p w14:paraId="6753868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8F"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9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91"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9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93" w14:textId="77777777" w:rsidR="001B77DD" w:rsidRDefault="00BF0A28">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6753869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9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96" w14:textId="77777777" w:rsidR="001B77DD" w:rsidRDefault="00BF0A28">
            <w:pPr>
              <w:jc w:val="right"/>
              <w:textAlignment w:val="top"/>
            </w:pPr>
            <w:r>
              <w:rPr>
                <w:rFonts w:ascii="Arial" w:eastAsia="宋体" w:hAnsi="Arial" w:cs="Arial"/>
                <w:color w:val="262626"/>
                <w:sz w:val="18"/>
                <w:szCs w:val="18"/>
              </w:rPr>
              <w:t>12/11/2012</w:t>
            </w:r>
          </w:p>
        </w:tc>
        <w:tc>
          <w:tcPr>
            <w:tcW w:w="0" w:type="auto"/>
            <w:gridSpan w:val="3"/>
            <w:shd w:val="clear" w:color="auto" w:fill="auto"/>
            <w:tcMar>
              <w:top w:w="0" w:type="dxa"/>
              <w:left w:w="20" w:type="dxa"/>
              <w:bottom w:w="0" w:type="dxa"/>
              <w:right w:w="20" w:type="dxa"/>
            </w:tcMar>
            <w:vAlign w:val="bottom"/>
          </w:tcPr>
          <w:p w14:paraId="6753869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98" w14:textId="77777777" w:rsidR="001B77DD" w:rsidRDefault="001B77DD">
            <w:pPr>
              <w:rPr>
                <w:rFonts w:ascii="宋体"/>
              </w:rPr>
            </w:pPr>
          </w:p>
        </w:tc>
      </w:tr>
      <w:tr w:rsidR="001B77DD" w14:paraId="675386A8" w14:textId="77777777">
        <w:tc>
          <w:tcPr>
            <w:tcW w:w="0" w:type="auto"/>
            <w:gridSpan w:val="3"/>
            <w:shd w:val="clear" w:color="auto" w:fill="auto"/>
            <w:tcMar>
              <w:top w:w="40" w:type="dxa"/>
              <w:left w:w="20" w:type="dxa"/>
              <w:bottom w:w="40" w:type="dxa"/>
              <w:right w:w="20" w:type="dxa"/>
            </w:tcMar>
          </w:tcPr>
          <w:p w14:paraId="6753869A" w14:textId="77777777" w:rsidR="001B77DD" w:rsidRDefault="00BF0A28">
            <w:pPr>
              <w:jc w:val="center"/>
              <w:textAlignment w:val="top"/>
            </w:pPr>
            <w:r>
              <w:rPr>
                <w:rFonts w:ascii="Arial" w:eastAsia="宋体" w:hAnsi="Arial" w:cs="Arial"/>
                <w:color w:val="262626"/>
                <w:sz w:val="18"/>
                <w:szCs w:val="18"/>
              </w:rPr>
              <w:t>4.5</w:t>
            </w:r>
          </w:p>
        </w:tc>
        <w:tc>
          <w:tcPr>
            <w:tcW w:w="0" w:type="auto"/>
            <w:gridSpan w:val="3"/>
            <w:shd w:val="clear" w:color="auto" w:fill="auto"/>
            <w:tcMar>
              <w:top w:w="0" w:type="dxa"/>
              <w:left w:w="20" w:type="dxa"/>
              <w:bottom w:w="0" w:type="dxa"/>
              <w:right w:w="20" w:type="dxa"/>
            </w:tcMar>
            <w:vAlign w:val="bottom"/>
          </w:tcPr>
          <w:p w14:paraId="6753869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9C" w14:textId="77777777" w:rsidR="001B77DD" w:rsidRDefault="00BF0A28">
            <w:pPr>
              <w:textAlignment w:val="top"/>
            </w:pPr>
            <w:hyperlink r:id="rId216" w:history="1">
              <w:r>
                <w:rPr>
                  <w:rStyle w:val="a5"/>
                  <w:rFonts w:ascii="Arial" w:eastAsia="宋体" w:hAnsi="Arial" w:cs="Arial"/>
                  <w:color w:val="262626"/>
                  <w:sz w:val="18"/>
                  <w:szCs w:val="18"/>
                </w:rPr>
                <w:t>Fourth Supplemental Indenture to Open-Ended Indenture for the Registrant</w:t>
              </w:r>
            </w:hyperlink>
            <w:hyperlink r:id="rId217" w:history="1">
              <w:r>
                <w:rPr>
                  <w:rStyle w:val="a5"/>
                  <w:rFonts w:ascii="Arial" w:eastAsia="宋体" w:hAnsi="Arial" w:cs="Arial"/>
                  <w:color w:val="262626"/>
                  <w:sz w:val="18"/>
                  <w:szCs w:val="18"/>
                </w:rPr>
                <w:t>'</w:t>
              </w:r>
            </w:hyperlink>
            <w:hyperlink r:id="rId218" w:history="1">
              <w:r>
                <w:rPr>
                  <w:rStyle w:val="a5"/>
                  <w:rFonts w:ascii="Arial" w:eastAsia="宋体" w:hAnsi="Arial" w:cs="Arial"/>
                  <w:color w:val="262626"/>
                  <w:sz w:val="18"/>
                  <w:szCs w:val="18"/>
                </w:rPr>
                <w:t>s 4.25% Senior Notes due 2042, dated as of December 14, 2012</w:t>
              </w:r>
            </w:hyperlink>
          </w:p>
        </w:tc>
        <w:tc>
          <w:tcPr>
            <w:tcW w:w="0" w:type="auto"/>
            <w:gridSpan w:val="3"/>
            <w:shd w:val="clear" w:color="auto" w:fill="auto"/>
            <w:tcMar>
              <w:top w:w="0" w:type="dxa"/>
              <w:left w:w="20" w:type="dxa"/>
              <w:bottom w:w="0" w:type="dxa"/>
              <w:right w:w="20" w:type="dxa"/>
            </w:tcMar>
            <w:vAlign w:val="bottom"/>
          </w:tcPr>
          <w:p w14:paraId="6753869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9E"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9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A0"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A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A2" w14:textId="77777777" w:rsidR="001B77DD" w:rsidRDefault="00BF0A28">
            <w:pPr>
              <w:jc w:val="right"/>
              <w:textAlignment w:val="top"/>
            </w:pPr>
            <w:r>
              <w:rPr>
                <w:rFonts w:ascii="Arial" w:eastAsia="宋体" w:hAnsi="Arial" w:cs="Arial"/>
                <w:color w:val="262626"/>
                <w:sz w:val="18"/>
                <w:szCs w:val="18"/>
              </w:rPr>
              <w:t>4.01 </w:t>
            </w:r>
          </w:p>
        </w:tc>
        <w:tc>
          <w:tcPr>
            <w:tcW w:w="0" w:type="auto"/>
            <w:shd w:val="clear" w:color="auto" w:fill="auto"/>
            <w:tcMar>
              <w:top w:w="40" w:type="dxa"/>
              <w:left w:w="0" w:type="dxa"/>
              <w:bottom w:w="40" w:type="dxa"/>
              <w:right w:w="20" w:type="dxa"/>
            </w:tcMar>
          </w:tcPr>
          <w:p w14:paraId="675386A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A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A5" w14:textId="77777777" w:rsidR="001B77DD" w:rsidRDefault="00BF0A28">
            <w:pPr>
              <w:jc w:val="right"/>
              <w:textAlignment w:val="top"/>
            </w:pPr>
            <w:r>
              <w:rPr>
                <w:rFonts w:ascii="Arial" w:eastAsia="宋体" w:hAnsi="Arial" w:cs="Arial"/>
                <w:color w:val="262626"/>
                <w:sz w:val="18"/>
                <w:szCs w:val="18"/>
              </w:rPr>
              <w:t>12/14/2012</w:t>
            </w:r>
          </w:p>
        </w:tc>
        <w:tc>
          <w:tcPr>
            <w:tcW w:w="0" w:type="auto"/>
            <w:gridSpan w:val="3"/>
            <w:shd w:val="clear" w:color="auto" w:fill="auto"/>
            <w:tcMar>
              <w:top w:w="0" w:type="dxa"/>
              <w:left w:w="20" w:type="dxa"/>
              <w:bottom w:w="0" w:type="dxa"/>
              <w:right w:w="20" w:type="dxa"/>
            </w:tcMar>
            <w:vAlign w:val="bottom"/>
          </w:tcPr>
          <w:p w14:paraId="675386A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A7" w14:textId="77777777" w:rsidR="001B77DD" w:rsidRDefault="001B77DD">
            <w:pPr>
              <w:rPr>
                <w:rFonts w:ascii="宋体"/>
              </w:rPr>
            </w:pPr>
          </w:p>
        </w:tc>
      </w:tr>
      <w:tr w:rsidR="001B77DD" w14:paraId="675386B7" w14:textId="77777777">
        <w:tc>
          <w:tcPr>
            <w:tcW w:w="0" w:type="auto"/>
            <w:gridSpan w:val="3"/>
            <w:shd w:val="clear" w:color="auto" w:fill="auto"/>
            <w:tcMar>
              <w:top w:w="40" w:type="dxa"/>
              <w:left w:w="20" w:type="dxa"/>
              <w:bottom w:w="40" w:type="dxa"/>
              <w:right w:w="20" w:type="dxa"/>
            </w:tcMar>
          </w:tcPr>
          <w:p w14:paraId="675386A9" w14:textId="77777777" w:rsidR="001B77DD" w:rsidRDefault="00BF0A28">
            <w:pPr>
              <w:jc w:val="center"/>
              <w:textAlignment w:val="top"/>
            </w:pPr>
            <w:r>
              <w:rPr>
                <w:rFonts w:ascii="Arial" w:eastAsia="宋体" w:hAnsi="Arial" w:cs="Arial"/>
                <w:color w:val="262626"/>
                <w:sz w:val="18"/>
                <w:szCs w:val="18"/>
              </w:rPr>
              <w:t>4.6</w:t>
            </w:r>
          </w:p>
        </w:tc>
        <w:tc>
          <w:tcPr>
            <w:tcW w:w="0" w:type="auto"/>
            <w:gridSpan w:val="3"/>
            <w:shd w:val="clear" w:color="auto" w:fill="auto"/>
            <w:tcMar>
              <w:top w:w="0" w:type="dxa"/>
              <w:left w:w="20" w:type="dxa"/>
              <w:bottom w:w="0" w:type="dxa"/>
              <w:right w:w="20" w:type="dxa"/>
            </w:tcMar>
            <w:vAlign w:val="bottom"/>
          </w:tcPr>
          <w:p w14:paraId="675386A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AB" w14:textId="77777777" w:rsidR="001B77DD" w:rsidRDefault="00BF0A28">
            <w:pPr>
              <w:textAlignment w:val="top"/>
            </w:pPr>
            <w:hyperlink r:id="rId219" w:history="1">
              <w:r>
                <w:rPr>
                  <w:rStyle w:val="a5"/>
                  <w:rFonts w:ascii="Arial" w:eastAsia="宋体" w:hAnsi="Arial" w:cs="Arial"/>
                  <w:color w:val="262626"/>
                  <w:sz w:val="18"/>
                  <w:szCs w:val="18"/>
                </w:rPr>
                <w:t>Fifth Supplemental Indenture to Open-Ended Indenture, dated as of July 29, 2015, between Intel Corporation and Wells Fa</w:t>
              </w:r>
              <w:r>
                <w:rPr>
                  <w:rStyle w:val="a5"/>
                  <w:rFonts w:ascii="Arial" w:eastAsia="宋体" w:hAnsi="Arial" w:cs="Arial"/>
                  <w:color w:val="262626"/>
                  <w:sz w:val="18"/>
                  <w:szCs w:val="18"/>
                </w:rPr>
                <w:t>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675386A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AD"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A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AF" w14:textId="77777777" w:rsidR="001B77DD" w:rsidRDefault="00BF0A28">
            <w:pPr>
              <w:spacing w:after="240"/>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B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B1" w14:textId="77777777" w:rsidR="001B77DD" w:rsidRDefault="00BF0A28">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675386B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B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B4" w14:textId="77777777" w:rsidR="001B77DD" w:rsidRDefault="00BF0A28">
            <w:pPr>
              <w:jc w:val="right"/>
              <w:textAlignment w:val="top"/>
            </w:pPr>
            <w:r>
              <w:rPr>
                <w:rFonts w:ascii="Arial" w:eastAsia="宋体" w:hAnsi="Arial" w:cs="Arial"/>
                <w:color w:val="262626"/>
                <w:sz w:val="18"/>
                <w:szCs w:val="18"/>
              </w:rPr>
              <w:t>7/29/2015</w:t>
            </w:r>
          </w:p>
        </w:tc>
        <w:tc>
          <w:tcPr>
            <w:tcW w:w="0" w:type="auto"/>
            <w:gridSpan w:val="3"/>
            <w:shd w:val="clear" w:color="auto" w:fill="auto"/>
            <w:tcMar>
              <w:top w:w="0" w:type="dxa"/>
              <w:left w:w="20" w:type="dxa"/>
              <w:bottom w:w="0" w:type="dxa"/>
              <w:right w:w="20" w:type="dxa"/>
            </w:tcMar>
            <w:vAlign w:val="bottom"/>
          </w:tcPr>
          <w:p w14:paraId="675386B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B6" w14:textId="77777777" w:rsidR="001B77DD" w:rsidRDefault="001B77DD">
            <w:pPr>
              <w:rPr>
                <w:rFonts w:ascii="宋体"/>
              </w:rPr>
            </w:pPr>
          </w:p>
        </w:tc>
      </w:tr>
      <w:tr w:rsidR="001B77DD" w14:paraId="675386C6" w14:textId="77777777">
        <w:tc>
          <w:tcPr>
            <w:tcW w:w="0" w:type="auto"/>
            <w:gridSpan w:val="3"/>
            <w:shd w:val="clear" w:color="auto" w:fill="auto"/>
            <w:tcMar>
              <w:top w:w="40" w:type="dxa"/>
              <w:left w:w="20" w:type="dxa"/>
              <w:bottom w:w="40" w:type="dxa"/>
              <w:right w:w="20" w:type="dxa"/>
            </w:tcMar>
          </w:tcPr>
          <w:p w14:paraId="675386B8" w14:textId="77777777" w:rsidR="001B77DD" w:rsidRDefault="00BF0A28">
            <w:pPr>
              <w:jc w:val="center"/>
              <w:textAlignment w:val="top"/>
            </w:pPr>
            <w:r>
              <w:rPr>
                <w:rFonts w:ascii="Arial" w:eastAsia="宋体" w:hAnsi="Arial" w:cs="Arial"/>
                <w:color w:val="262626"/>
                <w:sz w:val="18"/>
                <w:szCs w:val="18"/>
              </w:rPr>
              <w:t>4.7</w:t>
            </w:r>
          </w:p>
        </w:tc>
        <w:tc>
          <w:tcPr>
            <w:tcW w:w="0" w:type="auto"/>
            <w:gridSpan w:val="3"/>
            <w:shd w:val="clear" w:color="auto" w:fill="auto"/>
            <w:tcMar>
              <w:top w:w="0" w:type="dxa"/>
              <w:left w:w="20" w:type="dxa"/>
              <w:bottom w:w="0" w:type="dxa"/>
              <w:right w:w="20" w:type="dxa"/>
            </w:tcMar>
            <w:vAlign w:val="bottom"/>
          </w:tcPr>
          <w:p w14:paraId="675386B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BA" w14:textId="77777777" w:rsidR="001B77DD" w:rsidRDefault="00BF0A28">
            <w:pPr>
              <w:textAlignment w:val="top"/>
            </w:pPr>
            <w:hyperlink r:id="rId220" w:history="1">
              <w:r>
                <w:rPr>
                  <w:rStyle w:val="a5"/>
                  <w:rFonts w:ascii="Arial" w:eastAsia="宋体" w:hAnsi="Arial" w:cs="Arial"/>
                  <w:color w:val="262626"/>
                  <w:sz w:val="18"/>
                  <w:szCs w:val="18"/>
                </w:rPr>
                <w:t>Eighth Supplemental Indenture to Open-Ended Indenture, dated as of May 19, 2016, between Intel Corporation and Wells Fa</w:t>
              </w:r>
              <w:r>
                <w:rPr>
                  <w:rStyle w:val="a5"/>
                  <w:rFonts w:ascii="Arial" w:eastAsia="宋体" w:hAnsi="Arial" w:cs="Arial"/>
                  <w:color w:val="262626"/>
                  <w:sz w:val="18"/>
                  <w:szCs w:val="18"/>
                </w:rPr>
                <w:t>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675386B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BC"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B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B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B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C0" w14:textId="77777777" w:rsidR="001B77DD" w:rsidRDefault="00BF0A28">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675386C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C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C3" w14:textId="77777777" w:rsidR="001B77DD" w:rsidRDefault="00BF0A28">
            <w:pPr>
              <w:jc w:val="right"/>
              <w:textAlignment w:val="top"/>
            </w:pPr>
            <w:r>
              <w:rPr>
                <w:rFonts w:ascii="Arial" w:eastAsia="宋体" w:hAnsi="Arial" w:cs="Arial"/>
                <w:color w:val="262626"/>
                <w:sz w:val="18"/>
                <w:szCs w:val="18"/>
              </w:rPr>
              <w:t>5/19/2016</w:t>
            </w:r>
          </w:p>
        </w:tc>
        <w:tc>
          <w:tcPr>
            <w:tcW w:w="0" w:type="auto"/>
            <w:gridSpan w:val="3"/>
            <w:shd w:val="clear" w:color="auto" w:fill="auto"/>
            <w:tcMar>
              <w:top w:w="0" w:type="dxa"/>
              <w:left w:w="20" w:type="dxa"/>
              <w:bottom w:w="0" w:type="dxa"/>
              <w:right w:w="20" w:type="dxa"/>
            </w:tcMar>
            <w:vAlign w:val="bottom"/>
          </w:tcPr>
          <w:p w14:paraId="675386C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C5" w14:textId="77777777" w:rsidR="001B77DD" w:rsidRDefault="001B77DD">
            <w:pPr>
              <w:rPr>
                <w:rFonts w:ascii="宋体"/>
              </w:rPr>
            </w:pPr>
          </w:p>
        </w:tc>
      </w:tr>
      <w:tr w:rsidR="001B77DD" w14:paraId="675386D5" w14:textId="77777777">
        <w:tc>
          <w:tcPr>
            <w:tcW w:w="0" w:type="auto"/>
            <w:gridSpan w:val="3"/>
            <w:shd w:val="clear" w:color="auto" w:fill="auto"/>
            <w:tcMar>
              <w:top w:w="40" w:type="dxa"/>
              <w:left w:w="20" w:type="dxa"/>
              <w:bottom w:w="40" w:type="dxa"/>
              <w:right w:w="20" w:type="dxa"/>
            </w:tcMar>
          </w:tcPr>
          <w:p w14:paraId="675386C7" w14:textId="77777777" w:rsidR="001B77DD" w:rsidRDefault="00BF0A28">
            <w:pPr>
              <w:jc w:val="center"/>
              <w:textAlignment w:val="top"/>
            </w:pPr>
            <w:r>
              <w:rPr>
                <w:rFonts w:ascii="Arial" w:eastAsia="宋体" w:hAnsi="Arial" w:cs="Arial"/>
                <w:color w:val="262626"/>
                <w:sz w:val="18"/>
                <w:szCs w:val="18"/>
              </w:rPr>
              <w:t>4.8</w:t>
            </w:r>
          </w:p>
        </w:tc>
        <w:tc>
          <w:tcPr>
            <w:tcW w:w="0" w:type="auto"/>
            <w:gridSpan w:val="3"/>
            <w:shd w:val="clear" w:color="auto" w:fill="auto"/>
            <w:tcMar>
              <w:top w:w="0" w:type="dxa"/>
              <w:left w:w="20" w:type="dxa"/>
              <w:bottom w:w="0" w:type="dxa"/>
              <w:right w:w="20" w:type="dxa"/>
            </w:tcMar>
            <w:vAlign w:val="bottom"/>
          </w:tcPr>
          <w:p w14:paraId="675386C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C9" w14:textId="77777777" w:rsidR="001B77DD" w:rsidRDefault="00BF0A28">
            <w:pPr>
              <w:spacing w:before="30" w:after="160"/>
              <w:textAlignment w:val="top"/>
            </w:pPr>
            <w:hyperlink r:id="rId221" w:history="1">
              <w:r>
                <w:rPr>
                  <w:rStyle w:val="a5"/>
                  <w:rFonts w:ascii="Arial" w:eastAsia="宋体" w:hAnsi="Arial" w:cs="Arial"/>
                  <w:color w:val="262626"/>
                  <w:sz w:val="18"/>
                  <w:szCs w:val="18"/>
                </w:rPr>
                <w:t>Ninth Supplemental Indenture to Open-Ended Indenture, dated as of May 11, 2017, between Intel Corporation and Wells Fargo B</w:t>
              </w:r>
              <w:r>
                <w:rPr>
                  <w:rStyle w:val="a5"/>
                  <w:rFonts w:ascii="Arial" w:eastAsia="宋体" w:hAnsi="Arial" w:cs="Arial"/>
                  <w:color w:val="262626"/>
                  <w:sz w:val="18"/>
                  <w:szCs w:val="18"/>
                </w:rPr>
                <w:t>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675386C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CB"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C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CD"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C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CF" w14:textId="77777777" w:rsidR="001B77DD" w:rsidRDefault="00BF0A28">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675386D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D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D2" w14:textId="77777777" w:rsidR="001B77DD" w:rsidRDefault="00BF0A28">
            <w:pPr>
              <w:jc w:val="right"/>
              <w:textAlignment w:val="top"/>
            </w:pPr>
            <w:r>
              <w:rPr>
                <w:rFonts w:ascii="Arial" w:eastAsia="宋体" w:hAnsi="Arial" w:cs="Arial"/>
                <w:color w:val="262626"/>
                <w:sz w:val="18"/>
                <w:szCs w:val="18"/>
              </w:rPr>
              <w:t>5/11/2017</w:t>
            </w:r>
          </w:p>
        </w:tc>
        <w:tc>
          <w:tcPr>
            <w:tcW w:w="0" w:type="auto"/>
            <w:gridSpan w:val="3"/>
            <w:shd w:val="clear" w:color="auto" w:fill="auto"/>
            <w:tcMar>
              <w:top w:w="0" w:type="dxa"/>
              <w:left w:w="20" w:type="dxa"/>
              <w:bottom w:w="0" w:type="dxa"/>
              <w:right w:w="20" w:type="dxa"/>
            </w:tcMar>
            <w:vAlign w:val="bottom"/>
          </w:tcPr>
          <w:p w14:paraId="675386D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D4" w14:textId="77777777" w:rsidR="001B77DD" w:rsidRDefault="001B77DD">
            <w:pPr>
              <w:rPr>
                <w:rFonts w:ascii="宋体"/>
              </w:rPr>
            </w:pPr>
          </w:p>
        </w:tc>
      </w:tr>
      <w:tr w:rsidR="001B77DD" w14:paraId="675386E4" w14:textId="77777777">
        <w:tc>
          <w:tcPr>
            <w:tcW w:w="0" w:type="auto"/>
            <w:gridSpan w:val="3"/>
            <w:shd w:val="clear" w:color="auto" w:fill="auto"/>
            <w:tcMar>
              <w:top w:w="40" w:type="dxa"/>
              <w:left w:w="20" w:type="dxa"/>
              <w:bottom w:w="40" w:type="dxa"/>
              <w:right w:w="20" w:type="dxa"/>
            </w:tcMar>
          </w:tcPr>
          <w:p w14:paraId="675386D6" w14:textId="77777777" w:rsidR="001B77DD" w:rsidRDefault="00BF0A28">
            <w:pPr>
              <w:jc w:val="center"/>
              <w:textAlignment w:val="top"/>
            </w:pPr>
            <w:r>
              <w:rPr>
                <w:rFonts w:ascii="Arial" w:eastAsia="宋体" w:hAnsi="Arial" w:cs="Arial"/>
                <w:color w:val="262626"/>
                <w:sz w:val="18"/>
                <w:szCs w:val="18"/>
              </w:rPr>
              <w:t>4.9</w:t>
            </w:r>
          </w:p>
        </w:tc>
        <w:tc>
          <w:tcPr>
            <w:tcW w:w="0" w:type="auto"/>
            <w:gridSpan w:val="3"/>
            <w:shd w:val="clear" w:color="auto" w:fill="auto"/>
            <w:tcMar>
              <w:top w:w="0" w:type="dxa"/>
              <w:left w:w="20" w:type="dxa"/>
              <w:bottom w:w="0" w:type="dxa"/>
              <w:right w:w="20" w:type="dxa"/>
            </w:tcMar>
            <w:vAlign w:val="bottom"/>
          </w:tcPr>
          <w:p w14:paraId="675386D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D8" w14:textId="77777777" w:rsidR="001B77DD" w:rsidRDefault="00BF0A28">
            <w:pPr>
              <w:spacing w:before="30" w:after="160"/>
              <w:textAlignment w:val="top"/>
            </w:pPr>
            <w:hyperlink r:id="rId222" w:history="1">
              <w:r>
                <w:rPr>
                  <w:rStyle w:val="a5"/>
                  <w:rFonts w:ascii="Arial" w:eastAsia="宋体" w:hAnsi="Arial" w:cs="Arial"/>
                  <w:color w:val="262626"/>
                  <w:sz w:val="18"/>
                  <w:szCs w:val="18"/>
                </w:rPr>
                <w:t>Tenth Supplemental Indenture to Open-Ended Indenture, dated as of June 16, 2017, between Intel Corporation and Wells Fargo Bank, National Association, as successo</w:t>
              </w:r>
              <w:r>
                <w:rPr>
                  <w:rStyle w:val="a5"/>
                  <w:rFonts w:ascii="Arial" w:eastAsia="宋体" w:hAnsi="Arial" w:cs="Arial"/>
                  <w:color w:val="262626"/>
                  <w:sz w:val="18"/>
                  <w:szCs w:val="18"/>
                </w:rPr>
                <w:t>r trustee</w:t>
              </w:r>
            </w:hyperlink>
          </w:p>
        </w:tc>
        <w:tc>
          <w:tcPr>
            <w:tcW w:w="0" w:type="auto"/>
            <w:gridSpan w:val="3"/>
            <w:shd w:val="clear" w:color="auto" w:fill="auto"/>
            <w:tcMar>
              <w:top w:w="0" w:type="dxa"/>
              <w:left w:w="20" w:type="dxa"/>
              <w:bottom w:w="0" w:type="dxa"/>
              <w:right w:w="20" w:type="dxa"/>
            </w:tcMar>
            <w:vAlign w:val="bottom"/>
          </w:tcPr>
          <w:p w14:paraId="675386D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DA"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D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DC"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D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DE" w14:textId="77777777" w:rsidR="001B77DD" w:rsidRDefault="00BF0A28">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675386D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E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E1" w14:textId="77777777" w:rsidR="001B77DD" w:rsidRDefault="00BF0A28">
            <w:pPr>
              <w:jc w:val="right"/>
              <w:textAlignment w:val="top"/>
            </w:pPr>
            <w:r>
              <w:rPr>
                <w:rFonts w:ascii="Arial" w:eastAsia="宋体" w:hAnsi="Arial" w:cs="Arial"/>
                <w:color w:val="262626"/>
                <w:sz w:val="18"/>
                <w:szCs w:val="18"/>
              </w:rPr>
              <w:t>6/16/2017</w:t>
            </w:r>
          </w:p>
        </w:tc>
        <w:tc>
          <w:tcPr>
            <w:tcW w:w="0" w:type="auto"/>
            <w:gridSpan w:val="3"/>
            <w:shd w:val="clear" w:color="auto" w:fill="auto"/>
            <w:tcMar>
              <w:top w:w="0" w:type="dxa"/>
              <w:left w:w="20" w:type="dxa"/>
              <w:bottom w:w="0" w:type="dxa"/>
              <w:right w:w="20" w:type="dxa"/>
            </w:tcMar>
            <w:vAlign w:val="bottom"/>
          </w:tcPr>
          <w:p w14:paraId="675386E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E3" w14:textId="77777777" w:rsidR="001B77DD" w:rsidRDefault="001B77DD">
            <w:pPr>
              <w:rPr>
                <w:rFonts w:ascii="宋体"/>
              </w:rPr>
            </w:pPr>
          </w:p>
        </w:tc>
      </w:tr>
      <w:tr w:rsidR="001B77DD" w14:paraId="675386F3" w14:textId="77777777">
        <w:tc>
          <w:tcPr>
            <w:tcW w:w="0" w:type="auto"/>
            <w:gridSpan w:val="3"/>
            <w:shd w:val="clear" w:color="auto" w:fill="auto"/>
            <w:tcMar>
              <w:top w:w="40" w:type="dxa"/>
              <w:left w:w="20" w:type="dxa"/>
              <w:bottom w:w="40" w:type="dxa"/>
              <w:right w:w="20" w:type="dxa"/>
            </w:tcMar>
          </w:tcPr>
          <w:p w14:paraId="675386E5" w14:textId="77777777" w:rsidR="001B77DD" w:rsidRDefault="00BF0A28">
            <w:pPr>
              <w:jc w:val="center"/>
              <w:textAlignment w:val="top"/>
            </w:pPr>
            <w:r>
              <w:rPr>
                <w:rFonts w:ascii="Arial" w:eastAsia="宋体" w:hAnsi="Arial" w:cs="Arial"/>
                <w:color w:val="262626"/>
                <w:sz w:val="18"/>
                <w:szCs w:val="18"/>
              </w:rPr>
              <w:t>4.10</w:t>
            </w:r>
          </w:p>
        </w:tc>
        <w:tc>
          <w:tcPr>
            <w:tcW w:w="0" w:type="auto"/>
            <w:gridSpan w:val="3"/>
            <w:shd w:val="clear" w:color="auto" w:fill="auto"/>
            <w:tcMar>
              <w:top w:w="0" w:type="dxa"/>
              <w:left w:w="20" w:type="dxa"/>
              <w:bottom w:w="0" w:type="dxa"/>
              <w:right w:w="20" w:type="dxa"/>
            </w:tcMar>
            <w:vAlign w:val="bottom"/>
          </w:tcPr>
          <w:p w14:paraId="675386E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E7" w14:textId="77777777" w:rsidR="001B77DD" w:rsidRDefault="00BF0A28">
            <w:pPr>
              <w:textAlignment w:val="top"/>
            </w:pPr>
            <w:hyperlink r:id="rId223" w:history="1">
              <w:r>
                <w:rPr>
                  <w:rStyle w:val="a5"/>
                  <w:rFonts w:ascii="Arial" w:eastAsia="宋体" w:hAnsi="Arial" w:cs="Arial"/>
                  <w:color w:val="262626"/>
                  <w:sz w:val="18"/>
                  <w:szCs w:val="18"/>
                </w:rPr>
                <w:t>Eleventh Supplemental Indenture to Open-Ended Indenture, dated as of August 14, 2017, among Intel Corporation, Wells Fargo</w:t>
              </w:r>
              <w:r>
                <w:rPr>
                  <w:rStyle w:val="a5"/>
                  <w:rFonts w:ascii="Arial" w:eastAsia="宋体" w:hAnsi="Arial" w:cs="Arial"/>
                  <w:color w:val="262626"/>
                  <w:sz w:val="18"/>
                  <w:szCs w:val="18"/>
                </w:rPr>
                <w:t xml:space="preserve"> Bank, National Association, as successor trustee, and Elavon Financial Services DAC, UK Branch, as paying agent</w:t>
              </w:r>
            </w:hyperlink>
          </w:p>
        </w:tc>
        <w:tc>
          <w:tcPr>
            <w:tcW w:w="0" w:type="auto"/>
            <w:gridSpan w:val="3"/>
            <w:shd w:val="clear" w:color="auto" w:fill="auto"/>
            <w:tcMar>
              <w:top w:w="0" w:type="dxa"/>
              <w:left w:w="20" w:type="dxa"/>
              <w:bottom w:w="0" w:type="dxa"/>
              <w:right w:w="20" w:type="dxa"/>
            </w:tcMar>
            <w:vAlign w:val="bottom"/>
          </w:tcPr>
          <w:p w14:paraId="675386E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E9"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6E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EB"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E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6ED" w14:textId="77777777" w:rsidR="001B77DD" w:rsidRDefault="00BF0A28">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675386E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6E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F0" w14:textId="77777777" w:rsidR="001B77DD" w:rsidRDefault="00BF0A28">
            <w:pPr>
              <w:jc w:val="right"/>
              <w:textAlignment w:val="top"/>
            </w:pPr>
            <w:r>
              <w:rPr>
                <w:rFonts w:ascii="Arial" w:eastAsia="宋体" w:hAnsi="Arial" w:cs="Arial"/>
                <w:color w:val="262626"/>
                <w:sz w:val="18"/>
                <w:szCs w:val="18"/>
              </w:rPr>
              <w:t>8/14/2017</w:t>
            </w:r>
          </w:p>
        </w:tc>
        <w:tc>
          <w:tcPr>
            <w:tcW w:w="0" w:type="auto"/>
            <w:gridSpan w:val="3"/>
            <w:shd w:val="clear" w:color="auto" w:fill="auto"/>
            <w:tcMar>
              <w:top w:w="0" w:type="dxa"/>
              <w:left w:w="20" w:type="dxa"/>
              <w:bottom w:w="0" w:type="dxa"/>
              <w:right w:w="20" w:type="dxa"/>
            </w:tcMar>
            <w:vAlign w:val="bottom"/>
          </w:tcPr>
          <w:p w14:paraId="675386F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6F2" w14:textId="77777777" w:rsidR="001B77DD" w:rsidRDefault="001B77DD">
            <w:pPr>
              <w:rPr>
                <w:rFonts w:ascii="宋体"/>
              </w:rPr>
            </w:pPr>
          </w:p>
        </w:tc>
      </w:tr>
      <w:tr w:rsidR="001B77DD" w14:paraId="67538701" w14:textId="77777777">
        <w:tc>
          <w:tcPr>
            <w:tcW w:w="0" w:type="auto"/>
            <w:gridSpan w:val="3"/>
            <w:shd w:val="clear" w:color="auto" w:fill="auto"/>
            <w:tcMar>
              <w:top w:w="40" w:type="dxa"/>
              <w:left w:w="20" w:type="dxa"/>
              <w:bottom w:w="40" w:type="dxa"/>
              <w:right w:w="20" w:type="dxa"/>
            </w:tcMar>
          </w:tcPr>
          <w:p w14:paraId="675386F4" w14:textId="77777777" w:rsidR="001B77DD" w:rsidRDefault="00BF0A28">
            <w:pPr>
              <w:jc w:val="center"/>
              <w:textAlignment w:val="top"/>
            </w:pPr>
            <w:r>
              <w:rPr>
                <w:rFonts w:ascii="Arial" w:eastAsia="宋体" w:hAnsi="Arial" w:cs="Arial"/>
                <w:color w:val="262626"/>
                <w:sz w:val="18"/>
                <w:szCs w:val="18"/>
              </w:rPr>
              <w:t>4.11</w:t>
            </w:r>
          </w:p>
        </w:tc>
        <w:tc>
          <w:tcPr>
            <w:tcW w:w="0" w:type="auto"/>
            <w:gridSpan w:val="3"/>
            <w:shd w:val="clear" w:color="auto" w:fill="auto"/>
            <w:tcMar>
              <w:top w:w="0" w:type="dxa"/>
              <w:left w:w="20" w:type="dxa"/>
              <w:bottom w:w="0" w:type="dxa"/>
              <w:right w:w="20" w:type="dxa"/>
            </w:tcMar>
            <w:vAlign w:val="bottom"/>
          </w:tcPr>
          <w:p w14:paraId="675386F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F6" w14:textId="77777777" w:rsidR="001B77DD" w:rsidRDefault="00BF0A28">
            <w:pPr>
              <w:spacing w:before="40"/>
              <w:textAlignment w:val="top"/>
            </w:pPr>
            <w:hyperlink r:id="rId224" w:history="1">
              <w:r>
                <w:rPr>
                  <w:rStyle w:val="a5"/>
                  <w:rFonts w:ascii="Arial" w:eastAsia="宋体" w:hAnsi="Arial" w:cs="Arial"/>
                  <w:color w:val="262626"/>
                  <w:sz w:val="18"/>
                  <w:szCs w:val="18"/>
                </w:rPr>
                <w:t xml:space="preserve">Twelfth Supplemental Indenture to Open-Ended Indenture, dated as of December 8, 2017, between Intel Corporation and </w:t>
              </w:r>
              <w:r>
                <w:rPr>
                  <w:rStyle w:val="a5"/>
                  <w:rFonts w:ascii="Arial" w:eastAsia="宋体" w:hAnsi="Arial" w:cs="Arial"/>
                  <w:color w:val="262626"/>
                  <w:sz w:val="18"/>
                  <w:szCs w:val="18"/>
                </w:rPr>
                <w:t>Wells Fargo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675386F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F8" w14:textId="77777777" w:rsidR="001B77DD" w:rsidRDefault="00BF0A28">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675386F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FA"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6F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FC" w14:textId="77777777" w:rsidR="001B77DD" w:rsidRDefault="00BF0A28">
            <w:pPr>
              <w:jc w:val="right"/>
              <w:textAlignment w:val="top"/>
            </w:pPr>
            <w:r>
              <w:rPr>
                <w:rFonts w:ascii="Arial" w:eastAsia="宋体" w:hAnsi="Arial" w:cs="Arial"/>
                <w:color w:val="262626"/>
                <w:sz w:val="18"/>
                <w:szCs w:val="18"/>
              </w:rPr>
              <w:t>4.2.13</w:t>
            </w:r>
          </w:p>
        </w:tc>
        <w:tc>
          <w:tcPr>
            <w:tcW w:w="0" w:type="auto"/>
            <w:gridSpan w:val="3"/>
            <w:shd w:val="clear" w:color="auto" w:fill="auto"/>
            <w:tcMar>
              <w:top w:w="0" w:type="dxa"/>
              <w:left w:w="20" w:type="dxa"/>
              <w:bottom w:w="0" w:type="dxa"/>
              <w:right w:w="20" w:type="dxa"/>
            </w:tcMar>
            <w:vAlign w:val="bottom"/>
          </w:tcPr>
          <w:p w14:paraId="675386F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6FE" w14:textId="77777777" w:rsidR="001B77DD" w:rsidRDefault="00BF0A28">
            <w:pPr>
              <w:jc w:val="right"/>
              <w:textAlignment w:val="top"/>
            </w:pPr>
            <w:r>
              <w:rPr>
                <w:rFonts w:ascii="Arial" w:eastAsia="宋体" w:hAnsi="Arial" w:cs="Arial"/>
                <w:color w:val="262626"/>
                <w:sz w:val="18"/>
                <w:szCs w:val="18"/>
              </w:rPr>
              <w:t>2/16/2018</w:t>
            </w:r>
          </w:p>
        </w:tc>
        <w:tc>
          <w:tcPr>
            <w:tcW w:w="0" w:type="auto"/>
            <w:gridSpan w:val="3"/>
            <w:shd w:val="clear" w:color="auto" w:fill="auto"/>
            <w:tcMar>
              <w:top w:w="0" w:type="dxa"/>
              <w:left w:w="20" w:type="dxa"/>
              <w:bottom w:w="0" w:type="dxa"/>
              <w:right w:w="20" w:type="dxa"/>
            </w:tcMar>
            <w:vAlign w:val="bottom"/>
          </w:tcPr>
          <w:p w14:paraId="675386F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00" w14:textId="77777777" w:rsidR="001B77DD" w:rsidRDefault="001B77DD">
            <w:pPr>
              <w:rPr>
                <w:rFonts w:ascii="宋体"/>
              </w:rPr>
            </w:pPr>
          </w:p>
        </w:tc>
      </w:tr>
    </w:tbl>
    <w:p w14:paraId="67538702"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70C" w14:textId="77777777">
        <w:tc>
          <w:tcPr>
            <w:tcW w:w="50" w:type="pct"/>
            <w:shd w:val="clear" w:color="auto" w:fill="auto"/>
            <w:vAlign w:val="bottom"/>
          </w:tcPr>
          <w:p w14:paraId="67538703" w14:textId="77777777" w:rsidR="001B77DD" w:rsidRDefault="001B77DD">
            <w:pPr>
              <w:rPr>
                <w:rFonts w:ascii="宋体"/>
              </w:rPr>
            </w:pPr>
          </w:p>
        </w:tc>
        <w:tc>
          <w:tcPr>
            <w:tcW w:w="283" w:type="pct"/>
            <w:shd w:val="clear" w:color="auto" w:fill="auto"/>
            <w:vAlign w:val="bottom"/>
          </w:tcPr>
          <w:p w14:paraId="67538704" w14:textId="77777777" w:rsidR="001B77DD" w:rsidRDefault="001B77DD">
            <w:pPr>
              <w:rPr>
                <w:rFonts w:ascii="宋体"/>
              </w:rPr>
            </w:pPr>
          </w:p>
        </w:tc>
        <w:tc>
          <w:tcPr>
            <w:tcW w:w="5" w:type="pct"/>
            <w:shd w:val="clear" w:color="auto" w:fill="auto"/>
            <w:vAlign w:val="bottom"/>
          </w:tcPr>
          <w:p w14:paraId="67538705" w14:textId="77777777" w:rsidR="001B77DD" w:rsidRDefault="001B77DD">
            <w:pPr>
              <w:rPr>
                <w:rFonts w:ascii="宋体"/>
              </w:rPr>
            </w:pPr>
          </w:p>
        </w:tc>
        <w:tc>
          <w:tcPr>
            <w:tcW w:w="50" w:type="pct"/>
            <w:shd w:val="clear" w:color="auto" w:fill="auto"/>
            <w:vAlign w:val="bottom"/>
          </w:tcPr>
          <w:p w14:paraId="67538706" w14:textId="77777777" w:rsidR="001B77DD" w:rsidRDefault="001B77DD">
            <w:pPr>
              <w:rPr>
                <w:rFonts w:ascii="宋体"/>
              </w:rPr>
            </w:pPr>
          </w:p>
        </w:tc>
        <w:tc>
          <w:tcPr>
            <w:tcW w:w="2656" w:type="pct"/>
            <w:shd w:val="clear" w:color="auto" w:fill="auto"/>
            <w:vAlign w:val="bottom"/>
          </w:tcPr>
          <w:p w14:paraId="67538707" w14:textId="77777777" w:rsidR="001B77DD" w:rsidRDefault="001B77DD">
            <w:pPr>
              <w:rPr>
                <w:rFonts w:ascii="宋体"/>
              </w:rPr>
            </w:pPr>
          </w:p>
        </w:tc>
        <w:tc>
          <w:tcPr>
            <w:tcW w:w="5" w:type="pct"/>
            <w:shd w:val="clear" w:color="auto" w:fill="auto"/>
            <w:vAlign w:val="bottom"/>
          </w:tcPr>
          <w:p w14:paraId="67538708" w14:textId="77777777" w:rsidR="001B77DD" w:rsidRDefault="001B77DD">
            <w:pPr>
              <w:rPr>
                <w:rFonts w:ascii="宋体"/>
              </w:rPr>
            </w:pPr>
          </w:p>
        </w:tc>
        <w:tc>
          <w:tcPr>
            <w:tcW w:w="50" w:type="pct"/>
            <w:shd w:val="clear" w:color="auto" w:fill="auto"/>
            <w:vAlign w:val="bottom"/>
          </w:tcPr>
          <w:p w14:paraId="67538709" w14:textId="77777777" w:rsidR="001B77DD" w:rsidRDefault="001B77DD">
            <w:pPr>
              <w:rPr>
                <w:rFonts w:ascii="宋体"/>
              </w:rPr>
            </w:pPr>
          </w:p>
        </w:tc>
        <w:tc>
          <w:tcPr>
            <w:tcW w:w="1894" w:type="pct"/>
            <w:shd w:val="clear" w:color="auto" w:fill="auto"/>
            <w:vAlign w:val="bottom"/>
          </w:tcPr>
          <w:p w14:paraId="6753870A" w14:textId="77777777" w:rsidR="001B77DD" w:rsidRDefault="001B77DD">
            <w:pPr>
              <w:rPr>
                <w:rFonts w:ascii="宋体"/>
              </w:rPr>
            </w:pPr>
          </w:p>
        </w:tc>
        <w:tc>
          <w:tcPr>
            <w:tcW w:w="5" w:type="pct"/>
            <w:shd w:val="clear" w:color="auto" w:fill="auto"/>
            <w:vAlign w:val="bottom"/>
          </w:tcPr>
          <w:p w14:paraId="6753870B" w14:textId="77777777" w:rsidR="001B77DD" w:rsidRDefault="001B77DD">
            <w:pPr>
              <w:rPr>
                <w:rFonts w:ascii="宋体"/>
              </w:rPr>
            </w:pPr>
          </w:p>
        </w:tc>
      </w:tr>
      <w:tr w:rsidR="001B77DD" w14:paraId="6753871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70D"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9C" wp14:editId="67538F9D">
                  <wp:extent cx="304800" cy="304800"/>
                  <wp:effectExtent l="0" t="0" r="0" b="0"/>
                  <wp:docPr id="110" name="图片 36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6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70E"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70F" w14:textId="77777777" w:rsidR="001B77DD" w:rsidRDefault="00BF0A28">
            <w:pPr>
              <w:jc w:val="right"/>
              <w:textAlignment w:val="center"/>
            </w:pPr>
            <w:r>
              <w:rPr>
                <w:rFonts w:ascii="Arial" w:eastAsia="宋体" w:hAnsi="Arial" w:cs="Arial"/>
                <w:color w:val="262626"/>
                <w:sz w:val="16"/>
                <w:szCs w:val="16"/>
              </w:rPr>
              <w:t>116</w:t>
            </w:r>
          </w:p>
        </w:tc>
      </w:tr>
    </w:tbl>
    <w:p w14:paraId="67538711" w14:textId="77777777" w:rsidR="001B77DD" w:rsidRDefault="00BF0A28">
      <w:r>
        <w:pict w14:anchorId="67538F9E">
          <v:rect id="_x0000_i1142" style="width:415.3pt;height:1.5pt" o:hralign="center" o:hrstd="t" o:hr="t" fillcolor="#a0a0a0" stroked="f"/>
        </w:pict>
      </w:r>
    </w:p>
    <w:p w14:paraId="67538712" w14:textId="77777777" w:rsidR="001B77DD" w:rsidRDefault="00BF0A28">
      <w:pPr>
        <w:jc w:val="right"/>
      </w:pPr>
      <w:hyperlink r:id="rId225" w:anchor="i6c9ced68f6b24d58a3dcf326e8c3c699_16" w:history="1">
        <w:r>
          <w:rPr>
            <w:rStyle w:val="a5"/>
            <w:rFonts w:ascii="Arial" w:eastAsia="宋体" w:hAnsi="Arial" w:cs="Arial"/>
            <w:b/>
            <w:bCs/>
            <w:sz w:val="16"/>
            <w:szCs w:val="16"/>
          </w:rPr>
          <w:t>Table of Contents</w:t>
        </w:r>
      </w:hyperlink>
    </w:p>
    <w:p w14:paraId="67538713" w14:textId="77777777" w:rsidR="001B77DD" w:rsidRDefault="001B77DD">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42"/>
        <w:gridCol w:w="2598"/>
        <w:gridCol w:w="38"/>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1B77DD" w14:paraId="6753873B" w14:textId="77777777">
        <w:tc>
          <w:tcPr>
            <w:tcW w:w="50" w:type="pct"/>
            <w:shd w:val="clear" w:color="auto" w:fill="auto"/>
            <w:vAlign w:val="bottom"/>
          </w:tcPr>
          <w:p w14:paraId="67538714" w14:textId="77777777" w:rsidR="001B77DD" w:rsidRDefault="001B77DD">
            <w:pPr>
              <w:rPr>
                <w:rFonts w:ascii="宋体"/>
              </w:rPr>
            </w:pPr>
          </w:p>
        </w:tc>
        <w:tc>
          <w:tcPr>
            <w:tcW w:w="384" w:type="pct"/>
            <w:shd w:val="clear" w:color="auto" w:fill="auto"/>
            <w:vAlign w:val="bottom"/>
          </w:tcPr>
          <w:p w14:paraId="67538715" w14:textId="77777777" w:rsidR="001B77DD" w:rsidRDefault="001B77DD">
            <w:pPr>
              <w:rPr>
                <w:rFonts w:ascii="宋体"/>
              </w:rPr>
            </w:pPr>
          </w:p>
        </w:tc>
        <w:tc>
          <w:tcPr>
            <w:tcW w:w="5" w:type="pct"/>
            <w:shd w:val="clear" w:color="auto" w:fill="auto"/>
            <w:vAlign w:val="bottom"/>
          </w:tcPr>
          <w:p w14:paraId="67538716" w14:textId="77777777" w:rsidR="001B77DD" w:rsidRDefault="001B77DD">
            <w:pPr>
              <w:rPr>
                <w:rFonts w:ascii="宋体"/>
              </w:rPr>
            </w:pPr>
          </w:p>
        </w:tc>
        <w:tc>
          <w:tcPr>
            <w:tcW w:w="5" w:type="pct"/>
            <w:shd w:val="clear" w:color="auto" w:fill="auto"/>
            <w:vAlign w:val="bottom"/>
          </w:tcPr>
          <w:p w14:paraId="67538717" w14:textId="77777777" w:rsidR="001B77DD" w:rsidRDefault="001B77DD">
            <w:pPr>
              <w:rPr>
                <w:rFonts w:ascii="宋体"/>
              </w:rPr>
            </w:pPr>
          </w:p>
        </w:tc>
        <w:tc>
          <w:tcPr>
            <w:tcW w:w="24" w:type="pct"/>
            <w:shd w:val="clear" w:color="auto" w:fill="auto"/>
            <w:vAlign w:val="bottom"/>
          </w:tcPr>
          <w:p w14:paraId="67538718" w14:textId="77777777" w:rsidR="001B77DD" w:rsidRDefault="001B77DD">
            <w:pPr>
              <w:rPr>
                <w:rFonts w:ascii="宋体"/>
              </w:rPr>
            </w:pPr>
          </w:p>
        </w:tc>
        <w:tc>
          <w:tcPr>
            <w:tcW w:w="5" w:type="pct"/>
            <w:shd w:val="clear" w:color="auto" w:fill="auto"/>
            <w:vAlign w:val="bottom"/>
          </w:tcPr>
          <w:p w14:paraId="67538719" w14:textId="77777777" w:rsidR="001B77DD" w:rsidRDefault="001B77DD">
            <w:pPr>
              <w:rPr>
                <w:rFonts w:ascii="宋体"/>
              </w:rPr>
            </w:pPr>
          </w:p>
        </w:tc>
        <w:tc>
          <w:tcPr>
            <w:tcW w:w="50" w:type="pct"/>
            <w:shd w:val="clear" w:color="auto" w:fill="auto"/>
            <w:vAlign w:val="bottom"/>
          </w:tcPr>
          <w:p w14:paraId="6753871A" w14:textId="77777777" w:rsidR="001B77DD" w:rsidRDefault="001B77DD">
            <w:pPr>
              <w:rPr>
                <w:rFonts w:ascii="宋体"/>
              </w:rPr>
            </w:pPr>
          </w:p>
        </w:tc>
        <w:tc>
          <w:tcPr>
            <w:tcW w:w="1895" w:type="pct"/>
            <w:shd w:val="clear" w:color="auto" w:fill="auto"/>
            <w:vAlign w:val="bottom"/>
          </w:tcPr>
          <w:p w14:paraId="6753871B" w14:textId="77777777" w:rsidR="001B77DD" w:rsidRDefault="001B77DD">
            <w:pPr>
              <w:rPr>
                <w:rFonts w:ascii="宋体"/>
              </w:rPr>
            </w:pPr>
          </w:p>
        </w:tc>
        <w:tc>
          <w:tcPr>
            <w:tcW w:w="5" w:type="pct"/>
            <w:shd w:val="clear" w:color="auto" w:fill="auto"/>
            <w:vAlign w:val="bottom"/>
          </w:tcPr>
          <w:p w14:paraId="6753871C" w14:textId="77777777" w:rsidR="001B77DD" w:rsidRDefault="001B77DD">
            <w:pPr>
              <w:rPr>
                <w:rFonts w:ascii="宋体"/>
              </w:rPr>
            </w:pPr>
          </w:p>
        </w:tc>
        <w:tc>
          <w:tcPr>
            <w:tcW w:w="5" w:type="pct"/>
            <w:shd w:val="clear" w:color="auto" w:fill="auto"/>
            <w:vAlign w:val="bottom"/>
          </w:tcPr>
          <w:p w14:paraId="6753871D" w14:textId="77777777" w:rsidR="001B77DD" w:rsidRDefault="001B77DD">
            <w:pPr>
              <w:rPr>
                <w:rFonts w:ascii="宋体"/>
              </w:rPr>
            </w:pPr>
          </w:p>
        </w:tc>
        <w:tc>
          <w:tcPr>
            <w:tcW w:w="24" w:type="pct"/>
            <w:shd w:val="clear" w:color="auto" w:fill="auto"/>
            <w:vAlign w:val="bottom"/>
          </w:tcPr>
          <w:p w14:paraId="6753871E" w14:textId="77777777" w:rsidR="001B77DD" w:rsidRDefault="001B77DD">
            <w:pPr>
              <w:rPr>
                <w:rFonts w:ascii="宋体"/>
              </w:rPr>
            </w:pPr>
          </w:p>
        </w:tc>
        <w:tc>
          <w:tcPr>
            <w:tcW w:w="5" w:type="pct"/>
            <w:shd w:val="clear" w:color="auto" w:fill="auto"/>
            <w:vAlign w:val="bottom"/>
          </w:tcPr>
          <w:p w14:paraId="6753871F" w14:textId="77777777" w:rsidR="001B77DD" w:rsidRDefault="001B77DD">
            <w:pPr>
              <w:rPr>
                <w:rFonts w:ascii="宋体"/>
              </w:rPr>
            </w:pPr>
          </w:p>
        </w:tc>
        <w:tc>
          <w:tcPr>
            <w:tcW w:w="50" w:type="pct"/>
            <w:shd w:val="clear" w:color="auto" w:fill="auto"/>
            <w:vAlign w:val="bottom"/>
          </w:tcPr>
          <w:p w14:paraId="67538720" w14:textId="77777777" w:rsidR="001B77DD" w:rsidRDefault="001B77DD">
            <w:pPr>
              <w:rPr>
                <w:rFonts w:ascii="宋体"/>
              </w:rPr>
            </w:pPr>
          </w:p>
        </w:tc>
        <w:tc>
          <w:tcPr>
            <w:tcW w:w="302" w:type="pct"/>
            <w:shd w:val="clear" w:color="auto" w:fill="auto"/>
            <w:vAlign w:val="bottom"/>
          </w:tcPr>
          <w:p w14:paraId="67538721" w14:textId="77777777" w:rsidR="001B77DD" w:rsidRDefault="001B77DD">
            <w:pPr>
              <w:rPr>
                <w:rFonts w:ascii="宋体"/>
              </w:rPr>
            </w:pPr>
          </w:p>
        </w:tc>
        <w:tc>
          <w:tcPr>
            <w:tcW w:w="5" w:type="pct"/>
            <w:shd w:val="clear" w:color="auto" w:fill="auto"/>
            <w:vAlign w:val="bottom"/>
          </w:tcPr>
          <w:p w14:paraId="67538722" w14:textId="77777777" w:rsidR="001B77DD" w:rsidRDefault="001B77DD">
            <w:pPr>
              <w:rPr>
                <w:rFonts w:ascii="宋体"/>
              </w:rPr>
            </w:pPr>
          </w:p>
        </w:tc>
        <w:tc>
          <w:tcPr>
            <w:tcW w:w="5" w:type="pct"/>
            <w:shd w:val="clear" w:color="auto" w:fill="auto"/>
            <w:vAlign w:val="bottom"/>
          </w:tcPr>
          <w:p w14:paraId="67538723" w14:textId="77777777" w:rsidR="001B77DD" w:rsidRDefault="001B77DD">
            <w:pPr>
              <w:rPr>
                <w:rFonts w:ascii="宋体"/>
              </w:rPr>
            </w:pPr>
          </w:p>
        </w:tc>
        <w:tc>
          <w:tcPr>
            <w:tcW w:w="24" w:type="pct"/>
            <w:shd w:val="clear" w:color="auto" w:fill="auto"/>
            <w:vAlign w:val="bottom"/>
          </w:tcPr>
          <w:p w14:paraId="67538724" w14:textId="77777777" w:rsidR="001B77DD" w:rsidRDefault="001B77DD">
            <w:pPr>
              <w:rPr>
                <w:rFonts w:ascii="宋体"/>
              </w:rPr>
            </w:pPr>
          </w:p>
        </w:tc>
        <w:tc>
          <w:tcPr>
            <w:tcW w:w="5" w:type="pct"/>
            <w:shd w:val="clear" w:color="auto" w:fill="auto"/>
            <w:vAlign w:val="bottom"/>
          </w:tcPr>
          <w:p w14:paraId="67538725" w14:textId="77777777" w:rsidR="001B77DD" w:rsidRDefault="001B77DD">
            <w:pPr>
              <w:rPr>
                <w:rFonts w:ascii="宋体"/>
              </w:rPr>
            </w:pPr>
          </w:p>
        </w:tc>
        <w:tc>
          <w:tcPr>
            <w:tcW w:w="50" w:type="pct"/>
            <w:shd w:val="clear" w:color="auto" w:fill="auto"/>
            <w:vAlign w:val="bottom"/>
          </w:tcPr>
          <w:p w14:paraId="67538726" w14:textId="77777777" w:rsidR="001B77DD" w:rsidRDefault="001B77DD">
            <w:pPr>
              <w:rPr>
                <w:rFonts w:ascii="宋体"/>
              </w:rPr>
            </w:pPr>
          </w:p>
        </w:tc>
        <w:tc>
          <w:tcPr>
            <w:tcW w:w="576" w:type="pct"/>
            <w:shd w:val="clear" w:color="auto" w:fill="auto"/>
            <w:vAlign w:val="bottom"/>
          </w:tcPr>
          <w:p w14:paraId="67538727" w14:textId="77777777" w:rsidR="001B77DD" w:rsidRDefault="001B77DD">
            <w:pPr>
              <w:rPr>
                <w:rFonts w:ascii="宋体"/>
              </w:rPr>
            </w:pPr>
          </w:p>
        </w:tc>
        <w:tc>
          <w:tcPr>
            <w:tcW w:w="5" w:type="pct"/>
            <w:shd w:val="clear" w:color="auto" w:fill="auto"/>
            <w:vAlign w:val="bottom"/>
          </w:tcPr>
          <w:p w14:paraId="67538728" w14:textId="77777777" w:rsidR="001B77DD" w:rsidRDefault="001B77DD">
            <w:pPr>
              <w:rPr>
                <w:rFonts w:ascii="宋体"/>
              </w:rPr>
            </w:pPr>
          </w:p>
        </w:tc>
        <w:tc>
          <w:tcPr>
            <w:tcW w:w="5" w:type="pct"/>
            <w:shd w:val="clear" w:color="auto" w:fill="auto"/>
            <w:vAlign w:val="bottom"/>
          </w:tcPr>
          <w:p w14:paraId="67538729" w14:textId="77777777" w:rsidR="001B77DD" w:rsidRDefault="001B77DD">
            <w:pPr>
              <w:rPr>
                <w:rFonts w:ascii="宋体"/>
              </w:rPr>
            </w:pPr>
          </w:p>
        </w:tc>
        <w:tc>
          <w:tcPr>
            <w:tcW w:w="24" w:type="pct"/>
            <w:shd w:val="clear" w:color="auto" w:fill="auto"/>
            <w:vAlign w:val="bottom"/>
          </w:tcPr>
          <w:p w14:paraId="6753872A" w14:textId="77777777" w:rsidR="001B77DD" w:rsidRDefault="001B77DD">
            <w:pPr>
              <w:rPr>
                <w:rFonts w:ascii="宋体"/>
              </w:rPr>
            </w:pPr>
          </w:p>
        </w:tc>
        <w:tc>
          <w:tcPr>
            <w:tcW w:w="5" w:type="pct"/>
            <w:shd w:val="clear" w:color="auto" w:fill="auto"/>
            <w:vAlign w:val="bottom"/>
          </w:tcPr>
          <w:p w14:paraId="6753872B" w14:textId="77777777" w:rsidR="001B77DD" w:rsidRDefault="001B77DD">
            <w:pPr>
              <w:rPr>
                <w:rFonts w:ascii="宋体"/>
              </w:rPr>
            </w:pPr>
          </w:p>
        </w:tc>
        <w:tc>
          <w:tcPr>
            <w:tcW w:w="50" w:type="pct"/>
            <w:shd w:val="clear" w:color="auto" w:fill="auto"/>
            <w:vAlign w:val="bottom"/>
          </w:tcPr>
          <w:p w14:paraId="6753872C" w14:textId="77777777" w:rsidR="001B77DD" w:rsidRDefault="001B77DD">
            <w:pPr>
              <w:rPr>
                <w:rFonts w:ascii="宋体"/>
              </w:rPr>
            </w:pPr>
          </w:p>
        </w:tc>
        <w:tc>
          <w:tcPr>
            <w:tcW w:w="308" w:type="pct"/>
            <w:shd w:val="clear" w:color="auto" w:fill="auto"/>
            <w:vAlign w:val="bottom"/>
          </w:tcPr>
          <w:p w14:paraId="6753872D" w14:textId="77777777" w:rsidR="001B77DD" w:rsidRDefault="001B77DD">
            <w:pPr>
              <w:rPr>
                <w:rFonts w:ascii="宋体"/>
              </w:rPr>
            </w:pPr>
          </w:p>
        </w:tc>
        <w:tc>
          <w:tcPr>
            <w:tcW w:w="5" w:type="pct"/>
            <w:shd w:val="clear" w:color="auto" w:fill="auto"/>
            <w:vAlign w:val="bottom"/>
          </w:tcPr>
          <w:p w14:paraId="6753872E" w14:textId="77777777" w:rsidR="001B77DD" w:rsidRDefault="001B77DD">
            <w:pPr>
              <w:rPr>
                <w:rFonts w:ascii="宋体"/>
              </w:rPr>
            </w:pPr>
          </w:p>
        </w:tc>
        <w:tc>
          <w:tcPr>
            <w:tcW w:w="5" w:type="pct"/>
            <w:shd w:val="clear" w:color="auto" w:fill="auto"/>
            <w:vAlign w:val="bottom"/>
          </w:tcPr>
          <w:p w14:paraId="6753872F" w14:textId="77777777" w:rsidR="001B77DD" w:rsidRDefault="001B77DD">
            <w:pPr>
              <w:rPr>
                <w:rFonts w:ascii="宋体"/>
              </w:rPr>
            </w:pPr>
          </w:p>
        </w:tc>
        <w:tc>
          <w:tcPr>
            <w:tcW w:w="24" w:type="pct"/>
            <w:shd w:val="clear" w:color="auto" w:fill="auto"/>
            <w:vAlign w:val="bottom"/>
          </w:tcPr>
          <w:p w14:paraId="67538730" w14:textId="77777777" w:rsidR="001B77DD" w:rsidRDefault="001B77DD">
            <w:pPr>
              <w:rPr>
                <w:rFonts w:ascii="宋体"/>
              </w:rPr>
            </w:pPr>
          </w:p>
        </w:tc>
        <w:tc>
          <w:tcPr>
            <w:tcW w:w="5" w:type="pct"/>
            <w:shd w:val="clear" w:color="auto" w:fill="auto"/>
            <w:vAlign w:val="bottom"/>
          </w:tcPr>
          <w:p w14:paraId="67538731" w14:textId="77777777" w:rsidR="001B77DD" w:rsidRDefault="001B77DD">
            <w:pPr>
              <w:rPr>
                <w:rFonts w:ascii="宋体"/>
              </w:rPr>
            </w:pPr>
          </w:p>
        </w:tc>
        <w:tc>
          <w:tcPr>
            <w:tcW w:w="50" w:type="pct"/>
            <w:shd w:val="clear" w:color="auto" w:fill="auto"/>
            <w:vAlign w:val="bottom"/>
          </w:tcPr>
          <w:p w14:paraId="67538732" w14:textId="77777777" w:rsidR="001B77DD" w:rsidRDefault="001B77DD">
            <w:pPr>
              <w:rPr>
                <w:rFonts w:ascii="宋体"/>
              </w:rPr>
            </w:pPr>
          </w:p>
        </w:tc>
        <w:tc>
          <w:tcPr>
            <w:tcW w:w="466" w:type="pct"/>
            <w:shd w:val="clear" w:color="auto" w:fill="auto"/>
            <w:vAlign w:val="bottom"/>
          </w:tcPr>
          <w:p w14:paraId="67538733" w14:textId="77777777" w:rsidR="001B77DD" w:rsidRDefault="001B77DD">
            <w:pPr>
              <w:rPr>
                <w:rFonts w:ascii="宋体"/>
              </w:rPr>
            </w:pPr>
          </w:p>
        </w:tc>
        <w:tc>
          <w:tcPr>
            <w:tcW w:w="5" w:type="pct"/>
            <w:shd w:val="clear" w:color="auto" w:fill="auto"/>
            <w:vAlign w:val="bottom"/>
          </w:tcPr>
          <w:p w14:paraId="67538734" w14:textId="77777777" w:rsidR="001B77DD" w:rsidRDefault="001B77DD">
            <w:pPr>
              <w:rPr>
                <w:rFonts w:ascii="宋体"/>
              </w:rPr>
            </w:pPr>
          </w:p>
        </w:tc>
        <w:tc>
          <w:tcPr>
            <w:tcW w:w="5" w:type="pct"/>
            <w:shd w:val="clear" w:color="auto" w:fill="auto"/>
            <w:vAlign w:val="bottom"/>
          </w:tcPr>
          <w:p w14:paraId="67538735" w14:textId="77777777" w:rsidR="001B77DD" w:rsidRDefault="001B77DD">
            <w:pPr>
              <w:rPr>
                <w:rFonts w:ascii="宋体"/>
              </w:rPr>
            </w:pPr>
          </w:p>
        </w:tc>
        <w:tc>
          <w:tcPr>
            <w:tcW w:w="24" w:type="pct"/>
            <w:shd w:val="clear" w:color="auto" w:fill="auto"/>
            <w:vAlign w:val="bottom"/>
          </w:tcPr>
          <w:p w14:paraId="67538736" w14:textId="77777777" w:rsidR="001B77DD" w:rsidRDefault="001B77DD">
            <w:pPr>
              <w:rPr>
                <w:rFonts w:ascii="宋体"/>
              </w:rPr>
            </w:pPr>
          </w:p>
        </w:tc>
        <w:tc>
          <w:tcPr>
            <w:tcW w:w="5" w:type="pct"/>
            <w:shd w:val="clear" w:color="auto" w:fill="auto"/>
            <w:vAlign w:val="bottom"/>
          </w:tcPr>
          <w:p w14:paraId="67538737" w14:textId="77777777" w:rsidR="001B77DD" w:rsidRDefault="001B77DD">
            <w:pPr>
              <w:rPr>
                <w:rFonts w:ascii="宋体"/>
              </w:rPr>
            </w:pPr>
          </w:p>
        </w:tc>
        <w:tc>
          <w:tcPr>
            <w:tcW w:w="50" w:type="pct"/>
            <w:shd w:val="clear" w:color="auto" w:fill="auto"/>
            <w:vAlign w:val="bottom"/>
          </w:tcPr>
          <w:p w14:paraId="67538738" w14:textId="77777777" w:rsidR="001B77DD" w:rsidRDefault="001B77DD">
            <w:pPr>
              <w:rPr>
                <w:rFonts w:ascii="宋体"/>
              </w:rPr>
            </w:pPr>
          </w:p>
        </w:tc>
        <w:tc>
          <w:tcPr>
            <w:tcW w:w="474" w:type="pct"/>
            <w:shd w:val="clear" w:color="auto" w:fill="auto"/>
            <w:vAlign w:val="bottom"/>
          </w:tcPr>
          <w:p w14:paraId="67538739" w14:textId="77777777" w:rsidR="001B77DD" w:rsidRDefault="001B77DD">
            <w:pPr>
              <w:rPr>
                <w:rFonts w:ascii="宋体"/>
              </w:rPr>
            </w:pPr>
          </w:p>
        </w:tc>
        <w:tc>
          <w:tcPr>
            <w:tcW w:w="5" w:type="pct"/>
            <w:shd w:val="clear" w:color="auto" w:fill="auto"/>
            <w:vAlign w:val="bottom"/>
          </w:tcPr>
          <w:p w14:paraId="6753873A" w14:textId="77777777" w:rsidR="001B77DD" w:rsidRDefault="001B77DD">
            <w:pPr>
              <w:rPr>
                <w:rFonts w:ascii="宋体"/>
              </w:rPr>
            </w:pPr>
          </w:p>
        </w:tc>
      </w:tr>
      <w:tr w:rsidR="001B77DD" w14:paraId="67538744"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6753873C" w14:textId="77777777" w:rsidR="001B77DD" w:rsidRDefault="00BF0A28">
            <w:pPr>
              <w:jc w:val="center"/>
              <w:textAlignment w:val="bottom"/>
            </w:pPr>
            <w:r>
              <w:rPr>
                <w:rFonts w:ascii="Arial" w:eastAsia="宋体" w:hAnsi="Arial" w:cs="Arial"/>
                <w:b/>
                <w:bCs/>
                <w:color w:val="262626"/>
                <w:sz w:val="18"/>
                <w:szCs w:val="18"/>
              </w:rPr>
              <w:t>Exhibit</w:t>
            </w:r>
          </w:p>
          <w:p w14:paraId="6753873D" w14:textId="77777777" w:rsidR="001B77DD" w:rsidRDefault="00BF0A28">
            <w:pP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vAlign w:val="bottom"/>
          </w:tcPr>
          <w:p w14:paraId="6753873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3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40" w14:textId="77777777" w:rsidR="001B77DD" w:rsidRDefault="001B77DD">
            <w:pPr>
              <w:rPr>
                <w:rFonts w:ascii="宋体"/>
              </w:rPr>
            </w:pPr>
          </w:p>
        </w:tc>
        <w:tc>
          <w:tcPr>
            <w:tcW w:w="0" w:type="auto"/>
            <w:gridSpan w:val="21"/>
            <w:shd w:val="clear" w:color="auto" w:fill="auto"/>
            <w:tcMar>
              <w:top w:w="40" w:type="dxa"/>
              <w:left w:w="20" w:type="dxa"/>
              <w:bottom w:w="40" w:type="dxa"/>
              <w:right w:w="20" w:type="dxa"/>
            </w:tcMar>
            <w:vAlign w:val="bottom"/>
          </w:tcPr>
          <w:p w14:paraId="67538741" w14:textId="77777777" w:rsidR="001B77DD" w:rsidRDefault="00BF0A28">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67538742" w14:textId="77777777" w:rsidR="001B77DD" w:rsidRDefault="001B77DD">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67538743" w14:textId="77777777" w:rsidR="001B77DD" w:rsidRDefault="00BF0A28">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1B77DD" w14:paraId="67538752"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67538745"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8746" w14:textId="77777777" w:rsidR="001B77DD" w:rsidRDefault="001B77DD">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8747" w14:textId="77777777" w:rsidR="001B77DD" w:rsidRDefault="00BF0A28">
            <w:pP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67538748"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749" w14:textId="77777777" w:rsidR="001B77DD" w:rsidRDefault="00BF0A28">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74A"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74B" w14:textId="77777777" w:rsidR="001B77DD" w:rsidRDefault="00BF0A28">
            <w:pPr>
              <w:jc w:val="center"/>
              <w:textAlignment w:val="bottom"/>
            </w:pPr>
            <w:r>
              <w:rPr>
                <w:rFonts w:ascii="Arial" w:eastAsia="宋体" w:hAnsi="Arial" w:cs="Arial"/>
                <w:b/>
                <w:bCs/>
                <w:color w:val="262626"/>
                <w:sz w:val="18"/>
                <w:szCs w:val="18"/>
              </w:rPr>
              <w:t>File 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74C"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74D" w14:textId="77777777" w:rsidR="001B77DD" w:rsidRDefault="00BF0A28">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74E"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74F" w14:textId="77777777" w:rsidR="001B77DD" w:rsidRDefault="00BF0A28">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67538750" w14:textId="77777777" w:rsidR="001B77DD" w:rsidRDefault="001B77DD">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67538751" w14:textId="77777777" w:rsidR="001B77DD" w:rsidRDefault="001B77DD">
            <w:pPr>
              <w:jc w:val="center"/>
              <w:rPr>
                <w:rFonts w:ascii="宋体"/>
              </w:rPr>
            </w:pPr>
          </w:p>
        </w:tc>
      </w:tr>
      <w:tr w:rsidR="001B77DD" w14:paraId="67538761" w14:textId="77777777">
        <w:tc>
          <w:tcPr>
            <w:tcW w:w="0" w:type="auto"/>
            <w:gridSpan w:val="3"/>
            <w:shd w:val="clear" w:color="auto" w:fill="auto"/>
            <w:tcMar>
              <w:top w:w="40" w:type="dxa"/>
              <w:left w:w="20" w:type="dxa"/>
              <w:bottom w:w="40" w:type="dxa"/>
              <w:right w:w="20" w:type="dxa"/>
            </w:tcMar>
          </w:tcPr>
          <w:p w14:paraId="67538753" w14:textId="77777777" w:rsidR="001B77DD" w:rsidRDefault="00BF0A28">
            <w:pPr>
              <w:jc w:val="center"/>
              <w:textAlignment w:val="top"/>
            </w:pPr>
            <w:r>
              <w:rPr>
                <w:rFonts w:ascii="Arial" w:eastAsia="宋体" w:hAnsi="Arial" w:cs="Arial"/>
                <w:color w:val="262626"/>
                <w:sz w:val="18"/>
                <w:szCs w:val="18"/>
              </w:rPr>
              <w:t>4.12</w:t>
            </w:r>
          </w:p>
        </w:tc>
        <w:tc>
          <w:tcPr>
            <w:tcW w:w="0" w:type="auto"/>
            <w:gridSpan w:val="3"/>
            <w:shd w:val="clear" w:color="auto" w:fill="auto"/>
            <w:tcMar>
              <w:top w:w="0" w:type="dxa"/>
              <w:left w:w="20" w:type="dxa"/>
              <w:bottom w:w="0" w:type="dxa"/>
              <w:right w:w="20" w:type="dxa"/>
            </w:tcMar>
            <w:vAlign w:val="bottom"/>
          </w:tcPr>
          <w:p w14:paraId="6753875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755" w14:textId="77777777" w:rsidR="001B77DD" w:rsidRDefault="00BF0A28">
            <w:pPr>
              <w:textAlignment w:val="bottom"/>
            </w:pPr>
            <w:hyperlink r:id="rId226" w:history="1">
              <w:r>
                <w:rPr>
                  <w:rStyle w:val="a5"/>
                  <w:rFonts w:ascii="Arial" w:eastAsia="宋体" w:hAnsi="Arial" w:cs="Arial"/>
                  <w:color w:val="262626"/>
                  <w:sz w:val="18"/>
                  <w:szCs w:val="18"/>
                </w:rPr>
                <w:t>Thirteenth Supplemental Indenture, dated as of November 21, 2019, between Intel Corpora</w:t>
              </w:r>
              <w:r>
                <w:rPr>
                  <w:rStyle w:val="a5"/>
                  <w:rFonts w:ascii="Arial" w:eastAsia="宋体" w:hAnsi="Arial" w:cs="Arial"/>
                  <w:color w:val="262626"/>
                  <w:sz w:val="18"/>
                  <w:szCs w:val="18"/>
                </w:rPr>
                <w:t>tion and Wells Fargo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6753875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57"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75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59"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5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75B" w14:textId="77777777" w:rsidR="001B77DD" w:rsidRDefault="00BF0A28">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6753875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75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5E" w14:textId="77777777" w:rsidR="001B77DD" w:rsidRDefault="00BF0A28">
            <w:pPr>
              <w:jc w:val="right"/>
              <w:textAlignment w:val="top"/>
            </w:pPr>
            <w:r>
              <w:rPr>
                <w:rFonts w:ascii="Arial" w:eastAsia="宋体" w:hAnsi="Arial" w:cs="Arial"/>
                <w:color w:val="262626"/>
                <w:sz w:val="18"/>
                <w:szCs w:val="18"/>
              </w:rPr>
              <w:t>11/21/2019</w:t>
            </w:r>
          </w:p>
        </w:tc>
        <w:tc>
          <w:tcPr>
            <w:tcW w:w="0" w:type="auto"/>
            <w:gridSpan w:val="3"/>
            <w:shd w:val="clear" w:color="auto" w:fill="auto"/>
            <w:tcMar>
              <w:top w:w="0" w:type="dxa"/>
              <w:left w:w="20" w:type="dxa"/>
              <w:bottom w:w="0" w:type="dxa"/>
              <w:right w:w="20" w:type="dxa"/>
            </w:tcMar>
            <w:vAlign w:val="bottom"/>
          </w:tcPr>
          <w:p w14:paraId="6753875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60" w14:textId="77777777" w:rsidR="001B77DD" w:rsidRDefault="001B77DD">
            <w:pPr>
              <w:rPr>
                <w:rFonts w:ascii="宋体"/>
              </w:rPr>
            </w:pPr>
          </w:p>
        </w:tc>
      </w:tr>
      <w:tr w:rsidR="001B77DD" w14:paraId="6753876F" w14:textId="77777777">
        <w:tc>
          <w:tcPr>
            <w:tcW w:w="0" w:type="auto"/>
            <w:gridSpan w:val="3"/>
            <w:shd w:val="clear" w:color="auto" w:fill="auto"/>
            <w:tcMar>
              <w:top w:w="40" w:type="dxa"/>
              <w:left w:w="20" w:type="dxa"/>
              <w:bottom w:w="40" w:type="dxa"/>
              <w:right w:w="20" w:type="dxa"/>
            </w:tcMar>
          </w:tcPr>
          <w:p w14:paraId="67538762" w14:textId="77777777" w:rsidR="001B77DD" w:rsidRDefault="00BF0A28">
            <w:pPr>
              <w:jc w:val="center"/>
              <w:textAlignment w:val="top"/>
            </w:pPr>
            <w:r>
              <w:rPr>
                <w:rFonts w:ascii="Arial" w:eastAsia="宋体" w:hAnsi="Arial" w:cs="Arial"/>
                <w:color w:val="262626"/>
                <w:sz w:val="18"/>
                <w:szCs w:val="18"/>
              </w:rPr>
              <w:t>4.13</w:t>
            </w:r>
          </w:p>
        </w:tc>
        <w:tc>
          <w:tcPr>
            <w:tcW w:w="0" w:type="auto"/>
            <w:gridSpan w:val="3"/>
            <w:shd w:val="clear" w:color="auto" w:fill="auto"/>
            <w:tcMar>
              <w:top w:w="0" w:type="dxa"/>
              <w:left w:w="20" w:type="dxa"/>
              <w:bottom w:w="0" w:type="dxa"/>
              <w:right w:w="20" w:type="dxa"/>
            </w:tcMar>
            <w:vAlign w:val="bottom"/>
          </w:tcPr>
          <w:p w14:paraId="6753876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764" w14:textId="77777777" w:rsidR="001B77DD" w:rsidRDefault="00BF0A28">
            <w:pPr>
              <w:textAlignment w:val="bottom"/>
            </w:pPr>
            <w:hyperlink r:id="rId227" w:history="1">
              <w:r>
                <w:rPr>
                  <w:rStyle w:val="a5"/>
                  <w:rFonts w:ascii="Arial" w:eastAsia="宋体" w:hAnsi="Arial" w:cs="Arial"/>
                  <w:color w:val="262626"/>
                  <w:sz w:val="18"/>
                  <w:szCs w:val="18"/>
                </w:rPr>
                <w:t>Fourteenth Supplemental Indenture, dated as of February 13, 2020, between Intel Corporation and Wells Fargo Bank, National As</w:t>
              </w:r>
              <w:r>
                <w:rPr>
                  <w:rStyle w:val="a5"/>
                  <w:rFonts w:ascii="Arial" w:eastAsia="宋体" w:hAnsi="Arial" w:cs="Arial"/>
                  <w:color w:val="262626"/>
                  <w:sz w:val="18"/>
                  <w:szCs w:val="18"/>
                </w:rPr>
                <w:t>sociation, as successor trustee</w:t>
              </w:r>
            </w:hyperlink>
          </w:p>
        </w:tc>
        <w:tc>
          <w:tcPr>
            <w:tcW w:w="0" w:type="auto"/>
            <w:gridSpan w:val="3"/>
            <w:shd w:val="clear" w:color="auto" w:fill="auto"/>
            <w:tcMar>
              <w:top w:w="0" w:type="dxa"/>
              <w:left w:w="20" w:type="dxa"/>
              <w:bottom w:w="0" w:type="dxa"/>
              <w:right w:w="20" w:type="dxa"/>
            </w:tcMar>
            <w:vAlign w:val="bottom"/>
          </w:tcPr>
          <w:p w14:paraId="6753876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66"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76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68"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6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6A" w14:textId="77777777" w:rsidR="001B77DD" w:rsidRDefault="00BF0A28">
            <w:pPr>
              <w:jc w:val="right"/>
              <w:textAlignment w:val="top"/>
            </w:pPr>
            <w:r>
              <w:rPr>
                <w:rFonts w:ascii="Arial" w:eastAsia="宋体" w:hAnsi="Arial" w:cs="Arial"/>
                <w:color w:val="262626"/>
                <w:sz w:val="18"/>
                <w:szCs w:val="18"/>
              </w:rPr>
              <w:t>4.1</w:t>
            </w:r>
          </w:p>
        </w:tc>
        <w:tc>
          <w:tcPr>
            <w:tcW w:w="0" w:type="auto"/>
            <w:gridSpan w:val="3"/>
            <w:shd w:val="clear" w:color="auto" w:fill="auto"/>
            <w:tcMar>
              <w:top w:w="0" w:type="dxa"/>
              <w:left w:w="20" w:type="dxa"/>
              <w:bottom w:w="0" w:type="dxa"/>
              <w:right w:w="20" w:type="dxa"/>
            </w:tcMar>
            <w:vAlign w:val="bottom"/>
          </w:tcPr>
          <w:p w14:paraId="6753876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6C" w14:textId="77777777" w:rsidR="001B77DD" w:rsidRDefault="00BF0A28">
            <w:pPr>
              <w:jc w:val="right"/>
              <w:textAlignment w:val="top"/>
            </w:pPr>
            <w:r>
              <w:rPr>
                <w:rFonts w:ascii="Arial" w:eastAsia="宋体" w:hAnsi="Arial" w:cs="Arial"/>
                <w:color w:val="262626"/>
                <w:sz w:val="18"/>
                <w:szCs w:val="18"/>
              </w:rPr>
              <w:t>2/13/2020</w:t>
            </w:r>
          </w:p>
        </w:tc>
        <w:tc>
          <w:tcPr>
            <w:tcW w:w="0" w:type="auto"/>
            <w:gridSpan w:val="3"/>
            <w:shd w:val="clear" w:color="auto" w:fill="auto"/>
            <w:tcMar>
              <w:top w:w="0" w:type="dxa"/>
              <w:left w:w="20" w:type="dxa"/>
              <w:bottom w:w="0" w:type="dxa"/>
              <w:right w:w="20" w:type="dxa"/>
            </w:tcMar>
            <w:vAlign w:val="bottom"/>
          </w:tcPr>
          <w:p w14:paraId="6753876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6E" w14:textId="77777777" w:rsidR="001B77DD" w:rsidRDefault="001B77DD">
            <w:pPr>
              <w:rPr>
                <w:rFonts w:ascii="宋体"/>
              </w:rPr>
            </w:pPr>
          </w:p>
        </w:tc>
      </w:tr>
      <w:tr w:rsidR="001B77DD" w14:paraId="6753877E" w14:textId="77777777">
        <w:tc>
          <w:tcPr>
            <w:tcW w:w="0" w:type="auto"/>
            <w:gridSpan w:val="3"/>
            <w:shd w:val="clear" w:color="auto" w:fill="auto"/>
            <w:tcMar>
              <w:top w:w="40" w:type="dxa"/>
              <w:left w:w="20" w:type="dxa"/>
              <w:bottom w:w="40" w:type="dxa"/>
              <w:right w:w="20" w:type="dxa"/>
            </w:tcMar>
          </w:tcPr>
          <w:p w14:paraId="67538770" w14:textId="77777777" w:rsidR="001B77DD" w:rsidRDefault="00BF0A28">
            <w:pPr>
              <w:jc w:val="center"/>
              <w:textAlignment w:val="top"/>
            </w:pPr>
            <w:r>
              <w:rPr>
                <w:rFonts w:ascii="Arial" w:eastAsia="宋体" w:hAnsi="Arial" w:cs="Arial"/>
                <w:color w:val="262626"/>
                <w:sz w:val="18"/>
                <w:szCs w:val="18"/>
              </w:rPr>
              <w:t>4.14</w:t>
            </w:r>
          </w:p>
        </w:tc>
        <w:tc>
          <w:tcPr>
            <w:tcW w:w="0" w:type="auto"/>
            <w:gridSpan w:val="3"/>
            <w:shd w:val="clear" w:color="auto" w:fill="auto"/>
            <w:tcMar>
              <w:top w:w="0" w:type="dxa"/>
              <w:left w:w="20" w:type="dxa"/>
              <w:bottom w:w="0" w:type="dxa"/>
              <w:right w:w="20" w:type="dxa"/>
            </w:tcMar>
            <w:vAlign w:val="bottom"/>
          </w:tcPr>
          <w:p w14:paraId="6753877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72" w14:textId="77777777" w:rsidR="001B77DD" w:rsidRDefault="00BF0A28">
            <w:pPr>
              <w:textAlignment w:val="top"/>
            </w:pPr>
            <w:hyperlink r:id="rId228" w:history="1">
              <w:r>
                <w:rPr>
                  <w:rStyle w:val="a5"/>
                  <w:rFonts w:ascii="Arial" w:eastAsia="宋体" w:hAnsi="Arial" w:cs="Arial"/>
                  <w:color w:val="262626"/>
                  <w:sz w:val="18"/>
                  <w:szCs w:val="18"/>
                </w:rPr>
                <w:t>Fifteenth Supplemental Indenture, dated as of February 13, 2020, between Intel Corporation and Wells Fargo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6753877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74"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77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76"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7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778" w14:textId="77777777" w:rsidR="001B77DD" w:rsidRDefault="00BF0A28">
            <w:pPr>
              <w:jc w:val="right"/>
              <w:textAlignment w:val="top"/>
            </w:pPr>
            <w:r>
              <w:rPr>
                <w:rFonts w:ascii="Arial" w:eastAsia="宋体" w:hAnsi="Arial" w:cs="Arial"/>
                <w:color w:val="262626"/>
                <w:sz w:val="18"/>
                <w:szCs w:val="18"/>
              </w:rPr>
              <w:t>4.2 </w:t>
            </w:r>
          </w:p>
        </w:tc>
        <w:tc>
          <w:tcPr>
            <w:tcW w:w="0" w:type="auto"/>
            <w:shd w:val="clear" w:color="auto" w:fill="auto"/>
            <w:tcMar>
              <w:top w:w="40" w:type="dxa"/>
              <w:left w:w="0" w:type="dxa"/>
              <w:bottom w:w="40" w:type="dxa"/>
              <w:right w:w="20" w:type="dxa"/>
            </w:tcMar>
          </w:tcPr>
          <w:p w14:paraId="6753877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77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7B" w14:textId="77777777" w:rsidR="001B77DD" w:rsidRDefault="00BF0A28">
            <w:pPr>
              <w:jc w:val="right"/>
              <w:textAlignment w:val="top"/>
            </w:pPr>
            <w:r>
              <w:rPr>
                <w:rFonts w:ascii="Arial" w:eastAsia="宋体" w:hAnsi="Arial" w:cs="Arial"/>
                <w:color w:val="262626"/>
                <w:sz w:val="18"/>
                <w:szCs w:val="18"/>
              </w:rPr>
              <w:t>2/13/2020</w:t>
            </w:r>
          </w:p>
        </w:tc>
        <w:tc>
          <w:tcPr>
            <w:tcW w:w="0" w:type="auto"/>
            <w:gridSpan w:val="3"/>
            <w:shd w:val="clear" w:color="auto" w:fill="auto"/>
            <w:tcMar>
              <w:top w:w="0" w:type="dxa"/>
              <w:left w:w="20" w:type="dxa"/>
              <w:bottom w:w="0" w:type="dxa"/>
              <w:right w:w="20" w:type="dxa"/>
            </w:tcMar>
            <w:vAlign w:val="bottom"/>
          </w:tcPr>
          <w:p w14:paraId="6753877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7D" w14:textId="77777777" w:rsidR="001B77DD" w:rsidRDefault="001B77DD">
            <w:pPr>
              <w:rPr>
                <w:rFonts w:ascii="宋体"/>
              </w:rPr>
            </w:pPr>
          </w:p>
        </w:tc>
      </w:tr>
      <w:tr w:rsidR="001B77DD" w14:paraId="6753878D" w14:textId="77777777">
        <w:tc>
          <w:tcPr>
            <w:tcW w:w="0" w:type="auto"/>
            <w:gridSpan w:val="3"/>
            <w:shd w:val="clear" w:color="auto" w:fill="auto"/>
            <w:tcMar>
              <w:top w:w="40" w:type="dxa"/>
              <w:left w:w="20" w:type="dxa"/>
              <w:bottom w:w="40" w:type="dxa"/>
              <w:right w:w="20" w:type="dxa"/>
            </w:tcMar>
          </w:tcPr>
          <w:p w14:paraId="6753877F" w14:textId="77777777" w:rsidR="001B77DD" w:rsidRDefault="00BF0A28">
            <w:pPr>
              <w:jc w:val="center"/>
              <w:textAlignment w:val="top"/>
            </w:pPr>
            <w:r>
              <w:rPr>
                <w:rFonts w:ascii="Arial" w:eastAsia="宋体" w:hAnsi="Arial" w:cs="Arial"/>
                <w:color w:val="262626"/>
                <w:sz w:val="18"/>
                <w:szCs w:val="18"/>
              </w:rPr>
              <w:t>4.15</w:t>
            </w:r>
          </w:p>
        </w:tc>
        <w:tc>
          <w:tcPr>
            <w:tcW w:w="0" w:type="auto"/>
            <w:gridSpan w:val="3"/>
            <w:shd w:val="clear" w:color="auto" w:fill="auto"/>
            <w:tcMar>
              <w:top w:w="0" w:type="dxa"/>
              <w:left w:w="20" w:type="dxa"/>
              <w:bottom w:w="0" w:type="dxa"/>
              <w:right w:w="20" w:type="dxa"/>
            </w:tcMar>
            <w:vAlign w:val="bottom"/>
          </w:tcPr>
          <w:p w14:paraId="6753878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781" w14:textId="77777777" w:rsidR="001B77DD" w:rsidRDefault="00BF0A28">
            <w:pPr>
              <w:textAlignment w:val="bottom"/>
            </w:pPr>
            <w:hyperlink r:id="rId229" w:history="1">
              <w:r>
                <w:rPr>
                  <w:rStyle w:val="a5"/>
                  <w:rFonts w:ascii="Arial" w:eastAsia="宋体" w:hAnsi="Arial" w:cs="Arial"/>
                  <w:color w:val="262626"/>
                  <w:sz w:val="18"/>
                  <w:szCs w:val="18"/>
                </w:rPr>
                <w:t>Sixteenth Supplemental Indenture, dated as of March 25, 2020, between Intel Corporatio</w:t>
              </w:r>
              <w:r>
                <w:rPr>
                  <w:rStyle w:val="a5"/>
                  <w:rFonts w:ascii="Arial" w:eastAsia="宋体" w:hAnsi="Arial" w:cs="Arial"/>
                  <w:color w:val="262626"/>
                  <w:sz w:val="18"/>
                  <w:szCs w:val="18"/>
                </w:rPr>
                <w:t>n and Wells Fargo Bank, National Association, as successor trustee</w:t>
              </w:r>
            </w:hyperlink>
          </w:p>
        </w:tc>
        <w:tc>
          <w:tcPr>
            <w:tcW w:w="0" w:type="auto"/>
            <w:gridSpan w:val="3"/>
            <w:shd w:val="clear" w:color="auto" w:fill="auto"/>
            <w:tcMar>
              <w:top w:w="0" w:type="dxa"/>
              <w:left w:w="20" w:type="dxa"/>
              <w:bottom w:w="0" w:type="dxa"/>
              <w:right w:w="20" w:type="dxa"/>
            </w:tcMar>
            <w:vAlign w:val="bottom"/>
          </w:tcPr>
          <w:p w14:paraId="6753878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83"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78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85"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86"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787" w14:textId="77777777" w:rsidR="001B77DD" w:rsidRDefault="00BF0A28">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67538788"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78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8A" w14:textId="77777777" w:rsidR="001B77DD" w:rsidRDefault="00BF0A28">
            <w:pPr>
              <w:jc w:val="right"/>
              <w:textAlignment w:val="top"/>
            </w:pPr>
            <w:r>
              <w:rPr>
                <w:rFonts w:ascii="Arial" w:eastAsia="宋体" w:hAnsi="Arial" w:cs="Arial"/>
                <w:color w:val="262626"/>
                <w:sz w:val="18"/>
                <w:szCs w:val="18"/>
              </w:rPr>
              <w:t>3/25/2020</w:t>
            </w:r>
          </w:p>
        </w:tc>
        <w:tc>
          <w:tcPr>
            <w:tcW w:w="0" w:type="auto"/>
            <w:gridSpan w:val="3"/>
            <w:shd w:val="clear" w:color="auto" w:fill="auto"/>
            <w:tcMar>
              <w:top w:w="0" w:type="dxa"/>
              <w:left w:w="20" w:type="dxa"/>
              <w:bottom w:w="0" w:type="dxa"/>
              <w:right w:w="20" w:type="dxa"/>
            </w:tcMar>
            <w:vAlign w:val="bottom"/>
          </w:tcPr>
          <w:p w14:paraId="6753878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8C" w14:textId="77777777" w:rsidR="001B77DD" w:rsidRDefault="001B77DD">
            <w:pPr>
              <w:rPr>
                <w:rFonts w:ascii="宋体"/>
              </w:rPr>
            </w:pPr>
          </w:p>
        </w:tc>
      </w:tr>
      <w:tr w:rsidR="001B77DD" w14:paraId="6753879C" w14:textId="77777777">
        <w:tc>
          <w:tcPr>
            <w:tcW w:w="0" w:type="auto"/>
            <w:gridSpan w:val="3"/>
            <w:shd w:val="clear" w:color="auto" w:fill="auto"/>
            <w:tcMar>
              <w:top w:w="40" w:type="dxa"/>
              <w:left w:w="20" w:type="dxa"/>
              <w:bottom w:w="40" w:type="dxa"/>
              <w:right w:w="20" w:type="dxa"/>
            </w:tcMar>
          </w:tcPr>
          <w:p w14:paraId="6753878E" w14:textId="77777777" w:rsidR="001B77DD" w:rsidRDefault="00BF0A28">
            <w:pPr>
              <w:jc w:val="center"/>
              <w:textAlignment w:val="top"/>
            </w:pPr>
            <w:r>
              <w:rPr>
                <w:rFonts w:ascii="Arial" w:eastAsia="宋体" w:hAnsi="Arial" w:cs="Arial"/>
                <w:color w:val="262626"/>
                <w:sz w:val="18"/>
                <w:szCs w:val="18"/>
              </w:rPr>
              <w:t>4.16</w:t>
            </w:r>
          </w:p>
        </w:tc>
        <w:tc>
          <w:tcPr>
            <w:tcW w:w="0" w:type="auto"/>
            <w:gridSpan w:val="3"/>
            <w:shd w:val="clear" w:color="auto" w:fill="auto"/>
            <w:tcMar>
              <w:top w:w="0" w:type="dxa"/>
              <w:left w:w="20" w:type="dxa"/>
              <w:bottom w:w="0" w:type="dxa"/>
              <w:right w:w="20" w:type="dxa"/>
            </w:tcMar>
            <w:vAlign w:val="bottom"/>
          </w:tcPr>
          <w:p w14:paraId="6753878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790" w14:textId="77777777" w:rsidR="001B77DD" w:rsidRDefault="00BF0A28">
            <w:pPr>
              <w:textAlignment w:val="bottom"/>
            </w:pPr>
            <w:hyperlink r:id="rId230" w:history="1">
              <w:r>
                <w:rPr>
                  <w:rStyle w:val="a5"/>
                  <w:rFonts w:ascii="Arial" w:eastAsia="宋体" w:hAnsi="Arial" w:cs="Arial"/>
                  <w:color w:val="262626"/>
                  <w:sz w:val="18"/>
                  <w:szCs w:val="18"/>
                </w:rPr>
                <w:t>Seventeenth Supplemental Indenture, dated as of August 12, 2021, between Intel Corporation and Wells Fargo Bank, National As</w:t>
              </w:r>
              <w:r>
                <w:rPr>
                  <w:rStyle w:val="a5"/>
                  <w:rFonts w:ascii="Arial" w:eastAsia="宋体" w:hAnsi="Arial" w:cs="Arial"/>
                  <w:color w:val="262626"/>
                  <w:sz w:val="18"/>
                  <w:szCs w:val="18"/>
                </w:rPr>
                <w:t>sociation, as successor trustee</w:t>
              </w:r>
            </w:hyperlink>
          </w:p>
        </w:tc>
        <w:tc>
          <w:tcPr>
            <w:tcW w:w="0" w:type="auto"/>
            <w:gridSpan w:val="3"/>
            <w:shd w:val="clear" w:color="auto" w:fill="auto"/>
            <w:tcMar>
              <w:top w:w="0" w:type="dxa"/>
              <w:left w:w="20" w:type="dxa"/>
              <w:bottom w:w="0" w:type="dxa"/>
              <w:right w:w="20" w:type="dxa"/>
            </w:tcMar>
            <w:vAlign w:val="bottom"/>
          </w:tcPr>
          <w:p w14:paraId="6753879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92"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79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94"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95"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796" w14:textId="77777777" w:rsidR="001B77DD" w:rsidRDefault="00BF0A28">
            <w:pPr>
              <w:jc w:val="right"/>
              <w:textAlignment w:val="top"/>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tcPr>
          <w:p w14:paraId="67538797"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79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99" w14:textId="77777777" w:rsidR="001B77DD" w:rsidRDefault="00BF0A28">
            <w:pPr>
              <w:jc w:val="right"/>
              <w:textAlignment w:val="top"/>
            </w:pPr>
            <w:r>
              <w:rPr>
                <w:rFonts w:ascii="Arial" w:eastAsia="宋体" w:hAnsi="Arial" w:cs="Arial"/>
                <w:color w:val="262626"/>
                <w:sz w:val="18"/>
                <w:szCs w:val="18"/>
              </w:rPr>
              <w:t>8/12/2021</w:t>
            </w:r>
          </w:p>
        </w:tc>
        <w:tc>
          <w:tcPr>
            <w:tcW w:w="0" w:type="auto"/>
            <w:gridSpan w:val="3"/>
            <w:shd w:val="clear" w:color="auto" w:fill="auto"/>
            <w:tcMar>
              <w:top w:w="0" w:type="dxa"/>
              <w:left w:w="20" w:type="dxa"/>
              <w:bottom w:w="0" w:type="dxa"/>
              <w:right w:w="20" w:type="dxa"/>
            </w:tcMar>
            <w:vAlign w:val="bottom"/>
          </w:tcPr>
          <w:p w14:paraId="6753879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9B" w14:textId="77777777" w:rsidR="001B77DD" w:rsidRDefault="001B77DD">
            <w:pPr>
              <w:rPr>
                <w:rFonts w:ascii="宋体"/>
              </w:rPr>
            </w:pPr>
          </w:p>
        </w:tc>
      </w:tr>
      <w:tr w:rsidR="001B77DD" w14:paraId="675387AB" w14:textId="77777777">
        <w:tc>
          <w:tcPr>
            <w:tcW w:w="0" w:type="auto"/>
            <w:gridSpan w:val="3"/>
            <w:shd w:val="clear" w:color="auto" w:fill="auto"/>
            <w:tcMar>
              <w:top w:w="40" w:type="dxa"/>
              <w:left w:w="20" w:type="dxa"/>
              <w:bottom w:w="40" w:type="dxa"/>
              <w:right w:w="20" w:type="dxa"/>
            </w:tcMar>
          </w:tcPr>
          <w:p w14:paraId="6753879D" w14:textId="77777777" w:rsidR="001B77DD" w:rsidRDefault="00BF0A28">
            <w:pPr>
              <w:jc w:val="center"/>
              <w:textAlignment w:val="top"/>
            </w:pPr>
            <w:r>
              <w:rPr>
                <w:rFonts w:ascii="Arial" w:eastAsia="宋体" w:hAnsi="Arial" w:cs="Arial"/>
                <w:color w:val="262626"/>
                <w:sz w:val="18"/>
                <w:szCs w:val="18"/>
              </w:rPr>
              <w:t>4.17</w:t>
            </w:r>
          </w:p>
        </w:tc>
        <w:tc>
          <w:tcPr>
            <w:tcW w:w="0" w:type="auto"/>
            <w:gridSpan w:val="3"/>
            <w:shd w:val="clear" w:color="auto" w:fill="auto"/>
            <w:tcMar>
              <w:top w:w="0" w:type="dxa"/>
              <w:left w:w="20" w:type="dxa"/>
              <w:bottom w:w="0" w:type="dxa"/>
              <w:right w:w="20" w:type="dxa"/>
            </w:tcMar>
            <w:vAlign w:val="bottom"/>
          </w:tcPr>
          <w:p w14:paraId="6753879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9F" w14:textId="77777777" w:rsidR="001B77DD" w:rsidRDefault="00BF0A28">
            <w:pPr>
              <w:textAlignment w:val="top"/>
            </w:pPr>
            <w:hyperlink r:id="rId231" w:history="1">
              <w:r>
                <w:rPr>
                  <w:rStyle w:val="a5"/>
                  <w:rFonts w:ascii="Arial" w:eastAsia="宋体" w:hAnsi="Arial" w:cs="Arial"/>
                  <w:color w:val="262626"/>
                  <w:sz w:val="18"/>
                  <w:szCs w:val="18"/>
                </w:rPr>
                <w:t>Guarantee dated December 28, 2015 by Intel Corporation in favor of U.S. Bank, National Association, as Trustee for the holde</w:t>
              </w:r>
              <w:r>
                <w:rPr>
                  <w:rStyle w:val="a5"/>
                  <w:rFonts w:ascii="Arial" w:eastAsia="宋体" w:hAnsi="Arial" w:cs="Arial"/>
                  <w:color w:val="262626"/>
                  <w:sz w:val="18"/>
                  <w:szCs w:val="18"/>
                </w:rPr>
                <w:t>rs of Altera</w:t>
              </w:r>
            </w:hyperlink>
            <w:hyperlink r:id="rId232" w:history="1">
              <w:r>
                <w:rPr>
                  <w:rStyle w:val="a5"/>
                  <w:rFonts w:ascii="Arial" w:eastAsia="宋体" w:hAnsi="Arial" w:cs="Arial"/>
                  <w:color w:val="262626"/>
                  <w:sz w:val="18"/>
                  <w:szCs w:val="18"/>
                </w:rPr>
                <w:t>'</w:t>
              </w:r>
            </w:hyperlink>
            <w:hyperlink r:id="rId233" w:history="1">
              <w:r>
                <w:rPr>
                  <w:rStyle w:val="a5"/>
                  <w:rFonts w:ascii="Arial" w:eastAsia="宋体" w:hAnsi="Arial" w:cs="Arial"/>
                  <w:color w:val="262626"/>
                  <w:sz w:val="18"/>
                  <w:szCs w:val="18"/>
                </w:rPr>
                <w:t>s 1.750% Senior Notes due 2017, 2.500% Senior N</w:t>
              </w:r>
              <w:r>
                <w:rPr>
                  <w:rStyle w:val="a5"/>
                  <w:rFonts w:ascii="Arial" w:eastAsia="宋体" w:hAnsi="Arial" w:cs="Arial"/>
                  <w:color w:val="262626"/>
                  <w:sz w:val="18"/>
                  <w:szCs w:val="18"/>
                </w:rPr>
                <w:t>otes due 2018 and 4.100% Senior Notes due 2023</w:t>
              </w:r>
            </w:hyperlink>
            <w:r>
              <w:rPr>
                <w:rFonts w:ascii="Arial" w:eastAsia="宋体" w:hAnsi="Arial" w:cs="Arial"/>
                <w:color w:val="262626"/>
                <w:sz w:val="18"/>
                <w:szCs w:val="18"/>
              </w:rPr>
              <w:t xml:space="preserve"> </w:t>
            </w:r>
          </w:p>
        </w:tc>
        <w:tc>
          <w:tcPr>
            <w:tcW w:w="0" w:type="auto"/>
            <w:gridSpan w:val="3"/>
            <w:shd w:val="clear" w:color="auto" w:fill="auto"/>
            <w:tcMar>
              <w:top w:w="0" w:type="dxa"/>
              <w:left w:w="20" w:type="dxa"/>
              <w:bottom w:w="0" w:type="dxa"/>
              <w:right w:w="20" w:type="dxa"/>
            </w:tcMar>
            <w:vAlign w:val="bottom"/>
          </w:tcPr>
          <w:p w14:paraId="675387A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A1"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7A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A3"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A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7A5" w14:textId="77777777" w:rsidR="001B77DD" w:rsidRDefault="00BF0A28">
            <w:pPr>
              <w:jc w:val="right"/>
              <w:textAlignment w:val="top"/>
            </w:pPr>
            <w:r>
              <w:rPr>
                <w:rFonts w:ascii="Arial" w:eastAsia="宋体" w:hAnsi="Arial" w:cs="Arial"/>
                <w:color w:val="262626"/>
                <w:sz w:val="18"/>
                <w:szCs w:val="18"/>
              </w:rPr>
              <w:t>99.2 </w:t>
            </w:r>
          </w:p>
        </w:tc>
        <w:tc>
          <w:tcPr>
            <w:tcW w:w="0" w:type="auto"/>
            <w:shd w:val="clear" w:color="auto" w:fill="auto"/>
            <w:tcMar>
              <w:top w:w="40" w:type="dxa"/>
              <w:left w:w="0" w:type="dxa"/>
              <w:bottom w:w="40" w:type="dxa"/>
              <w:right w:w="20" w:type="dxa"/>
            </w:tcMar>
          </w:tcPr>
          <w:p w14:paraId="675387A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7A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A8" w14:textId="77777777" w:rsidR="001B77DD" w:rsidRDefault="00BF0A28">
            <w:pPr>
              <w:jc w:val="right"/>
              <w:textAlignment w:val="top"/>
            </w:pPr>
            <w:r>
              <w:rPr>
                <w:rFonts w:ascii="Arial" w:eastAsia="宋体" w:hAnsi="Arial" w:cs="Arial"/>
                <w:color w:val="262626"/>
                <w:sz w:val="18"/>
                <w:szCs w:val="18"/>
              </w:rPr>
              <w:t>12/28/2015</w:t>
            </w:r>
          </w:p>
        </w:tc>
        <w:tc>
          <w:tcPr>
            <w:tcW w:w="0" w:type="auto"/>
            <w:gridSpan w:val="3"/>
            <w:shd w:val="clear" w:color="auto" w:fill="auto"/>
            <w:tcMar>
              <w:top w:w="0" w:type="dxa"/>
              <w:left w:w="20" w:type="dxa"/>
              <w:bottom w:w="0" w:type="dxa"/>
              <w:right w:w="20" w:type="dxa"/>
            </w:tcMar>
            <w:vAlign w:val="bottom"/>
          </w:tcPr>
          <w:p w14:paraId="675387A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AA" w14:textId="77777777" w:rsidR="001B77DD" w:rsidRDefault="001B77DD">
            <w:pPr>
              <w:rPr>
                <w:rFonts w:ascii="宋体"/>
              </w:rPr>
            </w:pPr>
          </w:p>
        </w:tc>
      </w:tr>
      <w:tr w:rsidR="001B77DD" w14:paraId="675387B9" w14:textId="77777777">
        <w:tc>
          <w:tcPr>
            <w:tcW w:w="0" w:type="auto"/>
            <w:gridSpan w:val="3"/>
            <w:shd w:val="clear" w:color="auto" w:fill="auto"/>
            <w:tcMar>
              <w:top w:w="0" w:type="dxa"/>
              <w:left w:w="20" w:type="dxa"/>
              <w:bottom w:w="0" w:type="dxa"/>
              <w:right w:w="20" w:type="dxa"/>
            </w:tcMar>
            <w:vAlign w:val="bottom"/>
          </w:tcPr>
          <w:p w14:paraId="675387A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A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AE" w14:textId="77777777" w:rsidR="001B77DD" w:rsidRDefault="00BF0A28">
            <w:pPr>
              <w:textAlignment w:val="top"/>
            </w:pPr>
            <w:r>
              <w:rPr>
                <w:rFonts w:ascii="Arial" w:eastAsia="宋体" w:hAnsi="Arial" w:cs="Arial"/>
                <w:color w:val="262626"/>
                <w:sz w:val="18"/>
                <w:szCs w:val="18"/>
              </w:rPr>
              <w:t xml:space="preserve">Certain instruments defining the rights of holders of long-term debt of Intel Corporation are omitted pursuant to Item 601(b)(4)(iii) of Regulation S-K. Intel Corporation hereby agrees to furnish to the </w:t>
            </w:r>
            <w:r>
              <w:rPr>
                <w:rFonts w:ascii="Arial" w:eastAsia="宋体" w:hAnsi="Arial" w:cs="Arial"/>
                <w:color w:val="262626"/>
                <w:sz w:val="18"/>
                <w:szCs w:val="18"/>
              </w:rPr>
              <w:t>Securities and Exchange Commission, upon request, copies of such instruments.</w:t>
            </w:r>
          </w:p>
        </w:tc>
        <w:tc>
          <w:tcPr>
            <w:tcW w:w="0" w:type="auto"/>
            <w:gridSpan w:val="3"/>
            <w:shd w:val="clear" w:color="auto" w:fill="auto"/>
            <w:tcMar>
              <w:top w:w="0" w:type="dxa"/>
              <w:left w:w="20" w:type="dxa"/>
              <w:bottom w:w="0" w:type="dxa"/>
              <w:right w:w="20" w:type="dxa"/>
            </w:tcMar>
            <w:vAlign w:val="bottom"/>
          </w:tcPr>
          <w:p w14:paraId="675387A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8" w14:textId="77777777" w:rsidR="001B77DD" w:rsidRDefault="001B77DD">
            <w:pPr>
              <w:rPr>
                <w:rFonts w:ascii="宋体"/>
              </w:rPr>
            </w:pPr>
          </w:p>
        </w:tc>
      </w:tr>
      <w:tr w:rsidR="001B77DD" w14:paraId="675387C7" w14:textId="77777777">
        <w:tc>
          <w:tcPr>
            <w:tcW w:w="0" w:type="auto"/>
            <w:gridSpan w:val="3"/>
            <w:shd w:val="clear" w:color="auto" w:fill="auto"/>
            <w:tcMar>
              <w:top w:w="40" w:type="dxa"/>
              <w:left w:w="20" w:type="dxa"/>
              <w:bottom w:w="40" w:type="dxa"/>
              <w:right w:w="20" w:type="dxa"/>
            </w:tcMar>
          </w:tcPr>
          <w:p w14:paraId="675387BA" w14:textId="77777777" w:rsidR="001B77DD" w:rsidRDefault="00BF0A28">
            <w:pPr>
              <w:jc w:val="center"/>
              <w:textAlignment w:val="top"/>
            </w:pPr>
            <w:r>
              <w:rPr>
                <w:rFonts w:ascii="Arial" w:eastAsia="宋体" w:hAnsi="Arial" w:cs="Arial"/>
                <w:color w:val="262626"/>
                <w:sz w:val="18"/>
                <w:szCs w:val="18"/>
              </w:rPr>
              <w:t>4.18</w:t>
            </w:r>
          </w:p>
        </w:tc>
        <w:tc>
          <w:tcPr>
            <w:tcW w:w="0" w:type="auto"/>
            <w:gridSpan w:val="3"/>
            <w:shd w:val="clear" w:color="auto" w:fill="auto"/>
            <w:tcMar>
              <w:top w:w="0" w:type="dxa"/>
              <w:left w:w="20" w:type="dxa"/>
              <w:bottom w:w="0" w:type="dxa"/>
              <w:right w:w="20" w:type="dxa"/>
            </w:tcMar>
            <w:vAlign w:val="bottom"/>
          </w:tcPr>
          <w:p w14:paraId="675387B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BC" w14:textId="77777777" w:rsidR="001B77DD" w:rsidRDefault="00BF0A28">
            <w:pPr>
              <w:textAlignment w:val="top"/>
            </w:pPr>
            <w:hyperlink r:id="rId234" w:history="1">
              <w:r>
                <w:rPr>
                  <w:rStyle w:val="a5"/>
                  <w:rFonts w:ascii="Arial" w:eastAsia="宋体" w:hAnsi="Arial" w:cs="Arial"/>
                  <w:color w:val="262626"/>
                  <w:sz w:val="18"/>
                  <w:szCs w:val="18"/>
                </w:rPr>
                <w:t>Description of Intel Securities Registered under Section 12 of the Exchange Act</w:t>
              </w:r>
            </w:hyperlink>
          </w:p>
        </w:tc>
        <w:tc>
          <w:tcPr>
            <w:tcW w:w="0" w:type="auto"/>
            <w:gridSpan w:val="3"/>
            <w:shd w:val="clear" w:color="auto" w:fill="auto"/>
            <w:tcMar>
              <w:top w:w="0" w:type="dxa"/>
              <w:left w:w="20" w:type="dxa"/>
              <w:bottom w:w="0" w:type="dxa"/>
              <w:right w:w="20" w:type="dxa"/>
            </w:tcMar>
            <w:vAlign w:val="bottom"/>
          </w:tcPr>
          <w:p w14:paraId="675387B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B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C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C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C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C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C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C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C6" w14:textId="77777777" w:rsidR="001B77DD" w:rsidRDefault="00BF0A28">
            <w:pPr>
              <w:jc w:val="center"/>
              <w:textAlignment w:val="top"/>
            </w:pPr>
            <w:r>
              <w:rPr>
                <w:rFonts w:ascii="Arial" w:eastAsia="宋体" w:hAnsi="Arial" w:cs="Arial"/>
                <w:color w:val="262626"/>
                <w:sz w:val="18"/>
                <w:szCs w:val="18"/>
              </w:rPr>
              <w:t>X</w:t>
            </w:r>
          </w:p>
        </w:tc>
      </w:tr>
      <w:tr w:rsidR="001B77DD" w14:paraId="675387D6" w14:textId="77777777">
        <w:tc>
          <w:tcPr>
            <w:tcW w:w="0" w:type="auto"/>
            <w:gridSpan w:val="3"/>
            <w:shd w:val="clear" w:color="auto" w:fill="auto"/>
            <w:tcMar>
              <w:top w:w="40" w:type="dxa"/>
              <w:left w:w="20" w:type="dxa"/>
              <w:bottom w:w="40" w:type="dxa"/>
              <w:right w:w="20" w:type="dxa"/>
            </w:tcMar>
          </w:tcPr>
          <w:p w14:paraId="675387C8" w14:textId="77777777" w:rsidR="001B77DD" w:rsidRDefault="00BF0A28">
            <w:pPr>
              <w:jc w:val="center"/>
              <w:textAlignment w:val="top"/>
            </w:pPr>
            <w:r>
              <w:rPr>
                <w:rFonts w:ascii="Arial" w:eastAsia="宋体" w:hAnsi="Arial" w:cs="Arial"/>
                <w:color w:val="262626"/>
                <w:sz w:val="18"/>
                <w:szCs w:val="18"/>
              </w:rPr>
              <w:t>10.1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7C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CA" w14:textId="77777777" w:rsidR="001B77DD" w:rsidRDefault="00BF0A28">
            <w:pPr>
              <w:spacing w:before="20"/>
              <w:textAlignment w:val="top"/>
            </w:pPr>
            <w:hyperlink r:id="rId235" w:history="1">
              <w:r>
                <w:rPr>
                  <w:rStyle w:val="a5"/>
                  <w:rFonts w:ascii="Arial" w:eastAsia="宋体" w:hAnsi="Arial" w:cs="Arial"/>
                  <w:color w:val="262626"/>
                  <w:sz w:val="18"/>
                  <w:szCs w:val="18"/>
                </w:rPr>
                <w:t>Intel Corporation 2006 Equity Incentive Plan, as amended and restated, effective May 16, 2019</w:t>
              </w:r>
            </w:hyperlink>
          </w:p>
        </w:tc>
        <w:tc>
          <w:tcPr>
            <w:tcW w:w="0" w:type="auto"/>
            <w:gridSpan w:val="3"/>
            <w:shd w:val="clear" w:color="auto" w:fill="auto"/>
            <w:tcMar>
              <w:top w:w="0" w:type="dxa"/>
              <w:left w:w="20" w:type="dxa"/>
              <w:bottom w:w="0" w:type="dxa"/>
              <w:right w:w="20" w:type="dxa"/>
            </w:tcMar>
            <w:vAlign w:val="bottom"/>
          </w:tcPr>
          <w:p w14:paraId="675387C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C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7C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C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C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7D0" w14:textId="77777777" w:rsidR="001B77DD" w:rsidRDefault="00BF0A28">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675387D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7D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D3" w14:textId="77777777" w:rsidR="001B77DD" w:rsidRDefault="00BF0A28">
            <w:pPr>
              <w:jc w:val="right"/>
              <w:textAlignment w:val="top"/>
            </w:pPr>
            <w:r>
              <w:rPr>
                <w:rFonts w:ascii="Arial" w:eastAsia="宋体" w:hAnsi="Arial" w:cs="Arial"/>
                <w:color w:val="262626"/>
                <w:sz w:val="18"/>
                <w:szCs w:val="18"/>
              </w:rPr>
              <w:t>7/26/2019</w:t>
            </w:r>
          </w:p>
        </w:tc>
        <w:tc>
          <w:tcPr>
            <w:tcW w:w="0" w:type="auto"/>
            <w:gridSpan w:val="3"/>
            <w:shd w:val="clear" w:color="auto" w:fill="auto"/>
            <w:tcMar>
              <w:top w:w="0" w:type="dxa"/>
              <w:left w:w="20" w:type="dxa"/>
              <w:bottom w:w="0" w:type="dxa"/>
              <w:right w:w="20" w:type="dxa"/>
            </w:tcMar>
            <w:vAlign w:val="bottom"/>
          </w:tcPr>
          <w:p w14:paraId="675387D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D5" w14:textId="77777777" w:rsidR="001B77DD" w:rsidRDefault="001B77DD">
            <w:pPr>
              <w:rPr>
                <w:rFonts w:ascii="宋体"/>
              </w:rPr>
            </w:pPr>
          </w:p>
        </w:tc>
      </w:tr>
      <w:tr w:rsidR="001B77DD" w14:paraId="675387E6" w14:textId="77777777">
        <w:tc>
          <w:tcPr>
            <w:tcW w:w="0" w:type="auto"/>
            <w:gridSpan w:val="3"/>
            <w:shd w:val="clear" w:color="auto" w:fill="auto"/>
            <w:tcMar>
              <w:top w:w="40" w:type="dxa"/>
              <w:left w:w="20" w:type="dxa"/>
              <w:bottom w:w="40" w:type="dxa"/>
              <w:right w:w="20" w:type="dxa"/>
            </w:tcMar>
          </w:tcPr>
          <w:p w14:paraId="675387D7" w14:textId="77777777" w:rsidR="001B77DD" w:rsidRDefault="00BF0A28">
            <w:pPr>
              <w:jc w:val="center"/>
              <w:textAlignment w:val="top"/>
            </w:pPr>
            <w:r>
              <w:rPr>
                <w:rFonts w:ascii="Arial" w:eastAsia="宋体" w:hAnsi="Arial" w:cs="Arial"/>
                <w:color w:val="262626"/>
                <w:sz w:val="18"/>
                <w:szCs w:val="18"/>
              </w:rPr>
              <w:t>10.1.2</w:t>
            </w:r>
            <w:r>
              <w:rPr>
                <w:rFonts w:ascii="Arial" w:eastAsia="宋体" w:hAnsi="Arial" w:cs="Arial"/>
                <w:color w:val="262626"/>
                <w:sz w:val="11"/>
                <w:szCs w:val="11"/>
              </w:rPr>
              <w:t>†</w:t>
            </w:r>
          </w:p>
          <w:p w14:paraId="675387D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7D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DA" w14:textId="77777777" w:rsidR="001B77DD" w:rsidRDefault="00BF0A28">
            <w:pPr>
              <w:textAlignment w:val="top"/>
            </w:pPr>
            <w:hyperlink r:id="rId236" w:history="1">
              <w:r>
                <w:rPr>
                  <w:rStyle w:val="a5"/>
                  <w:rFonts w:ascii="Arial" w:eastAsia="宋体" w:hAnsi="Arial" w:cs="Arial"/>
                  <w:color w:val="262626"/>
                  <w:sz w:val="18"/>
                  <w:szCs w:val="18"/>
                </w:rPr>
                <w:t>Intel Corporation Form of Notice of Grant - Restricted Stock Units</w:t>
              </w:r>
            </w:hyperlink>
          </w:p>
        </w:tc>
        <w:tc>
          <w:tcPr>
            <w:tcW w:w="0" w:type="auto"/>
            <w:gridSpan w:val="3"/>
            <w:shd w:val="clear" w:color="auto" w:fill="auto"/>
            <w:tcMar>
              <w:top w:w="0" w:type="dxa"/>
              <w:left w:w="20" w:type="dxa"/>
              <w:bottom w:w="0" w:type="dxa"/>
              <w:right w:w="20" w:type="dxa"/>
            </w:tcMar>
            <w:vAlign w:val="bottom"/>
          </w:tcPr>
          <w:p w14:paraId="675387D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D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7D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D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D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7E0" w14:textId="77777777" w:rsidR="001B77DD" w:rsidRDefault="00BF0A28">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675387E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7E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E3" w14:textId="77777777" w:rsidR="001B77DD" w:rsidRDefault="00BF0A28">
            <w:pPr>
              <w:jc w:val="right"/>
              <w:textAlignment w:val="top"/>
            </w:pPr>
            <w:r>
              <w:rPr>
                <w:rFonts w:ascii="Arial" w:eastAsia="宋体" w:hAnsi="Arial" w:cs="Arial"/>
                <w:color w:val="262626"/>
                <w:sz w:val="18"/>
                <w:szCs w:val="18"/>
              </w:rPr>
              <w:t>10/25/2018</w:t>
            </w:r>
          </w:p>
        </w:tc>
        <w:tc>
          <w:tcPr>
            <w:tcW w:w="0" w:type="auto"/>
            <w:gridSpan w:val="3"/>
            <w:shd w:val="clear" w:color="auto" w:fill="auto"/>
            <w:tcMar>
              <w:top w:w="0" w:type="dxa"/>
              <w:left w:w="20" w:type="dxa"/>
              <w:bottom w:w="0" w:type="dxa"/>
              <w:right w:w="20" w:type="dxa"/>
            </w:tcMar>
            <w:vAlign w:val="bottom"/>
          </w:tcPr>
          <w:p w14:paraId="675387E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E5" w14:textId="77777777" w:rsidR="001B77DD" w:rsidRDefault="001B77DD">
            <w:pPr>
              <w:rPr>
                <w:rFonts w:ascii="宋体"/>
              </w:rPr>
            </w:pPr>
          </w:p>
        </w:tc>
      </w:tr>
      <w:tr w:rsidR="001B77DD" w14:paraId="675387F6" w14:textId="77777777">
        <w:tc>
          <w:tcPr>
            <w:tcW w:w="0" w:type="auto"/>
            <w:gridSpan w:val="3"/>
            <w:shd w:val="clear" w:color="auto" w:fill="auto"/>
            <w:tcMar>
              <w:top w:w="40" w:type="dxa"/>
              <w:left w:w="20" w:type="dxa"/>
              <w:bottom w:w="40" w:type="dxa"/>
              <w:right w:w="20" w:type="dxa"/>
            </w:tcMar>
          </w:tcPr>
          <w:p w14:paraId="675387E7" w14:textId="77777777" w:rsidR="001B77DD" w:rsidRDefault="00BF0A28">
            <w:pPr>
              <w:jc w:val="center"/>
              <w:textAlignment w:val="top"/>
            </w:pPr>
            <w:r>
              <w:rPr>
                <w:rFonts w:ascii="Arial" w:eastAsia="宋体" w:hAnsi="Arial" w:cs="Arial"/>
                <w:color w:val="262626"/>
                <w:sz w:val="18"/>
                <w:szCs w:val="18"/>
              </w:rPr>
              <w:t>10.1.3</w:t>
            </w:r>
            <w:r>
              <w:rPr>
                <w:rFonts w:ascii="Arial" w:eastAsia="宋体" w:hAnsi="Arial" w:cs="Arial"/>
                <w:color w:val="262626"/>
                <w:sz w:val="11"/>
                <w:szCs w:val="11"/>
              </w:rPr>
              <w:t>†</w:t>
            </w:r>
          </w:p>
          <w:p w14:paraId="675387E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7E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7EA" w14:textId="77777777" w:rsidR="001B77DD" w:rsidRDefault="00BF0A28">
            <w:pPr>
              <w:textAlignment w:val="bottom"/>
            </w:pPr>
            <w:hyperlink r:id="rId237" w:history="1">
              <w:r>
                <w:rPr>
                  <w:rStyle w:val="a5"/>
                  <w:rFonts w:ascii="Arial" w:eastAsia="宋体" w:hAnsi="Arial" w:cs="Arial"/>
                  <w:color w:val="262626"/>
                  <w:sz w:val="18"/>
                  <w:szCs w:val="18"/>
                </w:rPr>
                <w:t xml:space="preserve">Intel Corporation Form of Restricted Stock Unit Grant Agreement under the 2006 Equity Incentive Plan (for RSUs with </w:t>
              </w:r>
              <w:r>
                <w:rPr>
                  <w:rStyle w:val="a5"/>
                  <w:rFonts w:ascii="Arial" w:eastAsia="宋体" w:hAnsi="Arial" w:cs="Arial"/>
                  <w:color w:val="262626"/>
                  <w:sz w:val="18"/>
                  <w:szCs w:val="18"/>
                </w:rPr>
                <w:t>retirement vesting terms granted to executives on or after January 30, 2019)</w:t>
              </w:r>
            </w:hyperlink>
          </w:p>
        </w:tc>
        <w:tc>
          <w:tcPr>
            <w:tcW w:w="0" w:type="auto"/>
            <w:gridSpan w:val="3"/>
            <w:shd w:val="clear" w:color="auto" w:fill="auto"/>
            <w:tcMar>
              <w:top w:w="0" w:type="dxa"/>
              <w:left w:w="20" w:type="dxa"/>
              <w:bottom w:w="0" w:type="dxa"/>
              <w:right w:w="20" w:type="dxa"/>
            </w:tcMar>
            <w:vAlign w:val="bottom"/>
          </w:tcPr>
          <w:p w14:paraId="675387E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E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7E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E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E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7F0" w14:textId="77777777" w:rsidR="001B77DD" w:rsidRDefault="00BF0A28">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675387F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7F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F3" w14:textId="77777777" w:rsidR="001B77DD" w:rsidRDefault="00BF0A28">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675387F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7F5" w14:textId="77777777" w:rsidR="001B77DD" w:rsidRDefault="001B77DD">
            <w:pPr>
              <w:rPr>
                <w:rFonts w:ascii="宋体"/>
              </w:rPr>
            </w:pPr>
          </w:p>
        </w:tc>
      </w:tr>
      <w:tr w:rsidR="001B77DD" w14:paraId="67538806" w14:textId="77777777">
        <w:tc>
          <w:tcPr>
            <w:tcW w:w="0" w:type="auto"/>
            <w:gridSpan w:val="3"/>
            <w:shd w:val="clear" w:color="auto" w:fill="auto"/>
            <w:tcMar>
              <w:top w:w="40" w:type="dxa"/>
              <w:left w:w="20" w:type="dxa"/>
              <w:bottom w:w="40" w:type="dxa"/>
              <w:right w:w="20" w:type="dxa"/>
            </w:tcMar>
          </w:tcPr>
          <w:p w14:paraId="675387F7" w14:textId="77777777" w:rsidR="001B77DD" w:rsidRDefault="00BF0A28">
            <w:pPr>
              <w:jc w:val="center"/>
              <w:textAlignment w:val="top"/>
            </w:pPr>
            <w:r>
              <w:rPr>
                <w:rFonts w:ascii="Arial" w:eastAsia="宋体" w:hAnsi="Arial" w:cs="Arial"/>
                <w:color w:val="262626"/>
                <w:sz w:val="18"/>
                <w:szCs w:val="18"/>
              </w:rPr>
              <w:t>10.1.4</w:t>
            </w:r>
            <w:r>
              <w:rPr>
                <w:rFonts w:ascii="Arial" w:eastAsia="宋体" w:hAnsi="Arial" w:cs="Arial"/>
                <w:color w:val="262626"/>
                <w:sz w:val="11"/>
                <w:szCs w:val="11"/>
              </w:rPr>
              <w:t>†</w:t>
            </w:r>
          </w:p>
          <w:p w14:paraId="675387F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7F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7FA" w14:textId="77777777" w:rsidR="001B77DD" w:rsidRDefault="00BF0A28">
            <w:pPr>
              <w:textAlignment w:val="bottom"/>
            </w:pPr>
            <w:hyperlink r:id="rId238" w:history="1">
              <w:r>
                <w:rPr>
                  <w:rStyle w:val="a5"/>
                  <w:rFonts w:ascii="Arial" w:eastAsia="宋体" w:hAnsi="Arial" w:cs="Arial"/>
                  <w:color w:val="262626"/>
                  <w:sz w:val="18"/>
                  <w:szCs w:val="18"/>
                </w:rPr>
                <w:t xml:space="preserve">Intel Corporation Form of Restricted Stock Unit Grant Agreement under the 2006 Equity Incentive Plan (for RSUs without </w:t>
              </w:r>
              <w:r>
                <w:rPr>
                  <w:rStyle w:val="a5"/>
                  <w:rFonts w:ascii="Arial" w:eastAsia="宋体" w:hAnsi="Arial" w:cs="Arial"/>
                  <w:color w:val="262626"/>
                  <w:sz w:val="18"/>
                  <w:szCs w:val="18"/>
                </w:rPr>
                <w:t>retirement vesting terms granted to executives on or after January 30, 2019)</w:t>
              </w:r>
            </w:hyperlink>
          </w:p>
        </w:tc>
        <w:tc>
          <w:tcPr>
            <w:tcW w:w="0" w:type="auto"/>
            <w:gridSpan w:val="3"/>
            <w:shd w:val="clear" w:color="auto" w:fill="auto"/>
            <w:tcMar>
              <w:top w:w="0" w:type="dxa"/>
              <w:left w:w="20" w:type="dxa"/>
              <w:bottom w:w="0" w:type="dxa"/>
              <w:right w:w="20" w:type="dxa"/>
            </w:tcMar>
            <w:vAlign w:val="bottom"/>
          </w:tcPr>
          <w:p w14:paraId="675387F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F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7F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7F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7F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00" w14:textId="77777777" w:rsidR="001B77DD" w:rsidRDefault="00BF0A28">
            <w:pPr>
              <w:jc w:val="right"/>
              <w:textAlignment w:val="top"/>
            </w:pPr>
            <w:r>
              <w:rPr>
                <w:rFonts w:ascii="Arial" w:eastAsia="宋体" w:hAnsi="Arial" w:cs="Arial"/>
                <w:color w:val="262626"/>
                <w:sz w:val="18"/>
                <w:szCs w:val="18"/>
              </w:rPr>
              <w:t>10.4 </w:t>
            </w:r>
          </w:p>
        </w:tc>
        <w:tc>
          <w:tcPr>
            <w:tcW w:w="0" w:type="auto"/>
            <w:shd w:val="clear" w:color="auto" w:fill="auto"/>
            <w:tcMar>
              <w:top w:w="40" w:type="dxa"/>
              <w:left w:w="0" w:type="dxa"/>
              <w:bottom w:w="40" w:type="dxa"/>
              <w:right w:w="20" w:type="dxa"/>
            </w:tcMar>
          </w:tcPr>
          <w:p w14:paraId="6753880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0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03" w14:textId="77777777" w:rsidR="001B77DD" w:rsidRDefault="00BF0A28">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6753880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05" w14:textId="77777777" w:rsidR="001B77DD" w:rsidRDefault="001B77DD">
            <w:pPr>
              <w:rPr>
                <w:rFonts w:ascii="宋体"/>
              </w:rPr>
            </w:pPr>
          </w:p>
        </w:tc>
      </w:tr>
      <w:tr w:rsidR="001B77DD" w14:paraId="67538816" w14:textId="77777777">
        <w:tc>
          <w:tcPr>
            <w:tcW w:w="0" w:type="auto"/>
            <w:gridSpan w:val="3"/>
            <w:shd w:val="clear" w:color="auto" w:fill="auto"/>
            <w:tcMar>
              <w:top w:w="40" w:type="dxa"/>
              <w:left w:w="20" w:type="dxa"/>
              <w:bottom w:w="40" w:type="dxa"/>
              <w:right w:w="20" w:type="dxa"/>
            </w:tcMar>
          </w:tcPr>
          <w:p w14:paraId="67538807" w14:textId="77777777" w:rsidR="001B77DD" w:rsidRDefault="00BF0A28">
            <w:pPr>
              <w:jc w:val="center"/>
              <w:textAlignment w:val="top"/>
            </w:pPr>
            <w:r>
              <w:rPr>
                <w:rFonts w:ascii="Arial" w:eastAsia="宋体" w:hAnsi="Arial" w:cs="Arial"/>
                <w:color w:val="262626"/>
                <w:sz w:val="18"/>
                <w:szCs w:val="18"/>
              </w:rPr>
              <w:t>10.1.5</w:t>
            </w:r>
            <w:r>
              <w:rPr>
                <w:rFonts w:ascii="Arial" w:eastAsia="宋体" w:hAnsi="Arial" w:cs="Arial"/>
                <w:color w:val="262626"/>
                <w:sz w:val="11"/>
                <w:szCs w:val="11"/>
              </w:rPr>
              <w:t>†</w:t>
            </w:r>
          </w:p>
          <w:p w14:paraId="6753880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80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0A" w14:textId="77777777" w:rsidR="001B77DD" w:rsidRDefault="00BF0A28">
            <w:pPr>
              <w:textAlignment w:val="top"/>
            </w:pPr>
            <w:hyperlink r:id="rId239" w:history="1">
              <w:r>
                <w:rPr>
                  <w:rStyle w:val="a5"/>
                  <w:rFonts w:ascii="Arial" w:eastAsia="宋体" w:hAnsi="Arial" w:cs="Arial"/>
                  <w:color w:val="262626"/>
                  <w:sz w:val="18"/>
                  <w:szCs w:val="18"/>
                </w:rPr>
                <w:t>Intel Corporation Form of Restricted Stock Unit Grant Agreement under the 2006 Equity Incentive Plan (for performance-b</w:t>
              </w:r>
              <w:r>
                <w:rPr>
                  <w:rStyle w:val="a5"/>
                  <w:rFonts w:ascii="Arial" w:eastAsia="宋体" w:hAnsi="Arial" w:cs="Arial"/>
                  <w:color w:val="262626"/>
                  <w:sz w:val="18"/>
                  <w:szCs w:val="18"/>
                </w:rPr>
                <w:t>ased RSUs granted to grandfathered executives on or after January 30, 2019)</w:t>
              </w:r>
            </w:hyperlink>
          </w:p>
        </w:tc>
        <w:tc>
          <w:tcPr>
            <w:tcW w:w="0" w:type="auto"/>
            <w:gridSpan w:val="3"/>
            <w:shd w:val="clear" w:color="auto" w:fill="auto"/>
            <w:tcMar>
              <w:top w:w="0" w:type="dxa"/>
              <w:left w:w="20" w:type="dxa"/>
              <w:bottom w:w="0" w:type="dxa"/>
              <w:right w:w="20" w:type="dxa"/>
            </w:tcMar>
            <w:vAlign w:val="bottom"/>
          </w:tcPr>
          <w:p w14:paraId="6753880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0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0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0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0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10" w14:textId="77777777" w:rsidR="001B77DD" w:rsidRDefault="00BF0A28">
            <w:pPr>
              <w:jc w:val="right"/>
              <w:textAlignment w:val="top"/>
            </w:pPr>
            <w:r>
              <w:rPr>
                <w:rFonts w:ascii="Arial" w:eastAsia="宋体" w:hAnsi="Arial" w:cs="Arial"/>
                <w:color w:val="262626"/>
                <w:sz w:val="18"/>
                <w:szCs w:val="18"/>
              </w:rPr>
              <w:t>10.5 </w:t>
            </w:r>
          </w:p>
        </w:tc>
        <w:tc>
          <w:tcPr>
            <w:tcW w:w="0" w:type="auto"/>
            <w:shd w:val="clear" w:color="auto" w:fill="auto"/>
            <w:tcMar>
              <w:top w:w="40" w:type="dxa"/>
              <w:left w:w="0" w:type="dxa"/>
              <w:bottom w:w="40" w:type="dxa"/>
              <w:right w:w="20" w:type="dxa"/>
            </w:tcMar>
          </w:tcPr>
          <w:p w14:paraId="6753881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1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13" w14:textId="77777777" w:rsidR="001B77DD" w:rsidRDefault="00BF0A28">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6753881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15" w14:textId="77777777" w:rsidR="001B77DD" w:rsidRDefault="001B77DD">
            <w:pPr>
              <w:rPr>
                <w:rFonts w:ascii="宋体"/>
              </w:rPr>
            </w:pPr>
          </w:p>
        </w:tc>
      </w:tr>
      <w:tr w:rsidR="001B77DD" w14:paraId="67538825" w14:textId="77777777">
        <w:tc>
          <w:tcPr>
            <w:tcW w:w="0" w:type="auto"/>
            <w:gridSpan w:val="3"/>
            <w:shd w:val="clear" w:color="auto" w:fill="auto"/>
            <w:tcMar>
              <w:top w:w="40" w:type="dxa"/>
              <w:left w:w="20" w:type="dxa"/>
              <w:bottom w:w="40" w:type="dxa"/>
              <w:right w:w="20" w:type="dxa"/>
            </w:tcMar>
          </w:tcPr>
          <w:p w14:paraId="67538817" w14:textId="77777777" w:rsidR="001B77DD" w:rsidRDefault="00BF0A28">
            <w:pPr>
              <w:jc w:val="center"/>
              <w:textAlignment w:val="top"/>
            </w:pPr>
            <w:r>
              <w:rPr>
                <w:rFonts w:ascii="Arial" w:eastAsia="宋体" w:hAnsi="Arial" w:cs="Arial"/>
                <w:color w:val="262626"/>
                <w:sz w:val="18"/>
                <w:szCs w:val="18"/>
              </w:rPr>
              <w:t>10.1.6</w:t>
            </w:r>
            <w:r>
              <w:rPr>
                <w:rFonts w:ascii="Arial" w:eastAsia="宋体" w:hAnsi="Arial" w:cs="Arial"/>
                <w:color w:val="262626"/>
                <w:sz w:val="11"/>
                <w:szCs w:val="11"/>
              </w:rPr>
              <w:t>†</w:t>
            </w:r>
          </w:p>
          <w:p w14:paraId="6753881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81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1A" w14:textId="77777777" w:rsidR="001B77DD" w:rsidRDefault="00BF0A28">
            <w:pPr>
              <w:textAlignment w:val="top"/>
            </w:pPr>
            <w:hyperlink r:id="rId240" w:history="1">
              <w:r>
                <w:rPr>
                  <w:rStyle w:val="a5"/>
                  <w:rFonts w:ascii="Arial" w:eastAsia="宋体" w:hAnsi="Arial" w:cs="Arial"/>
                  <w:color w:val="262626"/>
                  <w:sz w:val="18"/>
                  <w:szCs w:val="18"/>
                </w:rPr>
                <w:t>Intel Corporation Form of Restricted Stock Unit Grant Agreement under the 2006 Equity Incentive Plan (for performance-based RSUs granted to non-grandfathere</w:t>
              </w:r>
              <w:r>
                <w:rPr>
                  <w:rStyle w:val="a5"/>
                  <w:rFonts w:ascii="Arial" w:eastAsia="宋体" w:hAnsi="Arial" w:cs="Arial"/>
                  <w:color w:val="262626"/>
                  <w:sz w:val="18"/>
                  <w:szCs w:val="18"/>
                </w:rPr>
                <w:t>d executives on or after January 30, 2019)</w:t>
              </w:r>
            </w:hyperlink>
          </w:p>
        </w:tc>
        <w:tc>
          <w:tcPr>
            <w:tcW w:w="0" w:type="auto"/>
            <w:gridSpan w:val="3"/>
            <w:shd w:val="clear" w:color="auto" w:fill="auto"/>
            <w:tcMar>
              <w:top w:w="0" w:type="dxa"/>
              <w:left w:w="20" w:type="dxa"/>
              <w:bottom w:w="0" w:type="dxa"/>
              <w:right w:w="20" w:type="dxa"/>
            </w:tcMar>
            <w:vAlign w:val="bottom"/>
          </w:tcPr>
          <w:p w14:paraId="6753881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1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1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1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1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20" w14:textId="77777777" w:rsidR="001B77DD" w:rsidRDefault="00BF0A28">
            <w:pPr>
              <w:jc w:val="right"/>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6753882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22" w14:textId="77777777" w:rsidR="001B77DD" w:rsidRDefault="00BF0A28">
            <w:pPr>
              <w:jc w:val="right"/>
              <w:textAlignment w:val="top"/>
            </w:pPr>
            <w:r>
              <w:rPr>
                <w:rFonts w:ascii="Arial" w:eastAsia="宋体" w:hAnsi="Arial" w:cs="Arial"/>
                <w:color w:val="262626"/>
                <w:sz w:val="18"/>
                <w:szCs w:val="18"/>
              </w:rPr>
              <w:t>4/24/2020</w:t>
            </w:r>
          </w:p>
        </w:tc>
        <w:tc>
          <w:tcPr>
            <w:tcW w:w="0" w:type="auto"/>
            <w:gridSpan w:val="3"/>
            <w:shd w:val="clear" w:color="auto" w:fill="auto"/>
            <w:tcMar>
              <w:top w:w="0" w:type="dxa"/>
              <w:left w:w="20" w:type="dxa"/>
              <w:bottom w:w="0" w:type="dxa"/>
              <w:right w:w="20" w:type="dxa"/>
            </w:tcMar>
            <w:vAlign w:val="bottom"/>
          </w:tcPr>
          <w:p w14:paraId="6753882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24" w14:textId="77777777" w:rsidR="001B77DD" w:rsidRDefault="001B77DD">
            <w:pPr>
              <w:rPr>
                <w:rFonts w:ascii="宋体"/>
              </w:rPr>
            </w:pPr>
          </w:p>
        </w:tc>
      </w:tr>
    </w:tbl>
    <w:p w14:paraId="67538826"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830" w14:textId="77777777">
        <w:tc>
          <w:tcPr>
            <w:tcW w:w="50" w:type="pct"/>
            <w:shd w:val="clear" w:color="auto" w:fill="auto"/>
            <w:vAlign w:val="bottom"/>
          </w:tcPr>
          <w:p w14:paraId="67538827" w14:textId="77777777" w:rsidR="001B77DD" w:rsidRDefault="001B77DD">
            <w:pPr>
              <w:rPr>
                <w:rFonts w:ascii="宋体"/>
              </w:rPr>
            </w:pPr>
          </w:p>
        </w:tc>
        <w:tc>
          <w:tcPr>
            <w:tcW w:w="283" w:type="pct"/>
            <w:shd w:val="clear" w:color="auto" w:fill="auto"/>
            <w:vAlign w:val="bottom"/>
          </w:tcPr>
          <w:p w14:paraId="67538828" w14:textId="77777777" w:rsidR="001B77DD" w:rsidRDefault="001B77DD">
            <w:pPr>
              <w:rPr>
                <w:rFonts w:ascii="宋体"/>
              </w:rPr>
            </w:pPr>
          </w:p>
        </w:tc>
        <w:tc>
          <w:tcPr>
            <w:tcW w:w="5" w:type="pct"/>
            <w:shd w:val="clear" w:color="auto" w:fill="auto"/>
            <w:vAlign w:val="bottom"/>
          </w:tcPr>
          <w:p w14:paraId="67538829" w14:textId="77777777" w:rsidR="001B77DD" w:rsidRDefault="001B77DD">
            <w:pPr>
              <w:rPr>
                <w:rFonts w:ascii="宋体"/>
              </w:rPr>
            </w:pPr>
          </w:p>
        </w:tc>
        <w:tc>
          <w:tcPr>
            <w:tcW w:w="50" w:type="pct"/>
            <w:shd w:val="clear" w:color="auto" w:fill="auto"/>
            <w:vAlign w:val="bottom"/>
          </w:tcPr>
          <w:p w14:paraId="6753882A" w14:textId="77777777" w:rsidR="001B77DD" w:rsidRDefault="001B77DD">
            <w:pPr>
              <w:rPr>
                <w:rFonts w:ascii="宋体"/>
              </w:rPr>
            </w:pPr>
          </w:p>
        </w:tc>
        <w:tc>
          <w:tcPr>
            <w:tcW w:w="2656" w:type="pct"/>
            <w:shd w:val="clear" w:color="auto" w:fill="auto"/>
            <w:vAlign w:val="bottom"/>
          </w:tcPr>
          <w:p w14:paraId="6753882B" w14:textId="77777777" w:rsidR="001B77DD" w:rsidRDefault="001B77DD">
            <w:pPr>
              <w:rPr>
                <w:rFonts w:ascii="宋体"/>
              </w:rPr>
            </w:pPr>
          </w:p>
        </w:tc>
        <w:tc>
          <w:tcPr>
            <w:tcW w:w="5" w:type="pct"/>
            <w:shd w:val="clear" w:color="auto" w:fill="auto"/>
            <w:vAlign w:val="bottom"/>
          </w:tcPr>
          <w:p w14:paraId="6753882C" w14:textId="77777777" w:rsidR="001B77DD" w:rsidRDefault="001B77DD">
            <w:pPr>
              <w:rPr>
                <w:rFonts w:ascii="宋体"/>
              </w:rPr>
            </w:pPr>
          </w:p>
        </w:tc>
        <w:tc>
          <w:tcPr>
            <w:tcW w:w="50" w:type="pct"/>
            <w:shd w:val="clear" w:color="auto" w:fill="auto"/>
            <w:vAlign w:val="bottom"/>
          </w:tcPr>
          <w:p w14:paraId="6753882D" w14:textId="77777777" w:rsidR="001B77DD" w:rsidRDefault="001B77DD">
            <w:pPr>
              <w:rPr>
                <w:rFonts w:ascii="宋体"/>
              </w:rPr>
            </w:pPr>
          </w:p>
        </w:tc>
        <w:tc>
          <w:tcPr>
            <w:tcW w:w="1894" w:type="pct"/>
            <w:shd w:val="clear" w:color="auto" w:fill="auto"/>
            <w:vAlign w:val="bottom"/>
          </w:tcPr>
          <w:p w14:paraId="6753882E" w14:textId="77777777" w:rsidR="001B77DD" w:rsidRDefault="001B77DD">
            <w:pPr>
              <w:rPr>
                <w:rFonts w:ascii="宋体"/>
              </w:rPr>
            </w:pPr>
          </w:p>
        </w:tc>
        <w:tc>
          <w:tcPr>
            <w:tcW w:w="5" w:type="pct"/>
            <w:shd w:val="clear" w:color="auto" w:fill="auto"/>
            <w:vAlign w:val="bottom"/>
          </w:tcPr>
          <w:p w14:paraId="6753882F" w14:textId="77777777" w:rsidR="001B77DD" w:rsidRDefault="001B77DD">
            <w:pPr>
              <w:rPr>
                <w:rFonts w:ascii="宋体"/>
              </w:rPr>
            </w:pPr>
          </w:p>
        </w:tc>
      </w:tr>
      <w:tr w:rsidR="001B77DD" w14:paraId="6753883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831"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9F" wp14:editId="67538FA0">
                  <wp:extent cx="304800" cy="304800"/>
                  <wp:effectExtent l="0" t="0" r="0" b="0"/>
                  <wp:docPr id="127" name="图片 362"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62"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832"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833" w14:textId="77777777" w:rsidR="001B77DD" w:rsidRDefault="00BF0A28">
            <w:pPr>
              <w:jc w:val="right"/>
              <w:textAlignment w:val="center"/>
            </w:pPr>
            <w:r>
              <w:rPr>
                <w:rFonts w:ascii="Arial" w:eastAsia="宋体" w:hAnsi="Arial" w:cs="Arial"/>
                <w:color w:val="262626"/>
                <w:sz w:val="16"/>
                <w:szCs w:val="16"/>
              </w:rPr>
              <w:t>117</w:t>
            </w:r>
          </w:p>
        </w:tc>
      </w:tr>
    </w:tbl>
    <w:p w14:paraId="67538835" w14:textId="77777777" w:rsidR="001B77DD" w:rsidRDefault="00BF0A28">
      <w:r>
        <w:pict w14:anchorId="67538FA1">
          <v:rect id="_x0000_i1143" style="width:415.3pt;height:1.5pt" o:hralign="center" o:hrstd="t" o:hr="t" fillcolor="#a0a0a0" stroked="f"/>
        </w:pict>
      </w:r>
    </w:p>
    <w:p w14:paraId="67538836" w14:textId="77777777" w:rsidR="001B77DD" w:rsidRDefault="00BF0A28">
      <w:pPr>
        <w:jc w:val="right"/>
      </w:pPr>
      <w:hyperlink r:id="rId241" w:anchor="i6c9ced68f6b24d58a3dcf326e8c3c699_16" w:history="1">
        <w:r>
          <w:rPr>
            <w:rStyle w:val="a5"/>
            <w:rFonts w:ascii="Arial" w:eastAsia="宋体" w:hAnsi="Arial" w:cs="Arial"/>
            <w:b/>
            <w:bCs/>
            <w:sz w:val="16"/>
            <w:szCs w:val="16"/>
          </w:rPr>
          <w:t>Table of Contents</w:t>
        </w:r>
      </w:hyperlink>
    </w:p>
    <w:p w14:paraId="67538837" w14:textId="77777777" w:rsidR="001B77DD" w:rsidRDefault="001B77DD">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42"/>
        <w:gridCol w:w="2599"/>
        <w:gridCol w:w="37"/>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91"/>
        <w:gridCol w:w="841"/>
        <w:gridCol w:w="36"/>
        <w:gridCol w:w="36"/>
        <w:gridCol w:w="36"/>
        <w:gridCol w:w="36"/>
        <w:gridCol w:w="87"/>
        <w:gridCol w:w="816"/>
        <w:gridCol w:w="36"/>
      </w:tblGrid>
      <w:tr w:rsidR="001B77DD" w14:paraId="6753885F" w14:textId="77777777">
        <w:tc>
          <w:tcPr>
            <w:tcW w:w="50" w:type="pct"/>
            <w:shd w:val="clear" w:color="auto" w:fill="auto"/>
            <w:vAlign w:val="bottom"/>
          </w:tcPr>
          <w:p w14:paraId="67538838" w14:textId="77777777" w:rsidR="001B77DD" w:rsidRDefault="001B77DD">
            <w:pPr>
              <w:rPr>
                <w:rFonts w:ascii="宋体"/>
              </w:rPr>
            </w:pPr>
          </w:p>
        </w:tc>
        <w:tc>
          <w:tcPr>
            <w:tcW w:w="384" w:type="pct"/>
            <w:shd w:val="clear" w:color="auto" w:fill="auto"/>
            <w:vAlign w:val="bottom"/>
          </w:tcPr>
          <w:p w14:paraId="67538839" w14:textId="77777777" w:rsidR="001B77DD" w:rsidRDefault="001B77DD">
            <w:pPr>
              <w:rPr>
                <w:rFonts w:ascii="宋体"/>
              </w:rPr>
            </w:pPr>
          </w:p>
        </w:tc>
        <w:tc>
          <w:tcPr>
            <w:tcW w:w="5" w:type="pct"/>
            <w:shd w:val="clear" w:color="auto" w:fill="auto"/>
            <w:vAlign w:val="bottom"/>
          </w:tcPr>
          <w:p w14:paraId="6753883A" w14:textId="77777777" w:rsidR="001B77DD" w:rsidRDefault="001B77DD">
            <w:pPr>
              <w:rPr>
                <w:rFonts w:ascii="宋体"/>
              </w:rPr>
            </w:pPr>
          </w:p>
        </w:tc>
        <w:tc>
          <w:tcPr>
            <w:tcW w:w="5" w:type="pct"/>
            <w:shd w:val="clear" w:color="auto" w:fill="auto"/>
            <w:vAlign w:val="bottom"/>
          </w:tcPr>
          <w:p w14:paraId="6753883B" w14:textId="77777777" w:rsidR="001B77DD" w:rsidRDefault="001B77DD">
            <w:pPr>
              <w:rPr>
                <w:rFonts w:ascii="宋体"/>
              </w:rPr>
            </w:pPr>
          </w:p>
        </w:tc>
        <w:tc>
          <w:tcPr>
            <w:tcW w:w="24" w:type="pct"/>
            <w:shd w:val="clear" w:color="auto" w:fill="auto"/>
            <w:vAlign w:val="bottom"/>
          </w:tcPr>
          <w:p w14:paraId="6753883C" w14:textId="77777777" w:rsidR="001B77DD" w:rsidRDefault="001B77DD">
            <w:pPr>
              <w:rPr>
                <w:rFonts w:ascii="宋体"/>
              </w:rPr>
            </w:pPr>
          </w:p>
        </w:tc>
        <w:tc>
          <w:tcPr>
            <w:tcW w:w="5" w:type="pct"/>
            <w:shd w:val="clear" w:color="auto" w:fill="auto"/>
            <w:vAlign w:val="bottom"/>
          </w:tcPr>
          <w:p w14:paraId="6753883D" w14:textId="77777777" w:rsidR="001B77DD" w:rsidRDefault="001B77DD">
            <w:pPr>
              <w:rPr>
                <w:rFonts w:ascii="宋体"/>
              </w:rPr>
            </w:pPr>
          </w:p>
        </w:tc>
        <w:tc>
          <w:tcPr>
            <w:tcW w:w="50" w:type="pct"/>
            <w:shd w:val="clear" w:color="auto" w:fill="auto"/>
            <w:vAlign w:val="bottom"/>
          </w:tcPr>
          <w:p w14:paraId="6753883E" w14:textId="77777777" w:rsidR="001B77DD" w:rsidRDefault="001B77DD">
            <w:pPr>
              <w:rPr>
                <w:rFonts w:ascii="宋体"/>
              </w:rPr>
            </w:pPr>
          </w:p>
        </w:tc>
        <w:tc>
          <w:tcPr>
            <w:tcW w:w="1895" w:type="pct"/>
            <w:shd w:val="clear" w:color="auto" w:fill="auto"/>
            <w:vAlign w:val="bottom"/>
          </w:tcPr>
          <w:p w14:paraId="6753883F" w14:textId="77777777" w:rsidR="001B77DD" w:rsidRDefault="001B77DD">
            <w:pPr>
              <w:rPr>
                <w:rFonts w:ascii="宋体"/>
              </w:rPr>
            </w:pPr>
          </w:p>
        </w:tc>
        <w:tc>
          <w:tcPr>
            <w:tcW w:w="5" w:type="pct"/>
            <w:shd w:val="clear" w:color="auto" w:fill="auto"/>
            <w:vAlign w:val="bottom"/>
          </w:tcPr>
          <w:p w14:paraId="67538840" w14:textId="77777777" w:rsidR="001B77DD" w:rsidRDefault="001B77DD">
            <w:pPr>
              <w:rPr>
                <w:rFonts w:ascii="宋体"/>
              </w:rPr>
            </w:pPr>
          </w:p>
        </w:tc>
        <w:tc>
          <w:tcPr>
            <w:tcW w:w="5" w:type="pct"/>
            <w:shd w:val="clear" w:color="auto" w:fill="auto"/>
            <w:vAlign w:val="bottom"/>
          </w:tcPr>
          <w:p w14:paraId="67538841" w14:textId="77777777" w:rsidR="001B77DD" w:rsidRDefault="001B77DD">
            <w:pPr>
              <w:rPr>
                <w:rFonts w:ascii="宋体"/>
              </w:rPr>
            </w:pPr>
          </w:p>
        </w:tc>
        <w:tc>
          <w:tcPr>
            <w:tcW w:w="24" w:type="pct"/>
            <w:shd w:val="clear" w:color="auto" w:fill="auto"/>
            <w:vAlign w:val="bottom"/>
          </w:tcPr>
          <w:p w14:paraId="67538842" w14:textId="77777777" w:rsidR="001B77DD" w:rsidRDefault="001B77DD">
            <w:pPr>
              <w:rPr>
                <w:rFonts w:ascii="宋体"/>
              </w:rPr>
            </w:pPr>
          </w:p>
        </w:tc>
        <w:tc>
          <w:tcPr>
            <w:tcW w:w="5" w:type="pct"/>
            <w:shd w:val="clear" w:color="auto" w:fill="auto"/>
            <w:vAlign w:val="bottom"/>
          </w:tcPr>
          <w:p w14:paraId="67538843" w14:textId="77777777" w:rsidR="001B77DD" w:rsidRDefault="001B77DD">
            <w:pPr>
              <w:rPr>
                <w:rFonts w:ascii="宋体"/>
              </w:rPr>
            </w:pPr>
          </w:p>
        </w:tc>
        <w:tc>
          <w:tcPr>
            <w:tcW w:w="50" w:type="pct"/>
            <w:shd w:val="clear" w:color="auto" w:fill="auto"/>
            <w:vAlign w:val="bottom"/>
          </w:tcPr>
          <w:p w14:paraId="67538844" w14:textId="77777777" w:rsidR="001B77DD" w:rsidRDefault="001B77DD">
            <w:pPr>
              <w:rPr>
                <w:rFonts w:ascii="宋体"/>
              </w:rPr>
            </w:pPr>
          </w:p>
        </w:tc>
        <w:tc>
          <w:tcPr>
            <w:tcW w:w="302" w:type="pct"/>
            <w:shd w:val="clear" w:color="auto" w:fill="auto"/>
            <w:vAlign w:val="bottom"/>
          </w:tcPr>
          <w:p w14:paraId="67538845" w14:textId="77777777" w:rsidR="001B77DD" w:rsidRDefault="001B77DD">
            <w:pPr>
              <w:rPr>
                <w:rFonts w:ascii="宋体"/>
              </w:rPr>
            </w:pPr>
          </w:p>
        </w:tc>
        <w:tc>
          <w:tcPr>
            <w:tcW w:w="5" w:type="pct"/>
            <w:shd w:val="clear" w:color="auto" w:fill="auto"/>
            <w:vAlign w:val="bottom"/>
          </w:tcPr>
          <w:p w14:paraId="67538846" w14:textId="77777777" w:rsidR="001B77DD" w:rsidRDefault="001B77DD">
            <w:pPr>
              <w:rPr>
                <w:rFonts w:ascii="宋体"/>
              </w:rPr>
            </w:pPr>
          </w:p>
        </w:tc>
        <w:tc>
          <w:tcPr>
            <w:tcW w:w="5" w:type="pct"/>
            <w:shd w:val="clear" w:color="auto" w:fill="auto"/>
            <w:vAlign w:val="bottom"/>
          </w:tcPr>
          <w:p w14:paraId="67538847" w14:textId="77777777" w:rsidR="001B77DD" w:rsidRDefault="001B77DD">
            <w:pPr>
              <w:rPr>
                <w:rFonts w:ascii="宋体"/>
              </w:rPr>
            </w:pPr>
          </w:p>
        </w:tc>
        <w:tc>
          <w:tcPr>
            <w:tcW w:w="24" w:type="pct"/>
            <w:shd w:val="clear" w:color="auto" w:fill="auto"/>
            <w:vAlign w:val="bottom"/>
          </w:tcPr>
          <w:p w14:paraId="67538848" w14:textId="77777777" w:rsidR="001B77DD" w:rsidRDefault="001B77DD">
            <w:pPr>
              <w:rPr>
                <w:rFonts w:ascii="宋体"/>
              </w:rPr>
            </w:pPr>
          </w:p>
        </w:tc>
        <w:tc>
          <w:tcPr>
            <w:tcW w:w="5" w:type="pct"/>
            <w:shd w:val="clear" w:color="auto" w:fill="auto"/>
            <w:vAlign w:val="bottom"/>
          </w:tcPr>
          <w:p w14:paraId="67538849" w14:textId="77777777" w:rsidR="001B77DD" w:rsidRDefault="001B77DD">
            <w:pPr>
              <w:rPr>
                <w:rFonts w:ascii="宋体"/>
              </w:rPr>
            </w:pPr>
          </w:p>
        </w:tc>
        <w:tc>
          <w:tcPr>
            <w:tcW w:w="50" w:type="pct"/>
            <w:shd w:val="clear" w:color="auto" w:fill="auto"/>
            <w:vAlign w:val="bottom"/>
          </w:tcPr>
          <w:p w14:paraId="6753884A" w14:textId="77777777" w:rsidR="001B77DD" w:rsidRDefault="001B77DD">
            <w:pPr>
              <w:rPr>
                <w:rFonts w:ascii="宋体"/>
              </w:rPr>
            </w:pPr>
          </w:p>
        </w:tc>
        <w:tc>
          <w:tcPr>
            <w:tcW w:w="576" w:type="pct"/>
            <w:shd w:val="clear" w:color="auto" w:fill="auto"/>
            <w:vAlign w:val="bottom"/>
          </w:tcPr>
          <w:p w14:paraId="6753884B" w14:textId="77777777" w:rsidR="001B77DD" w:rsidRDefault="001B77DD">
            <w:pPr>
              <w:rPr>
                <w:rFonts w:ascii="宋体"/>
              </w:rPr>
            </w:pPr>
          </w:p>
        </w:tc>
        <w:tc>
          <w:tcPr>
            <w:tcW w:w="5" w:type="pct"/>
            <w:shd w:val="clear" w:color="auto" w:fill="auto"/>
            <w:vAlign w:val="bottom"/>
          </w:tcPr>
          <w:p w14:paraId="6753884C" w14:textId="77777777" w:rsidR="001B77DD" w:rsidRDefault="001B77DD">
            <w:pPr>
              <w:rPr>
                <w:rFonts w:ascii="宋体"/>
              </w:rPr>
            </w:pPr>
          </w:p>
        </w:tc>
        <w:tc>
          <w:tcPr>
            <w:tcW w:w="5" w:type="pct"/>
            <w:shd w:val="clear" w:color="auto" w:fill="auto"/>
            <w:vAlign w:val="bottom"/>
          </w:tcPr>
          <w:p w14:paraId="6753884D" w14:textId="77777777" w:rsidR="001B77DD" w:rsidRDefault="001B77DD">
            <w:pPr>
              <w:rPr>
                <w:rFonts w:ascii="宋体"/>
              </w:rPr>
            </w:pPr>
          </w:p>
        </w:tc>
        <w:tc>
          <w:tcPr>
            <w:tcW w:w="24" w:type="pct"/>
            <w:shd w:val="clear" w:color="auto" w:fill="auto"/>
            <w:vAlign w:val="bottom"/>
          </w:tcPr>
          <w:p w14:paraId="6753884E" w14:textId="77777777" w:rsidR="001B77DD" w:rsidRDefault="001B77DD">
            <w:pPr>
              <w:rPr>
                <w:rFonts w:ascii="宋体"/>
              </w:rPr>
            </w:pPr>
          </w:p>
        </w:tc>
        <w:tc>
          <w:tcPr>
            <w:tcW w:w="5" w:type="pct"/>
            <w:shd w:val="clear" w:color="auto" w:fill="auto"/>
            <w:vAlign w:val="bottom"/>
          </w:tcPr>
          <w:p w14:paraId="6753884F" w14:textId="77777777" w:rsidR="001B77DD" w:rsidRDefault="001B77DD">
            <w:pPr>
              <w:rPr>
                <w:rFonts w:ascii="宋体"/>
              </w:rPr>
            </w:pPr>
          </w:p>
        </w:tc>
        <w:tc>
          <w:tcPr>
            <w:tcW w:w="50" w:type="pct"/>
            <w:shd w:val="clear" w:color="auto" w:fill="auto"/>
            <w:vAlign w:val="bottom"/>
          </w:tcPr>
          <w:p w14:paraId="67538850" w14:textId="77777777" w:rsidR="001B77DD" w:rsidRDefault="001B77DD">
            <w:pPr>
              <w:rPr>
                <w:rFonts w:ascii="宋体"/>
              </w:rPr>
            </w:pPr>
          </w:p>
        </w:tc>
        <w:tc>
          <w:tcPr>
            <w:tcW w:w="308" w:type="pct"/>
            <w:shd w:val="clear" w:color="auto" w:fill="auto"/>
            <w:vAlign w:val="bottom"/>
          </w:tcPr>
          <w:p w14:paraId="67538851" w14:textId="77777777" w:rsidR="001B77DD" w:rsidRDefault="001B77DD">
            <w:pPr>
              <w:rPr>
                <w:rFonts w:ascii="宋体"/>
              </w:rPr>
            </w:pPr>
          </w:p>
        </w:tc>
        <w:tc>
          <w:tcPr>
            <w:tcW w:w="5" w:type="pct"/>
            <w:shd w:val="clear" w:color="auto" w:fill="auto"/>
            <w:vAlign w:val="bottom"/>
          </w:tcPr>
          <w:p w14:paraId="67538852" w14:textId="77777777" w:rsidR="001B77DD" w:rsidRDefault="001B77DD">
            <w:pPr>
              <w:rPr>
                <w:rFonts w:ascii="宋体"/>
              </w:rPr>
            </w:pPr>
          </w:p>
        </w:tc>
        <w:tc>
          <w:tcPr>
            <w:tcW w:w="5" w:type="pct"/>
            <w:shd w:val="clear" w:color="auto" w:fill="auto"/>
            <w:vAlign w:val="bottom"/>
          </w:tcPr>
          <w:p w14:paraId="67538853" w14:textId="77777777" w:rsidR="001B77DD" w:rsidRDefault="001B77DD">
            <w:pPr>
              <w:rPr>
                <w:rFonts w:ascii="宋体"/>
              </w:rPr>
            </w:pPr>
          </w:p>
        </w:tc>
        <w:tc>
          <w:tcPr>
            <w:tcW w:w="24" w:type="pct"/>
            <w:shd w:val="clear" w:color="auto" w:fill="auto"/>
            <w:vAlign w:val="bottom"/>
          </w:tcPr>
          <w:p w14:paraId="67538854" w14:textId="77777777" w:rsidR="001B77DD" w:rsidRDefault="001B77DD">
            <w:pPr>
              <w:rPr>
                <w:rFonts w:ascii="宋体"/>
              </w:rPr>
            </w:pPr>
          </w:p>
        </w:tc>
        <w:tc>
          <w:tcPr>
            <w:tcW w:w="5" w:type="pct"/>
            <w:shd w:val="clear" w:color="auto" w:fill="auto"/>
            <w:vAlign w:val="bottom"/>
          </w:tcPr>
          <w:p w14:paraId="67538855" w14:textId="77777777" w:rsidR="001B77DD" w:rsidRDefault="001B77DD">
            <w:pPr>
              <w:rPr>
                <w:rFonts w:ascii="宋体"/>
              </w:rPr>
            </w:pPr>
          </w:p>
        </w:tc>
        <w:tc>
          <w:tcPr>
            <w:tcW w:w="50" w:type="pct"/>
            <w:shd w:val="clear" w:color="auto" w:fill="auto"/>
            <w:vAlign w:val="bottom"/>
          </w:tcPr>
          <w:p w14:paraId="67538856" w14:textId="77777777" w:rsidR="001B77DD" w:rsidRDefault="001B77DD">
            <w:pPr>
              <w:rPr>
                <w:rFonts w:ascii="宋体"/>
              </w:rPr>
            </w:pPr>
          </w:p>
        </w:tc>
        <w:tc>
          <w:tcPr>
            <w:tcW w:w="466" w:type="pct"/>
            <w:shd w:val="clear" w:color="auto" w:fill="auto"/>
            <w:vAlign w:val="bottom"/>
          </w:tcPr>
          <w:p w14:paraId="67538857" w14:textId="77777777" w:rsidR="001B77DD" w:rsidRDefault="001B77DD">
            <w:pPr>
              <w:rPr>
                <w:rFonts w:ascii="宋体"/>
              </w:rPr>
            </w:pPr>
          </w:p>
        </w:tc>
        <w:tc>
          <w:tcPr>
            <w:tcW w:w="5" w:type="pct"/>
            <w:shd w:val="clear" w:color="auto" w:fill="auto"/>
            <w:vAlign w:val="bottom"/>
          </w:tcPr>
          <w:p w14:paraId="67538858" w14:textId="77777777" w:rsidR="001B77DD" w:rsidRDefault="001B77DD">
            <w:pPr>
              <w:rPr>
                <w:rFonts w:ascii="宋体"/>
              </w:rPr>
            </w:pPr>
          </w:p>
        </w:tc>
        <w:tc>
          <w:tcPr>
            <w:tcW w:w="5" w:type="pct"/>
            <w:shd w:val="clear" w:color="auto" w:fill="auto"/>
            <w:vAlign w:val="bottom"/>
          </w:tcPr>
          <w:p w14:paraId="67538859" w14:textId="77777777" w:rsidR="001B77DD" w:rsidRDefault="001B77DD">
            <w:pPr>
              <w:rPr>
                <w:rFonts w:ascii="宋体"/>
              </w:rPr>
            </w:pPr>
          </w:p>
        </w:tc>
        <w:tc>
          <w:tcPr>
            <w:tcW w:w="24" w:type="pct"/>
            <w:shd w:val="clear" w:color="auto" w:fill="auto"/>
            <w:vAlign w:val="bottom"/>
          </w:tcPr>
          <w:p w14:paraId="6753885A" w14:textId="77777777" w:rsidR="001B77DD" w:rsidRDefault="001B77DD">
            <w:pPr>
              <w:rPr>
                <w:rFonts w:ascii="宋体"/>
              </w:rPr>
            </w:pPr>
          </w:p>
        </w:tc>
        <w:tc>
          <w:tcPr>
            <w:tcW w:w="5" w:type="pct"/>
            <w:shd w:val="clear" w:color="auto" w:fill="auto"/>
            <w:vAlign w:val="bottom"/>
          </w:tcPr>
          <w:p w14:paraId="6753885B" w14:textId="77777777" w:rsidR="001B77DD" w:rsidRDefault="001B77DD">
            <w:pPr>
              <w:rPr>
                <w:rFonts w:ascii="宋体"/>
              </w:rPr>
            </w:pPr>
          </w:p>
        </w:tc>
        <w:tc>
          <w:tcPr>
            <w:tcW w:w="50" w:type="pct"/>
            <w:shd w:val="clear" w:color="auto" w:fill="auto"/>
            <w:vAlign w:val="bottom"/>
          </w:tcPr>
          <w:p w14:paraId="6753885C" w14:textId="77777777" w:rsidR="001B77DD" w:rsidRDefault="001B77DD">
            <w:pPr>
              <w:rPr>
                <w:rFonts w:ascii="宋体"/>
              </w:rPr>
            </w:pPr>
          </w:p>
        </w:tc>
        <w:tc>
          <w:tcPr>
            <w:tcW w:w="474" w:type="pct"/>
            <w:shd w:val="clear" w:color="auto" w:fill="auto"/>
            <w:vAlign w:val="bottom"/>
          </w:tcPr>
          <w:p w14:paraId="6753885D" w14:textId="77777777" w:rsidR="001B77DD" w:rsidRDefault="001B77DD">
            <w:pPr>
              <w:rPr>
                <w:rFonts w:ascii="宋体"/>
              </w:rPr>
            </w:pPr>
          </w:p>
        </w:tc>
        <w:tc>
          <w:tcPr>
            <w:tcW w:w="5" w:type="pct"/>
            <w:shd w:val="clear" w:color="auto" w:fill="auto"/>
            <w:vAlign w:val="bottom"/>
          </w:tcPr>
          <w:p w14:paraId="6753885E" w14:textId="77777777" w:rsidR="001B77DD" w:rsidRDefault="001B77DD">
            <w:pPr>
              <w:rPr>
                <w:rFonts w:ascii="宋体"/>
              </w:rPr>
            </w:pPr>
          </w:p>
        </w:tc>
      </w:tr>
      <w:tr w:rsidR="001B77DD" w14:paraId="67538868"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67538860" w14:textId="77777777" w:rsidR="001B77DD" w:rsidRDefault="00BF0A28">
            <w:pPr>
              <w:jc w:val="center"/>
              <w:textAlignment w:val="bottom"/>
            </w:pPr>
            <w:r>
              <w:rPr>
                <w:rFonts w:ascii="Arial" w:eastAsia="宋体" w:hAnsi="Arial" w:cs="Arial"/>
                <w:b/>
                <w:bCs/>
                <w:color w:val="262626"/>
                <w:sz w:val="18"/>
                <w:szCs w:val="18"/>
              </w:rPr>
              <w:t>Exhibit</w:t>
            </w:r>
          </w:p>
          <w:p w14:paraId="67538861" w14:textId="77777777" w:rsidR="001B77DD" w:rsidRDefault="00BF0A28">
            <w:pP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vAlign w:val="bottom"/>
          </w:tcPr>
          <w:p w14:paraId="6753886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6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64" w14:textId="77777777" w:rsidR="001B77DD" w:rsidRDefault="001B77DD">
            <w:pPr>
              <w:rPr>
                <w:rFonts w:ascii="宋体"/>
              </w:rPr>
            </w:pPr>
          </w:p>
        </w:tc>
        <w:tc>
          <w:tcPr>
            <w:tcW w:w="0" w:type="auto"/>
            <w:gridSpan w:val="21"/>
            <w:shd w:val="clear" w:color="auto" w:fill="auto"/>
            <w:tcMar>
              <w:top w:w="40" w:type="dxa"/>
              <w:left w:w="20" w:type="dxa"/>
              <w:bottom w:w="40" w:type="dxa"/>
              <w:right w:w="20" w:type="dxa"/>
            </w:tcMar>
            <w:vAlign w:val="bottom"/>
          </w:tcPr>
          <w:p w14:paraId="67538865" w14:textId="77777777" w:rsidR="001B77DD" w:rsidRDefault="00BF0A28">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67538866" w14:textId="77777777" w:rsidR="001B77DD" w:rsidRDefault="001B77DD">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67538867" w14:textId="77777777" w:rsidR="001B77DD" w:rsidRDefault="00BF0A28">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1B77DD" w14:paraId="67538876"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67538869"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886A" w14:textId="77777777" w:rsidR="001B77DD" w:rsidRDefault="001B77DD">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886B" w14:textId="77777777" w:rsidR="001B77DD" w:rsidRDefault="00BF0A28">
            <w:pP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6753886C"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86D" w14:textId="77777777" w:rsidR="001B77DD" w:rsidRDefault="00BF0A28">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86E"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86F" w14:textId="77777777" w:rsidR="001B77DD" w:rsidRDefault="00BF0A28">
            <w:pPr>
              <w:jc w:val="center"/>
              <w:textAlignment w:val="bottom"/>
            </w:pPr>
            <w:r>
              <w:rPr>
                <w:rFonts w:ascii="Arial" w:eastAsia="宋体" w:hAnsi="Arial" w:cs="Arial"/>
                <w:b/>
                <w:bCs/>
                <w:color w:val="262626"/>
                <w:sz w:val="18"/>
                <w:szCs w:val="18"/>
              </w:rPr>
              <w:t>File 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870"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871" w14:textId="77777777" w:rsidR="001B77DD" w:rsidRDefault="00BF0A28">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872"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873" w14:textId="77777777" w:rsidR="001B77DD" w:rsidRDefault="00BF0A28">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67538874" w14:textId="77777777" w:rsidR="001B77DD" w:rsidRDefault="001B77DD">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67538875" w14:textId="77777777" w:rsidR="001B77DD" w:rsidRDefault="001B77DD">
            <w:pPr>
              <w:jc w:val="center"/>
              <w:rPr>
                <w:rFonts w:ascii="宋体"/>
              </w:rPr>
            </w:pPr>
          </w:p>
        </w:tc>
      </w:tr>
      <w:tr w:rsidR="001B77DD" w14:paraId="67538886" w14:textId="77777777">
        <w:tc>
          <w:tcPr>
            <w:tcW w:w="0" w:type="auto"/>
            <w:gridSpan w:val="3"/>
            <w:shd w:val="clear" w:color="auto" w:fill="auto"/>
            <w:tcMar>
              <w:top w:w="40" w:type="dxa"/>
              <w:left w:w="20" w:type="dxa"/>
              <w:bottom w:w="40" w:type="dxa"/>
              <w:right w:w="20" w:type="dxa"/>
            </w:tcMar>
          </w:tcPr>
          <w:p w14:paraId="67538877" w14:textId="77777777" w:rsidR="001B77DD" w:rsidRDefault="00BF0A28">
            <w:pPr>
              <w:jc w:val="center"/>
              <w:textAlignment w:val="top"/>
            </w:pPr>
            <w:r>
              <w:rPr>
                <w:rFonts w:ascii="Arial" w:eastAsia="宋体" w:hAnsi="Arial" w:cs="Arial"/>
                <w:color w:val="262626"/>
                <w:sz w:val="18"/>
                <w:szCs w:val="18"/>
              </w:rPr>
              <w:t>10.1.7</w:t>
            </w:r>
            <w:r>
              <w:rPr>
                <w:rFonts w:ascii="Arial" w:eastAsia="宋体" w:hAnsi="Arial" w:cs="Arial"/>
                <w:color w:val="262626"/>
                <w:sz w:val="11"/>
                <w:szCs w:val="11"/>
              </w:rPr>
              <w:t>†</w:t>
            </w:r>
          </w:p>
          <w:p w14:paraId="6753887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87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7A" w14:textId="77777777" w:rsidR="001B77DD" w:rsidRDefault="00BF0A28">
            <w:pPr>
              <w:textAlignment w:val="top"/>
            </w:pPr>
            <w:hyperlink r:id="rId242" w:history="1">
              <w:r>
                <w:rPr>
                  <w:rStyle w:val="a5"/>
                  <w:rFonts w:ascii="Arial" w:eastAsia="宋体" w:hAnsi="Arial" w:cs="Arial"/>
                  <w:color w:val="262626"/>
                  <w:sz w:val="18"/>
                  <w:szCs w:val="18"/>
                </w:rPr>
                <w:t>Intel Corporation Form of Restricted Stock Unit Grant Agreement under the 2006 Eq</w:t>
              </w:r>
              <w:r>
                <w:rPr>
                  <w:rStyle w:val="a5"/>
                  <w:rFonts w:ascii="Arial" w:eastAsia="宋体" w:hAnsi="Arial" w:cs="Arial"/>
                  <w:color w:val="262626"/>
                  <w:sz w:val="18"/>
                  <w:szCs w:val="18"/>
                </w:rPr>
                <w:t>uity Incentive Plan (for strategic growth performance-based RSUs granted to executives on or after February 1, 2019)</w:t>
              </w:r>
            </w:hyperlink>
          </w:p>
        </w:tc>
        <w:tc>
          <w:tcPr>
            <w:tcW w:w="0" w:type="auto"/>
            <w:gridSpan w:val="3"/>
            <w:shd w:val="clear" w:color="auto" w:fill="auto"/>
            <w:tcMar>
              <w:top w:w="0" w:type="dxa"/>
              <w:left w:w="20" w:type="dxa"/>
              <w:bottom w:w="0" w:type="dxa"/>
              <w:right w:w="20" w:type="dxa"/>
            </w:tcMar>
            <w:vAlign w:val="bottom"/>
          </w:tcPr>
          <w:p w14:paraId="6753887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7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7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7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7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80" w14:textId="77777777" w:rsidR="001B77DD" w:rsidRDefault="00BF0A28">
            <w:pPr>
              <w:jc w:val="right"/>
              <w:textAlignment w:val="top"/>
            </w:pPr>
            <w:r>
              <w:rPr>
                <w:rFonts w:ascii="Arial" w:eastAsia="宋体" w:hAnsi="Arial" w:cs="Arial"/>
                <w:color w:val="262626"/>
                <w:sz w:val="18"/>
                <w:szCs w:val="18"/>
              </w:rPr>
              <w:t>10.6 </w:t>
            </w:r>
          </w:p>
        </w:tc>
        <w:tc>
          <w:tcPr>
            <w:tcW w:w="0" w:type="auto"/>
            <w:shd w:val="clear" w:color="auto" w:fill="auto"/>
            <w:tcMar>
              <w:top w:w="40" w:type="dxa"/>
              <w:left w:w="0" w:type="dxa"/>
              <w:bottom w:w="40" w:type="dxa"/>
              <w:right w:w="20" w:type="dxa"/>
            </w:tcMar>
          </w:tcPr>
          <w:p w14:paraId="6753888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8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83" w14:textId="77777777" w:rsidR="001B77DD" w:rsidRDefault="00BF0A28">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6753888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85" w14:textId="77777777" w:rsidR="001B77DD" w:rsidRDefault="001B77DD">
            <w:pPr>
              <w:rPr>
                <w:rFonts w:ascii="宋体"/>
              </w:rPr>
            </w:pPr>
          </w:p>
        </w:tc>
      </w:tr>
      <w:tr w:rsidR="001B77DD" w14:paraId="67538896" w14:textId="77777777">
        <w:tc>
          <w:tcPr>
            <w:tcW w:w="0" w:type="auto"/>
            <w:gridSpan w:val="3"/>
            <w:shd w:val="clear" w:color="auto" w:fill="auto"/>
            <w:tcMar>
              <w:top w:w="40" w:type="dxa"/>
              <w:left w:w="20" w:type="dxa"/>
              <w:bottom w:w="40" w:type="dxa"/>
              <w:right w:w="20" w:type="dxa"/>
            </w:tcMar>
          </w:tcPr>
          <w:p w14:paraId="67538887" w14:textId="77777777" w:rsidR="001B77DD" w:rsidRDefault="00BF0A28">
            <w:pPr>
              <w:jc w:val="center"/>
              <w:textAlignment w:val="top"/>
            </w:pPr>
            <w:r>
              <w:rPr>
                <w:rFonts w:ascii="Arial" w:eastAsia="宋体" w:hAnsi="Arial" w:cs="Arial"/>
                <w:color w:val="262626"/>
                <w:sz w:val="18"/>
                <w:szCs w:val="18"/>
              </w:rPr>
              <w:t>10.1.8</w:t>
            </w:r>
            <w:r>
              <w:rPr>
                <w:rFonts w:ascii="Arial" w:eastAsia="宋体" w:hAnsi="Arial" w:cs="Arial"/>
                <w:color w:val="262626"/>
                <w:sz w:val="11"/>
                <w:szCs w:val="11"/>
              </w:rPr>
              <w:t>†</w:t>
            </w:r>
          </w:p>
          <w:p w14:paraId="6753888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88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88A" w14:textId="77777777" w:rsidR="001B77DD" w:rsidRDefault="00BF0A28">
            <w:pPr>
              <w:textAlignment w:val="bottom"/>
            </w:pPr>
            <w:hyperlink r:id="rId243" w:history="1">
              <w:r>
                <w:rPr>
                  <w:rStyle w:val="a5"/>
                  <w:rFonts w:ascii="Arial" w:eastAsia="宋体" w:hAnsi="Arial" w:cs="Arial"/>
                  <w:color w:val="262626"/>
                  <w:sz w:val="18"/>
                  <w:szCs w:val="18"/>
                </w:rPr>
                <w:t xml:space="preserve">Intel Corporation Restricted Stock Unit Grant Agreement under the 2006 Equity Incentive Plan (for performance-based </w:t>
              </w:r>
              <w:r>
                <w:rPr>
                  <w:rStyle w:val="a5"/>
                  <w:rFonts w:ascii="Arial" w:eastAsia="宋体" w:hAnsi="Arial" w:cs="Arial"/>
                  <w:color w:val="262626"/>
                  <w:sz w:val="18"/>
                  <w:szCs w:val="18"/>
                </w:rPr>
                <w:t>RSUs granted to Robert Swan for interim CEO service on January 30, 2019)</w:t>
              </w:r>
            </w:hyperlink>
          </w:p>
        </w:tc>
        <w:tc>
          <w:tcPr>
            <w:tcW w:w="0" w:type="auto"/>
            <w:gridSpan w:val="3"/>
            <w:shd w:val="clear" w:color="auto" w:fill="auto"/>
            <w:tcMar>
              <w:top w:w="0" w:type="dxa"/>
              <w:left w:w="20" w:type="dxa"/>
              <w:bottom w:w="0" w:type="dxa"/>
              <w:right w:w="20" w:type="dxa"/>
            </w:tcMar>
            <w:vAlign w:val="bottom"/>
          </w:tcPr>
          <w:p w14:paraId="6753888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8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8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8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8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90" w14:textId="77777777" w:rsidR="001B77DD" w:rsidRDefault="00BF0A28">
            <w:pPr>
              <w:jc w:val="right"/>
              <w:textAlignment w:val="top"/>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tcPr>
          <w:p w14:paraId="6753889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9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93" w14:textId="77777777" w:rsidR="001B77DD" w:rsidRDefault="00BF0A28">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6753889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95" w14:textId="77777777" w:rsidR="001B77DD" w:rsidRDefault="001B77DD">
            <w:pPr>
              <w:rPr>
                <w:rFonts w:ascii="宋体"/>
              </w:rPr>
            </w:pPr>
          </w:p>
        </w:tc>
      </w:tr>
      <w:tr w:rsidR="001B77DD" w14:paraId="675388A6" w14:textId="77777777">
        <w:tc>
          <w:tcPr>
            <w:tcW w:w="0" w:type="auto"/>
            <w:gridSpan w:val="3"/>
            <w:shd w:val="clear" w:color="auto" w:fill="auto"/>
            <w:tcMar>
              <w:top w:w="40" w:type="dxa"/>
              <w:left w:w="20" w:type="dxa"/>
              <w:bottom w:w="40" w:type="dxa"/>
              <w:right w:w="20" w:type="dxa"/>
            </w:tcMar>
          </w:tcPr>
          <w:p w14:paraId="67538897" w14:textId="77777777" w:rsidR="001B77DD" w:rsidRDefault="00BF0A28">
            <w:pPr>
              <w:jc w:val="center"/>
              <w:textAlignment w:val="top"/>
            </w:pPr>
            <w:r>
              <w:rPr>
                <w:rFonts w:ascii="Arial" w:eastAsia="宋体" w:hAnsi="Arial" w:cs="Arial"/>
                <w:color w:val="262626"/>
                <w:sz w:val="18"/>
                <w:szCs w:val="18"/>
              </w:rPr>
              <w:t>10.1.9</w:t>
            </w:r>
            <w:r>
              <w:rPr>
                <w:rFonts w:ascii="Arial" w:eastAsia="宋体" w:hAnsi="Arial" w:cs="Arial"/>
                <w:color w:val="262626"/>
                <w:sz w:val="11"/>
                <w:szCs w:val="11"/>
              </w:rPr>
              <w:t>†</w:t>
            </w:r>
          </w:p>
          <w:p w14:paraId="6753889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89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89A" w14:textId="77777777" w:rsidR="001B77DD" w:rsidRDefault="00BF0A28">
            <w:pPr>
              <w:textAlignment w:val="bottom"/>
            </w:pPr>
            <w:hyperlink r:id="rId244" w:history="1">
              <w:r>
                <w:rPr>
                  <w:rStyle w:val="a5"/>
                  <w:rFonts w:ascii="Arial" w:eastAsia="宋体" w:hAnsi="Arial" w:cs="Arial"/>
                  <w:color w:val="262626"/>
                  <w:sz w:val="18"/>
                  <w:szCs w:val="18"/>
                </w:rPr>
                <w:t>Intel Corporation Form of Stock Option Grant Agreement under the 2006 Equity Incentive Plan (for strategic growth perfo</w:t>
              </w:r>
              <w:r>
                <w:rPr>
                  <w:rStyle w:val="a5"/>
                  <w:rFonts w:ascii="Arial" w:eastAsia="宋体" w:hAnsi="Arial" w:cs="Arial"/>
                  <w:color w:val="262626"/>
                  <w:sz w:val="18"/>
                  <w:szCs w:val="18"/>
                </w:rPr>
                <w:t>rmance-based stock options granted to executives on or after February 1, 2019)</w:t>
              </w:r>
            </w:hyperlink>
          </w:p>
        </w:tc>
        <w:tc>
          <w:tcPr>
            <w:tcW w:w="0" w:type="auto"/>
            <w:gridSpan w:val="3"/>
            <w:shd w:val="clear" w:color="auto" w:fill="auto"/>
            <w:tcMar>
              <w:top w:w="0" w:type="dxa"/>
              <w:left w:w="20" w:type="dxa"/>
              <w:bottom w:w="0" w:type="dxa"/>
              <w:right w:w="20" w:type="dxa"/>
            </w:tcMar>
            <w:vAlign w:val="bottom"/>
          </w:tcPr>
          <w:p w14:paraId="6753889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9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9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9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9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A0" w14:textId="77777777" w:rsidR="001B77DD" w:rsidRDefault="00BF0A28">
            <w:pPr>
              <w:jc w:val="right"/>
              <w:textAlignment w:val="top"/>
            </w:pPr>
            <w:r>
              <w:rPr>
                <w:rFonts w:ascii="Arial" w:eastAsia="宋体" w:hAnsi="Arial" w:cs="Arial"/>
                <w:color w:val="262626"/>
                <w:sz w:val="18"/>
                <w:szCs w:val="18"/>
              </w:rPr>
              <w:t>10.7 </w:t>
            </w:r>
          </w:p>
        </w:tc>
        <w:tc>
          <w:tcPr>
            <w:tcW w:w="0" w:type="auto"/>
            <w:shd w:val="clear" w:color="auto" w:fill="auto"/>
            <w:tcMar>
              <w:top w:w="40" w:type="dxa"/>
              <w:left w:w="0" w:type="dxa"/>
              <w:bottom w:w="40" w:type="dxa"/>
              <w:right w:w="20" w:type="dxa"/>
            </w:tcMar>
          </w:tcPr>
          <w:p w14:paraId="675388A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A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A3" w14:textId="77777777" w:rsidR="001B77DD" w:rsidRDefault="00BF0A28">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675388A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A5" w14:textId="77777777" w:rsidR="001B77DD" w:rsidRDefault="001B77DD">
            <w:pPr>
              <w:rPr>
                <w:rFonts w:ascii="宋体"/>
              </w:rPr>
            </w:pPr>
          </w:p>
        </w:tc>
      </w:tr>
      <w:tr w:rsidR="001B77DD" w14:paraId="675388B6" w14:textId="77777777">
        <w:tc>
          <w:tcPr>
            <w:tcW w:w="0" w:type="auto"/>
            <w:gridSpan w:val="3"/>
            <w:shd w:val="clear" w:color="auto" w:fill="auto"/>
            <w:tcMar>
              <w:top w:w="40" w:type="dxa"/>
              <w:left w:w="20" w:type="dxa"/>
              <w:bottom w:w="40" w:type="dxa"/>
              <w:right w:w="20" w:type="dxa"/>
            </w:tcMar>
          </w:tcPr>
          <w:p w14:paraId="675388A7" w14:textId="77777777" w:rsidR="001B77DD" w:rsidRDefault="00BF0A28">
            <w:pPr>
              <w:jc w:val="center"/>
              <w:textAlignment w:val="top"/>
            </w:pPr>
            <w:r>
              <w:rPr>
                <w:rFonts w:ascii="Arial" w:eastAsia="宋体" w:hAnsi="Arial" w:cs="Arial"/>
                <w:color w:val="262626"/>
                <w:sz w:val="18"/>
                <w:szCs w:val="18"/>
              </w:rPr>
              <w:t>10.1.10</w:t>
            </w:r>
            <w:r>
              <w:rPr>
                <w:rFonts w:ascii="Arial" w:eastAsia="宋体" w:hAnsi="Arial" w:cs="Arial"/>
                <w:color w:val="262626"/>
                <w:sz w:val="11"/>
                <w:szCs w:val="11"/>
              </w:rPr>
              <w:t>†</w:t>
            </w:r>
          </w:p>
          <w:p w14:paraId="675388A8" w14:textId="77777777" w:rsidR="001B77DD" w:rsidRDefault="001B77DD">
            <w:pPr>
              <w:textAlignment w:val="top"/>
            </w:pPr>
          </w:p>
        </w:tc>
        <w:tc>
          <w:tcPr>
            <w:tcW w:w="0" w:type="auto"/>
            <w:gridSpan w:val="3"/>
            <w:shd w:val="clear" w:color="auto" w:fill="auto"/>
            <w:tcMar>
              <w:top w:w="0" w:type="dxa"/>
              <w:left w:w="20" w:type="dxa"/>
              <w:bottom w:w="0" w:type="dxa"/>
              <w:right w:w="20" w:type="dxa"/>
            </w:tcMar>
            <w:vAlign w:val="bottom"/>
          </w:tcPr>
          <w:p w14:paraId="675388A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AA" w14:textId="77777777" w:rsidR="001B77DD" w:rsidRDefault="00BF0A28">
            <w:pPr>
              <w:textAlignment w:val="top"/>
            </w:pPr>
            <w:hyperlink r:id="rId245" w:history="1">
              <w:r>
                <w:rPr>
                  <w:rStyle w:val="a5"/>
                  <w:rFonts w:ascii="Arial" w:eastAsia="宋体" w:hAnsi="Arial" w:cs="Arial"/>
                  <w:color w:val="262626"/>
                  <w:sz w:val="18"/>
                  <w:szCs w:val="18"/>
                </w:rPr>
                <w:t>Intel Corporation Form of Non-Employee Director Restricted Stock Unit Grant Agreement under the 2006 Equity Incentive Plan (for RSUs granted to non-employee di</w:t>
              </w:r>
              <w:r>
                <w:rPr>
                  <w:rStyle w:val="a5"/>
                  <w:rFonts w:ascii="Arial" w:eastAsia="宋体" w:hAnsi="Arial" w:cs="Arial"/>
                  <w:color w:val="262626"/>
                  <w:sz w:val="18"/>
                  <w:szCs w:val="18"/>
                </w:rPr>
                <w:t>rectors on or after January 30, 2019)</w:t>
              </w:r>
            </w:hyperlink>
          </w:p>
        </w:tc>
        <w:tc>
          <w:tcPr>
            <w:tcW w:w="0" w:type="auto"/>
            <w:gridSpan w:val="3"/>
            <w:shd w:val="clear" w:color="auto" w:fill="auto"/>
            <w:tcMar>
              <w:top w:w="0" w:type="dxa"/>
              <w:left w:w="20" w:type="dxa"/>
              <w:bottom w:w="0" w:type="dxa"/>
              <w:right w:w="20" w:type="dxa"/>
            </w:tcMar>
            <w:vAlign w:val="bottom"/>
          </w:tcPr>
          <w:p w14:paraId="675388A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A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A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A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A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B0" w14:textId="77777777" w:rsidR="001B77DD" w:rsidRDefault="00BF0A28">
            <w:pPr>
              <w:jc w:val="right"/>
              <w:textAlignment w:val="top"/>
            </w:pPr>
            <w:r>
              <w:rPr>
                <w:rFonts w:ascii="Arial" w:eastAsia="宋体" w:hAnsi="Arial" w:cs="Arial"/>
                <w:color w:val="262626"/>
                <w:sz w:val="18"/>
                <w:szCs w:val="18"/>
              </w:rPr>
              <w:t>10.11 </w:t>
            </w:r>
          </w:p>
        </w:tc>
        <w:tc>
          <w:tcPr>
            <w:tcW w:w="0" w:type="auto"/>
            <w:shd w:val="clear" w:color="auto" w:fill="auto"/>
            <w:tcMar>
              <w:top w:w="40" w:type="dxa"/>
              <w:left w:w="0" w:type="dxa"/>
              <w:bottom w:w="40" w:type="dxa"/>
              <w:right w:w="20" w:type="dxa"/>
            </w:tcMar>
          </w:tcPr>
          <w:p w14:paraId="675388B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B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B3" w14:textId="77777777" w:rsidR="001B77DD" w:rsidRDefault="00BF0A28">
            <w:pPr>
              <w:jc w:val="right"/>
              <w:textAlignment w:val="top"/>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675388B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B5" w14:textId="77777777" w:rsidR="001B77DD" w:rsidRDefault="001B77DD">
            <w:pPr>
              <w:rPr>
                <w:rFonts w:ascii="宋体"/>
              </w:rPr>
            </w:pPr>
          </w:p>
        </w:tc>
      </w:tr>
      <w:tr w:rsidR="001B77DD" w14:paraId="675388C5" w14:textId="77777777">
        <w:tc>
          <w:tcPr>
            <w:tcW w:w="0" w:type="auto"/>
            <w:gridSpan w:val="3"/>
            <w:shd w:val="clear" w:color="auto" w:fill="auto"/>
            <w:tcMar>
              <w:top w:w="40" w:type="dxa"/>
              <w:left w:w="20" w:type="dxa"/>
              <w:bottom w:w="40" w:type="dxa"/>
              <w:right w:w="20" w:type="dxa"/>
            </w:tcMar>
          </w:tcPr>
          <w:p w14:paraId="675388B7" w14:textId="77777777" w:rsidR="001B77DD" w:rsidRDefault="00BF0A28">
            <w:pPr>
              <w:jc w:val="center"/>
              <w:textAlignment w:val="top"/>
            </w:pPr>
            <w:r>
              <w:rPr>
                <w:rFonts w:ascii="Arial" w:eastAsia="宋体" w:hAnsi="Arial" w:cs="Arial"/>
                <w:color w:val="262626"/>
                <w:sz w:val="18"/>
                <w:szCs w:val="18"/>
              </w:rPr>
              <w:t>10.1.11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8B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B9" w14:textId="77777777" w:rsidR="001B77DD" w:rsidRDefault="00BF0A28">
            <w:pPr>
              <w:textAlignment w:val="top"/>
            </w:pPr>
            <w:hyperlink r:id="rId246" w:history="1">
              <w:r>
                <w:rPr>
                  <w:rStyle w:val="a5"/>
                  <w:rFonts w:ascii="Arial" w:eastAsia="宋体" w:hAnsi="Arial" w:cs="Arial"/>
                  <w:color w:val="262626"/>
                  <w:sz w:val="18"/>
                  <w:szCs w:val="18"/>
                </w:rPr>
                <w:t>Intel Corporation 2021 Inducement Plan</w:t>
              </w:r>
            </w:hyperlink>
          </w:p>
        </w:tc>
        <w:tc>
          <w:tcPr>
            <w:tcW w:w="0" w:type="auto"/>
            <w:gridSpan w:val="3"/>
            <w:shd w:val="clear" w:color="auto" w:fill="auto"/>
            <w:tcMar>
              <w:top w:w="0" w:type="dxa"/>
              <w:left w:w="20" w:type="dxa"/>
              <w:bottom w:w="0" w:type="dxa"/>
              <w:right w:w="20" w:type="dxa"/>
            </w:tcMar>
            <w:vAlign w:val="bottom"/>
          </w:tcPr>
          <w:p w14:paraId="675388B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BB" w14:textId="77777777" w:rsidR="001B77DD" w:rsidRDefault="00BF0A28">
            <w:pPr>
              <w:jc w:val="right"/>
              <w:textAlignment w:val="top"/>
            </w:pPr>
            <w:r>
              <w:rPr>
                <w:rFonts w:ascii="Arial" w:eastAsia="宋体" w:hAnsi="Arial" w:cs="Arial"/>
                <w:color w:val="262626"/>
                <w:sz w:val="18"/>
                <w:szCs w:val="18"/>
              </w:rPr>
              <w:t>S-8</w:t>
            </w:r>
          </w:p>
        </w:tc>
        <w:tc>
          <w:tcPr>
            <w:tcW w:w="0" w:type="auto"/>
            <w:gridSpan w:val="3"/>
            <w:shd w:val="clear" w:color="auto" w:fill="auto"/>
            <w:tcMar>
              <w:top w:w="0" w:type="dxa"/>
              <w:left w:w="20" w:type="dxa"/>
              <w:bottom w:w="0" w:type="dxa"/>
              <w:right w:w="20" w:type="dxa"/>
            </w:tcMar>
            <w:vAlign w:val="bottom"/>
          </w:tcPr>
          <w:p w14:paraId="675388B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BD" w14:textId="77777777" w:rsidR="001B77DD" w:rsidRDefault="00BF0A28">
            <w:pPr>
              <w:jc w:val="right"/>
              <w:textAlignment w:val="top"/>
            </w:pPr>
            <w:r>
              <w:rPr>
                <w:rFonts w:ascii="Arial" w:eastAsia="宋体" w:hAnsi="Arial" w:cs="Arial"/>
                <w:color w:val="262626"/>
                <w:sz w:val="18"/>
                <w:szCs w:val="18"/>
              </w:rPr>
              <w:t>333-253077</w:t>
            </w:r>
          </w:p>
        </w:tc>
        <w:tc>
          <w:tcPr>
            <w:tcW w:w="0" w:type="auto"/>
            <w:gridSpan w:val="3"/>
            <w:shd w:val="clear" w:color="auto" w:fill="auto"/>
            <w:tcMar>
              <w:top w:w="0" w:type="dxa"/>
              <w:left w:w="20" w:type="dxa"/>
              <w:bottom w:w="0" w:type="dxa"/>
              <w:right w:w="20" w:type="dxa"/>
            </w:tcMar>
            <w:vAlign w:val="bottom"/>
          </w:tcPr>
          <w:p w14:paraId="675388B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BF" w14:textId="77777777" w:rsidR="001B77DD" w:rsidRDefault="00BF0A28">
            <w:pPr>
              <w:jc w:val="right"/>
              <w:textAlignment w:val="top"/>
            </w:pPr>
            <w:r>
              <w:rPr>
                <w:rFonts w:ascii="Arial" w:eastAsia="宋体" w:hAnsi="Arial" w:cs="Arial"/>
                <w:color w:val="262626"/>
                <w:sz w:val="18"/>
                <w:szCs w:val="18"/>
              </w:rPr>
              <w:t>99.1 </w:t>
            </w:r>
          </w:p>
        </w:tc>
        <w:tc>
          <w:tcPr>
            <w:tcW w:w="0" w:type="auto"/>
            <w:shd w:val="clear" w:color="auto" w:fill="auto"/>
            <w:tcMar>
              <w:top w:w="40" w:type="dxa"/>
              <w:left w:w="0" w:type="dxa"/>
              <w:bottom w:w="40" w:type="dxa"/>
              <w:right w:w="20" w:type="dxa"/>
            </w:tcMar>
          </w:tcPr>
          <w:p w14:paraId="675388C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C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C2" w14:textId="77777777" w:rsidR="001B77DD" w:rsidRDefault="00BF0A28">
            <w:pPr>
              <w:jc w:val="right"/>
              <w:textAlignment w:val="top"/>
            </w:pPr>
            <w:r>
              <w:rPr>
                <w:rFonts w:ascii="Arial" w:eastAsia="宋体" w:hAnsi="Arial" w:cs="Arial"/>
                <w:color w:val="262626"/>
                <w:sz w:val="18"/>
                <w:szCs w:val="18"/>
              </w:rPr>
              <w:t>2/12/2021</w:t>
            </w:r>
          </w:p>
        </w:tc>
        <w:tc>
          <w:tcPr>
            <w:tcW w:w="0" w:type="auto"/>
            <w:gridSpan w:val="3"/>
            <w:shd w:val="clear" w:color="auto" w:fill="auto"/>
            <w:tcMar>
              <w:top w:w="0" w:type="dxa"/>
              <w:left w:w="20" w:type="dxa"/>
              <w:bottom w:w="0" w:type="dxa"/>
              <w:right w:w="20" w:type="dxa"/>
            </w:tcMar>
            <w:vAlign w:val="bottom"/>
          </w:tcPr>
          <w:p w14:paraId="675388C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C4" w14:textId="77777777" w:rsidR="001B77DD" w:rsidRDefault="001B77DD">
            <w:pPr>
              <w:rPr>
                <w:rFonts w:ascii="宋体"/>
              </w:rPr>
            </w:pPr>
          </w:p>
        </w:tc>
      </w:tr>
      <w:tr w:rsidR="001B77DD" w14:paraId="675388D4" w14:textId="77777777">
        <w:tc>
          <w:tcPr>
            <w:tcW w:w="0" w:type="auto"/>
            <w:gridSpan w:val="3"/>
            <w:shd w:val="clear" w:color="auto" w:fill="auto"/>
            <w:tcMar>
              <w:top w:w="40" w:type="dxa"/>
              <w:left w:w="20" w:type="dxa"/>
              <w:bottom w:w="40" w:type="dxa"/>
              <w:right w:w="20" w:type="dxa"/>
            </w:tcMar>
          </w:tcPr>
          <w:p w14:paraId="675388C6" w14:textId="77777777" w:rsidR="001B77DD" w:rsidRDefault="00BF0A28">
            <w:pPr>
              <w:jc w:val="center"/>
              <w:textAlignment w:val="top"/>
            </w:pPr>
            <w:r>
              <w:rPr>
                <w:rFonts w:ascii="Arial" w:eastAsia="宋体" w:hAnsi="Arial" w:cs="Arial"/>
                <w:color w:val="262626"/>
                <w:sz w:val="18"/>
                <w:szCs w:val="18"/>
              </w:rPr>
              <w:t>10.1.12</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8C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C8" w14:textId="77777777" w:rsidR="001B77DD" w:rsidRDefault="00BF0A28">
            <w:pPr>
              <w:textAlignment w:val="top"/>
            </w:pPr>
            <w:hyperlink r:id="rId247" w:history="1">
              <w:r>
                <w:rPr>
                  <w:rStyle w:val="a5"/>
                  <w:rFonts w:ascii="Arial" w:eastAsia="宋体" w:hAnsi="Arial" w:cs="Arial"/>
                  <w:color w:val="262626"/>
                  <w:sz w:val="18"/>
                  <w:szCs w:val="18"/>
                </w:rPr>
                <w:t>Intel Corporation Restricted Stock Unit Agreement under the 2021 Inducement Plan (for time-vesting RSUs)</w:t>
              </w:r>
            </w:hyperlink>
          </w:p>
        </w:tc>
        <w:tc>
          <w:tcPr>
            <w:tcW w:w="0" w:type="auto"/>
            <w:gridSpan w:val="3"/>
            <w:shd w:val="clear" w:color="auto" w:fill="auto"/>
            <w:tcMar>
              <w:top w:w="0" w:type="dxa"/>
              <w:left w:w="20" w:type="dxa"/>
              <w:bottom w:w="0" w:type="dxa"/>
              <w:right w:w="20" w:type="dxa"/>
            </w:tcMar>
            <w:vAlign w:val="bottom"/>
          </w:tcPr>
          <w:p w14:paraId="675388C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CA"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C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CC" w14:textId="77777777" w:rsidR="001B77DD" w:rsidRDefault="00BF0A28">
            <w:pPr>
              <w:jc w:val="right"/>
              <w:textAlignment w:val="top"/>
            </w:pPr>
            <w:r>
              <w:rPr>
                <w:rFonts w:ascii="Arial" w:eastAsia="宋体" w:hAnsi="Arial" w:cs="Arial"/>
                <w:color w:val="262626"/>
                <w:sz w:val="18"/>
                <w:szCs w:val="18"/>
              </w:rPr>
              <w:t>0</w:t>
            </w:r>
            <w:r>
              <w:rPr>
                <w:rFonts w:ascii="Arial" w:eastAsia="宋体" w:hAnsi="Arial" w:cs="Arial"/>
                <w:color w:val="262626"/>
                <w:sz w:val="18"/>
                <w:szCs w:val="18"/>
              </w:rPr>
              <w:t>00-06217</w:t>
            </w:r>
          </w:p>
        </w:tc>
        <w:tc>
          <w:tcPr>
            <w:tcW w:w="0" w:type="auto"/>
            <w:gridSpan w:val="3"/>
            <w:shd w:val="clear" w:color="auto" w:fill="auto"/>
            <w:tcMar>
              <w:top w:w="0" w:type="dxa"/>
              <w:left w:w="20" w:type="dxa"/>
              <w:bottom w:w="0" w:type="dxa"/>
              <w:right w:w="20" w:type="dxa"/>
            </w:tcMar>
            <w:vAlign w:val="bottom"/>
          </w:tcPr>
          <w:p w14:paraId="675388C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CE" w14:textId="77777777" w:rsidR="001B77DD" w:rsidRDefault="00BF0A28">
            <w:pPr>
              <w:jc w:val="right"/>
              <w:textAlignment w:val="top"/>
            </w:pPr>
            <w:r>
              <w:rPr>
                <w:rFonts w:ascii="Arial" w:eastAsia="宋体" w:hAnsi="Arial" w:cs="Arial"/>
                <w:color w:val="262626"/>
                <w:sz w:val="18"/>
                <w:szCs w:val="18"/>
              </w:rPr>
              <w:t>10.3 </w:t>
            </w:r>
          </w:p>
        </w:tc>
        <w:tc>
          <w:tcPr>
            <w:tcW w:w="0" w:type="auto"/>
            <w:shd w:val="clear" w:color="auto" w:fill="auto"/>
            <w:tcMar>
              <w:top w:w="40" w:type="dxa"/>
              <w:left w:w="0" w:type="dxa"/>
              <w:bottom w:w="40" w:type="dxa"/>
              <w:right w:w="20" w:type="dxa"/>
            </w:tcMar>
          </w:tcPr>
          <w:p w14:paraId="675388C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D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D1" w14:textId="77777777" w:rsidR="001B77DD" w:rsidRDefault="00BF0A28">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675388D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D3" w14:textId="77777777" w:rsidR="001B77DD" w:rsidRDefault="001B77DD">
            <w:pPr>
              <w:rPr>
                <w:rFonts w:ascii="宋体"/>
              </w:rPr>
            </w:pPr>
          </w:p>
        </w:tc>
      </w:tr>
      <w:tr w:rsidR="001B77DD" w14:paraId="675388E3" w14:textId="77777777">
        <w:tc>
          <w:tcPr>
            <w:tcW w:w="0" w:type="auto"/>
            <w:gridSpan w:val="3"/>
            <w:shd w:val="clear" w:color="auto" w:fill="auto"/>
            <w:tcMar>
              <w:top w:w="40" w:type="dxa"/>
              <w:left w:w="20" w:type="dxa"/>
              <w:bottom w:w="40" w:type="dxa"/>
              <w:right w:w="20" w:type="dxa"/>
            </w:tcMar>
          </w:tcPr>
          <w:p w14:paraId="675388D5" w14:textId="77777777" w:rsidR="001B77DD" w:rsidRDefault="00BF0A28">
            <w:pPr>
              <w:jc w:val="center"/>
              <w:textAlignment w:val="top"/>
            </w:pPr>
            <w:r>
              <w:rPr>
                <w:rFonts w:ascii="Arial" w:eastAsia="宋体" w:hAnsi="Arial" w:cs="Arial"/>
                <w:color w:val="262626"/>
                <w:sz w:val="18"/>
                <w:szCs w:val="18"/>
              </w:rPr>
              <w:t>10.1.13</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8D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D7" w14:textId="77777777" w:rsidR="001B77DD" w:rsidRDefault="00BF0A28">
            <w:pPr>
              <w:textAlignment w:val="top"/>
            </w:pPr>
            <w:hyperlink r:id="rId248" w:history="1">
              <w:r>
                <w:rPr>
                  <w:rStyle w:val="a5"/>
                  <w:rFonts w:ascii="Arial" w:eastAsia="宋体" w:hAnsi="Arial" w:cs="Arial"/>
                  <w:color w:val="262626"/>
                  <w:sz w:val="18"/>
                  <w:szCs w:val="18"/>
                </w:rPr>
                <w:t>Intel Corporation Restricted Stock Unit Agreement under the 2021 Inducement Plan (for optional investment matching R</w:t>
              </w:r>
              <w:r>
                <w:rPr>
                  <w:rStyle w:val="a5"/>
                  <w:rFonts w:ascii="Arial" w:eastAsia="宋体" w:hAnsi="Arial" w:cs="Arial"/>
                  <w:color w:val="262626"/>
                  <w:sz w:val="18"/>
                  <w:szCs w:val="18"/>
                </w:rPr>
                <w:t>SUs)</w:t>
              </w:r>
            </w:hyperlink>
          </w:p>
        </w:tc>
        <w:tc>
          <w:tcPr>
            <w:tcW w:w="0" w:type="auto"/>
            <w:gridSpan w:val="3"/>
            <w:shd w:val="clear" w:color="auto" w:fill="auto"/>
            <w:tcMar>
              <w:top w:w="0" w:type="dxa"/>
              <w:left w:w="20" w:type="dxa"/>
              <w:bottom w:w="0" w:type="dxa"/>
              <w:right w:w="20" w:type="dxa"/>
            </w:tcMar>
            <w:vAlign w:val="bottom"/>
          </w:tcPr>
          <w:p w14:paraId="675388D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D9"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D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DB"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DC"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DD" w14:textId="77777777" w:rsidR="001B77DD" w:rsidRDefault="00BF0A28">
            <w:pPr>
              <w:jc w:val="right"/>
              <w:textAlignment w:val="top"/>
            </w:pPr>
            <w:r>
              <w:rPr>
                <w:rFonts w:ascii="Arial" w:eastAsia="宋体" w:hAnsi="Arial" w:cs="Arial"/>
                <w:color w:val="262626"/>
                <w:sz w:val="18"/>
                <w:szCs w:val="18"/>
              </w:rPr>
              <w:t>10.4 </w:t>
            </w:r>
          </w:p>
        </w:tc>
        <w:tc>
          <w:tcPr>
            <w:tcW w:w="0" w:type="auto"/>
            <w:shd w:val="clear" w:color="auto" w:fill="auto"/>
            <w:tcMar>
              <w:top w:w="40" w:type="dxa"/>
              <w:left w:w="0" w:type="dxa"/>
              <w:bottom w:w="40" w:type="dxa"/>
              <w:right w:w="20" w:type="dxa"/>
            </w:tcMar>
          </w:tcPr>
          <w:p w14:paraId="675388DE"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D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E0" w14:textId="77777777" w:rsidR="001B77DD" w:rsidRDefault="00BF0A28">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675388E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E2" w14:textId="77777777" w:rsidR="001B77DD" w:rsidRDefault="001B77DD">
            <w:pPr>
              <w:rPr>
                <w:rFonts w:ascii="宋体"/>
              </w:rPr>
            </w:pPr>
          </w:p>
        </w:tc>
      </w:tr>
      <w:tr w:rsidR="001B77DD" w14:paraId="675388F2" w14:textId="77777777">
        <w:tc>
          <w:tcPr>
            <w:tcW w:w="0" w:type="auto"/>
            <w:gridSpan w:val="3"/>
            <w:shd w:val="clear" w:color="auto" w:fill="auto"/>
            <w:tcMar>
              <w:top w:w="40" w:type="dxa"/>
              <w:left w:w="20" w:type="dxa"/>
              <w:bottom w:w="40" w:type="dxa"/>
              <w:right w:w="20" w:type="dxa"/>
            </w:tcMar>
          </w:tcPr>
          <w:p w14:paraId="675388E4" w14:textId="77777777" w:rsidR="001B77DD" w:rsidRDefault="00BF0A28">
            <w:pPr>
              <w:jc w:val="center"/>
              <w:textAlignment w:val="top"/>
            </w:pPr>
            <w:r>
              <w:rPr>
                <w:rFonts w:ascii="Arial" w:eastAsia="宋体" w:hAnsi="Arial" w:cs="Arial"/>
                <w:color w:val="262626"/>
                <w:sz w:val="18"/>
                <w:szCs w:val="18"/>
              </w:rPr>
              <w:t>10.1.14</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8E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E6" w14:textId="77777777" w:rsidR="001B77DD" w:rsidRDefault="00BF0A28">
            <w:pPr>
              <w:textAlignment w:val="top"/>
            </w:pPr>
            <w:hyperlink r:id="rId249" w:history="1">
              <w:r>
                <w:rPr>
                  <w:rStyle w:val="a5"/>
                  <w:rFonts w:ascii="Arial" w:eastAsia="宋体" w:hAnsi="Arial" w:cs="Arial"/>
                  <w:color w:val="262626"/>
                  <w:sz w:val="18"/>
                  <w:szCs w:val="18"/>
                </w:rPr>
                <w:t>Intel Corporation Restricted Stock Unit Agreement under the 2021 Inducement Plan (for relative TSR performance-based</w:t>
              </w:r>
              <w:r>
                <w:rPr>
                  <w:rStyle w:val="a5"/>
                  <w:rFonts w:ascii="Arial" w:eastAsia="宋体" w:hAnsi="Arial" w:cs="Arial"/>
                  <w:color w:val="262626"/>
                  <w:sz w:val="18"/>
                  <w:szCs w:val="18"/>
                </w:rPr>
                <w:t xml:space="preserve"> RSUs)</w:t>
              </w:r>
            </w:hyperlink>
          </w:p>
        </w:tc>
        <w:tc>
          <w:tcPr>
            <w:tcW w:w="0" w:type="auto"/>
            <w:gridSpan w:val="3"/>
            <w:shd w:val="clear" w:color="auto" w:fill="auto"/>
            <w:tcMar>
              <w:top w:w="0" w:type="dxa"/>
              <w:left w:w="20" w:type="dxa"/>
              <w:bottom w:w="0" w:type="dxa"/>
              <w:right w:w="20" w:type="dxa"/>
            </w:tcMar>
            <w:vAlign w:val="bottom"/>
          </w:tcPr>
          <w:p w14:paraId="675388E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E8"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E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EA"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EB"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EC" w14:textId="77777777" w:rsidR="001B77DD" w:rsidRDefault="00BF0A28">
            <w:pPr>
              <w:jc w:val="right"/>
              <w:textAlignment w:val="top"/>
            </w:pPr>
            <w:r>
              <w:rPr>
                <w:rFonts w:ascii="Arial" w:eastAsia="宋体" w:hAnsi="Arial" w:cs="Arial"/>
                <w:color w:val="262626"/>
                <w:sz w:val="18"/>
                <w:szCs w:val="18"/>
              </w:rPr>
              <w:t>10.5 </w:t>
            </w:r>
          </w:p>
        </w:tc>
        <w:tc>
          <w:tcPr>
            <w:tcW w:w="0" w:type="auto"/>
            <w:shd w:val="clear" w:color="auto" w:fill="auto"/>
            <w:tcMar>
              <w:top w:w="40" w:type="dxa"/>
              <w:left w:w="0" w:type="dxa"/>
              <w:bottom w:w="40" w:type="dxa"/>
              <w:right w:w="20" w:type="dxa"/>
            </w:tcMar>
          </w:tcPr>
          <w:p w14:paraId="675388ED"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E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EF" w14:textId="77777777" w:rsidR="001B77DD" w:rsidRDefault="00BF0A28">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675388F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8F1" w14:textId="77777777" w:rsidR="001B77DD" w:rsidRDefault="001B77DD">
            <w:pPr>
              <w:rPr>
                <w:rFonts w:ascii="宋体"/>
              </w:rPr>
            </w:pPr>
          </w:p>
        </w:tc>
      </w:tr>
      <w:tr w:rsidR="001B77DD" w14:paraId="67538901" w14:textId="77777777">
        <w:tc>
          <w:tcPr>
            <w:tcW w:w="0" w:type="auto"/>
            <w:gridSpan w:val="3"/>
            <w:shd w:val="clear" w:color="auto" w:fill="auto"/>
            <w:tcMar>
              <w:top w:w="40" w:type="dxa"/>
              <w:left w:w="20" w:type="dxa"/>
              <w:bottom w:w="40" w:type="dxa"/>
              <w:right w:w="20" w:type="dxa"/>
            </w:tcMar>
          </w:tcPr>
          <w:p w14:paraId="675388F3" w14:textId="77777777" w:rsidR="001B77DD" w:rsidRDefault="00BF0A28">
            <w:pPr>
              <w:jc w:val="center"/>
              <w:textAlignment w:val="top"/>
            </w:pPr>
            <w:r>
              <w:rPr>
                <w:rFonts w:ascii="Arial" w:eastAsia="宋体" w:hAnsi="Arial" w:cs="Arial"/>
                <w:color w:val="262626"/>
                <w:sz w:val="18"/>
                <w:szCs w:val="18"/>
              </w:rPr>
              <w:t>10.1.15</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8F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F5" w14:textId="77777777" w:rsidR="001B77DD" w:rsidRDefault="00BF0A28">
            <w:pPr>
              <w:textAlignment w:val="top"/>
            </w:pPr>
            <w:hyperlink r:id="rId250" w:history="1">
              <w:r>
                <w:rPr>
                  <w:rStyle w:val="a5"/>
                  <w:rFonts w:ascii="Arial" w:eastAsia="宋体" w:hAnsi="Arial" w:cs="Arial"/>
                  <w:color w:val="262626"/>
                  <w:sz w:val="18"/>
                  <w:szCs w:val="18"/>
                </w:rPr>
                <w:t>Intel Corporation Restricted Stock Unit Agreement under the 2021 Ind</w:t>
              </w:r>
              <w:r>
                <w:rPr>
                  <w:rStyle w:val="a5"/>
                  <w:rFonts w:ascii="Arial" w:eastAsia="宋体" w:hAnsi="Arial" w:cs="Arial"/>
                  <w:color w:val="262626"/>
                  <w:sz w:val="18"/>
                  <w:szCs w:val="18"/>
                </w:rPr>
                <w:t>ucement Plan (for strategic growth performance-based RSUs)</w:t>
              </w:r>
            </w:hyperlink>
          </w:p>
        </w:tc>
        <w:tc>
          <w:tcPr>
            <w:tcW w:w="0" w:type="auto"/>
            <w:gridSpan w:val="3"/>
            <w:shd w:val="clear" w:color="auto" w:fill="auto"/>
            <w:tcMar>
              <w:top w:w="0" w:type="dxa"/>
              <w:left w:w="20" w:type="dxa"/>
              <w:bottom w:w="0" w:type="dxa"/>
              <w:right w:w="20" w:type="dxa"/>
            </w:tcMar>
            <w:vAlign w:val="bottom"/>
          </w:tcPr>
          <w:p w14:paraId="675388F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F7"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8F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F9"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8FA"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8FB" w14:textId="77777777" w:rsidR="001B77DD" w:rsidRDefault="00BF0A28">
            <w:pPr>
              <w:jc w:val="right"/>
              <w:textAlignment w:val="top"/>
            </w:pPr>
            <w:r>
              <w:rPr>
                <w:rFonts w:ascii="Arial" w:eastAsia="宋体" w:hAnsi="Arial" w:cs="Arial"/>
                <w:color w:val="262626"/>
                <w:sz w:val="18"/>
                <w:szCs w:val="18"/>
              </w:rPr>
              <w:t>10.6 </w:t>
            </w:r>
          </w:p>
        </w:tc>
        <w:tc>
          <w:tcPr>
            <w:tcW w:w="0" w:type="auto"/>
            <w:shd w:val="clear" w:color="auto" w:fill="auto"/>
            <w:tcMar>
              <w:top w:w="40" w:type="dxa"/>
              <w:left w:w="0" w:type="dxa"/>
              <w:bottom w:w="40" w:type="dxa"/>
              <w:right w:w="20" w:type="dxa"/>
            </w:tcMar>
          </w:tcPr>
          <w:p w14:paraId="675388FC"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8F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8FE" w14:textId="77777777" w:rsidR="001B77DD" w:rsidRDefault="00BF0A28">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675388F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00" w14:textId="77777777" w:rsidR="001B77DD" w:rsidRDefault="001B77DD">
            <w:pPr>
              <w:rPr>
                <w:rFonts w:ascii="宋体"/>
              </w:rPr>
            </w:pPr>
          </w:p>
        </w:tc>
      </w:tr>
      <w:tr w:rsidR="001B77DD" w14:paraId="67538910" w14:textId="77777777">
        <w:tc>
          <w:tcPr>
            <w:tcW w:w="0" w:type="auto"/>
            <w:gridSpan w:val="3"/>
            <w:shd w:val="clear" w:color="auto" w:fill="auto"/>
            <w:tcMar>
              <w:top w:w="40" w:type="dxa"/>
              <w:left w:w="20" w:type="dxa"/>
              <w:bottom w:w="40" w:type="dxa"/>
              <w:right w:w="20" w:type="dxa"/>
            </w:tcMar>
          </w:tcPr>
          <w:p w14:paraId="67538902" w14:textId="77777777" w:rsidR="001B77DD" w:rsidRDefault="00BF0A28">
            <w:pPr>
              <w:jc w:val="center"/>
              <w:textAlignment w:val="top"/>
            </w:pPr>
            <w:r>
              <w:rPr>
                <w:rFonts w:ascii="Arial" w:eastAsia="宋体" w:hAnsi="Arial" w:cs="Arial"/>
                <w:color w:val="262626"/>
                <w:sz w:val="18"/>
                <w:szCs w:val="18"/>
              </w:rPr>
              <w:t>10.1.16</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0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04" w14:textId="77777777" w:rsidR="001B77DD" w:rsidRDefault="00BF0A28">
            <w:pPr>
              <w:textAlignment w:val="top"/>
            </w:pPr>
            <w:hyperlink r:id="rId251" w:history="1">
              <w:r>
                <w:rPr>
                  <w:rStyle w:val="a5"/>
                  <w:rFonts w:ascii="Arial" w:eastAsia="宋体" w:hAnsi="Arial" w:cs="Arial"/>
                  <w:color w:val="262626"/>
                  <w:sz w:val="18"/>
                  <w:szCs w:val="18"/>
                </w:rPr>
                <w:t>Intel Corporation Restricted Stock Unit Agreement under the 2021 Inducement Plan (for outperformance performance-bas</w:t>
              </w:r>
              <w:r>
                <w:rPr>
                  <w:rStyle w:val="a5"/>
                  <w:rFonts w:ascii="Arial" w:eastAsia="宋体" w:hAnsi="Arial" w:cs="Arial"/>
                  <w:color w:val="262626"/>
                  <w:sz w:val="18"/>
                  <w:szCs w:val="18"/>
                </w:rPr>
                <w:t>ed RSUs)</w:t>
              </w:r>
            </w:hyperlink>
          </w:p>
        </w:tc>
        <w:tc>
          <w:tcPr>
            <w:tcW w:w="0" w:type="auto"/>
            <w:gridSpan w:val="3"/>
            <w:shd w:val="clear" w:color="auto" w:fill="auto"/>
            <w:tcMar>
              <w:top w:w="0" w:type="dxa"/>
              <w:left w:w="20" w:type="dxa"/>
              <w:bottom w:w="0" w:type="dxa"/>
              <w:right w:w="20" w:type="dxa"/>
            </w:tcMar>
            <w:vAlign w:val="bottom"/>
          </w:tcPr>
          <w:p w14:paraId="6753890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06"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90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08"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09"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0A" w14:textId="77777777" w:rsidR="001B77DD" w:rsidRDefault="00BF0A28">
            <w:pPr>
              <w:jc w:val="right"/>
              <w:textAlignment w:val="top"/>
            </w:pPr>
            <w:r>
              <w:rPr>
                <w:rFonts w:ascii="Arial" w:eastAsia="宋体" w:hAnsi="Arial" w:cs="Arial"/>
                <w:color w:val="262626"/>
                <w:sz w:val="18"/>
                <w:szCs w:val="18"/>
              </w:rPr>
              <w:t>10.7 </w:t>
            </w:r>
          </w:p>
        </w:tc>
        <w:tc>
          <w:tcPr>
            <w:tcW w:w="0" w:type="auto"/>
            <w:shd w:val="clear" w:color="auto" w:fill="auto"/>
            <w:tcMar>
              <w:top w:w="40" w:type="dxa"/>
              <w:left w:w="0" w:type="dxa"/>
              <w:bottom w:w="40" w:type="dxa"/>
              <w:right w:w="20" w:type="dxa"/>
            </w:tcMar>
          </w:tcPr>
          <w:p w14:paraId="6753890B"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0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0D" w14:textId="77777777" w:rsidR="001B77DD" w:rsidRDefault="00BF0A28">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6753890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0F" w14:textId="77777777" w:rsidR="001B77DD" w:rsidRDefault="001B77DD">
            <w:pPr>
              <w:rPr>
                <w:rFonts w:ascii="宋体"/>
              </w:rPr>
            </w:pPr>
          </w:p>
        </w:tc>
      </w:tr>
      <w:tr w:rsidR="001B77DD" w14:paraId="6753891F" w14:textId="77777777">
        <w:tc>
          <w:tcPr>
            <w:tcW w:w="0" w:type="auto"/>
            <w:gridSpan w:val="3"/>
            <w:shd w:val="clear" w:color="auto" w:fill="auto"/>
            <w:tcMar>
              <w:top w:w="40" w:type="dxa"/>
              <w:left w:w="20" w:type="dxa"/>
              <w:bottom w:w="40" w:type="dxa"/>
              <w:right w:w="20" w:type="dxa"/>
            </w:tcMar>
          </w:tcPr>
          <w:p w14:paraId="67538911" w14:textId="77777777" w:rsidR="001B77DD" w:rsidRDefault="00BF0A28">
            <w:pPr>
              <w:jc w:val="center"/>
              <w:textAlignment w:val="top"/>
            </w:pPr>
            <w:r>
              <w:rPr>
                <w:rFonts w:ascii="Arial" w:eastAsia="宋体" w:hAnsi="Arial" w:cs="Arial"/>
                <w:color w:val="262626"/>
                <w:sz w:val="18"/>
                <w:szCs w:val="18"/>
              </w:rPr>
              <w:t>10.1.17</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1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13" w14:textId="77777777" w:rsidR="001B77DD" w:rsidRDefault="00BF0A28">
            <w:pPr>
              <w:textAlignment w:val="top"/>
            </w:pPr>
            <w:hyperlink r:id="rId252" w:history="1">
              <w:r>
                <w:rPr>
                  <w:rStyle w:val="a5"/>
                  <w:rFonts w:ascii="Arial" w:eastAsia="宋体" w:hAnsi="Arial" w:cs="Arial"/>
                  <w:color w:val="262626"/>
                  <w:sz w:val="18"/>
                  <w:szCs w:val="18"/>
                </w:rPr>
                <w:t>Intel Corporation Option Agreement under the 2021 Inducement Plan (for strategic growth performance-based stock opti</w:t>
              </w:r>
              <w:r>
                <w:rPr>
                  <w:rStyle w:val="a5"/>
                  <w:rFonts w:ascii="Arial" w:eastAsia="宋体" w:hAnsi="Arial" w:cs="Arial"/>
                  <w:color w:val="262626"/>
                  <w:sz w:val="18"/>
                  <w:szCs w:val="18"/>
                </w:rPr>
                <w:t>ons)</w:t>
              </w:r>
            </w:hyperlink>
          </w:p>
        </w:tc>
        <w:tc>
          <w:tcPr>
            <w:tcW w:w="0" w:type="auto"/>
            <w:gridSpan w:val="3"/>
            <w:shd w:val="clear" w:color="auto" w:fill="auto"/>
            <w:tcMar>
              <w:top w:w="0" w:type="dxa"/>
              <w:left w:w="20" w:type="dxa"/>
              <w:bottom w:w="0" w:type="dxa"/>
              <w:right w:w="20" w:type="dxa"/>
            </w:tcMar>
            <w:vAlign w:val="bottom"/>
          </w:tcPr>
          <w:p w14:paraId="6753891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15"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91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17"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18"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19" w14:textId="77777777" w:rsidR="001B77DD" w:rsidRDefault="00BF0A28">
            <w:pPr>
              <w:jc w:val="right"/>
              <w:textAlignment w:val="top"/>
            </w:pPr>
            <w:r>
              <w:rPr>
                <w:rFonts w:ascii="Arial" w:eastAsia="宋体" w:hAnsi="Arial" w:cs="Arial"/>
                <w:color w:val="262626"/>
                <w:sz w:val="18"/>
                <w:szCs w:val="18"/>
              </w:rPr>
              <w:t>10.8 </w:t>
            </w:r>
          </w:p>
        </w:tc>
        <w:tc>
          <w:tcPr>
            <w:tcW w:w="0" w:type="auto"/>
            <w:shd w:val="clear" w:color="auto" w:fill="auto"/>
            <w:tcMar>
              <w:top w:w="40" w:type="dxa"/>
              <w:left w:w="0" w:type="dxa"/>
              <w:bottom w:w="40" w:type="dxa"/>
              <w:right w:w="20" w:type="dxa"/>
            </w:tcMar>
          </w:tcPr>
          <w:p w14:paraId="6753891A"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1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1C" w14:textId="77777777" w:rsidR="001B77DD" w:rsidRDefault="00BF0A28">
            <w:pPr>
              <w:jc w:val="right"/>
              <w:textAlignment w:val="top"/>
            </w:pPr>
            <w:r>
              <w:rPr>
                <w:rFonts w:ascii="Arial" w:eastAsia="宋体" w:hAnsi="Arial" w:cs="Arial"/>
                <w:color w:val="262626"/>
                <w:sz w:val="18"/>
                <w:szCs w:val="18"/>
              </w:rPr>
              <w:t>4/23/2021</w:t>
            </w:r>
          </w:p>
        </w:tc>
        <w:tc>
          <w:tcPr>
            <w:tcW w:w="0" w:type="auto"/>
            <w:gridSpan w:val="3"/>
            <w:shd w:val="clear" w:color="auto" w:fill="auto"/>
            <w:tcMar>
              <w:top w:w="0" w:type="dxa"/>
              <w:left w:w="20" w:type="dxa"/>
              <w:bottom w:w="0" w:type="dxa"/>
              <w:right w:w="20" w:type="dxa"/>
            </w:tcMar>
            <w:vAlign w:val="bottom"/>
          </w:tcPr>
          <w:p w14:paraId="6753891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1E" w14:textId="77777777" w:rsidR="001B77DD" w:rsidRDefault="001B77DD">
            <w:pPr>
              <w:rPr>
                <w:rFonts w:ascii="宋体"/>
              </w:rPr>
            </w:pPr>
          </w:p>
        </w:tc>
      </w:tr>
      <w:tr w:rsidR="001B77DD" w14:paraId="6753892E" w14:textId="77777777">
        <w:tc>
          <w:tcPr>
            <w:tcW w:w="0" w:type="auto"/>
            <w:gridSpan w:val="3"/>
            <w:shd w:val="clear" w:color="auto" w:fill="auto"/>
            <w:tcMar>
              <w:top w:w="40" w:type="dxa"/>
              <w:left w:w="20" w:type="dxa"/>
              <w:bottom w:w="40" w:type="dxa"/>
              <w:right w:w="20" w:type="dxa"/>
            </w:tcMar>
          </w:tcPr>
          <w:p w14:paraId="67538920" w14:textId="77777777" w:rsidR="001B77DD" w:rsidRDefault="00BF0A28">
            <w:pPr>
              <w:jc w:val="center"/>
              <w:textAlignment w:val="top"/>
            </w:pPr>
            <w:r>
              <w:rPr>
                <w:rFonts w:ascii="Arial" w:eastAsia="宋体" w:hAnsi="Arial" w:cs="Arial"/>
                <w:color w:val="262626"/>
                <w:sz w:val="18"/>
                <w:szCs w:val="18"/>
              </w:rPr>
              <w:t>10.2</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2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22" w14:textId="77777777" w:rsidR="001B77DD" w:rsidRDefault="00BF0A28">
            <w:pPr>
              <w:textAlignment w:val="top"/>
            </w:pPr>
            <w:hyperlink r:id="rId253" w:history="1">
              <w:r>
                <w:rPr>
                  <w:rStyle w:val="a5"/>
                  <w:rFonts w:ascii="Arial" w:eastAsia="宋体" w:hAnsi="Arial" w:cs="Arial"/>
                  <w:color w:val="262626"/>
                  <w:sz w:val="18"/>
                  <w:szCs w:val="18"/>
                </w:rPr>
                <w:t>Intel Corporation Executive Annual Performance Bonus Plan, effective as of January 1, 2020</w:t>
              </w:r>
            </w:hyperlink>
          </w:p>
        </w:tc>
        <w:tc>
          <w:tcPr>
            <w:tcW w:w="0" w:type="auto"/>
            <w:gridSpan w:val="3"/>
            <w:shd w:val="clear" w:color="auto" w:fill="auto"/>
            <w:tcMar>
              <w:top w:w="0" w:type="dxa"/>
              <w:left w:w="20" w:type="dxa"/>
              <w:bottom w:w="0" w:type="dxa"/>
              <w:right w:w="20" w:type="dxa"/>
            </w:tcMar>
            <w:vAlign w:val="bottom"/>
          </w:tcPr>
          <w:p w14:paraId="6753892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24"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92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26"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27"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28" w14:textId="77777777" w:rsidR="001B77DD" w:rsidRDefault="00BF0A28">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67538929"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2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2B" w14:textId="77777777" w:rsidR="001B77DD" w:rsidRDefault="00BF0A28">
            <w:pPr>
              <w:jc w:val="right"/>
              <w:textAlignment w:val="top"/>
            </w:pPr>
            <w:r>
              <w:rPr>
                <w:rFonts w:ascii="Arial" w:eastAsia="宋体" w:hAnsi="Arial" w:cs="Arial"/>
                <w:color w:val="262626"/>
                <w:sz w:val="18"/>
                <w:szCs w:val="18"/>
              </w:rPr>
              <w:t>1/22/2020</w:t>
            </w:r>
          </w:p>
        </w:tc>
        <w:tc>
          <w:tcPr>
            <w:tcW w:w="0" w:type="auto"/>
            <w:gridSpan w:val="3"/>
            <w:shd w:val="clear" w:color="auto" w:fill="auto"/>
            <w:tcMar>
              <w:top w:w="0" w:type="dxa"/>
              <w:left w:w="20" w:type="dxa"/>
              <w:bottom w:w="0" w:type="dxa"/>
              <w:right w:w="20" w:type="dxa"/>
            </w:tcMar>
            <w:vAlign w:val="bottom"/>
          </w:tcPr>
          <w:p w14:paraId="6753892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2D" w14:textId="77777777" w:rsidR="001B77DD" w:rsidRDefault="001B77DD">
            <w:pPr>
              <w:rPr>
                <w:rFonts w:ascii="宋体"/>
              </w:rPr>
            </w:pPr>
          </w:p>
        </w:tc>
      </w:tr>
      <w:tr w:rsidR="001B77DD" w14:paraId="6753893C" w14:textId="77777777">
        <w:tc>
          <w:tcPr>
            <w:tcW w:w="0" w:type="auto"/>
            <w:gridSpan w:val="3"/>
            <w:shd w:val="clear" w:color="auto" w:fill="auto"/>
            <w:tcMar>
              <w:top w:w="40" w:type="dxa"/>
              <w:left w:w="20" w:type="dxa"/>
              <w:bottom w:w="40" w:type="dxa"/>
              <w:right w:w="20" w:type="dxa"/>
            </w:tcMar>
          </w:tcPr>
          <w:p w14:paraId="6753892F" w14:textId="77777777" w:rsidR="001B77DD" w:rsidRDefault="00BF0A28">
            <w:pPr>
              <w:jc w:val="center"/>
              <w:textAlignment w:val="top"/>
            </w:pPr>
            <w:r>
              <w:rPr>
                <w:rFonts w:ascii="Arial" w:eastAsia="宋体" w:hAnsi="Arial" w:cs="Arial"/>
                <w:color w:val="262626"/>
                <w:sz w:val="18"/>
                <w:szCs w:val="18"/>
              </w:rPr>
              <w:t>10.3</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3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31" w14:textId="77777777" w:rsidR="001B77DD" w:rsidRDefault="00BF0A28">
            <w:pPr>
              <w:textAlignment w:val="top"/>
            </w:pPr>
            <w:hyperlink r:id="rId254" w:history="1">
              <w:r>
                <w:rPr>
                  <w:rStyle w:val="a5"/>
                  <w:rFonts w:ascii="Arial" w:eastAsia="宋体" w:hAnsi="Arial" w:cs="Arial"/>
                  <w:color w:val="262626"/>
                  <w:sz w:val="18"/>
                  <w:szCs w:val="18"/>
                </w:rPr>
                <w:t xml:space="preserve">Intel Corporation Sheltered Employee Retirement Plan Plus, as amended and restated, effective </w:t>
              </w:r>
              <w:r>
                <w:rPr>
                  <w:rStyle w:val="a5"/>
                  <w:rFonts w:ascii="Arial" w:eastAsia="宋体" w:hAnsi="Arial" w:cs="Arial"/>
                  <w:color w:val="262626"/>
                  <w:sz w:val="18"/>
                  <w:szCs w:val="18"/>
                </w:rPr>
                <w:t>January 1, 2020</w:t>
              </w:r>
            </w:hyperlink>
          </w:p>
        </w:tc>
        <w:tc>
          <w:tcPr>
            <w:tcW w:w="0" w:type="auto"/>
            <w:gridSpan w:val="3"/>
            <w:shd w:val="clear" w:color="auto" w:fill="auto"/>
            <w:tcMar>
              <w:top w:w="0" w:type="dxa"/>
              <w:left w:w="20" w:type="dxa"/>
              <w:bottom w:w="0" w:type="dxa"/>
              <w:right w:w="20" w:type="dxa"/>
            </w:tcMar>
            <w:vAlign w:val="bottom"/>
          </w:tcPr>
          <w:p w14:paraId="6753893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33"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93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35"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3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37" w14:textId="77777777" w:rsidR="001B77DD" w:rsidRDefault="00BF0A28">
            <w:pPr>
              <w:jc w:val="right"/>
              <w:textAlignment w:val="top"/>
            </w:pPr>
            <w:r>
              <w:rPr>
                <w:rFonts w:ascii="Arial" w:eastAsia="宋体" w:hAnsi="Arial" w:cs="Arial"/>
                <w:color w:val="262626"/>
                <w:sz w:val="18"/>
                <w:szCs w:val="18"/>
              </w:rPr>
              <w:t>10.3</w:t>
            </w:r>
          </w:p>
        </w:tc>
        <w:tc>
          <w:tcPr>
            <w:tcW w:w="0" w:type="auto"/>
            <w:gridSpan w:val="3"/>
            <w:shd w:val="clear" w:color="auto" w:fill="auto"/>
            <w:tcMar>
              <w:top w:w="0" w:type="dxa"/>
              <w:left w:w="20" w:type="dxa"/>
              <w:bottom w:w="0" w:type="dxa"/>
              <w:right w:w="20" w:type="dxa"/>
            </w:tcMar>
            <w:vAlign w:val="bottom"/>
          </w:tcPr>
          <w:p w14:paraId="6753893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39" w14:textId="77777777" w:rsidR="001B77DD" w:rsidRDefault="00BF0A28">
            <w:pPr>
              <w:jc w:val="right"/>
              <w:textAlignment w:val="top"/>
            </w:pPr>
            <w:r>
              <w:rPr>
                <w:rFonts w:ascii="Arial" w:eastAsia="宋体" w:hAnsi="Arial" w:cs="Arial"/>
                <w:color w:val="262626"/>
                <w:sz w:val="18"/>
                <w:szCs w:val="18"/>
              </w:rPr>
              <w:t>4/24/2020</w:t>
            </w:r>
          </w:p>
        </w:tc>
        <w:tc>
          <w:tcPr>
            <w:tcW w:w="0" w:type="auto"/>
            <w:gridSpan w:val="3"/>
            <w:shd w:val="clear" w:color="auto" w:fill="auto"/>
            <w:tcMar>
              <w:top w:w="0" w:type="dxa"/>
              <w:left w:w="20" w:type="dxa"/>
              <w:bottom w:w="0" w:type="dxa"/>
              <w:right w:w="20" w:type="dxa"/>
            </w:tcMar>
            <w:vAlign w:val="bottom"/>
          </w:tcPr>
          <w:p w14:paraId="6753893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3B" w14:textId="77777777" w:rsidR="001B77DD" w:rsidRDefault="001B77DD">
            <w:pPr>
              <w:rPr>
                <w:rFonts w:ascii="宋体"/>
              </w:rPr>
            </w:pPr>
          </w:p>
        </w:tc>
      </w:tr>
      <w:tr w:rsidR="001B77DD" w14:paraId="6753894B" w14:textId="77777777">
        <w:tc>
          <w:tcPr>
            <w:tcW w:w="0" w:type="auto"/>
            <w:gridSpan w:val="3"/>
            <w:shd w:val="clear" w:color="auto" w:fill="auto"/>
            <w:tcMar>
              <w:top w:w="40" w:type="dxa"/>
              <w:left w:w="20" w:type="dxa"/>
              <w:bottom w:w="40" w:type="dxa"/>
              <w:right w:w="20" w:type="dxa"/>
            </w:tcMar>
          </w:tcPr>
          <w:p w14:paraId="6753893D" w14:textId="77777777" w:rsidR="001B77DD" w:rsidRDefault="00BF0A28">
            <w:pPr>
              <w:jc w:val="center"/>
              <w:textAlignment w:val="top"/>
            </w:pPr>
            <w:r>
              <w:rPr>
                <w:rFonts w:ascii="Arial" w:eastAsia="宋体" w:hAnsi="Arial" w:cs="Arial"/>
                <w:color w:val="262626"/>
                <w:sz w:val="18"/>
                <w:szCs w:val="18"/>
              </w:rPr>
              <w:t>10.4</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3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3F" w14:textId="77777777" w:rsidR="001B77DD" w:rsidRDefault="00BF0A28">
            <w:pPr>
              <w:textAlignment w:val="top"/>
            </w:pPr>
            <w:hyperlink r:id="rId255" w:history="1">
              <w:r>
                <w:rPr>
                  <w:rStyle w:val="a5"/>
                  <w:rFonts w:ascii="Arial" w:eastAsia="宋体" w:hAnsi="Arial" w:cs="Arial"/>
                  <w:color w:val="262626"/>
                  <w:sz w:val="18"/>
                  <w:szCs w:val="18"/>
                </w:rPr>
                <w:t>Intel Corporation 2006 Employee Stock Purchase Plan, as amended and restated, effective May 14, 2020</w:t>
              </w:r>
            </w:hyperlink>
          </w:p>
        </w:tc>
        <w:tc>
          <w:tcPr>
            <w:tcW w:w="0" w:type="auto"/>
            <w:gridSpan w:val="3"/>
            <w:shd w:val="clear" w:color="auto" w:fill="auto"/>
            <w:tcMar>
              <w:top w:w="0" w:type="dxa"/>
              <w:left w:w="20" w:type="dxa"/>
              <w:bottom w:w="0" w:type="dxa"/>
              <w:right w:w="20" w:type="dxa"/>
            </w:tcMar>
            <w:vAlign w:val="bottom"/>
          </w:tcPr>
          <w:p w14:paraId="6753894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41"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94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43"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44"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45" w14:textId="77777777" w:rsidR="001B77DD" w:rsidRDefault="00BF0A28">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67538946"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4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48" w14:textId="77777777" w:rsidR="001B77DD" w:rsidRDefault="00BF0A28">
            <w:pPr>
              <w:jc w:val="right"/>
              <w:textAlignment w:val="top"/>
            </w:pPr>
            <w:r>
              <w:rPr>
                <w:rFonts w:ascii="Arial" w:eastAsia="宋体" w:hAnsi="Arial" w:cs="Arial"/>
                <w:color w:val="262626"/>
                <w:sz w:val="18"/>
                <w:szCs w:val="18"/>
              </w:rPr>
              <w:t>7/24/2020</w:t>
            </w:r>
          </w:p>
        </w:tc>
        <w:tc>
          <w:tcPr>
            <w:tcW w:w="0" w:type="auto"/>
            <w:gridSpan w:val="3"/>
            <w:shd w:val="clear" w:color="auto" w:fill="auto"/>
            <w:tcMar>
              <w:top w:w="0" w:type="dxa"/>
              <w:left w:w="20" w:type="dxa"/>
              <w:bottom w:w="0" w:type="dxa"/>
              <w:right w:w="20" w:type="dxa"/>
            </w:tcMar>
            <w:vAlign w:val="bottom"/>
          </w:tcPr>
          <w:p w14:paraId="6753894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4A" w14:textId="77777777" w:rsidR="001B77DD" w:rsidRDefault="001B77DD">
            <w:pPr>
              <w:rPr>
                <w:rFonts w:ascii="宋体"/>
              </w:rPr>
            </w:pPr>
          </w:p>
        </w:tc>
      </w:tr>
      <w:tr w:rsidR="001B77DD" w14:paraId="6753895A" w14:textId="77777777">
        <w:tc>
          <w:tcPr>
            <w:tcW w:w="0" w:type="auto"/>
            <w:gridSpan w:val="3"/>
            <w:shd w:val="clear" w:color="auto" w:fill="auto"/>
            <w:tcMar>
              <w:top w:w="40" w:type="dxa"/>
              <w:left w:w="20" w:type="dxa"/>
              <w:bottom w:w="40" w:type="dxa"/>
              <w:right w:w="20" w:type="dxa"/>
            </w:tcMar>
          </w:tcPr>
          <w:p w14:paraId="6753894C" w14:textId="77777777" w:rsidR="001B77DD" w:rsidRDefault="00BF0A28">
            <w:pPr>
              <w:jc w:val="center"/>
              <w:textAlignment w:val="top"/>
            </w:pPr>
            <w:r>
              <w:rPr>
                <w:rFonts w:ascii="Arial" w:eastAsia="宋体" w:hAnsi="Arial" w:cs="Arial"/>
                <w:color w:val="262626"/>
                <w:sz w:val="18"/>
                <w:szCs w:val="18"/>
              </w:rPr>
              <w:t>10.5</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4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4E" w14:textId="77777777" w:rsidR="001B77DD" w:rsidRDefault="00BF0A28">
            <w:pPr>
              <w:textAlignment w:val="top"/>
            </w:pPr>
            <w:hyperlink r:id="rId256" w:history="1">
              <w:r>
                <w:rPr>
                  <w:rStyle w:val="a5"/>
                  <w:rFonts w:ascii="Arial" w:eastAsia="宋体" w:hAnsi="Arial" w:cs="Arial"/>
                  <w:color w:val="262626"/>
                  <w:sz w:val="18"/>
                  <w:szCs w:val="18"/>
                </w:rPr>
                <w:t>Intel Corporation 2006 Deferral Plan for Outside Directors, effective November 15, 2006</w:t>
              </w:r>
            </w:hyperlink>
          </w:p>
        </w:tc>
        <w:tc>
          <w:tcPr>
            <w:tcW w:w="0" w:type="auto"/>
            <w:gridSpan w:val="3"/>
            <w:shd w:val="clear" w:color="auto" w:fill="auto"/>
            <w:tcMar>
              <w:top w:w="0" w:type="dxa"/>
              <w:left w:w="20" w:type="dxa"/>
              <w:bottom w:w="0" w:type="dxa"/>
              <w:right w:w="20" w:type="dxa"/>
            </w:tcMar>
            <w:vAlign w:val="bottom"/>
          </w:tcPr>
          <w:p w14:paraId="6753894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50" w14:textId="77777777" w:rsidR="001B77DD" w:rsidRDefault="00BF0A28">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6753895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52"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53"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54" w14:textId="77777777" w:rsidR="001B77DD" w:rsidRDefault="00BF0A28">
            <w:pPr>
              <w:jc w:val="right"/>
              <w:textAlignment w:val="top"/>
            </w:pPr>
            <w:r>
              <w:rPr>
                <w:rFonts w:ascii="Arial" w:eastAsia="宋体" w:hAnsi="Arial" w:cs="Arial"/>
                <w:color w:val="262626"/>
                <w:sz w:val="18"/>
                <w:szCs w:val="18"/>
              </w:rPr>
              <w:t>10.41 </w:t>
            </w:r>
          </w:p>
        </w:tc>
        <w:tc>
          <w:tcPr>
            <w:tcW w:w="0" w:type="auto"/>
            <w:shd w:val="clear" w:color="auto" w:fill="auto"/>
            <w:tcMar>
              <w:top w:w="40" w:type="dxa"/>
              <w:left w:w="0" w:type="dxa"/>
              <w:bottom w:w="40" w:type="dxa"/>
              <w:right w:w="20" w:type="dxa"/>
            </w:tcMar>
          </w:tcPr>
          <w:p w14:paraId="67538955"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5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57" w14:textId="77777777" w:rsidR="001B77DD" w:rsidRDefault="00BF0A28">
            <w:pPr>
              <w:jc w:val="right"/>
              <w:textAlignment w:val="top"/>
            </w:pPr>
            <w:r>
              <w:rPr>
                <w:rFonts w:ascii="Arial" w:eastAsia="宋体" w:hAnsi="Arial" w:cs="Arial"/>
                <w:color w:val="262626"/>
                <w:sz w:val="18"/>
                <w:szCs w:val="18"/>
              </w:rPr>
              <w:t>2/26/2007</w:t>
            </w:r>
          </w:p>
        </w:tc>
        <w:tc>
          <w:tcPr>
            <w:tcW w:w="0" w:type="auto"/>
            <w:gridSpan w:val="3"/>
            <w:shd w:val="clear" w:color="auto" w:fill="auto"/>
            <w:tcMar>
              <w:top w:w="0" w:type="dxa"/>
              <w:left w:w="20" w:type="dxa"/>
              <w:bottom w:w="0" w:type="dxa"/>
              <w:right w:w="20" w:type="dxa"/>
            </w:tcMar>
            <w:vAlign w:val="bottom"/>
          </w:tcPr>
          <w:p w14:paraId="6753895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59" w14:textId="77777777" w:rsidR="001B77DD" w:rsidRDefault="001B77DD">
            <w:pPr>
              <w:rPr>
                <w:rFonts w:ascii="宋体"/>
              </w:rPr>
            </w:pPr>
          </w:p>
        </w:tc>
      </w:tr>
      <w:tr w:rsidR="001B77DD" w14:paraId="67538969" w14:textId="77777777">
        <w:tc>
          <w:tcPr>
            <w:tcW w:w="0" w:type="auto"/>
            <w:gridSpan w:val="3"/>
            <w:shd w:val="clear" w:color="auto" w:fill="auto"/>
            <w:tcMar>
              <w:top w:w="40" w:type="dxa"/>
              <w:left w:w="20" w:type="dxa"/>
              <w:bottom w:w="40" w:type="dxa"/>
              <w:right w:w="20" w:type="dxa"/>
            </w:tcMar>
          </w:tcPr>
          <w:p w14:paraId="6753895B" w14:textId="77777777" w:rsidR="001B77DD" w:rsidRDefault="00BF0A28">
            <w:pPr>
              <w:jc w:val="center"/>
              <w:textAlignment w:val="top"/>
            </w:pPr>
            <w:r>
              <w:rPr>
                <w:rFonts w:ascii="Arial" w:eastAsia="宋体" w:hAnsi="Arial" w:cs="Arial"/>
                <w:color w:val="262626"/>
                <w:sz w:val="18"/>
                <w:szCs w:val="18"/>
              </w:rPr>
              <w:t>10.6</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5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5D" w14:textId="77777777" w:rsidR="001B77DD" w:rsidRDefault="00BF0A28">
            <w:pPr>
              <w:textAlignment w:val="top"/>
            </w:pPr>
            <w:hyperlink r:id="rId257" w:history="1">
              <w:r>
                <w:rPr>
                  <w:rStyle w:val="a5"/>
                  <w:rFonts w:ascii="Arial" w:eastAsia="宋体" w:hAnsi="Arial" w:cs="Arial"/>
                  <w:color w:val="262626"/>
                  <w:sz w:val="18"/>
                  <w:szCs w:val="18"/>
                </w:rPr>
                <w:t>Form of Indemnification Agreement with Directors and Executive Officers</w:t>
              </w:r>
            </w:hyperlink>
          </w:p>
        </w:tc>
        <w:tc>
          <w:tcPr>
            <w:tcW w:w="0" w:type="auto"/>
            <w:gridSpan w:val="3"/>
            <w:shd w:val="clear" w:color="auto" w:fill="auto"/>
            <w:tcMar>
              <w:top w:w="0" w:type="dxa"/>
              <w:left w:w="20" w:type="dxa"/>
              <w:bottom w:w="0" w:type="dxa"/>
              <w:right w:w="20" w:type="dxa"/>
            </w:tcMar>
            <w:vAlign w:val="bottom"/>
          </w:tcPr>
          <w:p w14:paraId="6753895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5F" w14:textId="77777777" w:rsidR="001B77DD" w:rsidRDefault="00BF0A28">
            <w:pPr>
              <w:jc w:val="right"/>
              <w:textAlignment w:val="top"/>
            </w:pPr>
            <w:r>
              <w:rPr>
                <w:rFonts w:ascii="Arial" w:eastAsia="宋体" w:hAnsi="Arial" w:cs="Arial"/>
                <w:color w:val="262626"/>
                <w:sz w:val="18"/>
                <w:szCs w:val="18"/>
              </w:rPr>
              <w:t>10-K</w:t>
            </w:r>
          </w:p>
        </w:tc>
        <w:tc>
          <w:tcPr>
            <w:tcW w:w="0" w:type="auto"/>
            <w:gridSpan w:val="3"/>
            <w:shd w:val="clear" w:color="auto" w:fill="auto"/>
            <w:tcMar>
              <w:top w:w="0" w:type="dxa"/>
              <w:left w:w="20" w:type="dxa"/>
              <w:bottom w:w="0" w:type="dxa"/>
              <w:right w:w="20" w:type="dxa"/>
            </w:tcMar>
            <w:vAlign w:val="bottom"/>
          </w:tcPr>
          <w:p w14:paraId="6753896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61"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62"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63" w14:textId="77777777" w:rsidR="001B77DD" w:rsidRDefault="00BF0A28">
            <w:pPr>
              <w:jc w:val="right"/>
              <w:textAlignment w:val="top"/>
            </w:pPr>
            <w:r>
              <w:rPr>
                <w:rFonts w:ascii="Arial" w:eastAsia="宋体" w:hAnsi="Arial" w:cs="Arial"/>
                <w:color w:val="262626"/>
                <w:sz w:val="18"/>
                <w:szCs w:val="18"/>
              </w:rPr>
              <w:t>10.15 </w:t>
            </w:r>
          </w:p>
        </w:tc>
        <w:tc>
          <w:tcPr>
            <w:tcW w:w="0" w:type="auto"/>
            <w:shd w:val="clear" w:color="auto" w:fill="auto"/>
            <w:tcMar>
              <w:top w:w="40" w:type="dxa"/>
              <w:left w:w="0" w:type="dxa"/>
              <w:bottom w:w="40" w:type="dxa"/>
              <w:right w:w="20" w:type="dxa"/>
            </w:tcMar>
          </w:tcPr>
          <w:p w14:paraId="67538964"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6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66" w14:textId="77777777" w:rsidR="001B77DD" w:rsidRDefault="00BF0A28">
            <w:pPr>
              <w:jc w:val="right"/>
              <w:textAlignment w:val="top"/>
            </w:pPr>
            <w:r>
              <w:rPr>
                <w:rFonts w:ascii="Arial" w:eastAsia="宋体" w:hAnsi="Arial" w:cs="Arial"/>
                <w:color w:val="262626"/>
                <w:sz w:val="18"/>
                <w:szCs w:val="18"/>
              </w:rPr>
              <w:t>2/22/2005</w:t>
            </w:r>
          </w:p>
        </w:tc>
        <w:tc>
          <w:tcPr>
            <w:tcW w:w="0" w:type="auto"/>
            <w:gridSpan w:val="3"/>
            <w:shd w:val="clear" w:color="auto" w:fill="auto"/>
            <w:tcMar>
              <w:top w:w="0" w:type="dxa"/>
              <w:left w:w="20" w:type="dxa"/>
              <w:bottom w:w="0" w:type="dxa"/>
              <w:right w:w="20" w:type="dxa"/>
            </w:tcMar>
            <w:vAlign w:val="bottom"/>
          </w:tcPr>
          <w:p w14:paraId="6753896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68" w14:textId="77777777" w:rsidR="001B77DD" w:rsidRDefault="001B77DD">
            <w:pPr>
              <w:rPr>
                <w:rFonts w:ascii="宋体"/>
              </w:rPr>
            </w:pPr>
          </w:p>
        </w:tc>
      </w:tr>
      <w:tr w:rsidR="001B77DD" w14:paraId="67538978" w14:textId="77777777">
        <w:tc>
          <w:tcPr>
            <w:tcW w:w="0" w:type="auto"/>
            <w:gridSpan w:val="3"/>
            <w:shd w:val="clear" w:color="auto" w:fill="auto"/>
            <w:tcMar>
              <w:top w:w="40" w:type="dxa"/>
              <w:left w:w="20" w:type="dxa"/>
              <w:bottom w:w="40" w:type="dxa"/>
              <w:right w:w="20" w:type="dxa"/>
            </w:tcMar>
          </w:tcPr>
          <w:p w14:paraId="6753896A" w14:textId="77777777" w:rsidR="001B77DD" w:rsidRDefault="00BF0A28">
            <w:pPr>
              <w:jc w:val="center"/>
              <w:textAlignment w:val="top"/>
            </w:pPr>
            <w:r>
              <w:rPr>
                <w:rFonts w:ascii="Arial" w:eastAsia="宋体" w:hAnsi="Arial" w:cs="Arial"/>
                <w:color w:val="262626"/>
                <w:sz w:val="18"/>
                <w:szCs w:val="18"/>
              </w:rPr>
              <w:t>10.7</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6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6C" w14:textId="77777777" w:rsidR="001B77DD" w:rsidRDefault="00BF0A28">
            <w:pPr>
              <w:spacing w:before="40" w:after="160"/>
              <w:textAlignment w:val="top"/>
            </w:pPr>
            <w:hyperlink r:id="rId258" w:history="1">
              <w:r>
                <w:rPr>
                  <w:rStyle w:val="a5"/>
                  <w:rFonts w:ascii="Arial" w:eastAsia="宋体" w:hAnsi="Arial" w:cs="Arial"/>
                  <w:color w:val="262626"/>
                  <w:sz w:val="18"/>
                  <w:szCs w:val="18"/>
                </w:rPr>
                <w:t xml:space="preserve">Form of Indemnification Agreement with Directors and Executive Officers (for Directors and Executive </w:t>
              </w:r>
              <w:r>
                <w:rPr>
                  <w:rStyle w:val="a5"/>
                  <w:rFonts w:ascii="Arial" w:eastAsia="宋体" w:hAnsi="Arial" w:cs="Arial"/>
                  <w:color w:val="262626"/>
                  <w:sz w:val="18"/>
                  <w:szCs w:val="18"/>
                </w:rPr>
                <w:t>Officers who joined Intel after July 1, 2016)</w:t>
              </w:r>
            </w:hyperlink>
          </w:p>
        </w:tc>
        <w:tc>
          <w:tcPr>
            <w:tcW w:w="0" w:type="auto"/>
            <w:gridSpan w:val="3"/>
            <w:shd w:val="clear" w:color="auto" w:fill="auto"/>
            <w:tcMar>
              <w:top w:w="0" w:type="dxa"/>
              <w:left w:w="20" w:type="dxa"/>
              <w:bottom w:w="0" w:type="dxa"/>
              <w:right w:w="20" w:type="dxa"/>
            </w:tcMar>
            <w:vAlign w:val="bottom"/>
          </w:tcPr>
          <w:p w14:paraId="6753896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6E"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96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70"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71"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72" w14:textId="77777777" w:rsidR="001B77DD" w:rsidRDefault="00BF0A28">
            <w:pPr>
              <w:jc w:val="right"/>
              <w:textAlignment w:val="top"/>
            </w:pPr>
            <w:r>
              <w:rPr>
                <w:rFonts w:ascii="Arial" w:eastAsia="宋体" w:hAnsi="Arial" w:cs="Arial"/>
                <w:color w:val="262626"/>
                <w:sz w:val="18"/>
                <w:szCs w:val="18"/>
              </w:rPr>
              <w:t>10.2 </w:t>
            </w:r>
          </w:p>
        </w:tc>
        <w:tc>
          <w:tcPr>
            <w:tcW w:w="0" w:type="auto"/>
            <w:shd w:val="clear" w:color="auto" w:fill="auto"/>
            <w:tcMar>
              <w:top w:w="40" w:type="dxa"/>
              <w:left w:w="0" w:type="dxa"/>
              <w:bottom w:w="40" w:type="dxa"/>
              <w:right w:w="20" w:type="dxa"/>
            </w:tcMar>
          </w:tcPr>
          <w:p w14:paraId="67538973"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7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75" w14:textId="77777777" w:rsidR="001B77DD" w:rsidRDefault="00BF0A28">
            <w:pPr>
              <w:jc w:val="right"/>
              <w:textAlignment w:val="top"/>
            </w:pPr>
            <w:r>
              <w:rPr>
                <w:rFonts w:ascii="Arial" w:eastAsia="宋体" w:hAnsi="Arial" w:cs="Arial"/>
                <w:color w:val="262626"/>
                <w:sz w:val="18"/>
                <w:szCs w:val="18"/>
              </w:rPr>
              <w:t>10/31/2016</w:t>
            </w:r>
          </w:p>
        </w:tc>
        <w:tc>
          <w:tcPr>
            <w:tcW w:w="0" w:type="auto"/>
            <w:gridSpan w:val="3"/>
            <w:shd w:val="clear" w:color="auto" w:fill="auto"/>
            <w:tcMar>
              <w:top w:w="0" w:type="dxa"/>
              <w:left w:w="20" w:type="dxa"/>
              <w:bottom w:w="0" w:type="dxa"/>
              <w:right w:w="20" w:type="dxa"/>
            </w:tcMar>
            <w:vAlign w:val="bottom"/>
          </w:tcPr>
          <w:p w14:paraId="6753897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77" w14:textId="77777777" w:rsidR="001B77DD" w:rsidRDefault="001B77DD">
            <w:pPr>
              <w:rPr>
                <w:rFonts w:ascii="宋体"/>
              </w:rPr>
            </w:pPr>
          </w:p>
        </w:tc>
      </w:tr>
      <w:tr w:rsidR="001B77DD" w14:paraId="67538987" w14:textId="77777777">
        <w:tc>
          <w:tcPr>
            <w:tcW w:w="0" w:type="auto"/>
            <w:gridSpan w:val="3"/>
            <w:shd w:val="clear" w:color="auto" w:fill="auto"/>
            <w:tcMar>
              <w:top w:w="40" w:type="dxa"/>
              <w:left w:w="20" w:type="dxa"/>
              <w:bottom w:w="40" w:type="dxa"/>
              <w:right w:w="20" w:type="dxa"/>
            </w:tcMar>
          </w:tcPr>
          <w:p w14:paraId="67538979" w14:textId="77777777" w:rsidR="001B77DD" w:rsidRDefault="00BF0A28">
            <w:pPr>
              <w:jc w:val="center"/>
              <w:textAlignment w:val="top"/>
            </w:pPr>
            <w:r>
              <w:rPr>
                <w:rFonts w:ascii="Arial" w:eastAsia="宋体" w:hAnsi="Arial" w:cs="Arial"/>
                <w:color w:val="262626"/>
                <w:sz w:val="18"/>
                <w:szCs w:val="18"/>
              </w:rPr>
              <w:t>10.8</w:t>
            </w:r>
          </w:p>
        </w:tc>
        <w:tc>
          <w:tcPr>
            <w:tcW w:w="0" w:type="auto"/>
            <w:gridSpan w:val="3"/>
            <w:shd w:val="clear" w:color="auto" w:fill="auto"/>
            <w:tcMar>
              <w:top w:w="0" w:type="dxa"/>
              <w:left w:w="20" w:type="dxa"/>
              <w:bottom w:w="0" w:type="dxa"/>
              <w:right w:w="20" w:type="dxa"/>
            </w:tcMar>
            <w:vAlign w:val="bottom"/>
          </w:tcPr>
          <w:p w14:paraId="6753897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7B" w14:textId="77777777" w:rsidR="001B77DD" w:rsidRDefault="00BF0A28">
            <w:pPr>
              <w:textAlignment w:val="top"/>
            </w:pPr>
            <w:hyperlink r:id="rId259" w:history="1">
              <w:r>
                <w:rPr>
                  <w:rStyle w:val="a5"/>
                  <w:rFonts w:ascii="Arial" w:eastAsia="宋体" w:hAnsi="Arial" w:cs="Arial"/>
                  <w:color w:val="262626"/>
                  <w:sz w:val="18"/>
                  <w:szCs w:val="18"/>
                </w:rPr>
                <w:t>Settlement Agreement Between Advanced Mi</w:t>
              </w:r>
              <w:r>
                <w:rPr>
                  <w:rStyle w:val="a5"/>
                  <w:rFonts w:ascii="Arial" w:eastAsia="宋体" w:hAnsi="Arial" w:cs="Arial"/>
                  <w:color w:val="262626"/>
                  <w:sz w:val="18"/>
                  <w:szCs w:val="18"/>
                </w:rPr>
                <w:t>cro Devices, Inc. and Intel Corporation, dated November 11, 2009</w:t>
              </w:r>
            </w:hyperlink>
          </w:p>
        </w:tc>
        <w:tc>
          <w:tcPr>
            <w:tcW w:w="0" w:type="auto"/>
            <w:gridSpan w:val="3"/>
            <w:shd w:val="clear" w:color="auto" w:fill="auto"/>
            <w:tcMar>
              <w:top w:w="0" w:type="dxa"/>
              <w:left w:w="20" w:type="dxa"/>
              <w:bottom w:w="0" w:type="dxa"/>
              <w:right w:w="20" w:type="dxa"/>
            </w:tcMar>
            <w:vAlign w:val="bottom"/>
          </w:tcPr>
          <w:p w14:paraId="6753897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7D"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97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7F"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8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81" w14:textId="77777777" w:rsidR="001B77DD" w:rsidRDefault="00BF0A28">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6753898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8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84" w14:textId="77777777" w:rsidR="001B77DD" w:rsidRDefault="00BF0A28">
            <w:pPr>
              <w:jc w:val="right"/>
              <w:textAlignment w:val="top"/>
            </w:pPr>
            <w:r>
              <w:rPr>
                <w:rFonts w:ascii="Arial" w:eastAsia="宋体" w:hAnsi="Arial" w:cs="Arial"/>
                <w:color w:val="262626"/>
                <w:sz w:val="18"/>
                <w:szCs w:val="18"/>
              </w:rPr>
              <w:t>11/12/2009</w:t>
            </w:r>
          </w:p>
        </w:tc>
        <w:tc>
          <w:tcPr>
            <w:tcW w:w="0" w:type="auto"/>
            <w:gridSpan w:val="3"/>
            <w:shd w:val="clear" w:color="auto" w:fill="auto"/>
            <w:tcMar>
              <w:top w:w="0" w:type="dxa"/>
              <w:left w:w="20" w:type="dxa"/>
              <w:bottom w:w="0" w:type="dxa"/>
              <w:right w:w="20" w:type="dxa"/>
            </w:tcMar>
            <w:vAlign w:val="bottom"/>
          </w:tcPr>
          <w:p w14:paraId="6753898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86" w14:textId="77777777" w:rsidR="001B77DD" w:rsidRDefault="001B77DD">
            <w:pPr>
              <w:rPr>
                <w:rFonts w:ascii="宋体"/>
              </w:rPr>
            </w:pPr>
          </w:p>
        </w:tc>
      </w:tr>
    </w:tbl>
    <w:p w14:paraId="67538988"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992" w14:textId="77777777">
        <w:tc>
          <w:tcPr>
            <w:tcW w:w="50" w:type="pct"/>
            <w:shd w:val="clear" w:color="auto" w:fill="auto"/>
            <w:vAlign w:val="bottom"/>
          </w:tcPr>
          <w:p w14:paraId="67538989" w14:textId="77777777" w:rsidR="001B77DD" w:rsidRDefault="001B77DD">
            <w:pPr>
              <w:rPr>
                <w:rFonts w:ascii="宋体"/>
              </w:rPr>
            </w:pPr>
          </w:p>
        </w:tc>
        <w:tc>
          <w:tcPr>
            <w:tcW w:w="283" w:type="pct"/>
            <w:shd w:val="clear" w:color="auto" w:fill="auto"/>
            <w:vAlign w:val="bottom"/>
          </w:tcPr>
          <w:p w14:paraId="6753898A" w14:textId="77777777" w:rsidR="001B77DD" w:rsidRDefault="001B77DD">
            <w:pPr>
              <w:rPr>
                <w:rFonts w:ascii="宋体"/>
              </w:rPr>
            </w:pPr>
          </w:p>
        </w:tc>
        <w:tc>
          <w:tcPr>
            <w:tcW w:w="5" w:type="pct"/>
            <w:shd w:val="clear" w:color="auto" w:fill="auto"/>
            <w:vAlign w:val="bottom"/>
          </w:tcPr>
          <w:p w14:paraId="6753898B" w14:textId="77777777" w:rsidR="001B77DD" w:rsidRDefault="001B77DD">
            <w:pPr>
              <w:rPr>
                <w:rFonts w:ascii="宋体"/>
              </w:rPr>
            </w:pPr>
          </w:p>
        </w:tc>
        <w:tc>
          <w:tcPr>
            <w:tcW w:w="50" w:type="pct"/>
            <w:shd w:val="clear" w:color="auto" w:fill="auto"/>
            <w:vAlign w:val="bottom"/>
          </w:tcPr>
          <w:p w14:paraId="6753898C" w14:textId="77777777" w:rsidR="001B77DD" w:rsidRDefault="001B77DD">
            <w:pPr>
              <w:rPr>
                <w:rFonts w:ascii="宋体"/>
              </w:rPr>
            </w:pPr>
          </w:p>
        </w:tc>
        <w:tc>
          <w:tcPr>
            <w:tcW w:w="2656" w:type="pct"/>
            <w:shd w:val="clear" w:color="auto" w:fill="auto"/>
            <w:vAlign w:val="bottom"/>
          </w:tcPr>
          <w:p w14:paraId="6753898D" w14:textId="77777777" w:rsidR="001B77DD" w:rsidRDefault="001B77DD">
            <w:pPr>
              <w:rPr>
                <w:rFonts w:ascii="宋体"/>
              </w:rPr>
            </w:pPr>
          </w:p>
        </w:tc>
        <w:tc>
          <w:tcPr>
            <w:tcW w:w="5" w:type="pct"/>
            <w:shd w:val="clear" w:color="auto" w:fill="auto"/>
            <w:vAlign w:val="bottom"/>
          </w:tcPr>
          <w:p w14:paraId="6753898E" w14:textId="77777777" w:rsidR="001B77DD" w:rsidRDefault="001B77DD">
            <w:pPr>
              <w:rPr>
                <w:rFonts w:ascii="宋体"/>
              </w:rPr>
            </w:pPr>
          </w:p>
        </w:tc>
        <w:tc>
          <w:tcPr>
            <w:tcW w:w="50" w:type="pct"/>
            <w:shd w:val="clear" w:color="auto" w:fill="auto"/>
            <w:vAlign w:val="bottom"/>
          </w:tcPr>
          <w:p w14:paraId="6753898F" w14:textId="77777777" w:rsidR="001B77DD" w:rsidRDefault="001B77DD">
            <w:pPr>
              <w:rPr>
                <w:rFonts w:ascii="宋体"/>
              </w:rPr>
            </w:pPr>
          </w:p>
        </w:tc>
        <w:tc>
          <w:tcPr>
            <w:tcW w:w="1894" w:type="pct"/>
            <w:shd w:val="clear" w:color="auto" w:fill="auto"/>
            <w:vAlign w:val="bottom"/>
          </w:tcPr>
          <w:p w14:paraId="67538990" w14:textId="77777777" w:rsidR="001B77DD" w:rsidRDefault="001B77DD">
            <w:pPr>
              <w:rPr>
                <w:rFonts w:ascii="宋体"/>
              </w:rPr>
            </w:pPr>
          </w:p>
        </w:tc>
        <w:tc>
          <w:tcPr>
            <w:tcW w:w="5" w:type="pct"/>
            <w:shd w:val="clear" w:color="auto" w:fill="auto"/>
            <w:vAlign w:val="bottom"/>
          </w:tcPr>
          <w:p w14:paraId="67538991" w14:textId="77777777" w:rsidR="001B77DD" w:rsidRDefault="001B77DD">
            <w:pPr>
              <w:rPr>
                <w:rFonts w:ascii="宋体"/>
              </w:rPr>
            </w:pPr>
          </w:p>
        </w:tc>
      </w:tr>
      <w:tr w:rsidR="001B77DD" w14:paraId="6753899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993"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A2" wp14:editId="67538FA3">
                  <wp:extent cx="304800" cy="304800"/>
                  <wp:effectExtent l="0" t="0" r="0" b="0"/>
                  <wp:docPr id="138" name="图片 364"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64"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994"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995" w14:textId="77777777" w:rsidR="001B77DD" w:rsidRDefault="00BF0A28">
            <w:pPr>
              <w:jc w:val="right"/>
              <w:textAlignment w:val="center"/>
            </w:pPr>
            <w:r>
              <w:rPr>
                <w:rFonts w:ascii="Arial" w:eastAsia="宋体" w:hAnsi="Arial" w:cs="Arial"/>
                <w:color w:val="262626"/>
                <w:sz w:val="16"/>
                <w:szCs w:val="16"/>
              </w:rPr>
              <w:t>118</w:t>
            </w:r>
          </w:p>
        </w:tc>
      </w:tr>
    </w:tbl>
    <w:p w14:paraId="67538997" w14:textId="77777777" w:rsidR="001B77DD" w:rsidRDefault="00BF0A28">
      <w:r>
        <w:pict w14:anchorId="67538FA4">
          <v:rect id="_x0000_i1144" style="width:415.3pt;height:1.5pt" o:hralign="center" o:hrstd="t" o:hr="t" fillcolor="#a0a0a0" stroked="f"/>
        </w:pict>
      </w:r>
    </w:p>
    <w:p w14:paraId="67538998" w14:textId="77777777" w:rsidR="001B77DD" w:rsidRDefault="00BF0A28">
      <w:pPr>
        <w:jc w:val="right"/>
      </w:pPr>
      <w:hyperlink r:id="rId260" w:anchor="i6c9ced68f6b24d58a3dcf326e8c3c699_16" w:history="1">
        <w:r>
          <w:rPr>
            <w:rStyle w:val="a5"/>
            <w:rFonts w:ascii="Arial" w:eastAsia="宋体" w:hAnsi="Arial" w:cs="Arial"/>
            <w:b/>
            <w:bCs/>
            <w:sz w:val="16"/>
            <w:szCs w:val="16"/>
          </w:rPr>
          <w:t>Table of Contents</w:t>
        </w:r>
      </w:hyperlink>
    </w:p>
    <w:p w14:paraId="67538999" w14:textId="77777777" w:rsidR="001B77DD" w:rsidRDefault="001B77DD">
      <w:pPr>
        <w:jc w:val="right"/>
      </w:pPr>
    </w:p>
    <w:tbl>
      <w:tblPr>
        <w:tblW w:w="4973" w:type="pct"/>
        <w:tblCellMar>
          <w:top w:w="15" w:type="dxa"/>
          <w:left w:w="15" w:type="dxa"/>
          <w:bottom w:w="15" w:type="dxa"/>
          <w:right w:w="15" w:type="dxa"/>
        </w:tblCellMar>
        <w:tblLook w:val="04A0" w:firstRow="1" w:lastRow="0" w:firstColumn="1" w:lastColumn="0" w:noHBand="0" w:noVBand="1"/>
      </w:tblPr>
      <w:tblGrid>
        <w:gridCol w:w="83"/>
        <w:gridCol w:w="630"/>
        <w:gridCol w:w="36"/>
        <w:gridCol w:w="36"/>
        <w:gridCol w:w="36"/>
        <w:gridCol w:w="36"/>
        <w:gridCol w:w="38"/>
        <w:gridCol w:w="2702"/>
        <w:gridCol w:w="37"/>
        <w:gridCol w:w="36"/>
        <w:gridCol w:w="36"/>
        <w:gridCol w:w="36"/>
        <w:gridCol w:w="69"/>
        <w:gridCol w:w="415"/>
        <w:gridCol w:w="37"/>
        <w:gridCol w:w="37"/>
        <w:gridCol w:w="37"/>
        <w:gridCol w:w="37"/>
        <w:gridCol w:w="86"/>
        <w:gridCol w:w="987"/>
        <w:gridCol w:w="37"/>
        <w:gridCol w:w="37"/>
        <w:gridCol w:w="37"/>
        <w:gridCol w:w="37"/>
        <w:gridCol w:w="89"/>
        <w:gridCol w:w="544"/>
        <w:gridCol w:w="37"/>
        <w:gridCol w:w="37"/>
        <w:gridCol w:w="37"/>
        <w:gridCol w:w="36"/>
        <w:gridCol w:w="81"/>
        <w:gridCol w:w="752"/>
        <w:gridCol w:w="36"/>
        <w:gridCol w:w="36"/>
        <w:gridCol w:w="36"/>
        <w:gridCol w:w="36"/>
        <w:gridCol w:w="87"/>
        <w:gridCol w:w="816"/>
        <w:gridCol w:w="36"/>
      </w:tblGrid>
      <w:tr w:rsidR="001B77DD" w14:paraId="675389C1" w14:textId="77777777">
        <w:tc>
          <w:tcPr>
            <w:tcW w:w="50" w:type="pct"/>
            <w:shd w:val="clear" w:color="auto" w:fill="auto"/>
            <w:vAlign w:val="bottom"/>
          </w:tcPr>
          <w:p w14:paraId="6753899A" w14:textId="77777777" w:rsidR="001B77DD" w:rsidRDefault="001B77DD">
            <w:pPr>
              <w:rPr>
                <w:rFonts w:ascii="宋体"/>
              </w:rPr>
            </w:pPr>
          </w:p>
        </w:tc>
        <w:tc>
          <w:tcPr>
            <w:tcW w:w="384" w:type="pct"/>
            <w:shd w:val="clear" w:color="auto" w:fill="auto"/>
            <w:vAlign w:val="bottom"/>
          </w:tcPr>
          <w:p w14:paraId="6753899B" w14:textId="77777777" w:rsidR="001B77DD" w:rsidRDefault="001B77DD">
            <w:pPr>
              <w:rPr>
                <w:rFonts w:ascii="宋体"/>
              </w:rPr>
            </w:pPr>
          </w:p>
        </w:tc>
        <w:tc>
          <w:tcPr>
            <w:tcW w:w="5" w:type="pct"/>
            <w:shd w:val="clear" w:color="auto" w:fill="auto"/>
            <w:vAlign w:val="bottom"/>
          </w:tcPr>
          <w:p w14:paraId="6753899C" w14:textId="77777777" w:rsidR="001B77DD" w:rsidRDefault="001B77DD">
            <w:pPr>
              <w:rPr>
                <w:rFonts w:ascii="宋体"/>
              </w:rPr>
            </w:pPr>
          </w:p>
        </w:tc>
        <w:tc>
          <w:tcPr>
            <w:tcW w:w="5" w:type="pct"/>
            <w:shd w:val="clear" w:color="auto" w:fill="auto"/>
            <w:vAlign w:val="bottom"/>
          </w:tcPr>
          <w:p w14:paraId="6753899D" w14:textId="77777777" w:rsidR="001B77DD" w:rsidRDefault="001B77DD">
            <w:pPr>
              <w:rPr>
                <w:rFonts w:ascii="宋体"/>
              </w:rPr>
            </w:pPr>
          </w:p>
        </w:tc>
        <w:tc>
          <w:tcPr>
            <w:tcW w:w="24" w:type="pct"/>
            <w:shd w:val="clear" w:color="auto" w:fill="auto"/>
            <w:vAlign w:val="bottom"/>
          </w:tcPr>
          <w:p w14:paraId="6753899E" w14:textId="77777777" w:rsidR="001B77DD" w:rsidRDefault="001B77DD">
            <w:pPr>
              <w:rPr>
                <w:rFonts w:ascii="宋体"/>
              </w:rPr>
            </w:pPr>
          </w:p>
        </w:tc>
        <w:tc>
          <w:tcPr>
            <w:tcW w:w="5" w:type="pct"/>
            <w:shd w:val="clear" w:color="auto" w:fill="auto"/>
            <w:vAlign w:val="bottom"/>
          </w:tcPr>
          <w:p w14:paraId="6753899F" w14:textId="77777777" w:rsidR="001B77DD" w:rsidRDefault="001B77DD">
            <w:pPr>
              <w:rPr>
                <w:rFonts w:ascii="宋体"/>
              </w:rPr>
            </w:pPr>
          </w:p>
        </w:tc>
        <w:tc>
          <w:tcPr>
            <w:tcW w:w="50" w:type="pct"/>
            <w:shd w:val="clear" w:color="auto" w:fill="auto"/>
            <w:vAlign w:val="bottom"/>
          </w:tcPr>
          <w:p w14:paraId="675389A0" w14:textId="77777777" w:rsidR="001B77DD" w:rsidRDefault="001B77DD">
            <w:pPr>
              <w:rPr>
                <w:rFonts w:ascii="宋体"/>
              </w:rPr>
            </w:pPr>
          </w:p>
        </w:tc>
        <w:tc>
          <w:tcPr>
            <w:tcW w:w="1895" w:type="pct"/>
            <w:shd w:val="clear" w:color="auto" w:fill="auto"/>
            <w:vAlign w:val="bottom"/>
          </w:tcPr>
          <w:p w14:paraId="675389A1" w14:textId="77777777" w:rsidR="001B77DD" w:rsidRDefault="001B77DD">
            <w:pPr>
              <w:rPr>
                <w:rFonts w:ascii="宋体"/>
              </w:rPr>
            </w:pPr>
          </w:p>
        </w:tc>
        <w:tc>
          <w:tcPr>
            <w:tcW w:w="5" w:type="pct"/>
            <w:shd w:val="clear" w:color="auto" w:fill="auto"/>
            <w:vAlign w:val="bottom"/>
          </w:tcPr>
          <w:p w14:paraId="675389A2" w14:textId="77777777" w:rsidR="001B77DD" w:rsidRDefault="001B77DD">
            <w:pPr>
              <w:rPr>
                <w:rFonts w:ascii="宋体"/>
              </w:rPr>
            </w:pPr>
          </w:p>
        </w:tc>
        <w:tc>
          <w:tcPr>
            <w:tcW w:w="5" w:type="pct"/>
            <w:shd w:val="clear" w:color="auto" w:fill="auto"/>
            <w:vAlign w:val="bottom"/>
          </w:tcPr>
          <w:p w14:paraId="675389A3" w14:textId="77777777" w:rsidR="001B77DD" w:rsidRDefault="001B77DD">
            <w:pPr>
              <w:rPr>
                <w:rFonts w:ascii="宋体"/>
              </w:rPr>
            </w:pPr>
          </w:p>
        </w:tc>
        <w:tc>
          <w:tcPr>
            <w:tcW w:w="24" w:type="pct"/>
            <w:shd w:val="clear" w:color="auto" w:fill="auto"/>
            <w:vAlign w:val="bottom"/>
          </w:tcPr>
          <w:p w14:paraId="675389A4" w14:textId="77777777" w:rsidR="001B77DD" w:rsidRDefault="001B77DD">
            <w:pPr>
              <w:rPr>
                <w:rFonts w:ascii="宋体"/>
              </w:rPr>
            </w:pPr>
          </w:p>
        </w:tc>
        <w:tc>
          <w:tcPr>
            <w:tcW w:w="5" w:type="pct"/>
            <w:shd w:val="clear" w:color="auto" w:fill="auto"/>
            <w:vAlign w:val="bottom"/>
          </w:tcPr>
          <w:p w14:paraId="675389A5" w14:textId="77777777" w:rsidR="001B77DD" w:rsidRDefault="001B77DD">
            <w:pPr>
              <w:rPr>
                <w:rFonts w:ascii="宋体"/>
              </w:rPr>
            </w:pPr>
          </w:p>
        </w:tc>
        <w:tc>
          <w:tcPr>
            <w:tcW w:w="50" w:type="pct"/>
            <w:shd w:val="clear" w:color="auto" w:fill="auto"/>
            <w:vAlign w:val="bottom"/>
          </w:tcPr>
          <w:p w14:paraId="675389A6" w14:textId="77777777" w:rsidR="001B77DD" w:rsidRDefault="001B77DD">
            <w:pPr>
              <w:rPr>
                <w:rFonts w:ascii="宋体"/>
              </w:rPr>
            </w:pPr>
          </w:p>
        </w:tc>
        <w:tc>
          <w:tcPr>
            <w:tcW w:w="302" w:type="pct"/>
            <w:shd w:val="clear" w:color="auto" w:fill="auto"/>
            <w:vAlign w:val="bottom"/>
          </w:tcPr>
          <w:p w14:paraId="675389A7" w14:textId="77777777" w:rsidR="001B77DD" w:rsidRDefault="001B77DD">
            <w:pPr>
              <w:rPr>
                <w:rFonts w:ascii="宋体"/>
              </w:rPr>
            </w:pPr>
          </w:p>
        </w:tc>
        <w:tc>
          <w:tcPr>
            <w:tcW w:w="5" w:type="pct"/>
            <w:shd w:val="clear" w:color="auto" w:fill="auto"/>
            <w:vAlign w:val="bottom"/>
          </w:tcPr>
          <w:p w14:paraId="675389A8" w14:textId="77777777" w:rsidR="001B77DD" w:rsidRDefault="001B77DD">
            <w:pPr>
              <w:rPr>
                <w:rFonts w:ascii="宋体"/>
              </w:rPr>
            </w:pPr>
          </w:p>
        </w:tc>
        <w:tc>
          <w:tcPr>
            <w:tcW w:w="5" w:type="pct"/>
            <w:shd w:val="clear" w:color="auto" w:fill="auto"/>
            <w:vAlign w:val="bottom"/>
          </w:tcPr>
          <w:p w14:paraId="675389A9" w14:textId="77777777" w:rsidR="001B77DD" w:rsidRDefault="001B77DD">
            <w:pPr>
              <w:rPr>
                <w:rFonts w:ascii="宋体"/>
              </w:rPr>
            </w:pPr>
          </w:p>
        </w:tc>
        <w:tc>
          <w:tcPr>
            <w:tcW w:w="24" w:type="pct"/>
            <w:shd w:val="clear" w:color="auto" w:fill="auto"/>
            <w:vAlign w:val="bottom"/>
          </w:tcPr>
          <w:p w14:paraId="675389AA" w14:textId="77777777" w:rsidR="001B77DD" w:rsidRDefault="001B77DD">
            <w:pPr>
              <w:rPr>
                <w:rFonts w:ascii="宋体"/>
              </w:rPr>
            </w:pPr>
          </w:p>
        </w:tc>
        <w:tc>
          <w:tcPr>
            <w:tcW w:w="5" w:type="pct"/>
            <w:shd w:val="clear" w:color="auto" w:fill="auto"/>
            <w:vAlign w:val="bottom"/>
          </w:tcPr>
          <w:p w14:paraId="675389AB" w14:textId="77777777" w:rsidR="001B77DD" w:rsidRDefault="001B77DD">
            <w:pPr>
              <w:rPr>
                <w:rFonts w:ascii="宋体"/>
              </w:rPr>
            </w:pPr>
          </w:p>
        </w:tc>
        <w:tc>
          <w:tcPr>
            <w:tcW w:w="50" w:type="pct"/>
            <w:shd w:val="clear" w:color="auto" w:fill="auto"/>
            <w:vAlign w:val="bottom"/>
          </w:tcPr>
          <w:p w14:paraId="675389AC" w14:textId="77777777" w:rsidR="001B77DD" w:rsidRDefault="001B77DD">
            <w:pPr>
              <w:rPr>
                <w:rFonts w:ascii="宋体"/>
              </w:rPr>
            </w:pPr>
          </w:p>
        </w:tc>
        <w:tc>
          <w:tcPr>
            <w:tcW w:w="576" w:type="pct"/>
            <w:shd w:val="clear" w:color="auto" w:fill="auto"/>
            <w:vAlign w:val="bottom"/>
          </w:tcPr>
          <w:p w14:paraId="675389AD" w14:textId="77777777" w:rsidR="001B77DD" w:rsidRDefault="001B77DD">
            <w:pPr>
              <w:rPr>
                <w:rFonts w:ascii="宋体"/>
              </w:rPr>
            </w:pPr>
          </w:p>
        </w:tc>
        <w:tc>
          <w:tcPr>
            <w:tcW w:w="5" w:type="pct"/>
            <w:shd w:val="clear" w:color="auto" w:fill="auto"/>
            <w:vAlign w:val="bottom"/>
          </w:tcPr>
          <w:p w14:paraId="675389AE" w14:textId="77777777" w:rsidR="001B77DD" w:rsidRDefault="001B77DD">
            <w:pPr>
              <w:rPr>
                <w:rFonts w:ascii="宋体"/>
              </w:rPr>
            </w:pPr>
          </w:p>
        </w:tc>
        <w:tc>
          <w:tcPr>
            <w:tcW w:w="5" w:type="pct"/>
            <w:shd w:val="clear" w:color="auto" w:fill="auto"/>
            <w:vAlign w:val="bottom"/>
          </w:tcPr>
          <w:p w14:paraId="675389AF" w14:textId="77777777" w:rsidR="001B77DD" w:rsidRDefault="001B77DD">
            <w:pPr>
              <w:rPr>
                <w:rFonts w:ascii="宋体"/>
              </w:rPr>
            </w:pPr>
          </w:p>
        </w:tc>
        <w:tc>
          <w:tcPr>
            <w:tcW w:w="24" w:type="pct"/>
            <w:shd w:val="clear" w:color="auto" w:fill="auto"/>
            <w:vAlign w:val="bottom"/>
          </w:tcPr>
          <w:p w14:paraId="675389B0" w14:textId="77777777" w:rsidR="001B77DD" w:rsidRDefault="001B77DD">
            <w:pPr>
              <w:rPr>
                <w:rFonts w:ascii="宋体"/>
              </w:rPr>
            </w:pPr>
          </w:p>
        </w:tc>
        <w:tc>
          <w:tcPr>
            <w:tcW w:w="5" w:type="pct"/>
            <w:shd w:val="clear" w:color="auto" w:fill="auto"/>
            <w:vAlign w:val="bottom"/>
          </w:tcPr>
          <w:p w14:paraId="675389B1" w14:textId="77777777" w:rsidR="001B77DD" w:rsidRDefault="001B77DD">
            <w:pPr>
              <w:rPr>
                <w:rFonts w:ascii="宋体"/>
              </w:rPr>
            </w:pPr>
          </w:p>
        </w:tc>
        <w:tc>
          <w:tcPr>
            <w:tcW w:w="50" w:type="pct"/>
            <w:shd w:val="clear" w:color="auto" w:fill="auto"/>
            <w:vAlign w:val="bottom"/>
          </w:tcPr>
          <w:p w14:paraId="675389B2" w14:textId="77777777" w:rsidR="001B77DD" w:rsidRDefault="001B77DD">
            <w:pPr>
              <w:rPr>
                <w:rFonts w:ascii="宋体"/>
              </w:rPr>
            </w:pPr>
          </w:p>
        </w:tc>
        <w:tc>
          <w:tcPr>
            <w:tcW w:w="308" w:type="pct"/>
            <w:shd w:val="clear" w:color="auto" w:fill="auto"/>
            <w:vAlign w:val="bottom"/>
          </w:tcPr>
          <w:p w14:paraId="675389B3" w14:textId="77777777" w:rsidR="001B77DD" w:rsidRDefault="001B77DD">
            <w:pPr>
              <w:rPr>
                <w:rFonts w:ascii="宋体"/>
              </w:rPr>
            </w:pPr>
          </w:p>
        </w:tc>
        <w:tc>
          <w:tcPr>
            <w:tcW w:w="5" w:type="pct"/>
            <w:shd w:val="clear" w:color="auto" w:fill="auto"/>
            <w:vAlign w:val="bottom"/>
          </w:tcPr>
          <w:p w14:paraId="675389B4" w14:textId="77777777" w:rsidR="001B77DD" w:rsidRDefault="001B77DD">
            <w:pPr>
              <w:rPr>
                <w:rFonts w:ascii="宋体"/>
              </w:rPr>
            </w:pPr>
          </w:p>
        </w:tc>
        <w:tc>
          <w:tcPr>
            <w:tcW w:w="5" w:type="pct"/>
            <w:shd w:val="clear" w:color="auto" w:fill="auto"/>
            <w:vAlign w:val="bottom"/>
          </w:tcPr>
          <w:p w14:paraId="675389B5" w14:textId="77777777" w:rsidR="001B77DD" w:rsidRDefault="001B77DD">
            <w:pPr>
              <w:rPr>
                <w:rFonts w:ascii="宋体"/>
              </w:rPr>
            </w:pPr>
          </w:p>
        </w:tc>
        <w:tc>
          <w:tcPr>
            <w:tcW w:w="24" w:type="pct"/>
            <w:shd w:val="clear" w:color="auto" w:fill="auto"/>
            <w:vAlign w:val="bottom"/>
          </w:tcPr>
          <w:p w14:paraId="675389B6" w14:textId="77777777" w:rsidR="001B77DD" w:rsidRDefault="001B77DD">
            <w:pPr>
              <w:rPr>
                <w:rFonts w:ascii="宋体"/>
              </w:rPr>
            </w:pPr>
          </w:p>
        </w:tc>
        <w:tc>
          <w:tcPr>
            <w:tcW w:w="5" w:type="pct"/>
            <w:shd w:val="clear" w:color="auto" w:fill="auto"/>
            <w:vAlign w:val="bottom"/>
          </w:tcPr>
          <w:p w14:paraId="675389B7" w14:textId="77777777" w:rsidR="001B77DD" w:rsidRDefault="001B77DD">
            <w:pPr>
              <w:rPr>
                <w:rFonts w:ascii="宋体"/>
              </w:rPr>
            </w:pPr>
          </w:p>
        </w:tc>
        <w:tc>
          <w:tcPr>
            <w:tcW w:w="50" w:type="pct"/>
            <w:shd w:val="clear" w:color="auto" w:fill="auto"/>
            <w:vAlign w:val="bottom"/>
          </w:tcPr>
          <w:p w14:paraId="675389B8" w14:textId="77777777" w:rsidR="001B77DD" w:rsidRDefault="001B77DD">
            <w:pPr>
              <w:rPr>
                <w:rFonts w:ascii="宋体"/>
              </w:rPr>
            </w:pPr>
          </w:p>
        </w:tc>
        <w:tc>
          <w:tcPr>
            <w:tcW w:w="466" w:type="pct"/>
            <w:shd w:val="clear" w:color="auto" w:fill="auto"/>
            <w:vAlign w:val="bottom"/>
          </w:tcPr>
          <w:p w14:paraId="675389B9" w14:textId="77777777" w:rsidR="001B77DD" w:rsidRDefault="001B77DD">
            <w:pPr>
              <w:rPr>
                <w:rFonts w:ascii="宋体"/>
              </w:rPr>
            </w:pPr>
          </w:p>
        </w:tc>
        <w:tc>
          <w:tcPr>
            <w:tcW w:w="5" w:type="pct"/>
            <w:shd w:val="clear" w:color="auto" w:fill="auto"/>
            <w:vAlign w:val="bottom"/>
          </w:tcPr>
          <w:p w14:paraId="675389BA" w14:textId="77777777" w:rsidR="001B77DD" w:rsidRDefault="001B77DD">
            <w:pPr>
              <w:rPr>
                <w:rFonts w:ascii="宋体"/>
              </w:rPr>
            </w:pPr>
          </w:p>
        </w:tc>
        <w:tc>
          <w:tcPr>
            <w:tcW w:w="5" w:type="pct"/>
            <w:shd w:val="clear" w:color="auto" w:fill="auto"/>
            <w:vAlign w:val="bottom"/>
          </w:tcPr>
          <w:p w14:paraId="675389BB" w14:textId="77777777" w:rsidR="001B77DD" w:rsidRDefault="001B77DD">
            <w:pPr>
              <w:rPr>
                <w:rFonts w:ascii="宋体"/>
              </w:rPr>
            </w:pPr>
          </w:p>
        </w:tc>
        <w:tc>
          <w:tcPr>
            <w:tcW w:w="24" w:type="pct"/>
            <w:shd w:val="clear" w:color="auto" w:fill="auto"/>
            <w:vAlign w:val="bottom"/>
          </w:tcPr>
          <w:p w14:paraId="675389BC" w14:textId="77777777" w:rsidR="001B77DD" w:rsidRDefault="001B77DD">
            <w:pPr>
              <w:rPr>
                <w:rFonts w:ascii="宋体"/>
              </w:rPr>
            </w:pPr>
          </w:p>
        </w:tc>
        <w:tc>
          <w:tcPr>
            <w:tcW w:w="5" w:type="pct"/>
            <w:shd w:val="clear" w:color="auto" w:fill="auto"/>
            <w:vAlign w:val="bottom"/>
          </w:tcPr>
          <w:p w14:paraId="675389BD" w14:textId="77777777" w:rsidR="001B77DD" w:rsidRDefault="001B77DD">
            <w:pPr>
              <w:rPr>
                <w:rFonts w:ascii="宋体"/>
              </w:rPr>
            </w:pPr>
          </w:p>
        </w:tc>
        <w:tc>
          <w:tcPr>
            <w:tcW w:w="50" w:type="pct"/>
            <w:shd w:val="clear" w:color="auto" w:fill="auto"/>
            <w:vAlign w:val="bottom"/>
          </w:tcPr>
          <w:p w14:paraId="675389BE" w14:textId="77777777" w:rsidR="001B77DD" w:rsidRDefault="001B77DD">
            <w:pPr>
              <w:rPr>
                <w:rFonts w:ascii="宋体"/>
              </w:rPr>
            </w:pPr>
          </w:p>
        </w:tc>
        <w:tc>
          <w:tcPr>
            <w:tcW w:w="474" w:type="pct"/>
            <w:shd w:val="clear" w:color="auto" w:fill="auto"/>
            <w:vAlign w:val="bottom"/>
          </w:tcPr>
          <w:p w14:paraId="675389BF" w14:textId="77777777" w:rsidR="001B77DD" w:rsidRDefault="001B77DD">
            <w:pPr>
              <w:rPr>
                <w:rFonts w:ascii="宋体"/>
              </w:rPr>
            </w:pPr>
          </w:p>
        </w:tc>
        <w:tc>
          <w:tcPr>
            <w:tcW w:w="5" w:type="pct"/>
            <w:shd w:val="clear" w:color="auto" w:fill="auto"/>
            <w:vAlign w:val="bottom"/>
          </w:tcPr>
          <w:p w14:paraId="675389C0" w14:textId="77777777" w:rsidR="001B77DD" w:rsidRDefault="001B77DD">
            <w:pPr>
              <w:rPr>
                <w:rFonts w:ascii="宋体"/>
              </w:rPr>
            </w:pPr>
          </w:p>
        </w:tc>
      </w:tr>
      <w:tr w:rsidR="001B77DD" w14:paraId="675389CA" w14:textId="77777777">
        <w:trPr>
          <w:trHeight w:val="240"/>
        </w:trPr>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675389C2" w14:textId="77777777" w:rsidR="001B77DD" w:rsidRDefault="00BF0A28">
            <w:pPr>
              <w:jc w:val="center"/>
              <w:textAlignment w:val="bottom"/>
            </w:pPr>
            <w:r>
              <w:rPr>
                <w:rFonts w:ascii="Arial" w:eastAsia="宋体" w:hAnsi="Arial" w:cs="Arial"/>
                <w:b/>
                <w:bCs/>
                <w:color w:val="262626"/>
                <w:sz w:val="18"/>
                <w:szCs w:val="18"/>
              </w:rPr>
              <w:t>Exhibit</w:t>
            </w:r>
          </w:p>
          <w:p w14:paraId="675389C3" w14:textId="77777777" w:rsidR="001B77DD" w:rsidRDefault="00BF0A28">
            <w:pPr>
              <w:jc w:val="center"/>
              <w:textAlignment w:val="bottom"/>
            </w:pPr>
            <w:r>
              <w:rPr>
                <w:rFonts w:ascii="Arial" w:eastAsia="宋体" w:hAnsi="Arial" w:cs="Arial"/>
                <w:b/>
                <w:bCs/>
                <w:color w:val="262626"/>
                <w:sz w:val="18"/>
                <w:szCs w:val="18"/>
              </w:rPr>
              <w:t>Number</w:t>
            </w:r>
          </w:p>
        </w:tc>
        <w:tc>
          <w:tcPr>
            <w:tcW w:w="0" w:type="auto"/>
            <w:gridSpan w:val="3"/>
            <w:vMerge w:val="restart"/>
            <w:shd w:val="clear" w:color="auto" w:fill="auto"/>
            <w:tcMar>
              <w:top w:w="0" w:type="dxa"/>
              <w:left w:w="20" w:type="dxa"/>
              <w:bottom w:w="0" w:type="dxa"/>
              <w:right w:w="20" w:type="dxa"/>
            </w:tcMar>
            <w:vAlign w:val="bottom"/>
          </w:tcPr>
          <w:p w14:paraId="675389C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C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C6" w14:textId="77777777" w:rsidR="001B77DD" w:rsidRDefault="001B77DD">
            <w:pPr>
              <w:rPr>
                <w:rFonts w:ascii="宋体"/>
              </w:rPr>
            </w:pPr>
          </w:p>
        </w:tc>
        <w:tc>
          <w:tcPr>
            <w:tcW w:w="0" w:type="auto"/>
            <w:gridSpan w:val="21"/>
            <w:shd w:val="clear" w:color="auto" w:fill="auto"/>
            <w:tcMar>
              <w:top w:w="40" w:type="dxa"/>
              <w:left w:w="20" w:type="dxa"/>
              <w:bottom w:w="40" w:type="dxa"/>
              <w:right w:w="20" w:type="dxa"/>
            </w:tcMar>
            <w:vAlign w:val="bottom"/>
          </w:tcPr>
          <w:p w14:paraId="675389C7" w14:textId="77777777" w:rsidR="001B77DD" w:rsidRDefault="00BF0A28">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675389C8" w14:textId="77777777" w:rsidR="001B77DD" w:rsidRDefault="001B77DD">
            <w:pPr>
              <w:rPr>
                <w:rFonts w:ascii="宋体"/>
              </w:rPr>
            </w:pPr>
          </w:p>
        </w:tc>
        <w:tc>
          <w:tcPr>
            <w:tcW w:w="0" w:type="auto"/>
            <w:gridSpan w:val="3"/>
            <w:vMerge w:val="restart"/>
            <w:tcBorders>
              <w:bottom w:val="single" w:sz="8" w:space="0" w:color="0068B5"/>
            </w:tcBorders>
            <w:shd w:val="clear" w:color="auto" w:fill="auto"/>
            <w:tcMar>
              <w:top w:w="40" w:type="dxa"/>
              <w:left w:w="20" w:type="dxa"/>
              <w:bottom w:w="40" w:type="dxa"/>
              <w:right w:w="20" w:type="dxa"/>
            </w:tcMar>
            <w:vAlign w:val="bottom"/>
          </w:tcPr>
          <w:p w14:paraId="675389C9" w14:textId="77777777" w:rsidR="001B77DD" w:rsidRDefault="00BF0A28">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1B77DD" w14:paraId="675389D8" w14:textId="77777777">
        <w:trPr>
          <w:trHeight w:val="460"/>
        </w:trPr>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675389CB" w14:textId="77777777" w:rsidR="001B77DD" w:rsidRDefault="001B77DD">
            <w:pPr>
              <w:rPr>
                <w:rFonts w:ascii="宋体"/>
              </w:rPr>
            </w:pPr>
          </w:p>
        </w:tc>
        <w:tc>
          <w:tcPr>
            <w:tcW w:w="0" w:type="auto"/>
            <w:gridSpan w:val="3"/>
            <w:vMerge/>
            <w:shd w:val="clear" w:color="auto" w:fill="auto"/>
            <w:tcMar>
              <w:top w:w="0" w:type="dxa"/>
              <w:left w:w="20" w:type="dxa"/>
              <w:bottom w:w="0" w:type="dxa"/>
              <w:right w:w="20" w:type="dxa"/>
            </w:tcMar>
            <w:vAlign w:val="bottom"/>
          </w:tcPr>
          <w:p w14:paraId="675389CC" w14:textId="77777777" w:rsidR="001B77DD" w:rsidRDefault="001B77DD">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75389CD" w14:textId="77777777" w:rsidR="001B77DD" w:rsidRDefault="00BF0A28">
            <w:pPr>
              <w:textAlignment w:val="bottom"/>
            </w:pPr>
            <w:r>
              <w:rPr>
                <w:rFonts w:ascii="Arial" w:eastAsia="宋体" w:hAnsi="Arial" w:cs="Arial"/>
                <w:b/>
                <w:bCs/>
                <w:color w:val="262626"/>
                <w:sz w:val="18"/>
                <w:szCs w:val="18"/>
              </w:rPr>
              <w:t xml:space="preserve">Exhibit </w:t>
            </w:r>
            <w:r>
              <w:rPr>
                <w:rFonts w:ascii="Arial" w:eastAsia="宋体" w:hAnsi="Arial" w:cs="Arial"/>
                <w:b/>
                <w:bCs/>
                <w:color w:val="262626"/>
                <w:sz w:val="18"/>
                <w:szCs w:val="18"/>
              </w:rPr>
              <w:t>Description</w:t>
            </w:r>
          </w:p>
        </w:tc>
        <w:tc>
          <w:tcPr>
            <w:tcW w:w="0" w:type="auto"/>
            <w:gridSpan w:val="3"/>
            <w:shd w:val="clear" w:color="auto" w:fill="auto"/>
            <w:tcMar>
              <w:top w:w="0" w:type="dxa"/>
              <w:left w:w="20" w:type="dxa"/>
              <w:bottom w:w="0" w:type="dxa"/>
              <w:right w:w="20" w:type="dxa"/>
            </w:tcMar>
            <w:vAlign w:val="bottom"/>
          </w:tcPr>
          <w:p w14:paraId="675389CE"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9CF" w14:textId="77777777" w:rsidR="001B77DD" w:rsidRDefault="00BF0A28">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9D0"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9D1" w14:textId="77777777" w:rsidR="001B77DD" w:rsidRDefault="00BF0A28">
            <w:pPr>
              <w:jc w:val="center"/>
              <w:textAlignment w:val="bottom"/>
            </w:pPr>
            <w:r>
              <w:rPr>
                <w:rFonts w:ascii="Arial" w:eastAsia="宋体" w:hAnsi="Arial" w:cs="Arial"/>
                <w:b/>
                <w:bCs/>
                <w:color w:val="262626"/>
                <w:sz w:val="18"/>
                <w:szCs w:val="18"/>
              </w:rPr>
              <w:t>File 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9D2"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9D3" w14:textId="77777777" w:rsidR="001B77DD" w:rsidRDefault="00BF0A28">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9D4" w14:textId="77777777" w:rsidR="001B77DD" w:rsidRDefault="001B77DD">
            <w:pPr>
              <w:rPr>
                <w:rFonts w:ascii="宋体"/>
              </w:rPr>
            </w:pPr>
          </w:p>
        </w:tc>
        <w:tc>
          <w:tcPr>
            <w:tcW w:w="0" w:type="auto"/>
            <w:gridSpan w:val="3"/>
            <w:tcBorders>
              <w:top w:val="single" w:sz="4" w:space="0" w:color="0068B5"/>
              <w:bottom w:val="single" w:sz="8" w:space="0" w:color="0068B5"/>
            </w:tcBorders>
            <w:shd w:val="clear" w:color="auto" w:fill="auto"/>
            <w:tcMar>
              <w:top w:w="40" w:type="dxa"/>
              <w:left w:w="20" w:type="dxa"/>
              <w:bottom w:w="40" w:type="dxa"/>
              <w:right w:w="20" w:type="dxa"/>
            </w:tcMar>
            <w:vAlign w:val="bottom"/>
          </w:tcPr>
          <w:p w14:paraId="675389D5" w14:textId="77777777" w:rsidR="001B77DD" w:rsidRDefault="00BF0A28">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675389D6" w14:textId="77777777" w:rsidR="001B77DD" w:rsidRDefault="001B77DD">
            <w:pPr>
              <w:rPr>
                <w:rFonts w:ascii="宋体"/>
              </w:rPr>
            </w:pPr>
          </w:p>
        </w:tc>
        <w:tc>
          <w:tcPr>
            <w:tcW w:w="0" w:type="auto"/>
            <w:gridSpan w:val="3"/>
            <w:vMerge/>
            <w:tcBorders>
              <w:bottom w:val="single" w:sz="8" w:space="0" w:color="0068B5"/>
            </w:tcBorders>
            <w:shd w:val="clear" w:color="auto" w:fill="auto"/>
            <w:tcMar>
              <w:top w:w="40" w:type="dxa"/>
              <w:left w:w="20" w:type="dxa"/>
              <w:bottom w:w="40" w:type="dxa"/>
              <w:right w:w="20" w:type="dxa"/>
            </w:tcMar>
            <w:vAlign w:val="bottom"/>
          </w:tcPr>
          <w:p w14:paraId="675389D7" w14:textId="77777777" w:rsidR="001B77DD" w:rsidRDefault="001B77DD">
            <w:pPr>
              <w:jc w:val="center"/>
              <w:rPr>
                <w:rFonts w:ascii="宋体"/>
              </w:rPr>
            </w:pPr>
          </w:p>
        </w:tc>
      </w:tr>
      <w:tr w:rsidR="001B77DD" w14:paraId="675389E7" w14:textId="77777777">
        <w:tc>
          <w:tcPr>
            <w:tcW w:w="0" w:type="auto"/>
            <w:gridSpan w:val="3"/>
            <w:shd w:val="clear" w:color="auto" w:fill="auto"/>
            <w:tcMar>
              <w:top w:w="40" w:type="dxa"/>
              <w:left w:w="20" w:type="dxa"/>
              <w:bottom w:w="40" w:type="dxa"/>
              <w:right w:w="20" w:type="dxa"/>
            </w:tcMar>
          </w:tcPr>
          <w:p w14:paraId="675389D9" w14:textId="77777777" w:rsidR="001B77DD" w:rsidRDefault="00BF0A28">
            <w:pPr>
              <w:jc w:val="center"/>
              <w:textAlignment w:val="top"/>
            </w:pPr>
            <w:r>
              <w:rPr>
                <w:rFonts w:ascii="Arial" w:eastAsia="宋体" w:hAnsi="Arial" w:cs="Arial"/>
                <w:color w:val="262626"/>
                <w:sz w:val="18"/>
                <w:szCs w:val="18"/>
              </w:rPr>
              <w:t>10.9</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D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DB" w14:textId="77777777" w:rsidR="001B77DD" w:rsidRDefault="00BF0A28">
            <w:pPr>
              <w:textAlignment w:val="top"/>
            </w:pPr>
            <w:hyperlink r:id="rId261" w:history="1">
              <w:r>
                <w:rPr>
                  <w:rStyle w:val="a5"/>
                  <w:rFonts w:ascii="Arial" w:eastAsia="宋体" w:hAnsi="Arial" w:cs="Arial"/>
                  <w:color w:val="262626"/>
                  <w:sz w:val="18"/>
                  <w:szCs w:val="18"/>
                </w:rPr>
                <w:t>Patent Cross License Agreement between NVIDIA Corporation and Intel Corporation, dated Janu</w:t>
              </w:r>
              <w:r>
                <w:rPr>
                  <w:rStyle w:val="a5"/>
                  <w:rFonts w:ascii="Arial" w:eastAsia="宋体" w:hAnsi="Arial" w:cs="Arial"/>
                  <w:color w:val="262626"/>
                  <w:sz w:val="18"/>
                  <w:szCs w:val="18"/>
                </w:rPr>
                <w:t>ary 10, 2011</w:t>
              </w:r>
            </w:hyperlink>
          </w:p>
        </w:tc>
        <w:tc>
          <w:tcPr>
            <w:tcW w:w="0" w:type="auto"/>
            <w:gridSpan w:val="3"/>
            <w:shd w:val="clear" w:color="auto" w:fill="auto"/>
            <w:tcMar>
              <w:top w:w="0" w:type="dxa"/>
              <w:left w:w="20" w:type="dxa"/>
              <w:bottom w:w="0" w:type="dxa"/>
              <w:right w:w="20" w:type="dxa"/>
            </w:tcMar>
            <w:vAlign w:val="bottom"/>
          </w:tcPr>
          <w:p w14:paraId="675389D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DD" w14:textId="77777777" w:rsidR="001B77DD" w:rsidRDefault="00BF0A28">
            <w:pPr>
              <w:jc w:val="right"/>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9D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DF"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E0"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E1" w14:textId="77777777" w:rsidR="001B77DD" w:rsidRDefault="00BF0A28">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675389E2"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E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E4" w14:textId="77777777" w:rsidR="001B77DD" w:rsidRDefault="00BF0A28">
            <w:pPr>
              <w:jc w:val="right"/>
              <w:textAlignment w:val="top"/>
            </w:pPr>
            <w:r>
              <w:rPr>
                <w:rFonts w:ascii="Arial" w:eastAsia="宋体" w:hAnsi="Arial" w:cs="Arial"/>
                <w:color w:val="262626"/>
                <w:sz w:val="18"/>
                <w:szCs w:val="18"/>
              </w:rPr>
              <w:t>1/10/2011</w:t>
            </w:r>
          </w:p>
        </w:tc>
        <w:tc>
          <w:tcPr>
            <w:tcW w:w="0" w:type="auto"/>
            <w:gridSpan w:val="3"/>
            <w:shd w:val="clear" w:color="auto" w:fill="auto"/>
            <w:tcMar>
              <w:top w:w="0" w:type="dxa"/>
              <w:left w:w="20" w:type="dxa"/>
              <w:bottom w:w="0" w:type="dxa"/>
              <w:right w:w="20" w:type="dxa"/>
            </w:tcMar>
            <w:vAlign w:val="bottom"/>
          </w:tcPr>
          <w:p w14:paraId="675389E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E6" w14:textId="77777777" w:rsidR="001B77DD" w:rsidRDefault="001B77DD">
            <w:pPr>
              <w:rPr>
                <w:rFonts w:ascii="宋体"/>
              </w:rPr>
            </w:pPr>
          </w:p>
        </w:tc>
      </w:tr>
      <w:tr w:rsidR="001B77DD" w14:paraId="675389F6" w14:textId="77777777">
        <w:tc>
          <w:tcPr>
            <w:tcW w:w="0" w:type="auto"/>
            <w:gridSpan w:val="3"/>
            <w:shd w:val="clear" w:color="auto" w:fill="auto"/>
            <w:tcMar>
              <w:top w:w="40" w:type="dxa"/>
              <w:left w:w="20" w:type="dxa"/>
              <w:bottom w:w="40" w:type="dxa"/>
              <w:right w:w="20" w:type="dxa"/>
            </w:tcMar>
          </w:tcPr>
          <w:p w14:paraId="675389E8" w14:textId="77777777" w:rsidR="001B77DD" w:rsidRDefault="00BF0A28">
            <w:pPr>
              <w:jc w:val="center"/>
              <w:textAlignment w:val="top"/>
            </w:pPr>
            <w:r>
              <w:rPr>
                <w:rFonts w:ascii="Arial" w:eastAsia="宋体" w:hAnsi="Arial" w:cs="Arial"/>
                <w:color w:val="262626"/>
                <w:sz w:val="18"/>
                <w:szCs w:val="18"/>
              </w:rPr>
              <w:t>10.10</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E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EA" w14:textId="77777777" w:rsidR="001B77DD" w:rsidRDefault="00BF0A28">
            <w:pPr>
              <w:textAlignment w:val="top"/>
            </w:pPr>
            <w:hyperlink r:id="rId262" w:history="1">
              <w:r>
                <w:rPr>
                  <w:rStyle w:val="a5"/>
                  <w:rFonts w:ascii="Arial" w:eastAsia="宋体" w:hAnsi="Arial" w:cs="Arial"/>
                  <w:color w:val="262626"/>
                  <w:sz w:val="18"/>
                  <w:szCs w:val="18"/>
                </w:rPr>
                <w:t xml:space="preserve">Offer Letter between Intel Corporation and </w:t>
              </w:r>
            </w:hyperlink>
            <w:hyperlink r:id="rId263" w:history="1">
              <w:r>
                <w:rPr>
                  <w:rStyle w:val="a5"/>
                  <w:rFonts w:ascii="Arial" w:eastAsia="宋体" w:hAnsi="Arial" w:cs="Arial"/>
                  <w:color w:val="262626"/>
                  <w:sz w:val="18"/>
                  <w:szCs w:val="18"/>
                </w:rPr>
                <w:t>Sandra Rivera,</w:t>
              </w:r>
            </w:hyperlink>
            <w:hyperlink r:id="rId264" w:history="1">
              <w:r>
                <w:rPr>
                  <w:rStyle w:val="a5"/>
                  <w:rFonts w:ascii="Arial" w:eastAsia="宋体" w:hAnsi="Arial" w:cs="Arial"/>
                  <w:color w:val="262626"/>
                  <w:sz w:val="18"/>
                  <w:szCs w:val="18"/>
                </w:rPr>
                <w:t xml:space="preserve"> dated </w:t>
              </w:r>
            </w:hyperlink>
            <w:hyperlink r:id="rId265" w:history="1">
              <w:r>
                <w:rPr>
                  <w:rStyle w:val="a5"/>
                  <w:rFonts w:ascii="Arial" w:eastAsia="宋体" w:hAnsi="Arial" w:cs="Arial"/>
                  <w:color w:val="262626"/>
                  <w:sz w:val="18"/>
                  <w:szCs w:val="18"/>
                </w:rPr>
                <w:t>June 21, 2021</w:t>
              </w:r>
            </w:hyperlink>
          </w:p>
        </w:tc>
        <w:tc>
          <w:tcPr>
            <w:tcW w:w="0" w:type="auto"/>
            <w:gridSpan w:val="3"/>
            <w:shd w:val="clear" w:color="auto" w:fill="auto"/>
            <w:tcMar>
              <w:top w:w="0" w:type="dxa"/>
              <w:left w:w="20" w:type="dxa"/>
              <w:bottom w:w="0" w:type="dxa"/>
              <w:right w:w="20" w:type="dxa"/>
            </w:tcMar>
            <w:vAlign w:val="bottom"/>
          </w:tcPr>
          <w:p w14:paraId="675389E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EC" w14:textId="77777777" w:rsidR="001B77DD" w:rsidRDefault="00BF0A28">
            <w:pPr>
              <w:jc w:val="right"/>
              <w:textAlignment w:val="top"/>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9E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EE" w14:textId="77777777" w:rsidR="001B77DD" w:rsidRDefault="00BF0A28">
            <w:pPr>
              <w:jc w:val="right"/>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EF"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tcPr>
          <w:p w14:paraId="675389F0" w14:textId="77777777" w:rsidR="001B77DD" w:rsidRDefault="00BF0A28">
            <w:pPr>
              <w:jc w:val="right"/>
              <w:textAlignment w:val="top"/>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tcPr>
          <w:p w14:paraId="675389F1"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9F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9F3" w14:textId="77777777" w:rsidR="001B77DD" w:rsidRDefault="00BF0A28">
            <w:pPr>
              <w:jc w:val="right"/>
              <w:textAlignment w:val="top"/>
            </w:pPr>
            <w:r>
              <w:rPr>
                <w:rFonts w:ascii="Arial" w:eastAsia="宋体" w:hAnsi="Arial" w:cs="Arial"/>
                <w:color w:val="262626"/>
                <w:sz w:val="18"/>
                <w:szCs w:val="18"/>
              </w:rPr>
              <w:t>7/23/2021</w:t>
            </w:r>
          </w:p>
        </w:tc>
        <w:tc>
          <w:tcPr>
            <w:tcW w:w="0" w:type="auto"/>
            <w:gridSpan w:val="3"/>
            <w:shd w:val="clear" w:color="auto" w:fill="auto"/>
            <w:tcMar>
              <w:top w:w="0" w:type="dxa"/>
              <w:left w:w="20" w:type="dxa"/>
              <w:bottom w:w="0" w:type="dxa"/>
              <w:right w:w="20" w:type="dxa"/>
            </w:tcMar>
            <w:vAlign w:val="bottom"/>
          </w:tcPr>
          <w:p w14:paraId="675389F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9F5" w14:textId="77777777" w:rsidR="001B77DD" w:rsidRDefault="001B77DD">
            <w:pPr>
              <w:rPr>
                <w:rFonts w:ascii="宋体"/>
              </w:rPr>
            </w:pPr>
          </w:p>
        </w:tc>
      </w:tr>
      <w:tr w:rsidR="001B77DD" w14:paraId="67538A05" w14:textId="77777777">
        <w:tc>
          <w:tcPr>
            <w:tcW w:w="0" w:type="auto"/>
            <w:gridSpan w:val="3"/>
            <w:shd w:val="clear" w:color="auto" w:fill="auto"/>
            <w:tcMar>
              <w:top w:w="40" w:type="dxa"/>
              <w:left w:w="20" w:type="dxa"/>
              <w:bottom w:w="40" w:type="dxa"/>
              <w:right w:w="20" w:type="dxa"/>
            </w:tcMar>
          </w:tcPr>
          <w:p w14:paraId="675389F7" w14:textId="77777777" w:rsidR="001B77DD" w:rsidRDefault="00BF0A28">
            <w:pPr>
              <w:jc w:val="center"/>
              <w:textAlignment w:val="top"/>
            </w:pPr>
            <w:r>
              <w:rPr>
                <w:rFonts w:ascii="Arial" w:eastAsia="宋体" w:hAnsi="Arial" w:cs="Arial"/>
                <w:color w:val="262626"/>
                <w:sz w:val="18"/>
                <w:szCs w:val="18"/>
              </w:rPr>
              <w:t>10.11</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9F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9F9" w14:textId="77777777" w:rsidR="001B77DD" w:rsidRDefault="00BF0A28">
            <w:pPr>
              <w:textAlignment w:val="bottom"/>
            </w:pPr>
            <w:hyperlink r:id="rId266" w:history="1">
              <w:r>
                <w:rPr>
                  <w:rStyle w:val="a5"/>
                  <w:rFonts w:ascii="Arial" w:eastAsia="宋体" w:hAnsi="Arial" w:cs="Arial"/>
                  <w:color w:val="262626"/>
                  <w:sz w:val="18"/>
                  <w:szCs w:val="18"/>
                </w:rPr>
                <w:t>Offer Letter between Intel Corporation and</w:t>
              </w:r>
            </w:hyperlink>
            <w:hyperlink r:id="rId267" w:history="1">
              <w:r>
                <w:rPr>
                  <w:rStyle w:val="a5"/>
                  <w:rFonts w:ascii="Arial" w:eastAsia="宋体" w:hAnsi="Arial" w:cs="Arial"/>
                  <w:color w:val="262626"/>
                  <w:sz w:val="18"/>
                  <w:szCs w:val="18"/>
                </w:rPr>
                <w:t xml:space="preserve"> </w:t>
              </w:r>
            </w:hyperlink>
            <w:hyperlink r:id="rId268" w:history="1">
              <w:r>
                <w:rPr>
                  <w:rStyle w:val="a5"/>
                  <w:rFonts w:ascii="Arial" w:eastAsia="宋体" w:hAnsi="Arial" w:cs="Arial"/>
                  <w:color w:val="262626"/>
                  <w:sz w:val="18"/>
                  <w:szCs w:val="18"/>
                </w:rPr>
                <w:t>Patrick Gelsinger,</w:t>
              </w:r>
            </w:hyperlink>
            <w:hyperlink r:id="rId269" w:history="1">
              <w:r>
                <w:rPr>
                  <w:rStyle w:val="a5"/>
                  <w:rFonts w:ascii="Arial" w:eastAsia="宋体" w:hAnsi="Arial" w:cs="Arial"/>
                  <w:color w:val="262626"/>
                  <w:sz w:val="18"/>
                  <w:szCs w:val="18"/>
                </w:rPr>
                <w:t xml:space="preserve"> dated </w:t>
              </w:r>
            </w:hyperlink>
            <w:hyperlink r:id="rId270" w:history="1">
              <w:r>
                <w:rPr>
                  <w:rStyle w:val="a5"/>
                  <w:rFonts w:ascii="Arial" w:eastAsia="宋体" w:hAnsi="Arial" w:cs="Arial"/>
                  <w:color w:val="262626"/>
                  <w:sz w:val="18"/>
                  <w:szCs w:val="18"/>
                </w:rPr>
                <w:t>January 13, 2021</w:t>
              </w:r>
            </w:hyperlink>
          </w:p>
        </w:tc>
        <w:tc>
          <w:tcPr>
            <w:tcW w:w="0" w:type="auto"/>
            <w:gridSpan w:val="3"/>
            <w:shd w:val="clear" w:color="auto" w:fill="auto"/>
            <w:tcMar>
              <w:top w:w="0" w:type="dxa"/>
              <w:left w:w="20" w:type="dxa"/>
              <w:bottom w:w="0" w:type="dxa"/>
              <w:right w:w="20" w:type="dxa"/>
            </w:tcMar>
            <w:vAlign w:val="bottom"/>
          </w:tcPr>
          <w:p w14:paraId="675389F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9FB" w14:textId="77777777" w:rsidR="001B77DD" w:rsidRDefault="00BF0A28">
            <w:pPr>
              <w:jc w:val="right"/>
              <w:textAlignment w:val="bottom"/>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9F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9FD" w14:textId="77777777" w:rsidR="001B77DD" w:rsidRDefault="00BF0A28">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9FE"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9FF" w14:textId="77777777" w:rsidR="001B77DD" w:rsidRDefault="00BF0A28">
            <w:pPr>
              <w:jc w:val="right"/>
              <w:textAlignment w:val="bottom"/>
            </w:pPr>
            <w:r>
              <w:rPr>
                <w:rFonts w:ascii="Arial" w:eastAsia="宋体" w:hAnsi="Arial" w:cs="Arial"/>
                <w:color w:val="262626"/>
                <w:sz w:val="18"/>
                <w:szCs w:val="18"/>
              </w:rPr>
              <w:t>10.1 </w:t>
            </w:r>
          </w:p>
        </w:tc>
        <w:tc>
          <w:tcPr>
            <w:tcW w:w="0" w:type="auto"/>
            <w:shd w:val="clear" w:color="auto" w:fill="auto"/>
            <w:tcMar>
              <w:top w:w="40" w:type="dxa"/>
              <w:left w:w="0" w:type="dxa"/>
              <w:bottom w:w="40" w:type="dxa"/>
              <w:right w:w="20" w:type="dxa"/>
            </w:tcMar>
            <w:vAlign w:val="bottom"/>
          </w:tcPr>
          <w:p w14:paraId="67538A00"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A0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02" w14:textId="77777777" w:rsidR="001B77DD" w:rsidRDefault="00BF0A28">
            <w:pPr>
              <w:jc w:val="right"/>
              <w:textAlignment w:val="bottom"/>
            </w:pPr>
            <w:r>
              <w:rPr>
                <w:rFonts w:ascii="Arial" w:eastAsia="宋体" w:hAnsi="Arial" w:cs="Arial"/>
                <w:color w:val="262626"/>
                <w:sz w:val="18"/>
                <w:szCs w:val="18"/>
              </w:rPr>
              <w:t>1/14/2021</w:t>
            </w:r>
          </w:p>
        </w:tc>
        <w:tc>
          <w:tcPr>
            <w:tcW w:w="0" w:type="auto"/>
            <w:gridSpan w:val="3"/>
            <w:shd w:val="clear" w:color="auto" w:fill="auto"/>
            <w:tcMar>
              <w:top w:w="0" w:type="dxa"/>
              <w:left w:w="20" w:type="dxa"/>
              <w:bottom w:w="0" w:type="dxa"/>
              <w:right w:w="20" w:type="dxa"/>
            </w:tcMar>
            <w:vAlign w:val="bottom"/>
          </w:tcPr>
          <w:p w14:paraId="67538A0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04" w14:textId="77777777" w:rsidR="001B77DD" w:rsidRDefault="001B77DD">
            <w:pPr>
              <w:rPr>
                <w:rFonts w:ascii="宋体"/>
              </w:rPr>
            </w:pPr>
          </w:p>
        </w:tc>
      </w:tr>
      <w:tr w:rsidR="001B77DD" w14:paraId="67538A14" w14:textId="77777777">
        <w:tc>
          <w:tcPr>
            <w:tcW w:w="0" w:type="auto"/>
            <w:gridSpan w:val="3"/>
            <w:shd w:val="clear" w:color="auto" w:fill="auto"/>
            <w:tcMar>
              <w:top w:w="40" w:type="dxa"/>
              <w:left w:w="20" w:type="dxa"/>
              <w:bottom w:w="40" w:type="dxa"/>
              <w:right w:w="20" w:type="dxa"/>
            </w:tcMar>
          </w:tcPr>
          <w:p w14:paraId="67538A06" w14:textId="77777777" w:rsidR="001B77DD" w:rsidRDefault="00BF0A28">
            <w:pPr>
              <w:jc w:val="center"/>
              <w:textAlignment w:val="top"/>
            </w:pPr>
            <w:r>
              <w:rPr>
                <w:rFonts w:ascii="Arial" w:eastAsia="宋体" w:hAnsi="Arial" w:cs="Arial"/>
                <w:color w:val="262626"/>
                <w:sz w:val="18"/>
                <w:szCs w:val="18"/>
              </w:rPr>
              <w:t>10.12</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A0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08" w14:textId="77777777" w:rsidR="001B77DD" w:rsidRDefault="00BF0A28">
            <w:pPr>
              <w:textAlignment w:val="bottom"/>
            </w:pPr>
            <w:hyperlink r:id="rId271" w:history="1">
              <w:r>
                <w:rPr>
                  <w:rStyle w:val="a5"/>
                  <w:rFonts w:ascii="Arial" w:eastAsia="宋体" w:hAnsi="Arial" w:cs="Arial"/>
                  <w:color w:val="262626"/>
                  <w:sz w:val="18"/>
                  <w:szCs w:val="18"/>
                </w:rPr>
                <w:t>Lease Agreement between Intel Corporation and Steven R. Rodgers</w:t>
              </w:r>
            </w:hyperlink>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A0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0A" w14:textId="77777777" w:rsidR="001B77DD" w:rsidRDefault="00BF0A28">
            <w:pPr>
              <w:jc w:val="right"/>
              <w:textAlignment w:val="bottom"/>
            </w:pPr>
            <w:r>
              <w:rPr>
                <w:rFonts w:ascii="Arial" w:eastAsia="宋体" w:hAnsi="Arial" w:cs="Arial"/>
                <w:color w:val="262626"/>
                <w:sz w:val="18"/>
                <w:szCs w:val="18"/>
              </w:rPr>
              <w:t>10-Q</w:t>
            </w:r>
          </w:p>
        </w:tc>
        <w:tc>
          <w:tcPr>
            <w:tcW w:w="0" w:type="auto"/>
            <w:gridSpan w:val="3"/>
            <w:shd w:val="clear" w:color="auto" w:fill="auto"/>
            <w:tcMar>
              <w:top w:w="0" w:type="dxa"/>
              <w:left w:w="20" w:type="dxa"/>
              <w:bottom w:w="0" w:type="dxa"/>
              <w:right w:w="20" w:type="dxa"/>
            </w:tcMar>
            <w:vAlign w:val="bottom"/>
          </w:tcPr>
          <w:p w14:paraId="67538A0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0C" w14:textId="77777777" w:rsidR="001B77DD" w:rsidRDefault="00BF0A28">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A0D" w14:textId="77777777" w:rsidR="001B77DD" w:rsidRDefault="001B77DD">
            <w:pPr>
              <w:rPr>
                <w:rFonts w:ascii="宋体"/>
              </w:rPr>
            </w:pPr>
          </w:p>
        </w:tc>
        <w:tc>
          <w:tcPr>
            <w:tcW w:w="0" w:type="auto"/>
            <w:gridSpan w:val="2"/>
            <w:shd w:val="clear" w:color="auto" w:fill="auto"/>
            <w:tcMar>
              <w:top w:w="40" w:type="dxa"/>
              <w:left w:w="20" w:type="dxa"/>
              <w:bottom w:w="40" w:type="dxa"/>
              <w:right w:w="0" w:type="dxa"/>
            </w:tcMar>
            <w:vAlign w:val="bottom"/>
          </w:tcPr>
          <w:p w14:paraId="67538A0E" w14:textId="77777777" w:rsidR="001B77DD" w:rsidRDefault="00BF0A28">
            <w:pPr>
              <w:jc w:val="right"/>
              <w:textAlignment w:val="bottom"/>
            </w:pPr>
            <w:r>
              <w:rPr>
                <w:rFonts w:ascii="Arial" w:eastAsia="宋体" w:hAnsi="Arial" w:cs="Arial"/>
                <w:color w:val="262626"/>
                <w:sz w:val="18"/>
                <w:szCs w:val="18"/>
              </w:rPr>
              <w:t>10.12 </w:t>
            </w:r>
          </w:p>
        </w:tc>
        <w:tc>
          <w:tcPr>
            <w:tcW w:w="0" w:type="auto"/>
            <w:shd w:val="clear" w:color="auto" w:fill="auto"/>
            <w:tcMar>
              <w:top w:w="40" w:type="dxa"/>
              <w:left w:w="0" w:type="dxa"/>
              <w:bottom w:w="40" w:type="dxa"/>
              <w:right w:w="20" w:type="dxa"/>
            </w:tcMar>
            <w:vAlign w:val="bottom"/>
          </w:tcPr>
          <w:p w14:paraId="67538A0F" w14:textId="77777777" w:rsidR="001B77DD" w:rsidRDefault="001B77DD">
            <w:pPr>
              <w:jc w:val="right"/>
              <w:rPr>
                <w:rFonts w:ascii="宋体"/>
              </w:rPr>
            </w:pPr>
          </w:p>
        </w:tc>
        <w:tc>
          <w:tcPr>
            <w:tcW w:w="0" w:type="auto"/>
            <w:gridSpan w:val="3"/>
            <w:shd w:val="clear" w:color="auto" w:fill="auto"/>
            <w:tcMar>
              <w:top w:w="0" w:type="dxa"/>
              <w:left w:w="20" w:type="dxa"/>
              <w:bottom w:w="0" w:type="dxa"/>
              <w:right w:w="20" w:type="dxa"/>
            </w:tcMar>
            <w:vAlign w:val="bottom"/>
          </w:tcPr>
          <w:p w14:paraId="67538A1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11" w14:textId="77777777" w:rsidR="001B77DD" w:rsidRDefault="00BF0A28">
            <w:pPr>
              <w:jc w:val="right"/>
              <w:textAlignment w:val="bottom"/>
            </w:pPr>
            <w:r>
              <w:rPr>
                <w:rFonts w:ascii="Arial" w:eastAsia="宋体" w:hAnsi="Arial" w:cs="Arial"/>
                <w:color w:val="262626"/>
                <w:sz w:val="18"/>
                <w:szCs w:val="18"/>
              </w:rPr>
              <w:t>4/26/2019</w:t>
            </w:r>
          </w:p>
        </w:tc>
        <w:tc>
          <w:tcPr>
            <w:tcW w:w="0" w:type="auto"/>
            <w:gridSpan w:val="3"/>
            <w:shd w:val="clear" w:color="auto" w:fill="auto"/>
            <w:tcMar>
              <w:top w:w="0" w:type="dxa"/>
              <w:left w:w="20" w:type="dxa"/>
              <w:bottom w:w="0" w:type="dxa"/>
              <w:right w:w="20" w:type="dxa"/>
            </w:tcMar>
            <w:vAlign w:val="bottom"/>
          </w:tcPr>
          <w:p w14:paraId="67538A1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13" w14:textId="77777777" w:rsidR="001B77DD" w:rsidRDefault="001B77DD">
            <w:pPr>
              <w:rPr>
                <w:rFonts w:ascii="宋体"/>
              </w:rPr>
            </w:pPr>
          </w:p>
        </w:tc>
      </w:tr>
      <w:tr w:rsidR="001B77DD" w14:paraId="67538A22" w14:textId="77777777">
        <w:tc>
          <w:tcPr>
            <w:tcW w:w="0" w:type="auto"/>
            <w:gridSpan w:val="3"/>
            <w:shd w:val="clear" w:color="auto" w:fill="auto"/>
            <w:tcMar>
              <w:top w:w="40" w:type="dxa"/>
              <w:left w:w="20" w:type="dxa"/>
              <w:bottom w:w="40" w:type="dxa"/>
              <w:right w:w="20" w:type="dxa"/>
            </w:tcMar>
          </w:tcPr>
          <w:p w14:paraId="67538A15" w14:textId="77777777" w:rsidR="001B77DD" w:rsidRDefault="00BF0A28">
            <w:pPr>
              <w:jc w:val="center"/>
              <w:textAlignment w:val="top"/>
            </w:pPr>
            <w:r>
              <w:rPr>
                <w:rFonts w:ascii="Arial" w:eastAsia="宋体" w:hAnsi="Arial" w:cs="Arial"/>
                <w:color w:val="262626"/>
                <w:sz w:val="18"/>
                <w:szCs w:val="18"/>
              </w:rPr>
              <w:t>10.13</w:t>
            </w:r>
            <w:r>
              <w:rPr>
                <w:rFonts w:ascii="Arial" w:eastAsia="宋体" w:hAnsi="Arial" w:cs="Arial"/>
                <w:color w:val="262626"/>
                <w:sz w:val="11"/>
                <w:szCs w:val="11"/>
              </w:rPr>
              <w:t>†</w:t>
            </w:r>
          </w:p>
        </w:tc>
        <w:tc>
          <w:tcPr>
            <w:tcW w:w="0" w:type="auto"/>
            <w:gridSpan w:val="3"/>
            <w:shd w:val="clear" w:color="auto" w:fill="auto"/>
            <w:tcMar>
              <w:top w:w="0" w:type="dxa"/>
              <w:left w:w="20" w:type="dxa"/>
              <w:bottom w:w="0" w:type="dxa"/>
              <w:right w:w="20" w:type="dxa"/>
            </w:tcMar>
            <w:vAlign w:val="bottom"/>
          </w:tcPr>
          <w:p w14:paraId="67538A1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17" w14:textId="77777777" w:rsidR="001B77DD" w:rsidRDefault="00BF0A28">
            <w:pPr>
              <w:textAlignment w:val="top"/>
            </w:pPr>
            <w:hyperlink r:id="rId272" w:history="1">
              <w:r>
                <w:rPr>
                  <w:rStyle w:val="a5"/>
                  <w:rFonts w:ascii="Arial" w:eastAsia="宋体" w:hAnsi="Arial" w:cs="Arial"/>
                  <w:color w:val="262626"/>
                  <w:sz w:val="18"/>
                  <w:szCs w:val="18"/>
                </w:rPr>
                <w:t>Offer Letter between Intel Corporation and George S. Davis, dated April 2, 2019</w:t>
              </w:r>
            </w:hyperlink>
          </w:p>
        </w:tc>
        <w:tc>
          <w:tcPr>
            <w:tcW w:w="0" w:type="auto"/>
            <w:gridSpan w:val="3"/>
            <w:shd w:val="clear" w:color="auto" w:fill="auto"/>
            <w:tcMar>
              <w:top w:w="0" w:type="dxa"/>
              <w:left w:w="20" w:type="dxa"/>
              <w:bottom w:w="0" w:type="dxa"/>
              <w:right w:w="20" w:type="dxa"/>
            </w:tcMar>
            <w:vAlign w:val="bottom"/>
          </w:tcPr>
          <w:p w14:paraId="67538A1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19" w14:textId="77777777" w:rsidR="001B77DD" w:rsidRDefault="00BF0A28">
            <w:pPr>
              <w:jc w:val="right"/>
              <w:textAlignment w:val="bottom"/>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7538A1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1B" w14:textId="77777777" w:rsidR="001B77DD" w:rsidRDefault="00BF0A28">
            <w:pPr>
              <w:jc w:val="right"/>
              <w:textAlignment w:val="bottom"/>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7538A1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1D" w14:textId="77777777" w:rsidR="001B77DD" w:rsidRDefault="00BF0A28">
            <w:pPr>
              <w:jc w:val="right"/>
              <w:textAlignment w:val="bottom"/>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67538A1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A1F" w14:textId="77777777" w:rsidR="001B77DD" w:rsidRDefault="00BF0A28">
            <w:pPr>
              <w:jc w:val="right"/>
              <w:textAlignment w:val="bottom"/>
            </w:pPr>
            <w:r>
              <w:rPr>
                <w:rFonts w:ascii="Arial" w:eastAsia="宋体" w:hAnsi="Arial" w:cs="Arial"/>
                <w:color w:val="262626"/>
                <w:sz w:val="18"/>
                <w:szCs w:val="18"/>
              </w:rPr>
              <w:t>4/3/2019</w:t>
            </w:r>
          </w:p>
        </w:tc>
        <w:tc>
          <w:tcPr>
            <w:tcW w:w="0" w:type="auto"/>
            <w:gridSpan w:val="3"/>
            <w:shd w:val="clear" w:color="auto" w:fill="auto"/>
            <w:tcMar>
              <w:top w:w="0" w:type="dxa"/>
              <w:left w:w="20" w:type="dxa"/>
              <w:bottom w:w="0" w:type="dxa"/>
              <w:right w:w="20" w:type="dxa"/>
            </w:tcMar>
            <w:vAlign w:val="bottom"/>
          </w:tcPr>
          <w:p w14:paraId="67538A2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1" w14:textId="77777777" w:rsidR="001B77DD" w:rsidRDefault="001B77DD">
            <w:pPr>
              <w:rPr>
                <w:rFonts w:ascii="宋体"/>
              </w:rPr>
            </w:pPr>
          </w:p>
        </w:tc>
      </w:tr>
      <w:tr w:rsidR="001B77DD" w14:paraId="67538A30" w14:textId="77777777">
        <w:tc>
          <w:tcPr>
            <w:tcW w:w="0" w:type="auto"/>
            <w:gridSpan w:val="3"/>
            <w:shd w:val="clear" w:color="auto" w:fill="auto"/>
            <w:tcMar>
              <w:top w:w="40" w:type="dxa"/>
              <w:left w:w="20" w:type="dxa"/>
              <w:bottom w:w="40" w:type="dxa"/>
              <w:right w:w="20" w:type="dxa"/>
            </w:tcMar>
          </w:tcPr>
          <w:p w14:paraId="67538A23" w14:textId="77777777" w:rsidR="001B77DD" w:rsidRDefault="00BF0A28">
            <w:pPr>
              <w:jc w:val="center"/>
              <w:textAlignment w:val="top"/>
            </w:pPr>
            <w:r>
              <w:rPr>
                <w:rFonts w:ascii="Arial" w:eastAsia="宋体" w:hAnsi="Arial" w:cs="Arial"/>
                <w:color w:val="262626"/>
                <w:sz w:val="18"/>
                <w:szCs w:val="18"/>
              </w:rPr>
              <w:t>21.1</w:t>
            </w:r>
          </w:p>
        </w:tc>
        <w:tc>
          <w:tcPr>
            <w:tcW w:w="0" w:type="auto"/>
            <w:gridSpan w:val="3"/>
            <w:shd w:val="clear" w:color="auto" w:fill="auto"/>
            <w:tcMar>
              <w:top w:w="0" w:type="dxa"/>
              <w:left w:w="20" w:type="dxa"/>
              <w:bottom w:w="0" w:type="dxa"/>
              <w:right w:w="20" w:type="dxa"/>
            </w:tcMar>
            <w:vAlign w:val="bottom"/>
          </w:tcPr>
          <w:p w14:paraId="67538A2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25" w14:textId="77777777" w:rsidR="001B77DD" w:rsidRDefault="00BF0A28">
            <w:pPr>
              <w:textAlignment w:val="top"/>
            </w:pPr>
            <w:hyperlink r:id="rId273" w:history="1">
              <w:r>
                <w:rPr>
                  <w:rStyle w:val="a5"/>
                  <w:rFonts w:ascii="Arial" w:eastAsia="宋体" w:hAnsi="Arial" w:cs="Arial"/>
                  <w:color w:val="262626"/>
                  <w:sz w:val="18"/>
                  <w:szCs w:val="18"/>
                </w:rPr>
                <w:t>Intel Corporation Subsidiaries</w:t>
              </w:r>
            </w:hyperlink>
          </w:p>
        </w:tc>
        <w:tc>
          <w:tcPr>
            <w:tcW w:w="0" w:type="auto"/>
            <w:gridSpan w:val="3"/>
            <w:shd w:val="clear" w:color="auto" w:fill="auto"/>
            <w:tcMar>
              <w:top w:w="0" w:type="dxa"/>
              <w:left w:w="20" w:type="dxa"/>
              <w:bottom w:w="0" w:type="dxa"/>
              <w:right w:w="20" w:type="dxa"/>
            </w:tcMar>
            <w:vAlign w:val="bottom"/>
          </w:tcPr>
          <w:p w14:paraId="67538A2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2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2F" w14:textId="77777777" w:rsidR="001B77DD" w:rsidRDefault="00BF0A28">
            <w:pPr>
              <w:jc w:val="center"/>
              <w:textAlignment w:val="top"/>
            </w:pPr>
            <w:r>
              <w:rPr>
                <w:rFonts w:ascii="Arial" w:eastAsia="宋体" w:hAnsi="Arial" w:cs="Arial"/>
                <w:color w:val="262626"/>
                <w:sz w:val="18"/>
                <w:szCs w:val="18"/>
              </w:rPr>
              <w:t>X</w:t>
            </w:r>
          </w:p>
        </w:tc>
      </w:tr>
      <w:tr w:rsidR="001B77DD" w14:paraId="67538A3E" w14:textId="77777777">
        <w:tc>
          <w:tcPr>
            <w:tcW w:w="0" w:type="auto"/>
            <w:gridSpan w:val="3"/>
            <w:shd w:val="clear" w:color="auto" w:fill="auto"/>
            <w:tcMar>
              <w:top w:w="40" w:type="dxa"/>
              <w:left w:w="20" w:type="dxa"/>
              <w:bottom w:w="40" w:type="dxa"/>
              <w:right w:w="20" w:type="dxa"/>
            </w:tcMar>
          </w:tcPr>
          <w:p w14:paraId="67538A31" w14:textId="77777777" w:rsidR="001B77DD" w:rsidRDefault="00BF0A28">
            <w:pPr>
              <w:jc w:val="center"/>
              <w:textAlignment w:val="top"/>
            </w:pPr>
            <w:r>
              <w:rPr>
                <w:rFonts w:ascii="Arial" w:eastAsia="宋体" w:hAnsi="Arial" w:cs="Arial"/>
                <w:color w:val="262626"/>
                <w:sz w:val="18"/>
                <w:szCs w:val="18"/>
              </w:rPr>
              <w:t>23.1</w:t>
            </w:r>
          </w:p>
        </w:tc>
        <w:tc>
          <w:tcPr>
            <w:tcW w:w="0" w:type="auto"/>
            <w:gridSpan w:val="3"/>
            <w:shd w:val="clear" w:color="auto" w:fill="auto"/>
            <w:tcMar>
              <w:top w:w="0" w:type="dxa"/>
              <w:left w:w="20" w:type="dxa"/>
              <w:bottom w:w="0" w:type="dxa"/>
              <w:right w:w="20" w:type="dxa"/>
            </w:tcMar>
            <w:vAlign w:val="bottom"/>
          </w:tcPr>
          <w:p w14:paraId="67538A3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33" w14:textId="77777777" w:rsidR="001B77DD" w:rsidRDefault="00BF0A28">
            <w:pPr>
              <w:textAlignment w:val="top"/>
            </w:pPr>
            <w:hyperlink r:id="rId274" w:history="1">
              <w:r>
                <w:rPr>
                  <w:rStyle w:val="a5"/>
                  <w:rFonts w:ascii="Arial" w:eastAsia="宋体" w:hAnsi="Arial" w:cs="Arial"/>
                  <w:color w:val="262626"/>
                  <w:sz w:val="18"/>
                  <w:szCs w:val="18"/>
                </w:rPr>
                <w:t>Consent of Ernst &amp; Young LLP, Independent Registered Public Accounting Firm</w:t>
              </w:r>
            </w:hyperlink>
          </w:p>
        </w:tc>
        <w:tc>
          <w:tcPr>
            <w:tcW w:w="0" w:type="auto"/>
            <w:gridSpan w:val="3"/>
            <w:shd w:val="clear" w:color="auto" w:fill="auto"/>
            <w:tcMar>
              <w:top w:w="0" w:type="dxa"/>
              <w:left w:w="20" w:type="dxa"/>
              <w:bottom w:w="0" w:type="dxa"/>
              <w:right w:w="20" w:type="dxa"/>
            </w:tcMar>
            <w:vAlign w:val="bottom"/>
          </w:tcPr>
          <w:p w14:paraId="67538A3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3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3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3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3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3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3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3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3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3D" w14:textId="77777777" w:rsidR="001B77DD" w:rsidRDefault="00BF0A28">
            <w:pPr>
              <w:jc w:val="center"/>
              <w:textAlignment w:val="top"/>
            </w:pPr>
            <w:r>
              <w:rPr>
                <w:rFonts w:ascii="Arial" w:eastAsia="宋体" w:hAnsi="Arial" w:cs="Arial"/>
                <w:color w:val="262626"/>
                <w:sz w:val="18"/>
                <w:szCs w:val="18"/>
              </w:rPr>
              <w:t>X</w:t>
            </w:r>
          </w:p>
        </w:tc>
      </w:tr>
      <w:tr w:rsidR="001B77DD" w14:paraId="67538A4C" w14:textId="77777777">
        <w:tc>
          <w:tcPr>
            <w:tcW w:w="0" w:type="auto"/>
            <w:gridSpan w:val="3"/>
            <w:shd w:val="clear" w:color="auto" w:fill="auto"/>
            <w:tcMar>
              <w:top w:w="40" w:type="dxa"/>
              <w:left w:w="20" w:type="dxa"/>
              <w:bottom w:w="40" w:type="dxa"/>
              <w:right w:w="20" w:type="dxa"/>
            </w:tcMar>
          </w:tcPr>
          <w:p w14:paraId="67538A3F" w14:textId="77777777" w:rsidR="001B77DD" w:rsidRDefault="00BF0A28">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vAlign w:val="bottom"/>
          </w:tcPr>
          <w:p w14:paraId="67538A4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41" w14:textId="77777777" w:rsidR="001B77DD" w:rsidRDefault="00BF0A28">
            <w:pPr>
              <w:textAlignment w:val="top"/>
            </w:pPr>
            <w:hyperlink r:id="rId275" w:history="1">
              <w:r>
                <w:rPr>
                  <w:rStyle w:val="a5"/>
                  <w:rFonts w:ascii="Arial" w:eastAsia="宋体" w:hAnsi="Arial" w:cs="Arial"/>
                  <w:color w:val="262626"/>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67538A4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4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4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4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4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4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4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4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4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4B" w14:textId="77777777" w:rsidR="001B77DD" w:rsidRDefault="00BF0A28">
            <w:pPr>
              <w:jc w:val="center"/>
              <w:textAlignment w:val="top"/>
            </w:pPr>
            <w:r>
              <w:rPr>
                <w:rFonts w:ascii="Arial" w:eastAsia="宋体" w:hAnsi="Arial" w:cs="Arial"/>
                <w:color w:val="262626"/>
                <w:sz w:val="18"/>
                <w:szCs w:val="18"/>
              </w:rPr>
              <w:t>X</w:t>
            </w:r>
          </w:p>
        </w:tc>
      </w:tr>
      <w:tr w:rsidR="001B77DD" w14:paraId="67538A5A" w14:textId="77777777">
        <w:tc>
          <w:tcPr>
            <w:tcW w:w="0" w:type="auto"/>
            <w:gridSpan w:val="3"/>
            <w:shd w:val="clear" w:color="auto" w:fill="auto"/>
            <w:tcMar>
              <w:top w:w="40" w:type="dxa"/>
              <w:left w:w="20" w:type="dxa"/>
              <w:bottom w:w="40" w:type="dxa"/>
              <w:right w:w="20" w:type="dxa"/>
            </w:tcMar>
          </w:tcPr>
          <w:p w14:paraId="67538A4D" w14:textId="77777777" w:rsidR="001B77DD" w:rsidRDefault="00BF0A28">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vAlign w:val="bottom"/>
          </w:tcPr>
          <w:p w14:paraId="67538A4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4F" w14:textId="77777777" w:rsidR="001B77DD" w:rsidRDefault="00BF0A28">
            <w:pPr>
              <w:textAlignment w:val="top"/>
            </w:pPr>
            <w:hyperlink r:id="rId276" w:history="1">
              <w:r>
                <w:rPr>
                  <w:rStyle w:val="a5"/>
                  <w:rFonts w:ascii="Arial" w:eastAsia="宋体" w:hAnsi="Arial" w:cs="Arial"/>
                  <w:color w:val="262626"/>
                  <w:sz w:val="18"/>
                  <w:szCs w:val="18"/>
                </w:rPr>
                <w:t>Certification of the Chief Financial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67538A5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59" w14:textId="77777777" w:rsidR="001B77DD" w:rsidRDefault="00BF0A28">
            <w:pPr>
              <w:jc w:val="center"/>
              <w:textAlignment w:val="top"/>
            </w:pPr>
            <w:r>
              <w:rPr>
                <w:rFonts w:ascii="Arial" w:eastAsia="宋体" w:hAnsi="Arial" w:cs="Arial"/>
                <w:color w:val="262626"/>
                <w:sz w:val="18"/>
                <w:szCs w:val="18"/>
              </w:rPr>
              <w:t>X</w:t>
            </w:r>
          </w:p>
        </w:tc>
      </w:tr>
      <w:tr w:rsidR="001B77DD" w14:paraId="67538A68" w14:textId="77777777">
        <w:tc>
          <w:tcPr>
            <w:tcW w:w="0" w:type="auto"/>
            <w:gridSpan w:val="3"/>
            <w:shd w:val="clear" w:color="auto" w:fill="auto"/>
            <w:tcMar>
              <w:top w:w="40" w:type="dxa"/>
              <w:left w:w="20" w:type="dxa"/>
              <w:bottom w:w="40" w:type="dxa"/>
              <w:right w:w="20" w:type="dxa"/>
            </w:tcMar>
          </w:tcPr>
          <w:p w14:paraId="67538A5B" w14:textId="77777777" w:rsidR="001B77DD" w:rsidRDefault="00BF0A28">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vAlign w:val="bottom"/>
          </w:tcPr>
          <w:p w14:paraId="67538A5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5D" w14:textId="77777777" w:rsidR="001B77DD" w:rsidRDefault="00BF0A28">
            <w:pPr>
              <w:textAlignment w:val="top"/>
            </w:pPr>
            <w:hyperlink r:id="rId277" w:history="1">
              <w:r>
                <w:rPr>
                  <w:rStyle w:val="a5"/>
                  <w:rFonts w:ascii="Arial" w:eastAsia="宋体" w:hAnsi="Arial" w:cs="Arial"/>
                  <w:color w:val="262626"/>
                  <w:sz w:val="18"/>
                  <w:szCs w:val="18"/>
                </w:rPr>
                <w:t>Certification of the Chief Executive Officer and the Chief Financial Officer pursuant to Rule13a-14(b) of the Exchange Act and 18 U.S.C. Section 1350</w:t>
              </w:r>
            </w:hyperlink>
          </w:p>
        </w:tc>
        <w:tc>
          <w:tcPr>
            <w:tcW w:w="0" w:type="auto"/>
            <w:gridSpan w:val="3"/>
            <w:shd w:val="clear" w:color="auto" w:fill="auto"/>
            <w:tcMar>
              <w:top w:w="0" w:type="dxa"/>
              <w:left w:w="20" w:type="dxa"/>
              <w:bottom w:w="0" w:type="dxa"/>
              <w:right w:w="20" w:type="dxa"/>
            </w:tcMar>
            <w:vAlign w:val="bottom"/>
          </w:tcPr>
          <w:p w14:paraId="67538A5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5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67" w14:textId="77777777" w:rsidR="001B77DD" w:rsidRDefault="00BF0A28">
            <w:pPr>
              <w:jc w:val="center"/>
              <w:textAlignment w:val="top"/>
            </w:pPr>
            <w:r>
              <w:rPr>
                <w:rFonts w:ascii="Arial" w:eastAsia="宋体" w:hAnsi="Arial" w:cs="Arial"/>
                <w:color w:val="262626"/>
                <w:sz w:val="18"/>
                <w:szCs w:val="18"/>
              </w:rPr>
              <w:t>X</w:t>
            </w:r>
          </w:p>
        </w:tc>
      </w:tr>
      <w:tr w:rsidR="001B77DD" w14:paraId="67538A76" w14:textId="77777777">
        <w:tc>
          <w:tcPr>
            <w:tcW w:w="0" w:type="auto"/>
            <w:gridSpan w:val="3"/>
            <w:shd w:val="clear" w:color="auto" w:fill="auto"/>
            <w:tcMar>
              <w:top w:w="40" w:type="dxa"/>
              <w:left w:w="20" w:type="dxa"/>
              <w:bottom w:w="40" w:type="dxa"/>
              <w:right w:w="20" w:type="dxa"/>
            </w:tcMar>
          </w:tcPr>
          <w:p w14:paraId="67538A69" w14:textId="77777777" w:rsidR="001B77DD" w:rsidRDefault="00BF0A28">
            <w:pPr>
              <w:jc w:val="center"/>
              <w:textAlignment w:val="top"/>
            </w:pPr>
            <w:r>
              <w:rPr>
                <w:rFonts w:ascii="Arial" w:eastAsia="宋体" w:hAnsi="Arial" w:cs="Arial"/>
                <w:color w:val="262626"/>
                <w:sz w:val="18"/>
                <w:szCs w:val="18"/>
              </w:rPr>
              <w:t>99.1</w:t>
            </w:r>
          </w:p>
        </w:tc>
        <w:tc>
          <w:tcPr>
            <w:tcW w:w="0" w:type="auto"/>
            <w:gridSpan w:val="3"/>
            <w:shd w:val="clear" w:color="auto" w:fill="auto"/>
            <w:tcMar>
              <w:top w:w="0" w:type="dxa"/>
              <w:left w:w="20" w:type="dxa"/>
              <w:bottom w:w="0" w:type="dxa"/>
              <w:right w:w="20" w:type="dxa"/>
            </w:tcMar>
            <w:vAlign w:val="bottom"/>
          </w:tcPr>
          <w:p w14:paraId="67538A6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6B" w14:textId="77777777" w:rsidR="001B77DD" w:rsidRDefault="00BF0A28">
            <w:pPr>
              <w:textAlignment w:val="top"/>
            </w:pPr>
            <w:hyperlink r:id="rId278" w:history="1">
              <w:r>
                <w:rPr>
                  <w:rStyle w:val="a5"/>
                  <w:rFonts w:ascii="Arial" w:eastAsia="宋体" w:hAnsi="Arial" w:cs="Arial"/>
                  <w:color w:val="262626"/>
                  <w:sz w:val="18"/>
                  <w:szCs w:val="18"/>
                </w:rPr>
                <w:t>Supplement to Present Required Information in Searchable Format</w:t>
              </w:r>
            </w:hyperlink>
          </w:p>
        </w:tc>
        <w:tc>
          <w:tcPr>
            <w:tcW w:w="0" w:type="auto"/>
            <w:gridSpan w:val="3"/>
            <w:shd w:val="clear" w:color="auto" w:fill="auto"/>
            <w:tcMar>
              <w:top w:w="0" w:type="dxa"/>
              <w:left w:w="20" w:type="dxa"/>
              <w:bottom w:w="0" w:type="dxa"/>
              <w:right w:w="20" w:type="dxa"/>
            </w:tcMar>
            <w:vAlign w:val="bottom"/>
          </w:tcPr>
          <w:p w14:paraId="67538A6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6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75" w14:textId="77777777" w:rsidR="001B77DD" w:rsidRDefault="00BF0A28">
            <w:pPr>
              <w:jc w:val="center"/>
              <w:textAlignment w:val="top"/>
            </w:pPr>
            <w:r>
              <w:rPr>
                <w:rFonts w:ascii="Arial" w:eastAsia="宋体" w:hAnsi="Arial" w:cs="Arial"/>
                <w:color w:val="262626"/>
                <w:sz w:val="18"/>
                <w:szCs w:val="18"/>
              </w:rPr>
              <w:t>X</w:t>
            </w:r>
          </w:p>
        </w:tc>
      </w:tr>
      <w:tr w:rsidR="001B77DD" w14:paraId="67538A84" w14:textId="77777777">
        <w:tc>
          <w:tcPr>
            <w:tcW w:w="0" w:type="auto"/>
            <w:gridSpan w:val="3"/>
            <w:shd w:val="clear" w:color="auto" w:fill="auto"/>
            <w:tcMar>
              <w:top w:w="40" w:type="dxa"/>
              <w:left w:w="20" w:type="dxa"/>
              <w:bottom w:w="40" w:type="dxa"/>
              <w:right w:w="20" w:type="dxa"/>
            </w:tcMar>
          </w:tcPr>
          <w:p w14:paraId="67538A77" w14:textId="77777777" w:rsidR="001B77DD" w:rsidRDefault="00BF0A28">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67538A78"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79" w14:textId="77777777" w:rsidR="001B77DD" w:rsidRDefault="00BF0A28">
            <w:pPr>
              <w:textAlignment w:val="top"/>
            </w:pPr>
            <w:r>
              <w:rPr>
                <w:rFonts w:ascii="Arial" w:eastAsia="宋体" w:hAnsi="Arial" w:cs="Arial"/>
                <w:color w:val="262626"/>
                <w:sz w:val="18"/>
                <w:szCs w:val="18"/>
              </w:rPr>
              <w:t xml:space="preserve">Inline XBRL Document Set for the </w:t>
            </w:r>
            <w:r>
              <w:rPr>
                <w:rFonts w:ascii="Arial" w:eastAsia="宋体" w:hAnsi="Arial" w:cs="Arial"/>
                <w:color w:val="262626"/>
                <w:sz w:val="18"/>
                <w:szCs w:val="18"/>
              </w:rPr>
              <w:t>consolidated financial statements and accompanying notes in Financial Statements and Supplemental Details</w:t>
            </w:r>
          </w:p>
        </w:tc>
        <w:tc>
          <w:tcPr>
            <w:tcW w:w="0" w:type="auto"/>
            <w:gridSpan w:val="3"/>
            <w:shd w:val="clear" w:color="auto" w:fill="auto"/>
            <w:tcMar>
              <w:top w:w="0" w:type="dxa"/>
              <w:left w:w="20" w:type="dxa"/>
              <w:bottom w:w="0" w:type="dxa"/>
              <w:right w:w="20" w:type="dxa"/>
            </w:tcMar>
            <w:vAlign w:val="bottom"/>
          </w:tcPr>
          <w:p w14:paraId="67538A7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7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8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8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8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83" w14:textId="77777777" w:rsidR="001B77DD" w:rsidRDefault="00BF0A28">
            <w:pPr>
              <w:jc w:val="center"/>
              <w:textAlignment w:val="top"/>
            </w:pPr>
            <w:r>
              <w:rPr>
                <w:rFonts w:ascii="Arial" w:eastAsia="宋体" w:hAnsi="Arial" w:cs="Arial"/>
                <w:color w:val="262626"/>
                <w:sz w:val="18"/>
                <w:szCs w:val="18"/>
              </w:rPr>
              <w:t>X</w:t>
            </w:r>
          </w:p>
        </w:tc>
      </w:tr>
      <w:tr w:rsidR="001B77DD" w14:paraId="67538A92" w14:textId="77777777">
        <w:trPr>
          <w:hidden/>
        </w:trPr>
        <w:tc>
          <w:tcPr>
            <w:tcW w:w="0" w:type="auto"/>
            <w:gridSpan w:val="3"/>
            <w:shd w:val="clear" w:color="auto" w:fill="auto"/>
            <w:vAlign w:val="bottom"/>
          </w:tcPr>
          <w:p w14:paraId="67538A85" w14:textId="77777777" w:rsidR="001B77DD" w:rsidRDefault="001B77DD">
            <w:pPr>
              <w:rPr>
                <w:rFonts w:ascii="宋体"/>
                <w:vanish/>
              </w:rPr>
            </w:pPr>
          </w:p>
        </w:tc>
        <w:tc>
          <w:tcPr>
            <w:tcW w:w="0" w:type="auto"/>
            <w:gridSpan w:val="3"/>
            <w:shd w:val="clear" w:color="auto" w:fill="auto"/>
            <w:vAlign w:val="bottom"/>
          </w:tcPr>
          <w:p w14:paraId="67538A86" w14:textId="77777777" w:rsidR="001B77DD" w:rsidRDefault="001B77DD">
            <w:pPr>
              <w:rPr>
                <w:rFonts w:ascii="宋体"/>
                <w:vanish/>
              </w:rPr>
            </w:pPr>
          </w:p>
        </w:tc>
        <w:tc>
          <w:tcPr>
            <w:tcW w:w="0" w:type="auto"/>
            <w:gridSpan w:val="3"/>
            <w:shd w:val="clear" w:color="auto" w:fill="auto"/>
            <w:vAlign w:val="bottom"/>
          </w:tcPr>
          <w:p w14:paraId="67538A87" w14:textId="77777777" w:rsidR="001B77DD" w:rsidRDefault="001B77DD">
            <w:pPr>
              <w:rPr>
                <w:rFonts w:ascii="宋体"/>
                <w:vanish/>
              </w:rPr>
            </w:pPr>
          </w:p>
        </w:tc>
        <w:tc>
          <w:tcPr>
            <w:tcW w:w="0" w:type="auto"/>
            <w:gridSpan w:val="3"/>
            <w:shd w:val="clear" w:color="auto" w:fill="auto"/>
            <w:vAlign w:val="bottom"/>
          </w:tcPr>
          <w:p w14:paraId="67538A88" w14:textId="77777777" w:rsidR="001B77DD" w:rsidRDefault="001B77DD">
            <w:pPr>
              <w:rPr>
                <w:rFonts w:ascii="宋体"/>
                <w:vanish/>
              </w:rPr>
            </w:pPr>
          </w:p>
        </w:tc>
        <w:tc>
          <w:tcPr>
            <w:tcW w:w="0" w:type="auto"/>
            <w:gridSpan w:val="3"/>
            <w:shd w:val="clear" w:color="auto" w:fill="auto"/>
            <w:vAlign w:val="bottom"/>
          </w:tcPr>
          <w:p w14:paraId="67538A89" w14:textId="77777777" w:rsidR="001B77DD" w:rsidRDefault="001B77DD">
            <w:pPr>
              <w:rPr>
                <w:rFonts w:ascii="宋体"/>
                <w:vanish/>
              </w:rPr>
            </w:pPr>
          </w:p>
        </w:tc>
        <w:tc>
          <w:tcPr>
            <w:tcW w:w="0" w:type="auto"/>
            <w:gridSpan w:val="3"/>
            <w:shd w:val="clear" w:color="auto" w:fill="auto"/>
            <w:vAlign w:val="bottom"/>
          </w:tcPr>
          <w:p w14:paraId="67538A8A" w14:textId="77777777" w:rsidR="001B77DD" w:rsidRDefault="001B77DD">
            <w:pPr>
              <w:rPr>
                <w:rFonts w:ascii="宋体"/>
                <w:vanish/>
              </w:rPr>
            </w:pPr>
          </w:p>
        </w:tc>
        <w:tc>
          <w:tcPr>
            <w:tcW w:w="0" w:type="auto"/>
            <w:gridSpan w:val="3"/>
            <w:shd w:val="clear" w:color="auto" w:fill="auto"/>
            <w:vAlign w:val="bottom"/>
          </w:tcPr>
          <w:p w14:paraId="67538A8B" w14:textId="77777777" w:rsidR="001B77DD" w:rsidRDefault="001B77DD">
            <w:pPr>
              <w:rPr>
                <w:rFonts w:ascii="宋体"/>
                <w:vanish/>
              </w:rPr>
            </w:pPr>
          </w:p>
        </w:tc>
        <w:tc>
          <w:tcPr>
            <w:tcW w:w="0" w:type="auto"/>
            <w:gridSpan w:val="3"/>
            <w:shd w:val="clear" w:color="auto" w:fill="auto"/>
            <w:vAlign w:val="bottom"/>
          </w:tcPr>
          <w:p w14:paraId="67538A8C" w14:textId="77777777" w:rsidR="001B77DD" w:rsidRDefault="001B77DD">
            <w:pPr>
              <w:rPr>
                <w:rFonts w:ascii="宋体"/>
                <w:vanish/>
              </w:rPr>
            </w:pPr>
          </w:p>
        </w:tc>
        <w:tc>
          <w:tcPr>
            <w:tcW w:w="0" w:type="auto"/>
            <w:gridSpan w:val="3"/>
            <w:shd w:val="clear" w:color="auto" w:fill="auto"/>
            <w:vAlign w:val="bottom"/>
          </w:tcPr>
          <w:p w14:paraId="67538A8D" w14:textId="77777777" w:rsidR="001B77DD" w:rsidRDefault="001B77DD">
            <w:pPr>
              <w:rPr>
                <w:rFonts w:ascii="宋体"/>
                <w:vanish/>
              </w:rPr>
            </w:pPr>
          </w:p>
        </w:tc>
        <w:tc>
          <w:tcPr>
            <w:tcW w:w="0" w:type="auto"/>
            <w:gridSpan w:val="3"/>
            <w:shd w:val="clear" w:color="auto" w:fill="auto"/>
            <w:vAlign w:val="bottom"/>
          </w:tcPr>
          <w:p w14:paraId="67538A8E" w14:textId="77777777" w:rsidR="001B77DD" w:rsidRDefault="001B77DD">
            <w:pPr>
              <w:rPr>
                <w:rFonts w:ascii="宋体"/>
                <w:vanish/>
              </w:rPr>
            </w:pPr>
          </w:p>
        </w:tc>
        <w:tc>
          <w:tcPr>
            <w:tcW w:w="0" w:type="auto"/>
            <w:gridSpan w:val="3"/>
            <w:shd w:val="clear" w:color="auto" w:fill="auto"/>
            <w:vAlign w:val="bottom"/>
          </w:tcPr>
          <w:p w14:paraId="67538A8F" w14:textId="77777777" w:rsidR="001B77DD" w:rsidRDefault="001B77DD">
            <w:pPr>
              <w:rPr>
                <w:rFonts w:ascii="宋体"/>
                <w:vanish/>
              </w:rPr>
            </w:pPr>
          </w:p>
        </w:tc>
        <w:tc>
          <w:tcPr>
            <w:tcW w:w="0" w:type="auto"/>
            <w:gridSpan w:val="3"/>
            <w:shd w:val="clear" w:color="auto" w:fill="auto"/>
            <w:vAlign w:val="bottom"/>
          </w:tcPr>
          <w:p w14:paraId="67538A90" w14:textId="77777777" w:rsidR="001B77DD" w:rsidRDefault="001B77DD">
            <w:pPr>
              <w:rPr>
                <w:rFonts w:ascii="宋体"/>
                <w:vanish/>
              </w:rPr>
            </w:pPr>
          </w:p>
        </w:tc>
        <w:tc>
          <w:tcPr>
            <w:tcW w:w="0" w:type="auto"/>
            <w:gridSpan w:val="3"/>
            <w:shd w:val="clear" w:color="auto" w:fill="auto"/>
            <w:vAlign w:val="bottom"/>
          </w:tcPr>
          <w:p w14:paraId="67538A91" w14:textId="77777777" w:rsidR="001B77DD" w:rsidRDefault="001B77DD">
            <w:pPr>
              <w:rPr>
                <w:rFonts w:ascii="宋体"/>
                <w:vanish/>
              </w:rPr>
            </w:pPr>
          </w:p>
        </w:tc>
      </w:tr>
      <w:tr w:rsidR="001B77DD" w14:paraId="67538AA0" w14:textId="77777777">
        <w:trPr>
          <w:hidden/>
        </w:trPr>
        <w:tc>
          <w:tcPr>
            <w:tcW w:w="0" w:type="auto"/>
            <w:gridSpan w:val="3"/>
            <w:shd w:val="clear" w:color="auto" w:fill="auto"/>
            <w:vAlign w:val="bottom"/>
          </w:tcPr>
          <w:p w14:paraId="67538A93" w14:textId="77777777" w:rsidR="001B77DD" w:rsidRDefault="001B77DD">
            <w:pPr>
              <w:rPr>
                <w:rFonts w:ascii="宋体"/>
                <w:vanish/>
              </w:rPr>
            </w:pPr>
          </w:p>
        </w:tc>
        <w:tc>
          <w:tcPr>
            <w:tcW w:w="0" w:type="auto"/>
            <w:gridSpan w:val="3"/>
            <w:shd w:val="clear" w:color="auto" w:fill="auto"/>
            <w:vAlign w:val="bottom"/>
          </w:tcPr>
          <w:p w14:paraId="67538A94" w14:textId="77777777" w:rsidR="001B77DD" w:rsidRDefault="001B77DD">
            <w:pPr>
              <w:rPr>
                <w:rFonts w:ascii="宋体"/>
                <w:vanish/>
              </w:rPr>
            </w:pPr>
          </w:p>
        </w:tc>
        <w:tc>
          <w:tcPr>
            <w:tcW w:w="0" w:type="auto"/>
            <w:gridSpan w:val="3"/>
            <w:shd w:val="clear" w:color="auto" w:fill="auto"/>
            <w:vAlign w:val="bottom"/>
          </w:tcPr>
          <w:p w14:paraId="67538A95" w14:textId="77777777" w:rsidR="001B77DD" w:rsidRDefault="001B77DD">
            <w:pPr>
              <w:rPr>
                <w:rFonts w:ascii="宋体"/>
                <w:vanish/>
              </w:rPr>
            </w:pPr>
          </w:p>
        </w:tc>
        <w:tc>
          <w:tcPr>
            <w:tcW w:w="0" w:type="auto"/>
            <w:gridSpan w:val="3"/>
            <w:shd w:val="clear" w:color="auto" w:fill="auto"/>
            <w:vAlign w:val="bottom"/>
          </w:tcPr>
          <w:p w14:paraId="67538A96" w14:textId="77777777" w:rsidR="001B77DD" w:rsidRDefault="001B77DD">
            <w:pPr>
              <w:rPr>
                <w:rFonts w:ascii="宋体"/>
                <w:vanish/>
              </w:rPr>
            </w:pPr>
          </w:p>
        </w:tc>
        <w:tc>
          <w:tcPr>
            <w:tcW w:w="0" w:type="auto"/>
            <w:gridSpan w:val="3"/>
            <w:shd w:val="clear" w:color="auto" w:fill="auto"/>
            <w:vAlign w:val="bottom"/>
          </w:tcPr>
          <w:p w14:paraId="67538A97" w14:textId="77777777" w:rsidR="001B77DD" w:rsidRDefault="001B77DD">
            <w:pPr>
              <w:rPr>
                <w:rFonts w:ascii="宋体"/>
                <w:vanish/>
              </w:rPr>
            </w:pPr>
          </w:p>
        </w:tc>
        <w:tc>
          <w:tcPr>
            <w:tcW w:w="0" w:type="auto"/>
            <w:gridSpan w:val="3"/>
            <w:shd w:val="clear" w:color="auto" w:fill="auto"/>
            <w:vAlign w:val="bottom"/>
          </w:tcPr>
          <w:p w14:paraId="67538A98" w14:textId="77777777" w:rsidR="001B77DD" w:rsidRDefault="001B77DD">
            <w:pPr>
              <w:rPr>
                <w:rFonts w:ascii="宋体"/>
                <w:vanish/>
              </w:rPr>
            </w:pPr>
          </w:p>
        </w:tc>
        <w:tc>
          <w:tcPr>
            <w:tcW w:w="0" w:type="auto"/>
            <w:gridSpan w:val="3"/>
            <w:shd w:val="clear" w:color="auto" w:fill="auto"/>
            <w:vAlign w:val="bottom"/>
          </w:tcPr>
          <w:p w14:paraId="67538A99" w14:textId="77777777" w:rsidR="001B77DD" w:rsidRDefault="001B77DD">
            <w:pPr>
              <w:rPr>
                <w:rFonts w:ascii="宋体"/>
                <w:vanish/>
              </w:rPr>
            </w:pPr>
          </w:p>
        </w:tc>
        <w:tc>
          <w:tcPr>
            <w:tcW w:w="0" w:type="auto"/>
            <w:gridSpan w:val="3"/>
            <w:shd w:val="clear" w:color="auto" w:fill="auto"/>
            <w:vAlign w:val="bottom"/>
          </w:tcPr>
          <w:p w14:paraId="67538A9A" w14:textId="77777777" w:rsidR="001B77DD" w:rsidRDefault="001B77DD">
            <w:pPr>
              <w:rPr>
                <w:rFonts w:ascii="宋体"/>
                <w:vanish/>
              </w:rPr>
            </w:pPr>
          </w:p>
        </w:tc>
        <w:tc>
          <w:tcPr>
            <w:tcW w:w="0" w:type="auto"/>
            <w:gridSpan w:val="3"/>
            <w:shd w:val="clear" w:color="auto" w:fill="auto"/>
            <w:vAlign w:val="bottom"/>
          </w:tcPr>
          <w:p w14:paraId="67538A9B" w14:textId="77777777" w:rsidR="001B77DD" w:rsidRDefault="001B77DD">
            <w:pPr>
              <w:rPr>
                <w:rFonts w:ascii="宋体"/>
                <w:vanish/>
              </w:rPr>
            </w:pPr>
          </w:p>
        </w:tc>
        <w:tc>
          <w:tcPr>
            <w:tcW w:w="0" w:type="auto"/>
            <w:gridSpan w:val="3"/>
            <w:shd w:val="clear" w:color="auto" w:fill="auto"/>
            <w:vAlign w:val="bottom"/>
          </w:tcPr>
          <w:p w14:paraId="67538A9C" w14:textId="77777777" w:rsidR="001B77DD" w:rsidRDefault="001B77DD">
            <w:pPr>
              <w:rPr>
                <w:rFonts w:ascii="宋体"/>
                <w:vanish/>
              </w:rPr>
            </w:pPr>
          </w:p>
        </w:tc>
        <w:tc>
          <w:tcPr>
            <w:tcW w:w="0" w:type="auto"/>
            <w:gridSpan w:val="3"/>
            <w:shd w:val="clear" w:color="auto" w:fill="auto"/>
            <w:vAlign w:val="bottom"/>
          </w:tcPr>
          <w:p w14:paraId="67538A9D" w14:textId="77777777" w:rsidR="001B77DD" w:rsidRDefault="001B77DD">
            <w:pPr>
              <w:rPr>
                <w:rFonts w:ascii="宋体"/>
                <w:vanish/>
              </w:rPr>
            </w:pPr>
          </w:p>
        </w:tc>
        <w:tc>
          <w:tcPr>
            <w:tcW w:w="0" w:type="auto"/>
            <w:gridSpan w:val="3"/>
            <w:shd w:val="clear" w:color="auto" w:fill="auto"/>
            <w:vAlign w:val="bottom"/>
          </w:tcPr>
          <w:p w14:paraId="67538A9E" w14:textId="77777777" w:rsidR="001B77DD" w:rsidRDefault="001B77DD">
            <w:pPr>
              <w:rPr>
                <w:rFonts w:ascii="宋体"/>
                <w:vanish/>
              </w:rPr>
            </w:pPr>
          </w:p>
        </w:tc>
        <w:tc>
          <w:tcPr>
            <w:tcW w:w="0" w:type="auto"/>
            <w:gridSpan w:val="3"/>
            <w:shd w:val="clear" w:color="auto" w:fill="auto"/>
            <w:vAlign w:val="bottom"/>
          </w:tcPr>
          <w:p w14:paraId="67538A9F" w14:textId="77777777" w:rsidR="001B77DD" w:rsidRDefault="001B77DD">
            <w:pPr>
              <w:rPr>
                <w:rFonts w:ascii="宋体"/>
                <w:vanish/>
              </w:rPr>
            </w:pPr>
          </w:p>
        </w:tc>
      </w:tr>
      <w:tr w:rsidR="001B77DD" w14:paraId="67538AAE" w14:textId="77777777">
        <w:trPr>
          <w:hidden/>
        </w:trPr>
        <w:tc>
          <w:tcPr>
            <w:tcW w:w="0" w:type="auto"/>
            <w:gridSpan w:val="3"/>
            <w:shd w:val="clear" w:color="auto" w:fill="auto"/>
            <w:vAlign w:val="bottom"/>
          </w:tcPr>
          <w:p w14:paraId="67538AA1" w14:textId="77777777" w:rsidR="001B77DD" w:rsidRDefault="001B77DD">
            <w:pPr>
              <w:rPr>
                <w:rFonts w:ascii="宋体"/>
                <w:vanish/>
              </w:rPr>
            </w:pPr>
          </w:p>
        </w:tc>
        <w:tc>
          <w:tcPr>
            <w:tcW w:w="0" w:type="auto"/>
            <w:gridSpan w:val="3"/>
            <w:shd w:val="clear" w:color="auto" w:fill="auto"/>
            <w:vAlign w:val="bottom"/>
          </w:tcPr>
          <w:p w14:paraId="67538AA2" w14:textId="77777777" w:rsidR="001B77DD" w:rsidRDefault="001B77DD">
            <w:pPr>
              <w:rPr>
                <w:rFonts w:ascii="宋体"/>
                <w:vanish/>
              </w:rPr>
            </w:pPr>
          </w:p>
        </w:tc>
        <w:tc>
          <w:tcPr>
            <w:tcW w:w="0" w:type="auto"/>
            <w:gridSpan w:val="3"/>
            <w:shd w:val="clear" w:color="auto" w:fill="auto"/>
            <w:vAlign w:val="bottom"/>
          </w:tcPr>
          <w:p w14:paraId="67538AA3" w14:textId="77777777" w:rsidR="001B77DD" w:rsidRDefault="001B77DD">
            <w:pPr>
              <w:rPr>
                <w:rFonts w:ascii="宋体"/>
                <w:vanish/>
              </w:rPr>
            </w:pPr>
          </w:p>
        </w:tc>
        <w:tc>
          <w:tcPr>
            <w:tcW w:w="0" w:type="auto"/>
            <w:gridSpan w:val="3"/>
            <w:shd w:val="clear" w:color="auto" w:fill="auto"/>
            <w:vAlign w:val="bottom"/>
          </w:tcPr>
          <w:p w14:paraId="67538AA4" w14:textId="77777777" w:rsidR="001B77DD" w:rsidRDefault="001B77DD">
            <w:pPr>
              <w:rPr>
                <w:rFonts w:ascii="宋体"/>
                <w:vanish/>
              </w:rPr>
            </w:pPr>
          </w:p>
        </w:tc>
        <w:tc>
          <w:tcPr>
            <w:tcW w:w="0" w:type="auto"/>
            <w:gridSpan w:val="3"/>
            <w:shd w:val="clear" w:color="auto" w:fill="auto"/>
            <w:vAlign w:val="bottom"/>
          </w:tcPr>
          <w:p w14:paraId="67538AA5" w14:textId="77777777" w:rsidR="001B77DD" w:rsidRDefault="001B77DD">
            <w:pPr>
              <w:rPr>
                <w:rFonts w:ascii="宋体"/>
                <w:vanish/>
              </w:rPr>
            </w:pPr>
          </w:p>
        </w:tc>
        <w:tc>
          <w:tcPr>
            <w:tcW w:w="0" w:type="auto"/>
            <w:gridSpan w:val="3"/>
            <w:shd w:val="clear" w:color="auto" w:fill="auto"/>
            <w:vAlign w:val="bottom"/>
          </w:tcPr>
          <w:p w14:paraId="67538AA6" w14:textId="77777777" w:rsidR="001B77DD" w:rsidRDefault="001B77DD">
            <w:pPr>
              <w:rPr>
                <w:rFonts w:ascii="宋体"/>
                <w:vanish/>
              </w:rPr>
            </w:pPr>
          </w:p>
        </w:tc>
        <w:tc>
          <w:tcPr>
            <w:tcW w:w="0" w:type="auto"/>
            <w:gridSpan w:val="3"/>
            <w:shd w:val="clear" w:color="auto" w:fill="auto"/>
            <w:vAlign w:val="bottom"/>
          </w:tcPr>
          <w:p w14:paraId="67538AA7" w14:textId="77777777" w:rsidR="001B77DD" w:rsidRDefault="001B77DD">
            <w:pPr>
              <w:rPr>
                <w:rFonts w:ascii="宋体"/>
                <w:vanish/>
              </w:rPr>
            </w:pPr>
          </w:p>
        </w:tc>
        <w:tc>
          <w:tcPr>
            <w:tcW w:w="0" w:type="auto"/>
            <w:gridSpan w:val="3"/>
            <w:shd w:val="clear" w:color="auto" w:fill="auto"/>
            <w:vAlign w:val="bottom"/>
          </w:tcPr>
          <w:p w14:paraId="67538AA8" w14:textId="77777777" w:rsidR="001B77DD" w:rsidRDefault="001B77DD">
            <w:pPr>
              <w:rPr>
                <w:rFonts w:ascii="宋体"/>
                <w:vanish/>
              </w:rPr>
            </w:pPr>
          </w:p>
        </w:tc>
        <w:tc>
          <w:tcPr>
            <w:tcW w:w="0" w:type="auto"/>
            <w:gridSpan w:val="3"/>
            <w:shd w:val="clear" w:color="auto" w:fill="auto"/>
            <w:vAlign w:val="bottom"/>
          </w:tcPr>
          <w:p w14:paraId="67538AA9" w14:textId="77777777" w:rsidR="001B77DD" w:rsidRDefault="001B77DD">
            <w:pPr>
              <w:rPr>
                <w:rFonts w:ascii="宋体"/>
                <w:vanish/>
              </w:rPr>
            </w:pPr>
          </w:p>
        </w:tc>
        <w:tc>
          <w:tcPr>
            <w:tcW w:w="0" w:type="auto"/>
            <w:gridSpan w:val="3"/>
            <w:shd w:val="clear" w:color="auto" w:fill="auto"/>
            <w:vAlign w:val="bottom"/>
          </w:tcPr>
          <w:p w14:paraId="67538AAA" w14:textId="77777777" w:rsidR="001B77DD" w:rsidRDefault="001B77DD">
            <w:pPr>
              <w:rPr>
                <w:rFonts w:ascii="宋体"/>
                <w:vanish/>
              </w:rPr>
            </w:pPr>
          </w:p>
        </w:tc>
        <w:tc>
          <w:tcPr>
            <w:tcW w:w="0" w:type="auto"/>
            <w:gridSpan w:val="3"/>
            <w:shd w:val="clear" w:color="auto" w:fill="auto"/>
            <w:vAlign w:val="bottom"/>
          </w:tcPr>
          <w:p w14:paraId="67538AAB" w14:textId="77777777" w:rsidR="001B77DD" w:rsidRDefault="001B77DD">
            <w:pPr>
              <w:rPr>
                <w:rFonts w:ascii="宋体"/>
                <w:vanish/>
              </w:rPr>
            </w:pPr>
          </w:p>
        </w:tc>
        <w:tc>
          <w:tcPr>
            <w:tcW w:w="0" w:type="auto"/>
            <w:gridSpan w:val="3"/>
            <w:shd w:val="clear" w:color="auto" w:fill="auto"/>
            <w:vAlign w:val="bottom"/>
          </w:tcPr>
          <w:p w14:paraId="67538AAC" w14:textId="77777777" w:rsidR="001B77DD" w:rsidRDefault="001B77DD">
            <w:pPr>
              <w:rPr>
                <w:rFonts w:ascii="宋体"/>
                <w:vanish/>
              </w:rPr>
            </w:pPr>
          </w:p>
        </w:tc>
        <w:tc>
          <w:tcPr>
            <w:tcW w:w="0" w:type="auto"/>
            <w:gridSpan w:val="3"/>
            <w:shd w:val="clear" w:color="auto" w:fill="auto"/>
            <w:vAlign w:val="bottom"/>
          </w:tcPr>
          <w:p w14:paraId="67538AAD" w14:textId="77777777" w:rsidR="001B77DD" w:rsidRDefault="001B77DD">
            <w:pPr>
              <w:rPr>
                <w:rFonts w:ascii="宋体"/>
                <w:vanish/>
              </w:rPr>
            </w:pPr>
          </w:p>
        </w:tc>
      </w:tr>
      <w:tr w:rsidR="001B77DD" w14:paraId="67538ABC" w14:textId="77777777">
        <w:trPr>
          <w:hidden/>
        </w:trPr>
        <w:tc>
          <w:tcPr>
            <w:tcW w:w="0" w:type="auto"/>
            <w:gridSpan w:val="3"/>
            <w:shd w:val="clear" w:color="auto" w:fill="auto"/>
            <w:vAlign w:val="bottom"/>
          </w:tcPr>
          <w:p w14:paraId="67538AAF" w14:textId="77777777" w:rsidR="001B77DD" w:rsidRDefault="001B77DD">
            <w:pPr>
              <w:rPr>
                <w:rFonts w:ascii="宋体"/>
                <w:vanish/>
              </w:rPr>
            </w:pPr>
          </w:p>
        </w:tc>
        <w:tc>
          <w:tcPr>
            <w:tcW w:w="0" w:type="auto"/>
            <w:gridSpan w:val="3"/>
            <w:shd w:val="clear" w:color="auto" w:fill="auto"/>
            <w:vAlign w:val="bottom"/>
          </w:tcPr>
          <w:p w14:paraId="67538AB0" w14:textId="77777777" w:rsidR="001B77DD" w:rsidRDefault="001B77DD">
            <w:pPr>
              <w:rPr>
                <w:rFonts w:ascii="宋体"/>
                <w:vanish/>
              </w:rPr>
            </w:pPr>
          </w:p>
        </w:tc>
        <w:tc>
          <w:tcPr>
            <w:tcW w:w="0" w:type="auto"/>
            <w:gridSpan w:val="3"/>
            <w:shd w:val="clear" w:color="auto" w:fill="auto"/>
            <w:vAlign w:val="bottom"/>
          </w:tcPr>
          <w:p w14:paraId="67538AB1" w14:textId="77777777" w:rsidR="001B77DD" w:rsidRDefault="001B77DD">
            <w:pPr>
              <w:rPr>
                <w:rFonts w:ascii="宋体"/>
                <w:vanish/>
              </w:rPr>
            </w:pPr>
          </w:p>
        </w:tc>
        <w:tc>
          <w:tcPr>
            <w:tcW w:w="0" w:type="auto"/>
            <w:gridSpan w:val="3"/>
            <w:shd w:val="clear" w:color="auto" w:fill="auto"/>
            <w:vAlign w:val="bottom"/>
          </w:tcPr>
          <w:p w14:paraId="67538AB2" w14:textId="77777777" w:rsidR="001B77DD" w:rsidRDefault="001B77DD">
            <w:pPr>
              <w:rPr>
                <w:rFonts w:ascii="宋体"/>
                <w:vanish/>
              </w:rPr>
            </w:pPr>
          </w:p>
        </w:tc>
        <w:tc>
          <w:tcPr>
            <w:tcW w:w="0" w:type="auto"/>
            <w:gridSpan w:val="3"/>
            <w:shd w:val="clear" w:color="auto" w:fill="auto"/>
            <w:vAlign w:val="bottom"/>
          </w:tcPr>
          <w:p w14:paraId="67538AB3" w14:textId="77777777" w:rsidR="001B77DD" w:rsidRDefault="001B77DD">
            <w:pPr>
              <w:rPr>
                <w:rFonts w:ascii="宋体"/>
                <w:vanish/>
              </w:rPr>
            </w:pPr>
          </w:p>
        </w:tc>
        <w:tc>
          <w:tcPr>
            <w:tcW w:w="0" w:type="auto"/>
            <w:gridSpan w:val="3"/>
            <w:shd w:val="clear" w:color="auto" w:fill="auto"/>
            <w:vAlign w:val="bottom"/>
          </w:tcPr>
          <w:p w14:paraId="67538AB4" w14:textId="77777777" w:rsidR="001B77DD" w:rsidRDefault="001B77DD">
            <w:pPr>
              <w:rPr>
                <w:rFonts w:ascii="宋体"/>
                <w:vanish/>
              </w:rPr>
            </w:pPr>
          </w:p>
        </w:tc>
        <w:tc>
          <w:tcPr>
            <w:tcW w:w="0" w:type="auto"/>
            <w:gridSpan w:val="3"/>
            <w:shd w:val="clear" w:color="auto" w:fill="auto"/>
            <w:vAlign w:val="bottom"/>
          </w:tcPr>
          <w:p w14:paraId="67538AB5" w14:textId="77777777" w:rsidR="001B77DD" w:rsidRDefault="001B77DD">
            <w:pPr>
              <w:rPr>
                <w:rFonts w:ascii="宋体"/>
                <w:vanish/>
              </w:rPr>
            </w:pPr>
          </w:p>
        </w:tc>
        <w:tc>
          <w:tcPr>
            <w:tcW w:w="0" w:type="auto"/>
            <w:gridSpan w:val="3"/>
            <w:shd w:val="clear" w:color="auto" w:fill="auto"/>
            <w:vAlign w:val="bottom"/>
          </w:tcPr>
          <w:p w14:paraId="67538AB6" w14:textId="77777777" w:rsidR="001B77DD" w:rsidRDefault="001B77DD">
            <w:pPr>
              <w:rPr>
                <w:rFonts w:ascii="宋体"/>
                <w:vanish/>
              </w:rPr>
            </w:pPr>
          </w:p>
        </w:tc>
        <w:tc>
          <w:tcPr>
            <w:tcW w:w="0" w:type="auto"/>
            <w:gridSpan w:val="3"/>
            <w:shd w:val="clear" w:color="auto" w:fill="auto"/>
            <w:vAlign w:val="bottom"/>
          </w:tcPr>
          <w:p w14:paraId="67538AB7" w14:textId="77777777" w:rsidR="001B77DD" w:rsidRDefault="001B77DD">
            <w:pPr>
              <w:rPr>
                <w:rFonts w:ascii="宋体"/>
                <w:vanish/>
              </w:rPr>
            </w:pPr>
          </w:p>
        </w:tc>
        <w:tc>
          <w:tcPr>
            <w:tcW w:w="0" w:type="auto"/>
            <w:gridSpan w:val="3"/>
            <w:shd w:val="clear" w:color="auto" w:fill="auto"/>
            <w:vAlign w:val="bottom"/>
          </w:tcPr>
          <w:p w14:paraId="67538AB8" w14:textId="77777777" w:rsidR="001B77DD" w:rsidRDefault="001B77DD">
            <w:pPr>
              <w:rPr>
                <w:rFonts w:ascii="宋体"/>
                <w:vanish/>
              </w:rPr>
            </w:pPr>
          </w:p>
        </w:tc>
        <w:tc>
          <w:tcPr>
            <w:tcW w:w="0" w:type="auto"/>
            <w:gridSpan w:val="3"/>
            <w:shd w:val="clear" w:color="auto" w:fill="auto"/>
            <w:vAlign w:val="bottom"/>
          </w:tcPr>
          <w:p w14:paraId="67538AB9" w14:textId="77777777" w:rsidR="001B77DD" w:rsidRDefault="001B77DD">
            <w:pPr>
              <w:rPr>
                <w:rFonts w:ascii="宋体"/>
                <w:vanish/>
              </w:rPr>
            </w:pPr>
          </w:p>
        </w:tc>
        <w:tc>
          <w:tcPr>
            <w:tcW w:w="0" w:type="auto"/>
            <w:gridSpan w:val="3"/>
            <w:shd w:val="clear" w:color="auto" w:fill="auto"/>
            <w:vAlign w:val="bottom"/>
          </w:tcPr>
          <w:p w14:paraId="67538ABA" w14:textId="77777777" w:rsidR="001B77DD" w:rsidRDefault="001B77DD">
            <w:pPr>
              <w:rPr>
                <w:rFonts w:ascii="宋体"/>
                <w:vanish/>
              </w:rPr>
            </w:pPr>
          </w:p>
        </w:tc>
        <w:tc>
          <w:tcPr>
            <w:tcW w:w="0" w:type="auto"/>
            <w:gridSpan w:val="3"/>
            <w:shd w:val="clear" w:color="auto" w:fill="auto"/>
            <w:vAlign w:val="bottom"/>
          </w:tcPr>
          <w:p w14:paraId="67538ABB" w14:textId="77777777" w:rsidR="001B77DD" w:rsidRDefault="001B77DD">
            <w:pPr>
              <w:rPr>
                <w:rFonts w:ascii="宋体"/>
                <w:vanish/>
              </w:rPr>
            </w:pPr>
          </w:p>
        </w:tc>
      </w:tr>
      <w:tr w:rsidR="001B77DD" w14:paraId="67538ACA" w14:textId="77777777">
        <w:trPr>
          <w:hidden/>
        </w:trPr>
        <w:tc>
          <w:tcPr>
            <w:tcW w:w="0" w:type="auto"/>
            <w:gridSpan w:val="3"/>
            <w:shd w:val="clear" w:color="auto" w:fill="auto"/>
            <w:vAlign w:val="bottom"/>
          </w:tcPr>
          <w:p w14:paraId="67538ABD" w14:textId="77777777" w:rsidR="001B77DD" w:rsidRDefault="001B77DD">
            <w:pPr>
              <w:rPr>
                <w:rFonts w:ascii="宋体"/>
                <w:vanish/>
              </w:rPr>
            </w:pPr>
          </w:p>
        </w:tc>
        <w:tc>
          <w:tcPr>
            <w:tcW w:w="0" w:type="auto"/>
            <w:gridSpan w:val="3"/>
            <w:shd w:val="clear" w:color="auto" w:fill="auto"/>
            <w:vAlign w:val="bottom"/>
          </w:tcPr>
          <w:p w14:paraId="67538ABE" w14:textId="77777777" w:rsidR="001B77DD" w:rsidRDefault="001B77DD">
            <w:pPr>
              <w:rPr>
                <w:rFonts w:ascii="宋体"/>
                <w:vanish/>
              </w:rPr>
            </w:pPr>
          </w:p>
        </w:tc>
        <w:tc>
          <w:tcPr>
            <w:tcW w:w="0" w:type="auto"/>
            <w:gridSpan w:val="3"/>
            <w:shd w:val="clear" w:color="auto" w:fill="auto"/>
            <w:vAlign w:val="bottom"/>
          </w:tcPr>
          <w:p w14:paraId="67538ABF" w14:textId="77777777" w:rsidR="001B77DD" w:rsidRDefault="001B77DD">
            <w:pPr>
              <w:rPr>
                <w:rFonts w:ascii="宋体"/>
                <w:vanish/>
              </w:rPr>
            </w:pPr>
          </w:p>
        </w:tc>
        <w:tc>
          <w:tcPr>
            <w:tcW w:w="0" w:type="auto"/>
            <w:gridSpan w:val="3"/>
            <w:shd w:val="clear" w:color="auto" w:fill="auto"/>
            <w:vAlign w:val="bottom"/>
          </w:tcPr>
          <w:p w14:paraId="67538AC0" w14:textId="77777777" w:rsidR="001B77DD" w:rsidRDefault="001B77DD">
            <w:pPr>
              <w:rPr>
                <w:rFonts w:ascii="宋体"/>
                <w:vanish/>
              </w:rPr>
            </w:pPr>
          </w:p>
        </w:tc>
        <w:tc>
          <w:tcPr>
            <w:tcW w:w="0" w:type="auto"/>
            <w:gridSpan w:val="3"/>
            <w:shd w:val="clear" w:color="auto" w:fill="auto"/>
            <w:vAlign w:val="bottom"/>
          </w:tcPr>
          <w:p w14:paraId="67538AC1" w14:textId="77777777" w:rsidR="001B77DD" w:rsidRDefault="001B77DD">
            <w:pPr>
              <w:rPr>
                <w:rFonts w:ascii="宋体"/>
                <w:vanish/>
              </w:rPr>
            </w:pPr>
          </w:p>
        </w:tc>
        <w:tc>
          <w:tcPr>
            <w:tcW w:w="0" w:type="auto"/>
            <w:gridSpan w:val="3"/>
            <w:shd w:val="clear" w:color="auto" w:fill="auto"/>
            <w:vAlign w:val="bottom"/>
          </w:tcPr>
          <w:p w14:paraId="67538AC2" w14:textId="77777777" w:rsidR="001B77DD" w:rsidRDefault="001B77DD">
            <w:pPr>
              <w:rPr>
                <w:rFonts w:ascii="宋体"/>
                <w:vanish/>
              </w:rPr>
            </w:pPr>
          </w:p>
        </w:tc>
        <w:tc>
          <w:tcPr>
            <w:tcW w:w="0" w:type="auto"/>
            <w:gridSpan w:val="3"/>
            <w:shd w:val="clear" w:color="auto" w:fill="auto"/>
            <w:vAlign w:val="bottom"/>
          </w:tcPr>
          <w:p w14:paraId="67538AC3" w14:textId="77777777" w:rsidR="001B77DD" w:rsidRDefault="001B77DD">
            <w:pPr>
              <w:rPr>
                <w:rFonts w:ascii="宋体"/>
                <w:vanish/>
              </w:rPr>
            </w:pPr>
          </w:p>
        </w:tc>
        <w:tc>
          <w:tcPr>
            <w:tcW w:w="0" w:type="auto"/>
            <w:gridSpan w:val="3"/>
            <w:shd w:val="clear" w:color="auto" w:fill="auto"/>
            <w:vAlign w:val="bottom"/>
          </w:tcPr>
          <w:p w14:paraId="67538AC4" w14:textId="77777777" w:rsidR="001B77DD" w:rsidRDefault="001B77DD">
            <w:pPr>
              <w:rPr>
                <w:rFonts w:ascii="宋体"/>
                <w:vanish/>
              </w:rPr>
            </w:pPr>
          </w:p>
        </w:tc>
        <w:tc>
          <w:tcPr>
            <w:tcW w:w="0" w:type="auto"/>
            <w:gridSpan w:val="3"/>
            <w:shd w:val="clear" w:color="auto" w:fill="auto"/>
            <w:vAlign w:val="bottom"/>
          </w:tcPr>
          <w:p w14:paraId="67538AC5" w14:textId="77777777" w:rsidR="001B77DD" w:rsidRDefault="001B77DD">
            <w:pPr>
              <w:rPr>
                <w:rFonts w:ascii="宋体"/>
                <w:vanish/>
              </w:rPr>
            </w:pPr>
          </w:p>
        </w:tc>
        <w:tc>
          <w:tcPr>
            <w:tcW w:w="0" w:type="auto"/>
            <w:gridSpan w:val="3"/>
            <w:shd w:val="clear" w:color="auto" w:fill="auto"/>
            <w:vAlign w:val="bottom"/>
          </w:tcPr>
          <w:p w14:paraId="67538AC6" w14:textId="77777777" w:rsidR="001B77DD" w:rsidRDefault="001B77DD">
            <w:pPr>
              <w:rPr>
                <w:rFonts w:ascii="宋体"/>
                <w:vanish/>
              </w:rPr>
            </w:pPr>
          </w:p>
        </w:tc>
        <w:tc>
          <w:tcPr>
            <w:tcW w:w="0" w:type="auto"/>
            <w:gridSpan w:val="3"/>
            <w:shd w:val="clear" w:color="auto" w:fill="auto"/>
            <w:vAlign w:val="bottom"/>
          </w:tcPr>
          <w:p w14:paraId="67538AC7" w14:textId="77777777" w:rsidR="001B77DD" w:rsidRDefault="001B77DD">
            <w:pPr>
              <w:rPr>
                <w:rFonts w:ascii="宋体"/>
                <w:vanish/>
              </w:rPr>
            </w:pPr>
          </w:p>
        </w:tc>
        <w:tc>
          <w:tcPr>
            <w:tcW w:w="0" w:type="auto"/>
            <w:gridSpan w:val="3"/>
            <w:shd w:val="clear" w:color="auto" w:fill="auto"/>
            <w:vAlign w:val="bottom"/>
          </w:tcPr>
          <w:p w14:paraId="67538AC8" w14:textId="77777777" w:rsidR="001B77DD" w:rsidRDefault="001B77DD">
            <w:pPr>
              <w:rPr>
                <w:rFonts w:ascii="宋体"/>
                <w:vanish/>
              </w:rPr>
            </w:pPr>
          </w:p>
        </w:tc>
        <w:tc>
          <w:tcPr>
            <w:tcW w:w="0" w:type="auto"/>
            <w:gridSpan w:val="3"/>
            <w:shd w:val="clear" w:color="auto" w:fill="auto"/>
            <w:vAlign w:val="bottom"/>
          </w:tcPr>
          <w:p w14:paraId="67538AC9" w14:textId="77777777" w:rsidR="001B77DD" w:rsidRDefault="001B77DD">
            <w:pPr>
              <w:rPr>
                <w:rFonts w:ascii="宋体"/>
                <w:vanish/>
              </w:rPr>
            </w:pPr>
          </w:p>
        </w:tc>
      </w:tr>
      <w:tr w:rsidR="001B77DD" w14:paraId="67538AD8" w14:textId="77777777">
        <w:tc>
          <w:tcPr>
            <w:tcW w:w="0" w:type="auto"/>
            <w:gridSpan w:val="3"/>
            <w:shd w:val="clear" w:color="auto" w:fill="auto"/>
            <w:tcMar>
              <w:top w:w="40" w:type="dxa"/>
              <w:left w:w="20" w:type="dxa"/>
              <w:bottom w:w="40" w:type="dxa"/>
              <w:right w:w="20" w:type="dxa"/>
            </w:tcMar>
          </w:tcPr>
          <w:p w14:paraId="67538ACB" w14:textId="77777777" w:rsidR="001B77DD" w:rsidRDefault="00BF0A28">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vAlign w:val="bottom"/>
          </w:tcPr>
          <w:p w14:paraId="67538AC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CD" w14:textId="77777777" w:rsidR="001B77DD" w:rsidRDefault="00BF0A28">
            <w:pPr>
              <w:textAlignment w:val="top"/>
            </w:pPr>
            <w:r>
              <w:rPr>
                <w:rFonts w:ascii="Arial" w:eastAsia="宋体" w:hAnsi="Arial" w:cs="Arial"/>
                <w:color w:val="262626"/>
                <w:sz w:val="18"/>
                <w:szCs w:val="18"/>
              </w:rPr>
              <w:t xml:space="preserve">Cover Page Interactive Data File - formatted in Inline XBRL </w:t>
            </w:r>
            <w:r>
              <w:rPr>
                <w:rFonts w:ascii="Arial" w:eastAsia="宋体" w:hAnsi="Arial" w:cs="Arial"/>
                <w:color w:val="262626"/>
                <w:sz w:val="18"/>
                <w:szCs w:val="18"/>
              </w:rPr>
              <w:t>and included as Exhibit 101</w:t>
            </w:r>
          </w:p>
        </w:tc>
        <w:tc>
          <w:tcPr>
            <w:tcW w:w="0" w:type="auto"/>
            <w:gridSpan w:val="3"/>
            <w:shd w:val="clear" w:color="auto" w:fill="auto"/>
            <w:tcMar>
              <w:top w:w="0" w:type="dxa"/>
              <w:left w:w="20" w:type="dxa"/>
              <w:bottom w:w="0" w:type="dxa"/>
              <w:right w:w="20" w:type="dxa"/>
            </w:tcMar>
            <w:vAlign w:val="bottom"/>
          </w:tcPr>
          <w:p w14:paraId="67538AC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C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D0"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D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D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D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D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D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AD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AD7" w14:textId="77777777" w:rsidR="001B77DD" w:rsidRDefault="00BF0A28">
            <w:pPr>
              <w:jc w:val="center"/>
              <w:textAlignment w:val="top"/>
            </w:pPr>
            <w:r>
              <w:rPr>
                <w:rFonts w:ascii="Arial" w:eastAsia="宋体" w:hAnsi="Arial" w:cs="Arial"/>
                <w:color w:val="262626"/>
                <w:sz w:val="18"/>
                <w:szCs w:val="18"/>
              </w:rPr>
              <w:t>X</w:t>
            </w:r>
          </w:p>
        </w:tc>
      </w:tr>
    </w:tbl>
    <w:p w14:paraId="67538AD9" w14:textId="77777777" w:rsidR="001B77DD" w:rsidRDefault="00BF0A28">
      <w:pPr>
        <w:spacing w:after="60"/>
        <w:ind w:hanging="180"/>
      </w:pPr>
      <w:r>
        <w:rPr>
          <w:rFonts w:ascii="Arial" w:eastAsia="宋体" w:hAnsi="Arial" w:cs="Arial"/>
          <w:i/>
          <w:iCs/>
          <w:color w:val="262626"/>
          <w:sz w:val="10"/>
          <w:szCs w:val="10"/>
        </w:rPr>
        <w:t>†</w:t>
      </w:r>
      <w:r>
        <w:rPr>
          <w:rFonts w:ascii="Arial" w:eastAsia="宋体" w:hAnsi="Arial" w:cs="Arial"/>
          <w:i/>
          <w:iCs/>
          <w:color w:val="262626"/>
          <w:sz w:val="16"/>
          <w:szCs w:val="16"/>
        </w:rPr>
        <w:t>    Management contracts or compensation plans or arrangements in which directors or executive officers are eligible to participate.</w:t>
      </w:r>
    </w:p>
    <w:p w14:paraId="67538ADA" w14:textId="77777777" w:rsidR="001B77DD" w:rsidRDefault="00BF0A28">
      <w:pPr>
        <w:ind w:hanging="180"/>
      </w:pPr>
      <w:r>
        <w:rPr>
          <w:rFonts w:ascii="Arial" w:eastAsia="宋体" w:hAnsi="Arial" w:cs="Arial"/>
          <w:i/>
          <w:iCs/>
          <w:color w:val="262626"/>
          <w:sz w:val="10"/>
          <w:szCs w:val="10"/>
        </w:rPr>
        <w:t>††</w:t>
      </w:r>
      <w:r>
        <w:rPr>
          <w:rFonts w:ascii="Arial" w:eastAsia="宋体" w:hAnsi="Arial" w:cs="Arial"/>
          <w:i/>
          <w:iCs/>
          <w:color w:val="262626"/>
          <w:sz w:val="16"/>
          <w:szCs w:val="16"/>
        </w:rPr>
        <w:t xml:space="preserve"> Portions of this exhibit have been omitted pursuant to an order granting confidential treatment.</w:t>
      </w:r>
    </w:p>
    <w:p w14:paraId="67538ADB" w14:textId="77777777" w:rsidR="001B77DD" w:rsidRDefault="001B77DD">
      <w:pPr>
        <w:ind w:hanging="180"/>
      </w:pPr>
    </w:p>
    <w:p w14:paraId="67538ADC" w14:textId="77777777" w:rsidR="001B77DD" w:rsidRDefault="001B77DD"/>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AE6" w14:textId="77777777">
        <w:tc>
          <w:tcPr>
            <w:tcW w:w="50" w:type="pct"/>
            <w:shd w:val="clear" w:color="auto" w:fill="auto"/>
            <w:vAlign w:val="bottom"/>
          </w:tcPr>
          <w:p w14:paraId="67538ADD" w14:textId="77777777" w:rsidR="001B77DD" w:rsidRDefault="001B77DD">
            <w:pPr>
              <w:rPr>
                <w:rFonts w:ascii="宋体"/>
              </w:rPr>
            </w:pPr>
          </w:p>
        </w:tc>
        <w:tc>
          <w:tcPr>
            <w:tcW w:w="283" w:type="pct"/>
            <w:shd w:val="clear" w:color="auto" w:fill="auto"/>
            <w:vAlign w:val="bottom"/>
          </w:tcPr>
          <w:p w14:paraId="67538ADE" w14:textId="77777777" w:rsidR="001B77DD" w:rsidRDefault="001B77DD">
            <w:pPr>
              <w:rPr>
                <w:rFonts w:ascii="宋体"/>
              </w:rPr>
            </w:pPr>
          </w:p>
        </w:tc>
        <w:tc>
          <w:tcPr>
            <w:tcW w:w="5" w:type="pct"/>
            <w:shd w:val="clear" w:color="auto" w:fill="auto"/>
            <w:vAlign w:val="bottom"/>
          </w:tcPr>
          <w:p w14:paraId="67538ADF" w14:textId="77777777" w:rsidR="001B77DD" w:rsidRDefault="001B77DD">
            <w:pPr>
              <w:rPr>
                <w:rFonts w:ascii="宋体"/>
              </w:rPr>
            </w:pPr>
          </w:p>
        </w:tc>
        <w:tc>
          <w:tcPr>
            <w:tcW w:w="50" w:type="pct"/>
            <w:shd w:val="clear" w:color="auto" w:fill="auto"/>
            <w:vAlign w:val="bottom"/>
          </w:tcPr>
          <w:p w14:paraId="67538AE0" w14:textId="77777777" w:rsidR="001B77DD" w:rsidRDefault="001B77DD">
            <w:pPr>
              <w:rPr>
                <w:rFonts w:ascii="宋体"/>
              </w:rPr>
            </w:pPr>
          </w:p>
        </w:tc>
        <w:tc>
          <w:tcPr>
            <w:tcW w:w="2656" w:type="pct"/>
            <w:shd w:val="clear" w:color="auto" w:fill="auto"/>
            <w:vAlign w:val="bottom"/>
          </w:tcPr>
          <w:p w14:paraId="67538AE1" w14:textId="77777777" w:rsidR="001B77DD" w:rsidRDefault="001B77DD">
            <w:pPr>
              <w:rPr>
                <w:rFonts w:ascii="宋体"/>
              </w:rPr>
            </w:pPr>
          </w:p>
        </w:tc>
        <w:tc>
          <w:tcPr>
            <w:tcW w:w="5" w:type="pct"/>
            <w:shd w:val="clear" w:color="auto" w:fill="auto"/>
            <w:vAlign w:val="bottom"/>
          </w:tcPr>
          <w:p w14:paraId="67538AE2" w14:textId="77777777" w:rsidR="001B77DD" w:rsidRDefault="001B77DD">
            <w:pPr>
              <w:rPr>
                <w:rFonts w:ascii="宋体"/>
              </w:rPr>
            </w:pPr>
          </w:p>
        </w:tc>
        <w:tc>
          <w:tcPr>
            <w:tcW w:w="50" w:type="pct"/>
            <w:shd w:val="clear" w:color="auto" w:fill="auto"/>
            <w:vAlign w:val="bottom"/>
          </w:tcPr>
          <w:p w14:paraId="67538AE3" w14:textId="77777777" w:rsidR="001B77DD" w:rsidRDefault="001B77DD">
            <w:pPr>
              <w:rPr>
                <w:rFonts w:ascii="宋体"/>
              </w:rPr>
            </w:pPr>
          </w:p>
        </w:tc>
        <w:tc>
          <w:tcPr>
            <w:tcW w:w="1894" w:type="pct"/>
            <w:shd w:val="clear" w:color="auto" w:fill="auto"/>
            <w:vAlign w:val="bottom"/>
          </w:tcPr>
          <w:p w14:paraId="67538AE4" w14:textId="77777777" w:rsidR="001B77DD" w:rsidRDefault="001B77DD">
            <w:pPr>
              <w:rPr>
                <w:rFonts w:ascii="宋体"/>
              </w:rPr>
            </w:pPr>
          </w:p>
        </w:tc>
        <w:tc>
          <w:tcPr>
            <w:tcW w:w="5" w:type="pct"/>
            <w:shd w:val="clear" w:color="auto" w:fill="auto"/>
            <w:vAlign w:val="bottom"/>
          </w:tcPr>
          <w:p w14:paraId="67538AE5" w14:textId="77777777" w:rsidR="001B77DD" w:rsidRDefault="001B77DD">
            <w:pPr>
              <w:rPr>
                <w:rFonts w:ascii="宋体"/>
              </w:rPr>
            </w:pPr>
          </w:p>
        </w:tc>
      </w:tr>
      <w:tr w:rsidR="001B77DD" w14:paraId="67538AE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AE7"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A5" wp14:editId="67538FA6">
                  <wp:extent cx="304800" cy="304800"/>
                  <wp:effectExtent l="0" t="0" r="0" b="0"/>
                  <wp:docPr id="111" name="图片 366"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66"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AE8"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AE9" w14:textId="77777777" w:rsidR="001B77DD" w:rsidRDefault="00BF0A28">
            <w:pPr>
              <w:jc w:val="right"/>
              <w:textAlignment w:val="center"/>
            </w:pPr>
            <w:r>
              <w:rPr>
                <w:rFonts w:ascii="Arial" w:eastAsia="宋体" w:hAnsi="Arial" w:cs="Arial"/>
                <w:color w:val="262626"/>
                <w:sz w:val="16"/>
                <w:szCs w:val="16"/>
              </w:rPr>
              <w:t>119</w:t>
            </w:r>
          </w:p>
        </w:tc>
      </w:tr>
    </w:tbl>
    <w:p w14:paraId="67538AEB" w14:textId="77777777" w:rsidR="001B77DD" w:rsidRDefault="00BF0A28">
      <w:r>
        <w:pict w14:anchorId="67538FA7">
          <v:rect id="_x0000_i1145" style="width:415.3pt;height:1.5pt" o:hralign="center" o:hrstd="t" o:hr="t" fillcolor="#a0a0a0" stroked="f"/>
        </w:pict>
      </w:r>
    </w:p>
    <w:p w14:paraId="67538AEC" w14:textId="77777777" w:rsidR="001B77DD" w:rsidRDefault="00BF0A28">
      <w:pPr>
        <w:jc w:val="right"/>
      </w:pPr>
      <w:hyperlink r:id="rId279" w:anchor="i6c9ced68f6b24d58a3dcf326e8c3c699_16" w:history="1">
        <w:r>
          <w:rPr>
            <w:rStyle w:val="a5"/>
            <w:rFonts w:ascii="Arial" w:eastAsia="宋体" w:hAnsi="Arial" w:cs="Arial"/>
            <w:b/>
            <w:bCs/>
            <w:sz w:val="16"/>
            <w:szCs w:val="16"/>
          </w:rPr>
          <w:t>Table of Contents</w:t>
        </w:r>
      </w:hyperlink>
    </w:p>
    <w:p w14:paraId="67538AED"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8AF4" w14:textId="77777777">
        <w:tc>
          <w:tcPr>
            <w:tcW w:w="50" w:type="pct"/>
            <w:shd w:val="clear" w:color="auto" w:fill="auto"/>
            <w:vAlign w:val="bottom"/>
          </w:tcPr>
          <w:p w14:paraId="67538AEE" w14:textId="77777777" w:rsidR="001B77DD" w:rsidRDefault="001B77DD">
            <w:pPr>
              <w:rPr>
                <w:rFonts w:ascii="宋体"/>
              </w:rPr>
            </w:pPr>
          </w:p>
        </w:tc>
        <w:tc>
          <w:tcPr>
            <w:tcW w:w="4870" w:type="pct"/>
            <w:shd w:val="clear" w:color="auto" w:fill="auto"/>
            <w:vAlign w:val="bottom"/>
          </w:tcPr>
          <w:p w14:paraId="67538AEF" w14:textId="77777777" w:rsidR="001B77DD" w:rsidRDefault="001B77DD">
            <w:pPr>
              <w:rPr>
                <w:rFonts w:ascii="宋体"/>
              </w:rPr>
            </w:pPr>
          </w:p>
        </w:tc>
        <w:tc>
          <w:tcPr>
            <w:tcW w:w="5" w:type="pct"/>
            <w:shd w:val="clear" w:color="auto" w:fill="auto"/>
            <w:vAlign w:val="bottom"/>
          </w:tcPr>
          <w:p w14:paraId="67538AF0" w14:textId="77777777" w:rsidR="001B77DD" w:rsidRDefault="001B77DD">
            <w:pPr>
              <w:rPr>
                <w:rFonts w:ascii="宋体"/>
              </w:rPr>
            </w:pPr>
          </w:p>
        </w:tc>
        <w:tc>
          <w:tcPr>
            <w:tcW w:w="5" w:type="pct"/>
            <w:shd w:val="clear" w:color="auto" w:fill="auto"/>
            <w:vAlign w:val="bottom"/>
          </w:tcPr>
          <w:p w14:paraId="67538AF1" w14:textId="77777777" w:rsidR="001B77DD" w:rsidRDefault="001B77DD">
            <w:pPr>
              <w:rPr>
                <w:rFonts w:ascii="宋体"/>
              </w:rPr>
            </w:pPr>
          </w:p>
        </w:tc>
        <w:tc>
          <w:tcPr>
            <w:tcW w:w="64" w:type="pct"/>
            <w:shd w:val="clear" w:color="auto" w:fill="auto"/>
            <w:vAlign w:val="bottom"/>
          </w:tcPr>
          <w:p w14:paraId="67538AF2" w14:textId="77777777" w:rsidR="001B77DD" w:rsidRDefault="001B77DD">
            <w:pPr>
              <w:rPr>
                <w:rFonts w:ascii="宋体"/>
              </w:rPr>
            </w:pPr>
          </w:p>
        </w:tc>
        <w:tc>
          <w:tcPr>
            <w:tcW w:w="5" w:type="pct"/>
            <w:shd w:val="clear" w:color="auto" w:fill="auto"/>
            <w:vAlign w:val="bottom"/>
          </w:tcPr>
          <w:p w14:paraId="67538AF3" w14:textId="77777777" w:rsidR="001B77DD" w:rsidRDefault="001B77DD">
            <w:pPr>
              <w:rPr>
                <w:rFonts w:ascii="宋体"/>
              </w:rPr>
            </w:pPr>
          </w:p>
        </w:tc>
      </w:tr>
      <w:tr w:rsidR="001B77DD" w14:paraId="67538AF7" w14:textId="77777777">
        <w:tc>
          <w:tcPr>
            <w:tcW w:w="0" w:type="auto"/>
            <w:gridSpan w:val="3"/>
            <w:shd w:val="clear" w:color="auto" w:fill="004A86"/>
            <w:tcMar>
              <w:top w:w="40" w:type="dxa"/>
              <w:left w:w="20" w:type="dxa"/>
              <w:bottom w:w="40" w:type="dxa"/>
              <w:right w:w="20" w:type="dxa"/>
            </w:tcMar>
            <w:vAlign w:val="center"/>
          </w:tcPr>
          <w:p w14:paraId="67538AF5" w14:textId="77777777" w:rsidR="001B77DD" w:rsidRDefault="00BF0A28">
            <w:pPr>
              <w:textAlignment w:val="center"/>
            </w:pPr>
            <w:r>
              <w:rPr>
                <w:rFonts w:ascii="Arial" w:eastAsia="宋体" w:hAnsi="Arial" w:cs="Arial"/>
                <w:color w:val="FFFFFF"/>
                <w:sz w:val="36"/>
                <w:szCs w:val="36"/>
              </w:rPr>
              <w:t>Form 10-K Cross-Reference Index</w:t>
            </w:r>
          </w:p>
        </w:tc>
        <w:tc>
          <w:tcPr>
            <w:tcW w:w="0" w:type="auto"/>
            <w:gridSpan w:val="3"/>
            <w:shd w:val="clear" w:color="auto" w:fill="auto"/>
            <w:tcMar>
              <w:top w:w="0" w:type="dxa"/>
              <w:left w:w="20" w:type="dxa"/>
              <w:bottom w:w="0" w:type="dxa"/>
              <w:right w:w="20" w:type="dxa"/>
            </w:tcMar>
            <w:vAlign w:val="bottom"/>
          </w:tcPr>
          <w:p w14:paraId="67538AF6" w14:textId="77777777" w:rsidR="001B77DD" w:rsidRDefault="001B77DD">
            <w:pPr>
              <w:rPr>
                <w:rFonts w:ascii="宋体"/>
              </w:rPr>
            </w:pPr>
          </w:p>
        </w:tc>
      </w:tr>
      <w:tr w:rsidR="001B77DD" w14:paraId="67538AFA" w14:textId="77777777">
        <w:trPr>
          <w:trHeight w:val="160"/>
        </w:trPr>
        <w:tc>
          <w:tcPr>
            <w:tcW w:w="0" w:type="auto"/>
            <w:gridSpan w:val="3"/>
            <w:shd w:val="clear" w:color="auto" w:fill="auto"/>
            <w:tcMar>
              <w:top w:w="0" w:type="dxa"/>
              <w:left w:w="20" w:type="dxa"/>
              <w:bottom w:w="0" w:type="dxa"/>
              <w:right w:w="20" w:type="dxa"/>
            </w:tcMar>
            <w:vAlign w:val="bottom"/>
          </w:tcPr>
          <w:p w14:paraId="67538AF8"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8AF9" w14:textId="77777777" w:rsidR="001B77DD" w:rsidRDefault="001B77DD">
            <w:pPr>
              <w:rPr>
                <w:rFonts w:ascii="宋体"/>
              </w:rPr>
            </w:pPr>
          </w:p>
        </w:tc>
      </w:tr>
    </w:tbl>
    <w:p w14:paraId="67538AFB" w14:textId="77777777" w:rsidR="001B77DD" w:rsidRDefault="001B77D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1"/>
        <w:gridCol w:w="951"/>
        <w:gridCol w:w="37"/>
        <w:gridCol w:w="69"/>
        <w:gridCol w:w="4861"/>
        <w:gridCol w:w="36"/>
        <w:gridCol w:w="69"/>
        <w:gridCol w:w="2205"/>
        <w:gridCol w:w="37"/>
      </w:tblGrid>
      <w:tr w:rsidR="001B77DD" w14:paraId="67538B05" w14:textId="77777777">
        <w:tc>
          <w:tcPr>
            <w:tcW w:w="50" w:type="pct"/>
            <w:shd w:val="clear" w:color="auto" w:fill="auto"/>
            <w:vAlign w:val="bottom"/>
          </w:tcPr>
          <w:p w14:paraId="67538AFC" w14:textId="77777777" w:rsidR="001B77DD" w:rsidRDefault="001B77DD">
            <w:pPr>
              <w:rPr>
                <w:rFonts w:ascii="宋体"/>
              </w:rPr>
            </w:pPr>
          </w:p>
        </w:tc>
        <w:tc>
          <w:tcPr>
            <w:tcW w:w="580" w:type="pct"/>
            <w:shd w:val="clear" w:color="auto" w:fill="auto"/>
            <w:vAlign w:val="bottom"/>
          </w:tcPr>
          <w:p w14:paraId="67538AFD" w14:textId="77777777" w:rsidR="001B77DD" w:rsidRDefault="001B77DD">
            <w:pPr>
              <w:rPr>
                <w:rFonts w:ascii="宋体"/>
              </w:rPr>
            </w:pPr>
          </w:p>
        </w:tc>
        <w:tc>
          <w:tcPr>
            <w:tcW w:w="5" w:type="pct"/>
            <w:shd w:val="clear" w:color="auto" w:fill="auto"/>
            <w:vAlign w:val="bottom"/>
          </w:tcPr>
          <w:p w14:paraId="67538AFE" w14:textId="77777777" w:rsidR="001B77DD" w:rsidRDefault="001B77DD">
            <w:pPr>
              <w:rPr>
                <w:rFonts w:ascii="宋体"/>
              </w:rPr>
            </w:pPr>
          </w:p>
        </w:tc>
        <w:tc>
          <w:tcPr>
            <w:tcW w:w="50" w:type="pct"/>
            <w:shd w:val="clear" w:color="auto" w:fill="auto"/>
            <w:vAlign w:val="bottom"/>
          </w:tcPr>
          <w:p w14:paraId="67538AFF" w14:textId="77777777" w:rsidR="001B77DD" w:rsidRDefault="001B77DD">
            <w:pPr>
              <w:rPr>
                <w:rFonts w:ascii="宋体"/>
              </w:rPr>
            </w:pPr>
          </w:p>
        </w:tc>
        <w:tc>
          <w:tcPr>
            <w:tcW w:w="2923" w:type="pct"/>
            <w:shd w:val="clear" w:color="auto" w:fill="auto"/>
            <w:vAlign w:val="bottom"/>
          </w:tcPr>
          <w:p w14:paraId="67538B00" w14:textId="77777777" w:rsidR="001B77DD" w:rsidRDefault="001B77DD">
            <w:pPr>
              <w:rPr>
                <w:rFonts w:ascii="宋体"/>
              </w:rPr>
            </w:pPr>
          </w:p>
        </w:tc>
        <w:tc>
          <w:tcPr>
            <w:tcW w:w="5" w:type="pct"/>
            <w:shd w:val="clear" w:color="auto" w:fill="auto"/>
            <w:vAlign w:val="bottom"/>
          </w:tcPr>
          <w:p w14:paraId="67538B01" w14:textId="77777777" w:rsidR="001B77DD" w:rsidRDefault="001B77DD">
            <w:pPr>
              <w:rPr>
                <w:rFonts w:ascii="宋体"/>
              </w:rPr>
            </w:pPr>
          </w:p>
        </w:tc>
        <w:tc>
          <w:tcPr>
            <w:tcW w:w="50" w:type="pct"/>
            <w:shd w:val="clear" w:color="auto" w:fill="auto"/>
            <w:vAlign w:val="bottom"/>
          </w:tcPr>
          <w:p w14:paraId="67538B02" w14:textId="77777777" w:rsidR="001B77DD" w:rsidRDefault="001B77DD">
            <w:pPr>
              <w:rPr>
                <w:rFonts w:ascii="宋体"/>
              </w:rPr>
            </w:pPr>
          </w:p>
        </w:tc>
        <w:tc>
          <w:tcPr>
            <w:tcW w:w="1331" w:type="pct"/>
            <w:shd w:val="clear" w:color="auto" w:fill="auto"/>
            <w:vAlign w:val="bottom"/>
          </w:tcPr>
          <w:p w14:paraId="67538B03" w14:textId="77777777" w:rsidR="001B77DD" w:rsidRDefault="001B77DD">
            <w:pPr>
              <w:rPr>
                <w:rFonts w:ascii="宋体"/>
              </w:rPr>
            </w:pPr>
          </w:p>
        </w:tc>
        <w:tc>
          <w:tcPr>
            <w:tcW w:w="5" w:type="pct"/>
            <w:shd w:val="clear" w:color="auto" w:fill="auto"/>
            <w:vAlign w:val="bottom"/>
          </w:tcPr>
          <w:p w14:paraId="67538B04" w14:textId="77777777" w:rsidR="001B77DD" w:rsidRDefault="001B77DD">
            <w:pPr>
              <w:rPr>
                <w:rFonts w:ascii="宋体"/>
              </w:rPr>
            </w:pPr>
          </w:p>
        </w:tc>
      </w:tr>
      <w:tr w:rsidR="001B77DD" w14:paraId="67538B09" w14:textId="77777777">
        <w:tc>
          <w:tcPr>
            <w:tcW w:w="0" w:type="auto"/>
            <w:gridSpan w:val="3"/>
            <w:shd w:val="clear" w:color="auto" w:fill="auto"/>
            <w:tcMar>
              <w:top w:w="40" w:type="dxa"/>
              <w:left w:w="20" w:type="dxa"/>
              <w:bottom w:w="40" w:type="dxa"/>
              <w:right w:w="20" w:type="dxa"/>
            </w:tcMar>
            <w:vAlign w:val="bottom"/>
          </w:tcPr>
          <w:p w14:paraId="67538B06" w14:textId="77777777" w:rsidR="001B77DD" w:rsidRDefault="00BF0A28">
            <w:pPr>
              <w:textAlignment w:val="bottom"/>
            </w:pPr>
            <w:r>
              <w:rPr>
                <w:rFonts w:ascii="Arial" w:eastAsia="宋体" w:hAnsi="Arial" w:cs="Arial"/>
                <w:color w:val="0068B5"/>
                <w:sz w:val="18"/>
                <w:szCs w:val="18"/>
              </w:rPr>
              <w:t>Item Number</w:t>
            </w:r>
          </w:p>
        </w:tc>
        <w:tc>
          <w:tcPr>
            <w:tcW w:w="0" w:type="auto"/>
            <w:gridSpan w:val="3"/>
            <w:shd w:val="clear" w:color="auto" w:fill="auto"/>
            <w:tcMar>
              <w:top w:w="40" w:type="dxa"/>
              <w:left w:w="20" w:type="dxa"/>
              <w:bottom w:w="40" w:type="dxa"/>
              <w:right w:w="20" w:type="dxa"/>
            </w:tcMar>
            <w:vAlign w:val="bottom"/>
          </w:tcPr>
          <w:p w14:paraId="67538B07" w14:textId="77777777" w:rsidR="001B77DD" w:rsidRDefault="00BF0A28">
            <w:pPr>
              <w:textAlignment w:val="bottom"/>
            </w:pPr>
            <w:r>
              <w:rPr>
                <w:rFonts w:ascii="Arial" w:eastAsia="宋体" w:hAnsi="Arial" w:cs="Arial"/>
                <w:color w:val="0068B5"/>
                <w:sz w:val="18"/>
                <w:szCs w:val="18"/>
              </w:rPr>
              <w:t>Item</w:t>
            </w:r>
          </w:p>
        </w:tc>
        <w:tc>
          <w:tcPr>
            <w:tcW w:w="0" w:type="auto"/>
            <w:gridSpan w:val="3"/>
            <w:shd w:val="clear" w:color="auto" w:fill="auto"/>
            <w:tcMar>
              <w:top w:w="40" w:type="dxa"/>
              <w:left w:w="20" w:type="dxa"/>
              <w:bottom w:w="40" w:type="dxa"/>
              <w:right w:w="20" w:type="dxa"/>
            </w:tcMar>
            <w:vAlign w:val="center"/>
          </w:tcPr>
          <w:p w14:paraId="67538B08" w14:textId="77777777" w:rsidR="001B77DD" w:rsidRDefault="00BF0A28">
            <w:pPr>
              <w:jc w:val="center"/>
              <w:textAlignment w:val="center"/>
            </w:pPr>
            <w:r>
              <w:rPr>
                <w:rFonts w:ascii="Arial" w:eastAsia="宋体" w:hAnsi="Arial" w:cs="Arial"/>
                <w:color w:val="262626"/>
                <w:sz w:val="18"/>
                <w:szCs w:val="18"/>
              </w:rPr>
              <w:t> </w:t>
            </w:r>
          </w:p>
        </w:tc>
      </w:tr>
      <w:tr w:rsidR="001B77DD" w14:paraId="67538B0D"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7538B0A" w14:textId="77777777" w:rsidR="001B77DD" w:rsidRDefault="00BF0A28">
            <w:pPr>
              <w:spacing w:after="100"/>
              <w:textAlignment w:val="center"/>
            </w:pPr>
            <w:r>
              <w:rPr>
                <w:rFonts w:ascii="Arial" w:eastAsia="宋体" w:hAnsi="Arial" w:cs="Arial"/>
                <w:color w:val="0068B5"/>
                <w:sz w:val="18"/>
                <w:szCs w:val="18"/>
              </w:rPr>
              <w:t>Part I</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0B"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0C" w14:textId="77777777" w:rsidR="001B77DD" w:rsidRDefault="001B77DD">
            <w:pPr>
              <w:rPr>
                <w:rFonts w:ascii="宋体"/>
              </w:rPr>
            </w:pPr>
          </w:p>
        </w:tc>
      </w:tr>
      <w:tr w:rsidR="001B77DD" w14:paraId="67538B11" w14:textId="77777777">
        <w:tc>
          <w:tcPr>
            <w:tcW w:w="0" w:type="auto"/>
            <w:gridSpan w:val="3"/>
            <w:shd w:val="clear" w:color="auto" w:fill="auto"/>
            <w:tcMar>
              <w:top w:w="40" w:type="dxa"/>
              <w:left w:w="20" w:type="dxa"/>
              <w:bottom w:w="40" w:type="dxa"/>
              <w:right w:w="20" w:type="dxa"/>
            </w:tcMar>
            <w:vAlign w:val="center"/>
          </w:tcPr>
          <w:p w14:paraId="67538B0E" w14:textId="77777777" w:rsidR="001B77DD" w:rsidRDefault="00BF0A28">
            <w:pPr>
              <w:textAlignment w:val="center"/>
            </w:pPr>
            <w:r>
              <w:rPr>
                <w:rFonts w:ascii="Arial" w:eastAsia="宋体" w:hAnsi="Arial" w:cs="Arial"/>
                <w:color w:val="262626"/>
                <w:sz w:val="18"/>
                <w:szCs w:val="18"/>
              </w:rPr>
              <w:t>Item 1.</w:t>
            </w:r>
          </w:p>
        </w:tc>
        <w:tc>
          <w:tcPr>
            <w:tcW w:w="0" w:type="auto"/>
            <w:gridSpan w:val="3"/>
            <w:shd w:val="clear" w:color="auto" w:fill="auto"/>
            <w:tcMar>
              <w:top w:w="40" w:type="dxa"/>
              <w:left w:w="20" w:type="dxa"/>
              <w:bottom w:w="40" w:type="dxa"/>
              <w:right w:w="20" w:type="dxa"/>
            </w:tcMar>
            <w:vAlign w:val="center"/>
          </w:tcPr>
          <w:p w14:paraId="67538B0F" w14:textId="77777777" w:rsidR="001B77DD" w:rsidRDefault="00BF0A28">
            <w:pPr>
              <w:textAlignment w:val="center"/>
            </w:pPr>
            <w:r>
              <w:rPr>
                <w:rFonts w:ascii="Arial" w:eastAsia="宋体" w:hAnsi="Arial" w:cs="Arial"/>
                <w:color w:val="262626"/>
                <w:sz w:val="18"/>
                <w:szCs w:val="18"/>
              </w:rPr>
              <w:t>Business:</w:t>
            </w:r>
          </w:p>
        </w:tc>
        <w:tc>
          <w:tcPr>
            <w:tcW w:w="0" w:type="auto"/>
            <w:gridSpan w:val="3"/>
            <w:shd w:val="clear" w:color="auto" w:fill="auto"/>
            <w:tcMar>
              <w:top w:w="0" w:type="dxa"/>
              <w:left w:w="20" w:type="dxa"/>
              <w:bottom w:w="0" w:type="dxa"/>
              <w:right w:w="20" w:type="dxa"/>
            </w:tcMar>
            <w:vAlign w:val="bottom"/>
          </w:tcPr>
          <w:p w14:paraId="67538B10" w14:textId="77777777" w:rsidR="001B77DD" w:rsidRDefault="001B77DD">
            <w:pPr>
              <w:rPr>
                <w:rFonts w:ascii="宋体"/>
              </w:rPr>
            </w:pPr>
          </w:p>
        </w:tc>
      </w:tr>
      <w:tr w:rsidR="001B77DD" w14:paraId="67538B15" w14:textId="77777777">
        <w:tc>
          <w:tcPr>
            <w:tcW w:w="0" w:type="auto"/>
            <w:gridSpan w:val="3"/>
            <w:shd w:val="clear" w:color="auto" w:fill="auto"/>
            <w:tcMar>
              <w:top w:w="0" w:type="dxa"/>
              <w:left w:w="20" w:type="dxa"/>
              <w:bottom w:w="0" w:type="dxa"/>
              <w:right w:w="20" w:type="dxa"/>
            </w:tcMar>
            <w:vAlign w:val="bottom"/>
          </w:tcPr>
          <w:p w14:paraId="67538B12" w14:textId="77777777" w:rsidR="001B77DD" w:rsidRDefault="001B77DD">
            <w:pPr>
              <w:rPr>
                <w:rFonts w:ascii="宋体"/>
              </w:rPr>
            </w:pPr>
          </w:p>
        </w:tc>
        <w:tc>
          <w:tcPr>
            <w:tcW w:w="0" w:type="auto"/>
            <w:gridSpan w:val="3"/>
            <w:shd w:val="clear" w:color="auto" w:fill="auto"/>
            <w:tcMar>
              <w:top w:w="40" w:type="dxa"/>
              <w:left w:w="245" w:type="dxa"/>
              <w:bottom w:w="40" w:type="dxa"/>
              <w:right w:w="20" w:type="dxa"/>
            </w:tcMar>
            <w:vAlign w:val="center"/>
          </w:tcPr>
          <w:p w14:paraId="67538B13" w14:textId="77777777" w:rsidR="001B77DD" w:rsidRDefault="00BF0A28">
            <w:pPr>
              <w:textAlignment w:val="center"/>
            </w:pPr>
            <w:r>
              <w:rPr>
                <w:rFonts w:ascii="Arial" w:eastAsia="宋体" w:hAnsi="Arial" w:cs="Arial"/>
                <w:color w:val="262626"/>
                <w:sz w:val="18"/>
                <w:szCs w:val="18"/>
              </w:rPr>
              <w:t>General development of business</w:t>
            </w:r>
          </w:p>
        </w:tc>
        <w:tc>
          <w:tcPr>
            <w:tcW w:w="0" w:type="auto"/>
            <w:gridSpan w:val="3"/>
            <w:shd w:val="clear" w:color="auto" w:fill="auto"/>
            <w:tcMar>
              <w:top w:w="40" w:type="dxa"/>
              <w:left w:w="20" w:type="dxa"/>
              <w:bottom w:w="40" w:type="dxa"/>
              <w:right w:w="20" w:type="dxa"/>
            </w:tcMar>
            <w:vAlign w:val="center"/>
          </w:tcPr>
          <w:p w14:paraId="67538B14" w14:textId="77777777" w:rsidR="001B77DD" w:rsidRDefault="00BF0A28">
            <w:pPr>
              <w:jc w:val="center"/>
              <w:textAlignment w:val="center"/>
            </w:pPr>
            <w:r>
              <w:rPr>
                <w:rFonts w:ascii="Arial" w:eastAsia="宋体" w:hAnsi="Arial" w:cs="Arial"/>
                <w:color w:val="262626"/>
                <w:sz w:val="18"/>
                <w:szCs w:val="18"/>
              </w:rPr>
              <w:t xml:space="preserve"> Pages </w:t>
            </w:r>
            <w:hyperlink r:id="rId280" w:anchor="i6c9ced68f6b24d58a3dcf326e8c3c699_22" w:history="1">
              <w:r>
                <w:rPr>
                  <w:rStyle w:val="a5"/>
                  <w:rFonts w:ascii="Arial" w:eastAsia="宋体" w:hAnsi="Arial" w:cs="Arial"/>
                  <w:color w:val="262626"/>
                  <w:sz w:val="18"/>
                  <w:szCs w:val="18"/>
                </w:rPr>
                <w:t>2</w:t>
              </w:r>
            </w:hyperlink>
            <w:r>
              <w:rPr>
                <w:rFonts w:ascii="Arial" w:eastAsia="宋体" w:hAnsi="Arial" w:cs="Arial"/>
                <w:color w:val="262626"/>
                <w:sz w:val="18"/>
                <w:szCs w:val="18"/>
              </w:rPr>
              <w:t>-</w:t>
            </w:r>
            <w:hyperlink r:id="rId281" w:anchor="i6c9ced68f6b24d58a3dcf326e8c3c699_37" w:history="1">
              <w:r>
                <w:rPr>
                  <w:rStyle w:val="a5"/>
                  <w:rFonts w:ascii="Arial" w:eastAsia="宋体" w:hAnsi="Arial" w:cs="Arial"/>
                  <w:color w:val="262626"/>
                  <w:sz w:val="18"/>
                  <w:szCs w:val="18"/>
                </w:rPr>
                <w:t>7</w:t>
              </w:r>
            </w:hyperlink>
            <w:r>
              <w:rPr>
                <w:rFonts w:ascii="Arial" w:eastAsia="宋体" w:hAnsi="Arial" w:cs="Arial"/>
                <w:color w:val="262626"/>
                <w:sz w:val="18"/>
                <w:szCs w:val="18"/>
              </w:rPr>
              <w:t xml:space="preserve">, </w:t>
            </w:r>
            <w:hyperlink r:id="rId282" w:anchor="i6c9ced68f6b24d58a3dcf326e8c3c699_70" w:history="1">
              <w:r>
                <w:rPr>
                  <w:rStyle w:val="a5"/>
                  <w:rFonts w:ascii="Arial" w:eastAsia="宋体" w:hAnsi="Arial" w:cs="Arial"/>
                  <w:color w:val="262626"/>
                  <w:sz w:val="18"/>
                  <w:szCs w:val="18"/>
                </w:rPr>
                <w:t>19</w:t>
              </w:r>
            </w:hyperlink>
          </w:p>
        </w:tc>
      </w:tr>
      <w:tr w:rsidR="001B77DD" w14:paraId="67538B19" w14:textId="77777777">
        <w:trPr>
          <w:hidden/>
        </w:trPr>
        <w:tc>
          <w:tcPr>
            <w:tcW w:w="0" w:type="auto"/>
            <w:gridSpan w:val="3"/>
            <w:shd w:val="clear" w:color="auto" w:fill="auto"/>
            <w:vAlign w:val="bottom"/>
          </w:tcPr>
          <w:p w14:paraId="67538B16" w14:textId="77777777" w:rsidR="001B77DD" w:rsidRDefault="001B77DD">
            <w:pPr>
              <w:rPr>
                <w:rFonts w:ascii="宋体"/>
                <w:vanish/>
              </w:rPr>
            </w:pPr>
          </w:p>
        </w:tc>
        <w:tc>
          <w:tcPr>
            <w:tcW w:w="0" w:type="auto"/>
            <w:gridSpan w:val="3"/>
            <w:shd w:val="clear" w:color="auto" w:fill="auto"/>
            <w:vAlign w:val="bottom"/>
          </w:tcPr>
          <w:p w14:paraId="67538B17" w14:textId="77777777" w:rsidR="001B77DD" w:rsidRDefault="001B77DD">
            <w:pPr>
              <w:rPr>
                <w:rFonts w:ascii="宋体"/>
                <w:vanish/>
              </w:rPr>
            </w:pPr>
          </w:p>
        </w:tc>
        <w:tc>
          <w:tcPr>
            <w:tcW w:w="0" w:type="auto"/>
            <w:gridSpan w:val="3"/>
            <w:shd w:val="clear" w:color="auto" w:fill="auto"/>
            <w:vAlign w:val="bottom"/>
          </w:tcPr>
          <w:p w14:paraId="67538B18" w14:textId="77777777" w:rsidR="001B77DD" w:rsidRDefault="001B77DD">
            <w:pPr>
              <w:rPr>
                <w:rFonts w:ascii="宋体"/>
                <w:vanish/>
              </w:rPr>
            </w:pPr>
          </w:p>
        </w:tc>
      </w:tr>
      <w:tr w:rsidR="001B77DD" w14:paraId="67538B1D" w14:textId="77777777">
        <w:tc>
          <w:tcPr>
            <w:tcW w:w="0" w:type="auto"/>
            <w:gridSpan w:val="3"/>
            <w:shd w:val="clear" w:color="auto" w:fill="auto"/>
            <w:tcMar>
              <w:top w:w="0" w:type="dxa"/>
              <w:left w:w="20" w:type="dxa"/>
              <w:bottom w:w="0" w:type="dxa"/>
              <w:right w:w="20" w:type="dxa"/>
            </w:tcMar>
            <w:vAlign w:val="bottom"/>
          </w:tcPr>
          <w:p w14:paraId="67538B1A" w14:textId="77777777" w:rsidR="001B77DD" w:rsidRDefault="001B77DD">
            <w:pPr>
              <w:rPr>
                <w:rFonts w:ascii="宋体"/>
              </w:rPr>
            </w:pPr>
          </w:p>
        </w:tc>
        <w:tc>
          <w:tcPr>
            <w:tcW w:w="0" w:type="auto"/>
            <w:gridSpan w:val="3"/>
            <w:shd w:val="clear" w:color="auto" w:fill="auto"/>
            <w:tcMar>
              <w:top w:w="40" w:type="dxa"/>
              <w:left w:w="245" w:type="dxa"/>
              <w:bottom w:w="40" w:type="dxa"/>
              <w:right w:w="20" w:type="dxa"/>
            </w:tcMar>
            <w:vAlign w:val="center"/>
          </w:tcPr>
          <w:p w14:paraId="67538B1B" w14:textId="77777777" w:rsidR="001B77DD" w:rsidRDefault="00BF0A28">
            <w:pPr>
              <w:textAlignment w:val="center"/>
            </w:pPr>
            <w:r>
              <w:rPr>
                <w:rFonts w:ascii="Arial" w:eastAsia="宋体" w:hAnsi="Arial" w:cs="Arial"/>
                <w:color w:val="262626"/>
                <w:sz w:val="18"/>
                <w:szCs w:val="18"/>
              </w:rPr>
              <w:t>Description of business</w:t>
            </w:r>
          </w:p>
        </w:tc>
        <w:tc>
          <w:tcPr>
            <w:tcW w:w="0" w:type="auto"/>
            <w:gridSpan w:val="3"/>
            <w:shd w:val="clear" w:color="auto" w:fill="auto"/>
            <w:tcMar>
              <w:top w:w="40" w:type="dxa"/>
              <w:left w:w="20" w:type="dxa"/>
              <w:bottom w:w="40" w:type="dxa"/>
              <w:right w:w="20" w:type="dxa"/>
            </w:tcMar>
            <w:vAlign w:val="center"/>
          </w:tcPr>
          <w:p w14:paraId="67538B1C" w14:textId="77777777" w:rsidR="001B77DD" w:rsidRDefault="00BF0A28">
            <w:pPr>
              <w:jc w:val="center"/>
              <w:textAlignment w:val="center"/>
            </w:pPr>
            <w:r>
              <w:rPr>
                <w:rFonts w:ascii="Arial" w:eastAsia="宋体" w:hAnsi="Arial" w:cs="Arial"/>
                <w:color w:val="262626"/>
                <w:sz w:val="18"/>
                <w:szCs w:val="18"/>
              </w:rPr>
              <w:t xml:space="preserve">Pages </w:t>
            </w:r>
            <w:hyperlink r:id="rId283" w:anchor="i6c9ced68f6b24d58a3dcf326e8c3c699_22" w:history="1">
              <w:r>
                <w:rPr>
                  <w:rStyle w:val="a5"/>
                  <w:rFonts w:ascii="Arial" w:eastAsia="宋体" w:hAnsi="Arial" w:cs="Arial"/>
                  <w:color w:val="262626"/>
                  <w:sz w:val="18"/>
                  <w:szCs w:val="18"/>
                </w:rPr>
                <w:t>2</w:t>
              </w:r>
            </w:hyperlink>
            <w:r>
              <w:rPr>
                <w:rFonts w:ascii="Arial" w:eastAsia="宋体" w:hAnsi="Arial" w:cs="Arial"/>
                <w:color w:val="262626"/>
                <w:sz w:val="18"/>
                <w:szCs w:val="18"/>
              </w:rPr>
              <w:t>-</w:t>
            </w:r>
            <w:hyperlink r:id="rId284" w:anchor="i6c9ced68f6b24d58a3dcf326e8c3c699_130" w:history="1">
              <w:r>
                <w:rPr>
                  <w:rStyle w:val="a5"/>
                  <w:rFonts w:ascii="Arial" w:eastAsia="宋体" w:hAnsi="Arial" w:cs="Arial"/>
                  <w:color w:val="262626"/>
                  <w:sz w:val="18"/>
                  <w:szCs w:val="18"/>
                </w:rPr>
                <w:t>36</w:t>
              </w:r>
            </w:hyperlink>
            <w:r>
              <w:rPr>
                <w:rFonts w:ascii="Arial" w:eastAsia="宋体" w:hAnsi="Arial" w:cs="Arial"/>
                <w:color w:val="262626"/>
                <w:sz w:val="18"/>
                <w:szCs w:val="18"/>
              </w:rPr>
              <w:t xml:space="preserve">, </w:t>
            </w:r>
            <w:hyperlink r:id="rId285" w:anchor="i6c9ced68f6b24d58a3dcf326e8c3c699_202" w:history="1">
              <w:r>
                <w:rPr>
                  <w:rStyle w:val="a5"/>
                  <w:rFonts w:ascii="Arial" w:eastAsia="宋体" w:hAnsi="Arial" w:cs="Arial"/>
                  <w:color w:val="262626"/>
                  <w:sz w:val="18"/>
                  <w:szCs w:val="18"/>
                </w:rPr>
                <w:t>48</w:t>
              </w:r>
            </w:hyperlink>
            <w:r>
              <w:rPr>
                <w:rFonts w:ascii="Arial" w:eastAsia="宋体" w:hAnsi="Arial" w:cs="Arial"/>
                <w:color w:val="262626"/>
                <w:sz w:val="18"/>
                <w:szCs w:val="18"/>
              </w:rPr>
              <w:t>-</w:t>
            </w:r>
            <w:hyperlink r:id="rId286" w:anchor="i6c9ced68f6b24d58a3dcf326e8c3c699_4122" w:history="1">
              <w:r>
                <w:rPr>
                  <w:rStyle w:val="a5"/>
                  <w:rFonts w:ascii="Arial" w:eastAsia="宋体" w:hAnsi="Arial" w:cs="Arial"/>
                  <w:color w:val="262626"/>
                  <w:sz w:val="18"/>
                  <w:szCs w:val="18"/>
                </w:rPr>
                <w:t>49</w:t>
              </w:r>
            </w:hyperlink>
            <w:r>
              <w:rPr>
                <w:rFonts w:ascii="Arial" w:eastAsia="宋体" w:hAnsi="Arial" w:cs="Arial"/>
                <w:color w:val="262626"/>
                <w:sz w:val="18"/>
                <w:szCs w:val="18"/>
              </w:rPr>
              <w:t xml:space="preserve">, </w:t>
            </w:r>
            <w:hyperlink r:id="rId287" w:anchor="i6c9ced68f6b24d58a3dcf326e8c3c699_229" w:history="1">
              <w:r>
                <w:rPr>
                  <w:rStyle w:val="a5"/>
                  <w:rFonts w:ascii="Arial" w:eastAsia="宋体" w:hAnsi="Arial" w:cs="Arial"/>
                  <w:color w:val="262626"/>
                  <w:sz w:val="18"/>
                  <w:szCs w:val="18"/>
                </w:rPr>
                <w:t>66</w:t>
              </w:r>
            </w:hyperlink>
            <w:r>
              <w:rPr>
                <w:rFonts w:ascii="Arial" w:eastAsia="宋体" w:hAnsi="Arial" w:cs="Arial"/>
                <w:color w:val="262626"/>
                <w:sz w:val="18"/>
                <w:szCs w:val="18"/>
              </w:rPr>
              <w:t xml:space="preserve">, </w:t>
            </w:r>
            <w:hyperlink r:id="rId288" w:anchor="i6c9ced68f6b24d58a3dcf326e8c3c699_343" w:history="1">
              <w:r>
                <w:rPr>
                  <w:rStyle w:val="a5"/>
                  <w:rFonts w:ascii="Arial" w:eastAsia="宋体" w:hAnsi="Arial" w:cs="Arial"/>
                  <w:color w:val="262626"/>
                  <w:sz w:val="18"/>
                  <w:szCs w:val="18"/>
                </w:rPr>
                <w:t>82</w:t>
              </w:r>
            </w:hyperlink>
            <w:r>
              <w:rPr>
                <w:rFonts w:ascii="Arial" w:eastAsia="宋体" w:hAnsi="Arial" w:cs="Arial"/>
                <w:color w:val="262626"/>
                <w:sz w:val="18"/>
                <w:szCs w:val="18"/>
              </w:rPr>
              <w:t>-</w:t>
            </w:r>
            <w:hyperlink r:id="rId289" w:anchor="i6c9ced68f6b24d58a3dcf326e8c3c699_355" w:history="1">
              <w:r>
                <w:rPr>
                  <w:rStyle w:val="a5"/>
                  <w:rFonts w:ascii="Arial" w:eastAsia="宋体" w:hAnsi="Arial" w:cs="Arial"/>
                  <w:color w:val="262626"/>
                  <w:sz w:val="18"/>
                  <w:szCs w:val="18"/>
                </w:rPr>
                <w:t>85</w:t>
              </w:r>
            </w:hyperlink>
          </w:p>
        </w:tc>
      </w:tr>
      <w:tr w:rsidR="001B77DD" w14:paraId="67538B21" w14:textId="77777777">
        <w:trPr>
          <w:hidden/>
        </w:trPr>
        <w:tc>
          <w:tcPr>
            <w:tcW w:w="0" w:type="auto"/>
            <w:gridSpan w:val="3"/>
            <w:shd w:val="clear" w:color="auto" w:fill="auto"/>
            <w:vAlign w:val="bottom"/>
          </w:tcPr>
          <w:p w14:paraId="67538B1E" w14:textId="77777777" w:rsidR="001B77DD" w:rsidRDefault="001B77DD">
            <w:pPr>
              <w:rPr>
                <w:rFonts w:ascii="宋体"/>
                <w:vanish/>
              </w:rPr>
            </w:pPr>
          </w:p>
        </w:tc>
        <w:tc>
          <w:tcPr>
            <w:tcW w:w="0" w:type="auto"/>
            <w:gridSpan w:val="3"/>
            <w:shd w:val="clear" w:color="auto" w:fill="auto"/>
            <w:vAlign w:val="bottom"/>
          </w:tcPr>
          <w:p w14:paraId="67538B1F" w14:textId="77777777" w:rsidR="001B77DD" w:rsidRDefault="001B77DD">
            <w:pPr>
              <w:rPr>
                <w:rFonts w:ascii="宋体"/>
                <w:vanish/>
              </w:rPr>
            </w:pPr>
          </w:p>
        </w:tc>
        <w:tc>
          <w:tcPr>
            <w:tcW w:w="0" w:type="auto"/>
            <w:gridSpan w:val="3"/>
            <w:shd w:val="clear" w:color="auto" w:fill="auto"/>
            <w:vAlign w:val="bottom"/>
          </w:tcPr>
          <w:p w14:paraId="67538B20" w14:textId="77777777" w:rsidR="001B77DD" w:rsidRDefault="001B77DD">
            <w:pPr>
              <w:rPr>
                <w:rFonts w:ascii="宋体"/>
                <w:vanish/>
              </w:rPr>
            </w:pPr>
          </w:p>
        </w:tc>
      </w:tr>
      <w:tr w:rsidR="001B77DD" w14:paraId="67538B25" w14:textId="77777777">
        <w:tc>
          <w:tcPr>
            <w:tcW w:w="0" w:type="auto"/>
            <w:gridSpan w:val="3"/>
            <w:shd w:val="clear" w:color="auto" w:fill="auto"/>
            <w:tcMar>
              <w:top w:w="0" w:type="dxa"/>
              <w:left w:w="20" w:type="dxa"/>
              <w:bottom w:w="0" w:type="dxa"/>
              <w:right w:w="20" w:type="dxa"/>
            </w:tcMar>
            <w:vAlign w:val="bottom"/>
          </w:tcPr>
          <w:p w14:paraId="67538B22" w14:textId="77777777" w:rsidR="001B77DD" w:rsidRDefault="001B77DD">
            <w:pPr>
              <w:rPr>
                <w:rFonts w:ascii="宋体"/>
              </w:rPr>
            </w:pPr>
          </w:p>
        </w:tc>
        <w:tc>
          <w:tcPr>
            <w:tcW w:w="0" w:type="auto"/>
            <w:gridSpan w:val="3"/>
            <w:shd w:val="clear" w:color="auto" w:fill="auto"/>
            <w:tcMar>
              <w:top w:w="40" w:type="dxa"/>
              <w:left w:w="245" w:type="dxa"/>
              <w:bottom w:w="40" w:type="dxa"/>
              <w:right w:w="20" w:type="dxa"/>
            </w:tcMar>
            <w:vAlign w:val="center"/>
          </w:tcPr>
          <w:p w14:paraId="67538B23" w14:textId="77777777" w:rsidR="001B77DD" w:rsidRDefault="00BF0A28">
            <w:pPr>
              <w:textAlignment w:val="center"/>
            </w:pPr>
            <w:r>
              <w:rPr>
                <w:rFonts w:ascii="Arial" w:eastAsia="宋体" w:hAnsi="Arial" w:cs="Arial"/>
                <w:color w:val="262626"/>
                <w:sz w:val="18"/>
                <w:szCs w:val="18"/>
              </w:rPr>
              <w:t xml:space="preserve">Available </w:t>
            </w:r>
            <w:r>
              <w:rPr>
                <w:rFonts w:ascii="Arial" w:eastAsia="宋体" w:hAnsi="Arial" w:cs="Arial"/>
                <w:color w:val="262626"/>
                <w:sz w:val="18"/>
                <w:szCs w:val="18"/>
              </w:rPr>
              <w:t>information</w:t>
            </w:r>
          </w:p>
        </w:tc>
        <w:tc>
          <w:tcPr>
            <w:tcW w:w="0" w:type="auto"/>
            <w:gridSpan w:val="3"/>
            <w:shd w:val="clear" w:color="auto" w:fill="auto"/>
            <w:tcMar>
              <w:top w:w="40" w:type="dxa"/>
              <w:left w:w="20" w:type="dxa"/>
              <w:bottom w:w="40" w:type="dxa"/>
              <w:right w:w="20" w:type="dxa"/>
            </w:tcMar>
            <w:vAlign w:val="center"/>
          </w:tcPr>
          <w:p w14:paraId="67538B24" w14:textId="77777777" w:rsidR="001B77DD" w:rsidRDefault="00BF0A28">
            <w:pPr>
              <w:jc w:val="center"/>
              <w:textAlignment w:val="center"/>
            </w:pPr>
            <w:r>
              <w:rPr>
                <w:rFonts w:ascii="Arial" w:eastAsia="宋体" w:hAnsi="Arial" w:cs="Arial"/>
                <w:color w:val="262626"/>
                <w:sz w:val="18"/>
                <w:szCs w:val="18"/>
              </w:rPr>
              <w:t xml:space="preserve">Page </w:t>
            </w:r>
            <w:hyperlink r:id="rId290" w:anchor="i6c9ced68f6b24d58a3dcf326e8c3c699_232" w:history="1">
              <w:r>
                <w:rPr>
                  <w:rStyle w:val="a5"/>
                  <w:rFonts w:ascii="Arial" w:eastAsia="宋体" w:hAnsi="Arial" w:cs="Arial"/>
                  <w:color w:val="262626"/>
                  <w:sz w:val="18"/>
                  <w:szCs w:val="18"/>
                </w:rPr>
                <w:t>66</w:t>
              </w:r>
            </w:hyperlink>
          </w:p>
        </w:tc>
      </w:tr>
      <w:tr w:rsidR="001B77DD" w14:paraId="67538B29" w14:textId="77777777">
        <w:tc>
          <w:tcPr>
            <w:tcW w:w="0" w:type="auto"/>
            <w:gridSpan w:val="3"/>
            <w:shd w:val="clear" w:color="auto" w:fill="auto"/>
            <w:tcMar>
              <w:top w:w="40" w:type="dxa"/>
              <w:left w:w="20" w:type="dxa"/>
              <w:bottom w:w="40" w:type="dxa"/>
              <w:right w:w="20" w:type="dxa"/>
            </w:tcMar>
            <w:vAlign w:val="center"/>
          </w:tcPr>
          <w:p w14:paraId="67538B26" w14:textId="77777777" w:rsidR="001B77DD" w:rsidRDefault="00BF0A28">
            <w:pPr>
              <w:textAlignment w:val="center"/>
            </w:pPr>
            <w:r>
              <w:rPr>
                <w:rFonts w:ascii="Arial" w:eastAsia="宋体" w:hAnsi="Arial" w:cs="Arial"/>
                <w:color w:val="262626"/>
                <w:sz w:val="18"/>
                <w:szCs w:val="18"/>
              </w:rPr>
              <w:t>Item 1A.</w:t>
            </w:r>
          </w:p>
        </w:tc>
        <w:tc>
          <w:tcPr>
            <w:tcW w:w="0" w:type="auto"/>
            <w:gridSpan w:val="3"/>
            <w:shd w:val="clear" w:color="auto" w:fill="auto"/>
            <w:tcMar>
              <w:top w:w="40" w:type="dxa"/>
              <w:left w:w="20" w:type="dxa"/>
              <w:bottom w:w="40" w:type="dxa"/>
              <w:right w:w="20" w:type="dxa"/>
            </w:tcMar>
            <w:vAlign w:val="center"/>
          </w:tcPr>
          <w:p w14:paraId="67538B27" w14:textId="77777777" w:rsidR="001B77DD" w:rsidRDefault="00BF0A28">
            <w:pPr>
              <w:textAlignment w:val="center"/>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67538B28" w14:textId="77777777" w:rsidR="001B77DD" w:rsidRDefault="00BF0A28">
            <w:pPr>
              <w:jc w:val="center"/>
              <w:textAlignment w:val="center"/>
            </w:pPr>
            <w:r>
              <w:rPr>
                <w:rFonts w:ascii="Arial" w:eastAsia="宋体" w:hAnsi="Arial" w:cs="Arial"/>
                <w:color w:val="262626"/>
                <w:sz w:val="18"/>
                <w:szCs w:val="18"/>
              </w:rPr>
              <w:t xml:space="preserve">Pages </w:t>
            </w:r>
            <w:hyperlink r:id="rId291" w:anchor="i6c9ced68f6b24d58a3dcf326e8c3c699_211" w:history="1">
              <w:r>
                <w:rPr>
                  <w:rStyle w:val="a5"/>
                  <w:rFonts w:ascii="Arial" w:eastAsia="宋体" w:hAnsi="Arial" w:cs="Arial"/>
                  <w:color w:val="262626"/>
                  <w:sz w:val="18"/>
                  <w:szCs w:val="18"/>
                </w:rPr>
                <w:t>50</w:t>
              </w:r>
            </w:hyperlink>
            <w:r>
              <w:rPr>
                <w:rFonts w:ascii="Arial" w:eastAsia="宋体" w:hAnsi="Arial" w:cs="Arial"/>
                <w:color w:val="262626"/>
                <w:sz w:val="18"/>
                <w:szCs w:val="18"/>
              </w:rPr>
              <w:t>-</w:t>
            </w:r>
            <w:hyperlink r:id="rId292" w:anchor="i6c9ced68f6b24d58a3dcf326e8c3c699_214" w:history="1">
              <w:r>
                <w:rPr>
                  <w:rStyle w:val="a5"/>
                  <w:rFonts w:ascii="Arial" w:eastAsia="宋体" w:hAnsi="Arial" w:cs="Arial"/>
                  <w:color w:val="262626"/>
                  <w:sz w:val="18"/>
                  <w:szCs w:val="18"/>
                </w:rPr>
                <w:t>63</w:t>
              </w:r>
            </w:hyperlink>
          </w:p>
        </w:tc>
      </w:tr>
      <w:tr w:rsidR="001B77DD" w14:paraId="67538B2D" w14:textId="77777777">
        <w:tc>
          <w:tcPr>
            <w:tcW w:w="0" w:type="auto"/>
            <w:gridSpan w:val="3"/>
            <w:shd w:val="clear" w:color="auto" w:fill="auto"/>
            <w:tcMar>
              <w:top w:w="40" w:type="dxa"/>
              <w:left w:w="20" w:type="dxa"/>
              <w:bottom w:w="40" w:type="dxa"/>
              <w:right w:w="20" w:type="dxa"/>
            </w:tcMar>
            <w:vAlign w:val="center"/>
          </w:tcPr>
          <w:p w14:paraId="67538B2A" w14:textId="77777777" w:rsidR="001B77DD" w:rsidRDefault="00BF0A28">
            <w:pPr>
              <w:textAlignment w:val="center"/>
            </w:pPr>
            <w:r>
              <w:rPr>
                <w:rFonts w:ascii="Arial" w:eastAsia="宋体" w:hAnsi="Arial" w:cs="Arial"/>
                <w:color w:val="262626"/>
                <w:sz w:val="18"/>
                <w:szCs w:val="18"/>
              </w:rPr>
              <w:t>Item 1B.</w:t>
            </w:r>
          </w:p>
        </w:tc>
        <w:tc>
          <w:tcPr>
            <w:tcW w:w="0" w:type="auto"/>
            <w:gridSpan w:val="3"/>
            <w:shd w:val="clear" w:color="auto" w:fill="auto"/>
            <w:tcMar>
              <w:top w:w="40" w:type="dxa"/>
              <w:left w:w="20" w:type="dxa"/>
              <w:bottom w:w="40" w:type="dxa"/>
              <w:right w:w="20" w:type="dxa"/>
            </w:tcMar>
            <w:vAlign w:val="center"/>
          </w:tcPr>
          <w:p w14:paraId="67538B2B" w14:textId="77777777" w:rsidR="001B77DD" w:rsidRDefault="00BF0A28">
            <w:pPr>
              <w:textAlignment w:val="center"/>
            </w:pPr>
            <w:r>
              <w:rPr>
                <w:rFonts w:ascii="Arial" w:eastAsia="宋体" w:hAnsi="Arial" w:cs="Arial"/>
                <w:color w:val="262626"/>
                <w:sz w:val="18"/>
                <w:szCs w:val="18"/>
              </w:rPr>
              <w:t>Unresolved Staff Comments</w:t>
            </w:r>
          </w:p>
        </w:tc>
        <w:tc>
          <w:tcPr>
            <w:tcW w:w="0" w:type="auto"/>
            <w:gridSpan w:val="3"/>
            <w:shd w:val="clear" w:color="auto" w:fill="auto"/>
            <w:tcMar>
              <w:top w:w="40" w:type="dxa"/>
              <w:left w:w="20" w:type="dxa"/>
              <w:bottom w:w="40" w:type="dxa"/>
              <w:right w:w="20" w:type="dxa"/>
            </w:tcMar>
            <w:vAlign w:val="center"/>
          </w:tcPr>
          <w:p w14:paraId="67538B2C" w14:textId="77777777" w:rsidR="001B77DD" w:rsidRDefault="00BF0A28">
            <w:pPr>
              <w:jc w:val="center"/>
              <w:textAlignment w:val="center"/>
            </w:pPr>
            <w:r>
              <w:rPr>
                <w:rFonts w:ascii="Arial" w:eastAsia="宋体" w:hAnsi="Arial" w:cs="Arial"/>
                <w:color w:val="262626"/>
                <w:sz w:val="18"/>
                <w:szCs w:val="18"/>
              </w:rPr>
              <w:t>Not applicable</w:t>
            </w:r>
          </w:p>
        </w:tc>
      </w:tr>
      <w:tr w:rsidR="001B77DD" w14:paraId="67538B31" w14:textId="77777777">
        <w:tc>
          <w:tcPr>
            <w:tcW w:w="0" w:type="auto"/>
            <w:gridSpan w:val="3"/>
            <w:shd w:val="clear" w:color="auto" w:fill="auto"/>
            <w:tcMar>
              <w:top w:w="40" w:type="dxa"/>
              <w:left w:w="20" w:type="dxa"/>
              <w:bottom w:w="40" w:type="dxa"/>
              <w:right w:w="20" w:type="dxa"/>
            </w:tcMar>
            <w:vAlign w:val="center"/>
          </w:tcPr>
          <w:p w14:paraId="67538B2E" w14:textId="77777777" w:rsidR="001B77DD" w:rsidRDefault="00BF0A28">
            <w:pPr>
              <w:textAlignment w:val="center"/>
            </w:pPr>
            <w:r>
              <w:rPr>
                <w:rFonts w:ascii="Arial" w:eastAsia="宋体" w:hAnsi="Arial" w:cs="Arial"/>
                <w:color w:val="262626"/>
                <w:sz w:val="18"/>
                <w:szCs w:val="18"/>
              </w:rPr>
              <w:t>Item 2.</w:t>
            </w:r>
          </w:p>
        </w:tc>
        <w:tc>
          <w:tcPr>
            <w:tcW w:w="0" w:type="auto"/>
            <w:gridSpan w:val="3"/>
            <w:shd w:val="clear" w:color="auto" w:fill="auto"/>
            <w:tcMar>
              <w:top w:w="40" w:type="dxa"/>
              <w:left w:w="20" w:type="dxa"/>
              <w:bottom w:w="40" w:type="dxa"/>
              <w:right w:w="20" w:type="dxa"/>
            </w:tcMar>
            <w:vAlign w:val="center"/>
          </w:tcPr>
          <w:p w14:paraId="67538B2F" w14:textId="77777777" w:rsidR="001B77DD" w:rsidRDefault="00BF0A28">
            <w:pPr>
              <w:textAlignment w:val="center"/>
            </w:pPr>
            <w:r>
              <w:rPr>
                <w:rFonts w:ascii="Arial" w:eastAsia="宋体" w:hAnsi="Arial" w:cs="Arial"/>
                <w:color w:val="262626"/>
                <w:sz w:val="18"/>
                <w:szCs w:val="18"/>
              </w:rPr>
              <w:t>Properties</w:t>
            </w:r>
          </w:p>
        </w:tc>
        <w:tc>
          <w:tcPr>
            <w:tcW w:w="0" w:type="auto"/>
            <w:gridSpan w:val="3"/>
            <w:shd w:val="clear" w:color="auto" w:fill="auto"/>
            <w:tcMar>
              <w:top w:w="40" w:type="dxa"/>
              <w:left w:w="20" w:type="dxa"/>
              <w:bottom w:w="40" w:type="dxa"/>
              <w:right w:w="20" w:type="dxa"/>
            </w:tcMar>
            <w:vAlign w:val="center"/>
          </w:tcPr>
          <w:p w14:paraId="67538B30" w14:textId="77777777" w:rsidR="001B77DD" w:rsidRDefault="00BF0A28">
            <w:pPr>
              <w:jc w:val="center"/>
              <w:textAlignment w:val="center"/>
            </w:pPr>
            <w:r>
              <w:rPr>
                <w:rFonts w:ascii="Arial" w:eastAsia="宋体" w:hAnsi="Arial" w:cs="Arial"/>
                <w:color w:val="262626"/>
                <w:sz w:val="18"/>
                <w:szCs w:val="18"/>
              </w:rPr>
              <w:t xml:space="preserve">Pages </w:t>
            </w:r>
            <w:hyperlink r:id="rId293" w:anchor="i6c9ced68f6b24d58a3dcf326e8c3c699_52" w:history="1">
              <w:r>
                <w:rPr>
                  <w:rStyle w:val="a5"/>
                  <w:rFonts w:ascii="Arial" w:eastAsia="宋体" w:hAnsi="Arial" w:cs="Arial"/>
                  <w:color w:val="262626"/>
                  <w:sz w:val="18"/>
                  <w:szCs w:val="18"/>
                </w:rPr>
                <w:t>12</w:t>
              </w:r>
            </w:hyperlink>
            <w:r>
              <w:rPr>
                <w:rFonts w:ascii="Arial" w:eastAsia="宋体" w:hAnsi="Arial" w:cs="Arial"/>
                <w:color w:val="262626"/>
                <w:sz w:val="18"/>
                <w:szCs w:val="18"/>
              </w:rPr>
              <w:t xml:space="preserve">, </w:t>
            </w:r>
            <w:hyperlink r:id="rId294" w:anchor="i6c9ced68f6b24d58a3dcf326e8c3c699_217" w:history="1">
              <w:r>
                <w:rPr>
                  <w:rStyle w:val="a5"/>
                  <w:rFonts w:ascii="Arial" w:eastAsia="宋体" w:hAnsi="Arial" w:cs="Arial"/>
                  <w:color w:val="262626"/>
                  <w:sz w:val="18"/>
                  <w:szCs w:val="18"/>
                </w:rPr>
                <w:t>64</w:t>
              </w:r>
            </w:hyperlink>
          </w:p>
        </w:tc>
      </w:tr>
      <w:tr w:rsidR="001B77DD" w14:paraId="67538B35" w14:textId="77777777">
        <w:tc>
          <w:tcPr>
            <w:tcW w:w="0" w:type="auto"/>
            <w:gridSpan w:val="3"/>
            <w:shd w:val="clear" w:color="auto" w:fill="auto"/>
            <w:tcMar>
              <w:top w:w="40" w:type="dxa"/>
              <w:left w:w="20" w:type="dxa"/>
              <w:bottom w:w="40" w:type="dxa"/>
              <w:right w:w="20" w:type="dxa"/>
            </w:tcMar>
            <w:vAlign w:val="center"/>
          </w:tcPr>
          <w:p w14:paraId="67538B32" w14:textId="77777777" w:rsidR="001B77DD" w:rsidRDefault="00BF0A28">
            <w:pPr>
              <w:textAlignment w:val="center"/>
            </w:pPr>
            <w:r>
              <w:rPr>
                <w:rFonts w:ascii="Arial" w:eastAsia="宋体" w:hAnsi="Arial" w:cs="Arial"/>
                <w:color w:val="262626"/>
                <w:sz w:val="18"/>
                <w:szCs w:val="18"/>
              </w:rPr>
              <w:t>Item 3.</w:t>
            </w:r>
          </w:p>
        </w:tc>
        <w:tc>
          <w:tcPr>
            <w:tcW w:w="0" w:type="auto"/>
            <w:gridSpan w:val="3"/>
            <w:shd w:val="clear" w:color="auto" w:fill="auto"/>
            <w:tcMar>
              <w:top w:w="40" w:type="dxa"/>
              <w:left w:w="20" w:type="dxa"/>
              <w:bottom w:w="40" w:type="dxa"/>
              <w:right w:w="20" w:type="dxa"/>
            </w:tcMar>
            <w:vAlign w:val="center"/>
          </w:tcPr>
          <w:p w14:paraId="67538B33" w14:textId="77777777" w:rsidR="001B77DD" w:rsidRDefault="00BF0A28">
            <w:pPr>
              <w:textAlignment w:val="center"/>
            </w:pPr>
            <w:r>
              <w:rPr>
                <w:rFonts w:ascii="Arial" w:eastAsia="宋体" w:hAnsi="Arial" w:cs="Arial"/>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67538B34" w14:textId="77777777" w:rsidR="001B77DD" w:rsidRDefault="00BF0A28">
            <w:pPr>
              <w:jc w:val="center"/>
              <w:textAlignment w:val="center"/>
            </w:pPr>
            <w:r>
              <w:rPr>
                <w:rFonts w:ascii="Arial" w:eastAsia="宋体" w:hAnsi="Arial" w:cs="Arial"/>
                <w:color w:val="262626"/>
                <w:sz w:val="18"/>
                <w:szCs w:val="18"/>
              </w:rPr>
              <w:t xml:space="preserve">Pages </w:t>
            </w:r>
            <w:hyperlink r:id="rId295" w:anchor="i6c9ced68f6b24d58a3dcf326e8c3c699_442" w:history="1">
              <w:r>
                <w:rPr>
                  <w:rStyle w:val="a5"/>
                  <w:rFonts w:ascii="Arial" w:eastAsia="宋体" w:hAnsi="Arial" w:cs="Arial"/>
                  <w:color w:val="262626"/>
                  <w:sz w:val="18"/>
                  <w:szCs w:val="18"/>
                </w:rPr>
                <w:t>105</w:t>
              </w:r>
            </w:hyperlink>
            <w:r>
              <w:rPr>
                <w:rFonts w:ascii="Arial" w:eastAsia="宋体" w:hAnsi="Arial" w:cs="Arial"/>
                <w:color w:val="262626"/>
                <w:sz w:val="18"/>
                <w:szCs w:val="18"/>
              </w:rPr>
              <w:t>-</w:t>
            </w:r>
            <w:hyperlink r:id="rId296" w:anchor="i6c9ced68f6b24d58a3dcf326e8c3c699_445" w:history="1">
              <w:r>
                <w:rPr>
                  <w:rStyle w:val="a5"/>
                  <w:rFonts w:ascii="Arial" w:eastAsia="宋体" w:hAnsi="Arial" w:cs="Arial"/>
                  <w:color w:val="262626"/>
                  <w:sz w:val="18"/>
                  <w:szCs w:val="18"/>
                </w:rPr>
                <w:t>110</w:t>
              </w:r>
            </w:hyperlink>
          </w:p>
        </w:tc>
      </w:tr>
      <w:tr w:rsidR="001B77DD" w14:paraId="67538B39" w14:textId="77777777">
        <w:tc>
          <w:tcPr>
            <w:tcW w:w="0" w:type="auto"/>
            <w:gridSpan w:val="3"/>
            <w:shd w:val="clear" w:color="auto" w:fill="auto"/>
            <w:tcMar>
              <w:top w:w="40" w:type="dxa"/>
              <w:left w:w="20" w:type="dxa"/>
              <w:bottom w:w="40" w:type="dxa"/>
              <w:right w:w="20" w:type="dxa"/>
            </w:tcMar>
            <w:vAlign w:val="center"/>
          </w:tcPr>
          <w:p w14:paraId="67538B36" w14:textId="77777777" w:rsidR="001B77DD" w:rsidRDefault="00BF0A28">
            <w:pPr>
              <w:textAlignment w:val="center"/>
            </w:pPr>
            <w:r>
              <w:rPr>
                <w:rFonts w:ascii="Arial" w:eastAsia="宋体" w:hAnsi="Arial" w:cs="Arial"/>
                <w:color w:val="262626"/>
                <w:sz w:val="18"/>
                <w:szCs w:val="18"/>
              </w:rPr>
              <w:t>Item 4.</w:t>
            </w:r>
          </w:p>
        </w:tc>
        <w:tc>
          <w:tcPr>
            <w:tcW w:w="0" w:type="auto"/>
            <w:gridSpan w:val="3"/>
            <w:shd w:val="clear" w:color="auto" w:fill="auto"/>
            <w:tcMar>
              <w:top w:w="40" w:type="dxa"/>
              <w:left w:w="20" w:type="dxa"/>
              <w:bottom w:w="40" w:type="dxa"/>
              <w:right w:w="20" w:type="dxa"/>
            </w:tcMar>
            <w:vAlign w:val="center"/>
          </w:tcPr>
          <w:p w14:paraId="67538B37" w14:textId="77777777" w:rsidR="001B77DD" w:rsidRDefault="00BF0A28">
            <w:pPr>
              <w:textAlignment w:val="center"/>
            </w:pPr>
            <w:r>
              <w:rPr>
                <w:rFonts w:ascii="Arial" w:eastAsia="宋体" w:hAnsi="Arial" w:cs="Arial"/>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67538B38" w14:textId="77777777" w:rsidR="001B77DD" w:rsidRDefault="00BF0A28">
            <w:pPr>
              <w:jc w:val="center"/>
              <w:textAlignment w:val="center"/>
            </w:pPr>
            <w:r>
              <w:rPr>
                <w:rFonts w:ascii="Arial" w:eastAsia="宋体" w:hAnsi="Arial" w:cs="Arial"/>
                <w:color w:val="262626"/>
                <w:sz w:val="18"/>
                <w:szCs w:val="18"/>
              </w:rPr>
              <w:t>Not applicable</w:t>
            </w:r>
          </w:p>
        </w:tc>
      </w:tr>
      <w:tr w:rsidR="001B77DD" w14:paraId="67538B3D"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3A"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3B"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3C" w14:textId="77777777" w:rsidR="001B77DD" w:rsidRDefault="001B77DD">
            <w:pPr>
              <w:rPr>
                <w:rFonts w:ascii="宋体"/>
              </w:rPr>
            </w:pPr>
          </w:p>
        </w:tc>
      </w:tr>
      <w:tr w:rsidR="001B77DD" w14:paraId="67538B41" w14:textId="77777777">
        <w:tc>
          <w:tcPr>
            <w:tcW w:w="0" w:type="auto"/>
            <w:gridSpan w:val="3"/>
            <w:shd w:val="clear" w:color="auto" w:fill="auto"/>
            <w:tcMar>
              <w:top w:w="40" w:type="dxa"/>
              <w:left w:w="20" w:type="dxa"/>
              <w:bottom w:w="40" w:type="dxa"/>
              <w:right w:w="20" w:type="dxa"/>
            </w:tcMar>
            <w:vAlign w:val="center"/>
          </w:tcPr>
          <w:p w14:paraId="67538B3E" w14:textId="77777777" w:rsidR="001B77DD" w:rsidRDefault="00BF0A28">
            <w:pPr>
              <w:spacing w:after="100"/>
              <w:textAlignment w:val="center"/>
            </w:pPr>
            <w:r>
              <w:rPr>
                <w:rFonts w:ascii="Arial" w:eastAsia="宋体" w:hAnsi="Arial" w:cs="Arial"/>
                <w:color w:val="0068B5"/>
                <w:sz w:val="18"/>
                <w:szCs w:val="18"/>
              </w:rPr>
              <w:t>Part II</w:t>
            </w:r>
          </w:p>
        </w:tc>
        <w:tc>
          <w:tcPr>
            <w:tcW w:w="0" w:type="auto"/>
            <w:gridSpan w:val="3"/>
            <w:shd w:val="clear" w:color="auto" w:fill="auto"/>
            <w:tcMar>
              <w:top w:w="0" w:type="dxa"/>
              <w:left w:w="20" w:type="dxa"/>
              <w:bottom w:w="0" w:type="dxa"/>
              <w:right w:w="20" w:type="dxa"/>
            </w:tcMar>
            <w:vAlign w:val="bottom"/>
          </w:tcPr>
          <w:p w14:paraId="67538B3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40" w14:textId="77777777" w:rsidR="001B77DD" w:rsidRDefault="001B77DD">
            <w:pPr>
              <w:rPr>
                <w:rFonts w:ascii="宋体"/>
              </w:rPr>
            </w:pPr>
          </w:p>
        </w:tc>
      </w:tr>
      <w:tr w:rsidR="001B77DD" w14:paraId="67538B45" w14:textId="77777777">
        <w:tc>
          <w:tcPr>
            <w:tcW w:w="0" w:type="auto"/>
            <w:gridSpan w:val="3"/>
            <w:shd w:val="clear" w:color="auto" w:fill="auto"/>
            <w:tcMar>
              <w:top w:w="40" w:type="dxa"/>
              <w:left w:w="20" w:type="dxa"/>
              <w:bottom w:w="40" w:type="dxa"/>
              <w:right w:w="20" w:type="dxa"/>
            </w:tcMar>
            <w:vAlign w:val="center"/>
          </w:tcPr>
          <w:p w14:paraId="67538B42" w14:textId="77777777" w:rsidR="001B77DD" w:rsidRDefault="00BF0A28">
            <w:pPr>
              <w:spacing w:after="100"/>
              <w:textAlignment w:val="center"/>
            </w:pPr>
            <w:r>
              <w:rPr>
                <w:rFonts w:ascii="Arial" w:eastAsia="宋体" w:hAnsi="Arial" w:cs="Arial"/>
                <w:color w:val="262626"/>
                <w:sz w:val="18"/>
                <w:szCs w:val="18"/>
              </w:rPr>
              <w:t>Item 5.</w:t>
            </w:r>
          </w:p>
        </w:tc>
        <w:tc>
          <w:tcPr>
            <w:tcW w:w="0" w:type="auto"/>
            <w:gridSpan w:val="3"/>
            <w:shd w:val="clear" w:color="auto" w:fill="auto"/>
            <w:tcMar>
              <w:top w:w="40" w:type="dxa"/>
              <w:left w:w="20" w:type="dxa"/>
              <w:bottom w:w="40" w:type="dxa"/>
              <w:right w:w="20" w:type="dxa"/>
            </w:tcMar>
            <w:vAlign w:val="center"/>
          </w:tcPr>
          <w:p w14:paraId="67538B43" w14:textId="77777777" w:rsidR="001B77DD" w:rsidRDefault="00BF0A28">
            <w:pPr>
              <w:textAlignment w:val="center"/>
            </w:pPr>
            <w:r>
              <w:rPr>
                <w:rFonts w:ascii="Arial" w:eastAsia="宋体" w:hAnsi="Arial" w:cs="Arial"/>
                <w:color w:val="262626"/>
                <w:sz w:val="18"/>
                <w:szCs w:val="18"/>
              </w:rPr>
              <w:t>Market for Registrant's Common Equity, Related Stockholder Matters, and Issuer Purchases of Equity Securities</w:t>
            </w:r>
          </w:p>
        </w:tc>
        <w:tc>
          <w:tcPr>
            <w:tcW w:w="0" w:type="auto"/>
            <w:gridSpan w:val="3"/>
            <w:shd w:val="clear" w:color="auto" w:fill="auto"/>
            <w:tcMar>
              <w:top w:w="40" w:type="dxa"/>
              <w:left w:w="20" w:type="dxa"/>
              <w:bottom w:w="40" w:type="dxa"/>
              <w:right w:w="20" w:type="dxa"/>
            </w:tcMar>
            <w:vAlign w:val="center"/>
          </w:tcPr>
          <w:p w14:paraId="67538B44" w14:textId="77777777" w:rsidR="001B77DD" w:rsidRDefault="00BF0A28">
            <w:pPr>
              <w:jc w:val="center"/>
              <w:textAlignment w:val="center"/>
            </w:pPr>
            <w:r>
              <w:rPr>
                <w:rFonts w:ascii="Arial" w:eastAsia="宋体" w:hAnsi="Arial" w:cs="Arial"/>
                <w:color w:val="262626"/>
                <w:sz w:val="18"/>
                <w:szCs w:val="18"/>
              </w:rPr>
              <w:t xml:space="preserve">Pages </w:t>
            </w:r>
            <w:hyperlink r:id="rId297" w:anchor="i6c9ced68f6b24d58a3dcf326e8c3c699_1099511631927" w:history="1">
              <w:r>
                <w:rPr>
                  <w:rStyle w:val="a5"/>
                  <w:rFonts w:ascii="Arial" w:eastAsia="宋体" w:hAnsi="Arial" w:cs="Arial"/>
                  <w:color w:val="262626"/>
                  <w:sz w:val="18"/>
                  <w:szCs w:val="18"/>
                </w:rPr>
                <w:t>9</w:t>
              </w:r>
            </w:hyperlink>
            <w:r>
              <w:rPr>
                <w:rFonts w:ascii="Arial" w:eastAsia="宋体" w:hAnsi="Arial" w:cs="Arial"/>
                <w:color w:val="262626"/>
                <w:sz w:val="18"/>
                <w:szCs w:val="18"/>
              </w:rPr>
              <w:t xml:space="preserve">, </w:t>
            </w:r>
            <w:hyperlink r:id="rId298" w:anchor="i6c9ced68f6b24d58a3dcf326e8c3c699_220" w:history="1">
              <w:r>
                <w:rPr>
                  <w:rStyle w:val="a5"/>
                  <w:rFonts w:ascii="Arial" w:eastAsia="宋体" w:hAnsi="Arial" w:cs="Arial"/>
                  <w:color w:val="262626"/>
                  <w:sz w:val="18"/>
                  <w:szCs w:val="18"/>
                </w:rPr>
                <w:t>64</w:t>
              </w:r>
            </w:hyperlink>
            <w:r>
              <w:rPr>
                <w:rFonts w:ascii="Arial" w:eastAsia="宋体" w:hAnsi="Arial" w:cs="Arial"/>
                <w:color w:val="262626"/>
                <w:sz w:val="18"/>
                <w:szCs w:val="18"/>
              </w:rPr>
              <w:t>-</w:t>
            </w:r>
            <w:hyperlink r:id="rId299" w:anchor="i6c9ced68f6b24d58a3dcf326e8c3c699_226" w:history="1">
              <w:r>
                <w:rPr>
                  <w:rStyle w:val="a5"/>
                  <w:rFonts w:ascii="Arial" w:eastAsia="宋体" w:hAnsi="Arial" w:cs="Arial"/>
                  <w:color w:val="262626"/>
                  <w:sz w:val="18"/>
                  <w:szCs w:val="18"/>
                </w:rPr>
                <w:t>65</w:t>
              </w:r>
            </w:hyperlink>
          </w:p>
        </w:tc>
      </w:tr>
      <w:tr w:rsidR="001B77DD" w14:paraId="67538B49" w14:textId="77777777">
        <w:tc>
          <w:tcPr>
            <w:tcW w:w="0" w:type="auto"/>
            <w:gridSpan w:val="3"/>
            <w:shd w:val="clear" w:color="auto" w:fill="auto"/>
            <w:tcMar>
              <w:top w:w="40" w:type="dxa"/>
              <w:left w:w="20" w:type="dxa"/>
              <w:bottom w:w="40" w:type="dxa"/>
              <w:right w:w="20" w:type="dxa"/>
            </w:tcMar>
            <w:vAlign w:val="center"/>
          </w:tcPr>
          <w:p w14:paraId="67538B46" w14:textId="77777777" w:rsidR="001B77DD" w:rsidRDefault="00BF0A28">
            <w:pPr>
              <w:textAlignment w:val="center"/>
            </w:pPr>
            <w:r>
              <w:rPr>
                <w:rFonts w:ascii="Arial" w:eastAsia="宋体" w:hAnsi="Arial" w:cs="Arial"/>
                <w:color w:val="262626"/>
                <w:sz w:val="18"/>
                <w:szCs w:val="18"/>
              </w:rPr>
              <w:t>Item 6.</w:t>
            </w:r>
          </w:p>
        </w:tc>
        <w:tc>
          <w:tcPr>
            <w:tcW w:w="0" w:type="auto"/>
            <w:gridSpan w:val="3"/>
            <w:shd w:val="clear" w:color="auto" w:fill="auto"/>
            <w:tcMar>
              <w:top w:w="40" w:type="dxa"/>
              <w:left w:w="20" w:type="dxa"/>
              <w:bottom w:w="40" w:type="dxa"/>
              <w:right w:w="20" w:type="dxa"/>
            </w:tcMar>
            <w:vAlign w:val="center"/>
          </w:tcPr>
          <w:p w14:paraId="67538B47" w14:textId="77777777" w:rsidR="001B77DD" w:rsidRDefault="00BF0A28">
            <w:pPr>
              <w:textAlignment w:val="center"/>
            </w:pPr>
            <w:r>
              <w:rPr>
                <w:rFonts w:ascii="Arial" w:eastAsia="宋体" w:hAnsi="Arial" w:cs="Arial"/>
                <w:color w:val="262626"/>
                <w:sz w:val="18"/>
                <w:szCs w:val="18"/>
              </w:rPr>
              <w:t>[Reserved]</w:t>
            </w:r>
          </w:p>
        </w:tc>
        <w:tc>
          <w:tcPr>
            <w:tcW w:w="0" w:type="auto"/>
            <w:gridSpan w:val="3"/>
            <w:shd w:val="clear" w:color="auto" w:fill="auto"/>
            <w:tcMar>
              <w:top w:w="0" w:type="dxa"/>
              <w:left w:w="20" w:type="dxa"/>
              <w:bottom w:w="0" w:type="dxa"/>
              <w:right w:w="20" w:type="dxa"/>
            </w:tcMar>
            <w:vAlign w:val="bottom"/>
          </w:tcPr>
          <w:p w14:paraId="67538B48" w14:textId="77777777" w:rsidR="001B77DD" w:rsidRDefault="001B77DD">
            <w:pPr>
              <w:rPr>
                <w:rFonts w:ascii="宋体"/>
              </w:rPr>
            </w:pPr>
          </w:p>
        </w:tc>
      </w:tr>
      <w:tr w:rsidR="001B77DD" w14:paraId="67538B4D" w14:textId="77777777">
        <w:tc>
          <w:tcPr>
            <w:tcW w:w="0" w:type="auto"/>
            <w:gridSpan w:val="3"/>
            <w:shd w:val="clear" w:color="auto" w:fill="auto"/>
            <w:tcMar>
              <w:top w:w="40" w:type="dxa"/>
              <w:left w:w="20" w:type="dxa"/>
              <w:bottom w:w="40" w:type="dxa"/>
              <w:right w:w="20" w:type="dxa"/>
            </w:tcMar>
            <w:vAlign w:val="center"/>
          </w:tcPr>
          <w:p w14:paraId="67538B4A" w14:textId="77777777" w:rsidR="001B77DD" w:rsidRDefault="00BF0A28">
            <w:pPr>
              <w:textAlignment w:val="center"/>
            </w:pPr>
            <w:r>
              <w:rPr>
                <w:rFonts w:ascii="Arial" w:eastAsia="宋体" w:hAnsi="Arial" w:cs="Arial"/>
                <w:color w:val="262626"/>
                <w:sz w:val="18"/>
                <w:szCs w:val="18"/>
              </w:rPr>
              <w:t>Item 7.</w:t>
            </w:r>
          </w:p>
        </w:tc>
        <w:tc>
          <w:tcPr>
            <w:tcW w:w="0" w:type="auto"/>
            <w:gridSpan w:val="3"/>
            <w:shd w:val="clear" w:color="auto" w:fill="auto"/>
            <w:tcMar>
              <w:top w:w="40" w:type="dxa"/>
              <w:left w:w="20" w:type="dxa"/>
              <w:bottom w:w="40" w:type="dxa"/>
              <w:right w:w="20" w:type="dxa"/>
            </w:tcMar>
            <w:vAlign w:val="center"/>
          </w:tcPr>
          <w:p w14:paraId="67538B4B" w14:textId="77777777" w:rsidR="001B77DD" w:rsidRDefault="00BF0A28">
            <w:pPr>
              <w:textAlignment w:val="center"/>
            </w:pPr>
            <w:r>
              <w:rPr>
                <w:rFonts w:ascii="Arial" w:eastAsia="宋体" w:hAnsi="Arial" w:cs="Arial"/>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vAlign w:val="bottom"/>
          </w:tcPr>
          <w:p w14:paraId="67538B4C" w14:textId="77777777" w:rsidR="001B77DD" w:rsidRDefault="001B77DD">
            <w:pPr>
              <w:rPr>
                <w:rFonts w:ascii="宋体"/>
              </w:rPr>
            </w:pPr>
          </w:p>
        </w:tc>
      </w:tr>
      <w:tr w:rsidR="001B77DD" w14:paraId="67538B51" w14:textId="77777777">
        <w:tc>
          <w:tcPr>
            <w:tcW w:w="0" w:type="auto"/>
            <w:gridSpan w:val="3"/>
            <w:shd w:val="clear" w:color="auto" w:fill="auto"/>
            <w:tcMar>
              <w:top w:w="0" w:type="dxa"/>
              <w:left w:w="20" w:type="dxa"/>
              <w:bottom w:w="0" w:type="dxa"/>
              <w:right w:w="20" w:type="dxa"/>
            </w:tcMar>
            <w:vAlign w:val="bottom"/>
          </w:tcPr>
          <w:p w14:paraId="67538B4E" w14:textId="77777777" w:rsidR="001B77DD" w:rsidRDefault="001B77DD">
            <w:pPr>
              <w:rPr>
                <w:rFonts w:ascii="宋体"/>
              </w:rPr>
            </w:pPr>
          </w:p>
        </w:tc>
        <w:tc>
          <w:tcPr>
            <w:tcW w:w="0" w:type="auto"/>
            <w:gridSpan w:val="3"/>
            <w:shd w:val="clear" w:color="auto" w:fill="auto"/>
            <w:tcMar>
              <w:top w:w="40" w:type="dxa"/>
              <w:left w:w="245" w:type="dxa"/>
              <w:bottom w:w="40" w:type="dxa"/>
              <w:right w:w="20" w:type="dxa"/>
            </w:tcMar>
            <w:vAlign w:val="center"/>
          </w:tcPr>
          <w:p w14:paraId="67538B4F" w14:textId="77777777" w:rsidR="001B77DD" w:rsidRDefault="00BF0A28">
            <w:pPr>
              <w:textAlignment w:val="center"/>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67538B50" w14:textId="77777777" w:rsidR="001B77DD" w:rsidRDefault="00BF0A28">
            <w:pPr>
              <w:jc w:val="center"/>
              <w:textAlignment w:val="center"/>
            </w:pPr>
            <w:r>
              <w:rPr>
                <w:rFonts w:ascii="Arial" w:eastAsia="宋体" w:hAnsi="Arial" w:cs="Arial"/>
                <w:color w:val="262626"/>
                <w:sz w:val="18"/>
                <w:szCs w:val="18"/>
              </w:rPr>
              <w:t xml:space="preserve">Pages </w:t>
            </w:r>
            <w:hyperlink r:id="rId300" w:anchor="i6c9ced68f6b24d58a3dcf326e8c3c699_28" w:history="1">
              <w:r>
                <w:rPr>
                  <w:rStyle w:val="a5"/>
                  <w:rFonts w:ascii="Arial" w:eastAsia="宋体" w:hAnsi="Arial" w:cs="Arial"/>
                  <w:color w:val="262626"/>
                  <w:sz w:val="18"/>
                  <w:szCs w:val="18"/>
                </w:rPr>
                <w:t>4</w:t>
              </w:r>
            </w:hyperlink>
            <w:r>
              <w:rPr>
                <w:rFonts w:ascii="Arial" w:eastAsia="宋体" w:hAnsi="Arial" w:cs="Arial"/>
                <w:color w:val="262626"/>
                <w:sz w:val="18"/>
                <w:szCs w:val="18"/>
              </w:rPr>
              <w:t>-</w:t>
            </w:r>
            <w:hyperlink r:id="rId301" w:anchor="i6c9ced68f6b24d58a3dcf326e8c3c699_31" w:history="1">
              <w:r>
                <w:rPr>
                  <w:rStyle w:val="a5"/>
                  <w:rFonts w:ascii="Arial" w:eastAsia="宋体" w:hAnsi="Arial" w:cs="Arial"/>
                  <w:color w:val="262626"/>
                  <w:sz w:val="18"/>
                  <w:szCs w:val="18"/>
                </w:rPr>
                <w:t>5</w:t>
              </w:r>
            </w:hyperlink>
            <w:r>
              <w:rPr>
                <w:rFonts w:ascii="Arial" w:eastAsia="宋体" w:hAnsi="Arial" w:cs="Arial"/>
                <w:color w:val="262626"/>
                <w:sz w:val="18"/>
                <w:szCs w:val="18"/>
              </w:rPr>
              <w:t xml:space="preserve">, </w:t>
            </w:r>
            <w:hyperlink r:id="rId302" w:anchor="i6c9ced68f6b24d58a3dcf326e8c3c699_67" w:history="1">
              <w:r>
                <w:rPr>
                  <w:rStyle w:val="a5"/>
                  <w:rFonts w:ascii="Arial" w:eastAsia="宋体" w:hAnsi="Arial" w:cs="Arial"/>
                  <w:color w:val="262626"/>
                  <w:sz w:val="18"/>
                  <w:szCs w:val="18"/>
                </w:rPr>
                <w:t>18</w:t>
              </w:r>
            </w:hyperlink>
            <w:r>
              <w:rPr>
                <w:rFonts w:ascii="Arial" w:eastAsia="宋体" w:hAnsi="Arial" w:cs="Arial"/>
                <w:color w:val="262626"/>
                <w:sz w:val="18"/>
                <w:szCs w:val="18"/>
              </w:rPr>
              <w:t>-</w:t>
            </w:r>
            <w:hyperlink r:id="rId303" w:anchor="i6c9ced68f6b24d58a3dcf326e8c3c699_4381" w:history="1">
              <w:r>
                <w:rPr>
                  <w:rStyle w:val="a5"/>
                  <w:rFonts w:ascii="Arial" w:eastAsia="宋体" w:hAnsi="Arial" w:cs="Arial"/>
                  <w:color w:val="262626"/>
                  <w:sz w:val="18"/>
                  <w:szCs w:val="18"/>
                </w:rPr>
                <w:t>42</w:t>
              </w:r>
            </w:hyperlink>
            <w:r>
              <w:rPr>
                <w:rFonts w:ascii="Arial" w:eastAsia="宋体" w:hAnsi="Arial" w:cs="Arial"/>
                <w:color w:val="262626"/>
                <w:sz w:val="18"/>
                <w:szCs w:val="18"/>
              </w:rPr>
              <w:t xml:space="preserve">, </w:t>
            </w:r>
            <w:hyperlink r:id="rId304" w:anchor="i6c9ced68f6b24d58a3dcf326e8c3c699_14293651165196" w:history="1">
              <w:r>
                <w:rPr>
                  <w:rStyle w:val="a5"/>
                  <w:rFonts w:ascii="Arial" w:eastAsia="宋体" w:hAnsi="Arial" w:cs="Arial"/>
                  <w:color w:val="262626"/>
                  <w:sz w:val="18"/>
                  <w:szCs w:val="18"/>
                </w:rPr>
                <w:t>45</w:t>
              </w:r>
            </w:hyperlink>
            <w:r>
              <w:rPr>
                <w:rFonts w:ascii="Arial" w:eastAsia="宋体" w:hAnsi="Arial" w:cs="Arial"/>
                <w:color w:val="262626"/>
                <w:sz w:val="18"/>
                <w:szCs w:val="18"/>
              </w:rPr>
              <w:t>-</w:t>
            </w:r>
            <w:hyperlink r:id="rId305" w:anchor="i6c9ced68f6b24d58a3dcf326e8c3c699_193" w:history="1">
              <w:r>
                <w:rPr>
                  <w:rStyle w:val="a5"/>
                  <w:rFonts w:ascii="Arial" w:eastAsia="宋体" w:hAnsi="Arial" w:cs="Arial"/>
                  <w:color w:val="262626"/>
                  <w:sz w:val="18"/>
                  <w:szCs w:val="18"/>
                </w:rPr>
                <w:t>47</w:t>
              </w:r>
            </w:hyperlink>
          </w:p>
        </w:tc>
      </w:tr>
      <w:tr w:rsidR="001B77DD" w14:paraId="67538B55" w14:textId="77777777">
        <w:tc>
          <w:tcPr>
            <w:tcW w:w="0" w:type="auto"/>
            <w:gridSpan w:val="3"/>
            <w:shd w:val="clear" w:color="auto" w:fill="auto"/>
            <w:tcMar>
              <w:top w:w="0" w:type="dxa"/>
              <w:left w:w="20" w:type="dxa"/>
              <w:bottom w:w="0" w:type="dxa"/>
              <w:right w:w="20" w:type="dxa"/>
            </w:tcMar>
            <w:vAlign w:val="bottom"/>
          </w:tcPr>
          <w:p w14:paraId="67538B52" w14:textId="77777777" w:rsidR="001B77DD" w:rsidRDefault="001B77DD">
            <w:pPr>
              <w:rPr>
                <w:rFonts w:ascii="宋体"/>
              </w:rPr>
            </w:pPr>
          </w:p>
        </w:tc>
        <w:tc>
          <w:tcPr>
            <w:tcW w:w="0" w:type="auto"/>
            <w:gridSpan w:val="3"/>
            <w:shd w:val="clear" w:color="auto" w:fill="auto"/>
            <w:tcMar>
              <w:top w:w="40" w:type="dxa"/>
              <w:left w:w="245" w:type="dxa"/>
              <w:bottom w:w="40" w:type="dxa"/>
              <w:right w:w="20" w:type="dxa"/>
            </w:tcMar>
            <w:vAlign w:val="center"/>
          </w:tcPr>
          <w:p w14:paraId="67538B53" w14:textId="77777777" w:rsidR="001B77DD" w:rsidRDefault="00BF0A28">
            <w:pPr>
              <w:textAlignment w:val="center"/>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67538B54" w14:textId="77777777" w:rsidR="001B77DD" w:rsidRDefault="00BF0A28">
            <w:pPr>
              <w:jc w:val="center"/>
              <w:textAlignment w:val="center"/>
            </w:pPr>
            <w:r>
              <w:rPr>
                <w:rFonts w:ascii="Arial" w:eastAsia="宋体" w:hAnsi="Arial" w:cs="Arial"/>
                <w:color w:val="262626"/>
                <w:sz w:val="18"/>
                <w:szCs w:val="18"/>
              </w:rPr>
              <w:t xml:space="preserve">Pages </w:t>
            </w:r>
            <w:hyperlink r:id="rId306" w:anchor="i6c9ced68f6b24d58a3dcf326e8c3c699_28" w:history="1">
              <w:r>
                <w:rPr>
                  <w:rStyle w:val="a5"/>
                  <w:rFonts w:ascii="Arial" w:eastAsia="宋体" w:hAnsi="Arial" w:cs="Arial"/>
                  <w:color w:val="262626"/>
                  <w:sz w:val="18"/>
                  <w:szCs w:val="18"/>
                </w:rPr>
                <w:t>4</w:t>
              </w:r>
            </w:hyperlink>
            <w:r>
              <w:rPr>
                <w:rFonts w:ascii="Arial" w:eastAsia="宋体" w:hAnsi="Arial" w:cs="Arial"/>
                <w:color w:val="262626"/>
                <w:sz w:val="18"/>
                <w:szCs w:val="18"/>
              </w:rPr>
              <w:t>-</w:t>
            </w:r>
            <w:hyperlink r:id="rId307" w:anchor="i6c9ced68f6b24d58a3dcf326e8c3c699_31" w:history="1">
              <w:r>
                <w:rPr>
                  <w:rStyle w:val="a5"/>
                  <w:rFonts w:ascii="Arial" w:eastAsia="宋体" w:hAnsi="Arial" w:cs="Arial"/>
                  <w:color w:val="262626"/>
                  <w:sz w:val="18"/>
                  <w:szCs w:val="18"/>
                </w:rPr>
                <w:t>5</w:t>
              </w:r>
            </w:hyperlink>
            <w:r>
              <w:rPr>
                <w:rFonts w:ascii="Arial" w:eastAsia="宋体" w:hAnsi="Arial" w:cs="Arial"/>
                <w:color w:val="262626"/>
                <w:sz w:val="18"/>
                <w:szCs w:val="18"/>
              </w:rPr>
              <w:t xml:space="preserve">, </w:t>
            </w:r>
            <w:hyperlink r:id="rId308" w:anchor="i6c9ced68f6b24d58a3dcf326e8c3c699_175" w:history="1">
              <w:r>
                <w:rPr>
                  <w:rStyle w:val="a5"/>
                  <w:rFonts w:ascii="Arial" w:eastAsia="宋体" w:hAnsi="Arial" w:cs="Arial"/>
                  <w:color w:val="262626"/>
                  <w:sz w:val="18"/>
                  <w:szCs w:val="18"/>
                </w:rPr>
                <w:t>42</w:t>
              </w:r>
            </w:hyperlink>
            <w:r>
              <w:rPr>
                <w:rFonts w:ascii="Arial" w:eastAsia="宋体" w:hAnsi="Arial" w:cs="Arial"/>
                <w:color w:val="262626"/>
                <w:sz w:val="18"/>
                <w:szCs w:val="18"/>
              </w:rPr>
              <w:t>-</w:t>
            </w:r>
            <w:hyperlink r:id="rId309" w:anchor="i6c9ced68f6b24d58a3dcf326e8c3c699_208" w:history="1">
              <w:r>
                <w:rPr>
                  <w:rStyle w:val="a5"/>
                  <w:rFonts w:ascii="Arial" w:eastAsia="宋体" w:hAnsi="Arial" w:cs="Arial"/>
                  <w:color w:val="262626"/>
                  <w:sz w:val="18"/>
                  <w:szCs w:val="18"/>
                </w:rPr>
                <w:t>44</w:t>
              </w:r>
            </w:hyperlink>
            <w:r>
              <w:rPr>
                <w:rFonts w:ascii="Arial" w:eastAsia="宋体" w:hAnsi="Arial" w:cs="Arial"/>
                <w:color w:val="262626"/>
                <w:sz w:val="18"/>
                <w:szCs w:val="18"/>
              </w:rPr>
              <w:t xml:space="preserve">, </w:t>
            </w:r>
            <w:hyperlink r:id="rId310" w:anchor="i6c9ced68f6b24d58a3dcf326e8c3c699_14293651165196" w:history="1">
              <w:r>
                <w:rPr>
                  <w:rStyle w:val="a5"/>
                  <w:rFonts w:ascii="Arial" w:eastAsia="宋体" w:hAnsi="Arial" w:cs="Arial"/>
                  <w:color w:val="262626"/>
                  <w:sz w:val="18"/>
                  <w:szCs w:val="18"/>
                </w:rPr>
                <w:t>45</w:t>
              </w:r>
            </w:hyperlink>
            <w:r>
              <w:rPr>
                <w:rFonts w:ascii="Arial" w:eastAsia="宋体" w:hAnsi="Arial" w:cs="Arial"/>
                <w:color w:val="262626"/>
                <w:sz w:val="18"/>
                <w:szCs w:val="18"/>
                <w:u w:val="single"/>
              </w:rPr>
              <w:t>-</w:t>
            </w:r>
            <w:hyperlink r:id="rId311" w:anchor="i6c9ced68f6b24d58a3dcf326e8c3c699_193" w:history="1">
              <w:r>
                <w:rPr>
                  <w:rStyle w:val="a5"/>
                  <w:rFonts w:ascii="Arial" w:eastAsia="宋体" w:hAnsi="Arial" w:cs="Arial"/>
                  <w:color w:val="262626"/>
                  <w:sz w:val="18"/>
                  <w:szCs w:val="18"/>
                </w:rPr>
                <w:t>47</w:t>
              </w:r>
            </w:hyperlink>
          </w:p>
        </w:tc>
      </w:tr>
      <w:tr w:rsidR="001B77DD" w14:paraId="67538B59" w14:textId="77777777">
        <w:trPr>
          <w:hidden/>
        </w:trPr>
        <w:tc>
          <w:tcPr>
            <w:tcW w:w="0" w:type="auto"/>
            <w:gridSpan w:val="3"/>
            <w:shd w:val="clear" w:color="auto" w:fill="auto"/>
            <w:vAlign w:val="bottom"/>
          </w:tcPr>
          <w:p w14:paraId="67538B56" w14:textId="77777777" w:rsidR="001B77DD" w:rsidRDefault="001B77DD">
            <w:pPr>
              <w:rPr>
                <w:rFonts w:ascii="宋体"/>
                <w:vanish/>
              </w:rPr>
            </w:pPr>
          </w:p>
        </w:tc>
        <w:tc>
          <w:tcPr>
            <w:tcW w:w="0" w:type="auto"/>
            <w:gridSpan w:val="3"/>
            <w:shd w:val="clear" w:color="auto" w:fill="auto"/>
            <w:vAlign w:val="bottom"/>
          </w:tcPr>
          <w:p w14:paraId="67538B57" w14:textId="77777777" w:rsidR="001B77DD" w:rsidRDefault="001B77DD">
            <w:pPr>
              <w:rPr>
                <w:rFonts w:ascii="宋体"/>
                <w:vanish/>
              </w:rPr>
            </w:pPr>
          </w:p>
        </w:tc>
        <w:tc>
          <w:tcPr>
            <w:tcW w:w="0" w:type="auto"/>
            <w:gridSpan w:val="3"/>
            <w:shd w:val="clear" w:color="auto" w:fill="auto"/>
            <w:vAlign w:val="bottom"/>
          </w:tcPr>
          <w:p w14:paraId="67538B58" w14:textId="77777777" w:rsidR="001B77DD" w:rsidRDefault="001B77DD">
            <w:pPr>
              <w:rPr>
                <w:rFonts w:ascii="宋体"/>
                <w:vanish/>
              </w:rPr>
            </w:pPr>
          </w:p>
        </w:tc>
      </w:tr>
      <w:tr w:rsidR="001B77DD" w14:paraId="67538B5D" w14:textId="77777777">
        <w:trPr>
          <w:hidden/>
        </w:trPr>
        <w:tc>
          <w:tcPr>
            <w:tcW w:w="0" w:type="auto"/>
            <w:gridSpan w:val="3"/>
            <w:shd w:val="clear" w:color="auto" w:fill="auto"/>
            <w:vAlign w:val="bottom"/>
          </w:tcPr>
          <w:p w14:paraId="67538B5A" w14:textId="77777777" w:rsidR="001B77DD" w:rsidRDefault="001B77DD">
            <w:pPr>
              <w:rPr>
                <w:rFonts w:ascii="宋体"/>
                <w:vanish/>
              </w:rPr>
            </w:pPr>
          </w:p>
        </w:tc>
        <w:tc>
          <w:tcPr>
            <w:tcW w:w="0" w:type="auto"/>
            <w:gridSpan w:val="3"/>
            <w:shd w:val="clear" w:color="auto" w:fill="auto"/>
            <w:vAlign w:val="bottom"/>
          </w:tcPr>
          <w:p w14:paraId="67538B5B" w14:textId="77777777" w:rsidR="001B77DD" w:rsidRDefault="001B77DD">
            <w:pPr>
              <w:rPr>
                <w:rFonts w:ascii="宋体"/>
                <w:vanish/>
              </w:rPr>
            </w:pPr>
          </w:p>
        </w:tc>
        <w:tc>
          <w:tcPr>
            <w:tcW w:w="0" w:type="auto"/>
            <w:gridSpan w:val="3"/>
            <w:shd w:val="clear" w:color="auto" w:fill="auto"/>
            <w:vAlign w:val="bottom"/>
          </w:tcPr>
          <w:p w14:paraId="67538B5C" w14:textId="77777777" w:rsidR="001B77DD" w:rsidRDefault="001B77DD">
            <w:pPr>
              <w:rPr>
                <w:rFonts w:ascii="宋体"/>
                <w:vanish/>
              </w:rPr>
            </w:pPr>
          </w:p>
        </w:tc>
      </w:tr>
      <w:tr w:rsidR="001B77DD" w14:paraId="67538B61" w14:textId="77777777">
        <w:trPr>
          <w:hidden/>
        </w:trPr>
        <w:tc>
          <w:tcPr>
            <w:tcW w:w="0" w:type="auto"/>
            <w:gridSpan w:val="3"/>
            <w:shd w:val="clear" w:color="auto" w:fill="auto"/>
            <w:vAlign w:val="bottom"/>
          </w:tcPr>
          <w:p w14:paraId="67538B5E" w14:textId="77777777" w:rsidR="001B77DD" w:rsidRDefault="001B77DD">
            <w:pPr>
              <w:rPr>
                <w:rFonts w:ascii="宋体"/>
                <w:vanish/>
              </w:rPr>
            </w:pPr>
          </w:p>
        </w:tc>
        <w:tc>
          <w:tcPr>
            <w:tcW w:w="0" w:type="auto"/>
            <w:gridSpan w:val="3"/>
            <w:shd w:val="clear" w:color="auto" w:fill="auto"/>
            <w:vAlign w:val="bottom"/>
          </w:tcPr>
          <w:p w14:paraId="67538B5F" w14:textId="77777777" w:rsidR="001B77DD" w:rsidRDefault="001B77DD">
            <w:pPr>
              <w:rPr>
                <w:rFonts w:ascii="宋体"/>
                <w:vanish/>
              </w:rPr>
            </w:pPr>
          </w:p>
        </w:tc>
        <w:tc>
          <w:tcPr>
            <w:tcW w:w="0" w:type="auto"/>
            <w:gridSpan w:val="3"/>
            <w:shd w:val="clear" w:color="auto" w:fill="auto"/>
            <w:vAlign w:val="bottom"/>
          </w:tcPr>
          <w:p w14:paraId="67538B60" w14:textId="77777777" w:rsidR="001B77DD" w:rsidRDefault="001B77DD">
            <w:pPr>
              <w:rPr>
                <w:rFonts w:ascii="宋体"/>
                <w:vanish/>
              </w:rPr>
            </w:pPr>
          </w:p>
        </w:tc>
      </w:tr>
      <w:tr w:rsidR="001B77DD" w14:paraId="67538B65" w14:textId="77777777">
        <w:tc>
          <w:tcPr>
            <w:tcW w:w="0" w:type="auto"/>
            <w:gridSpan w:val="3"/>
            <w:shd w:val="clear" w:color="auto" w:fill="auto"/>
            <w:tcMar>
              <w:top w:w="0" w:type="dxa"/>
              <w:left w:w="20" w:type="dxa"/>
              <w:bottom w:w="0" w:type="dxa"/>
              <w:right w:w="20" w:type="dxa"/>
            </w:tcMar>
            <w:vAlign w:val="bottom"/>
          </w:tcPr>
          <w:p w14:paraId="67538B62" w14:textId="77777777" w:rsidR="001B77DD" w:rsidRDefault="001B77DD">
            <w:pPr>
              <w:rPr>
                <w:rFonts w:ascii="宋体"/>
              </w:rPr>
            </w:pPr>
          </w:p>
        </w:tc>
        <w:tc>
          <w:tcPr>
            <w:tcW w:w="0" w:type="auto"/>
            <w:gridSpan w:val="3"/>
            <w:shd w:val="clear" w:color="auto" w:fill="auto"/>
            <w:tcMar>
              <w:top w:w="40" w:type="dxa"/>
              <w:left w:w="245" w:type="dxa"/>
              <w:bottom w:w="40" w:type="dxa"/>
              <w:right w:w="20" w:type="dxa"/>
            </w:tcMar>
            <w:vAlign w:val="center"/>
          </w:tcPr>
          <w:p w14:paraId="67538B63" w14:textId="77777777" w:rsidR="001B77DD" w:rsidRDefault="00BF0A28">
            <w:pPr>
              <w:textAlignment w:val="center"/>
            </w:pPr>
            <w:r>
              <w:rPr>
                <w:rFonts w:ascii="Arial" w:eastAsia="宋体" w:hAnsi="Arial" w:cs="Arial"/>
                <w:color w:val="262626"/>
                <w:sz w:val="18"/>
                <w:szCs w:val="18"/>
              </w:rPr>
              <w:t>Critical accounting estimates and policies</w:t>
            </w:r>
          </w:p>
        </w:tc>
        <w:tc>
          <w:tcPr>
            <w:tcW w:w="0" w:type="auto"/>
            <w:gridSpan w:val="3"/>
            <w:shd w:val="clear" w:color="auto" w:fill="auto"/>
            <w:tcMar>
              <w:top w:w="40" w:type="dxa"/>
              <w:left w:w="20" w:type="dxa"/>
              <w:bottom w:w="40" w:type="dxa"/>
              <w:right w:w="20" w:type="dxa"/>
            </w:tcMar>
            <w:vAlign w:val="center"/>
          </w:tcPr>
          <w:p w14:paraId="67538B64" w14:textId="77777777" w:rsidR="001B77DD" w:rsidRDefault="00BF0A28">
            <w:pPr>
              <w:jc w:val="center"/>
              <w:textAlignment w:val="center"/>
            </w:pPr>
            <w:r>
              <w:rPr>
                <w:rFonts w:ascii="Arial" w:eastAsia="宋体" w:hAnsi="Arial" w:cs="Arial"/>
                <w:color w:val="262626"/>
                <w:sz w:val="18"/>
                <w:szCs w:val="18"/>
              </w:rPr>
              <w:t xml:space="preserve">Pages </w:t>
            </w:r>
            <w:hyperlink r:id="rId312" w:anchor="i6c9ced68f6b24d58a3dcf326e8c3c699_208" w:history="1">
              <w:r>
                <w:rPr>
                  <w:rStyle w:val="a5"/>
                  <w:rFonts w:ascii="Arial" w:eastAsia="宋体" w:hAnsi="Arial" w:cs="Arial"/>
                  <w:color w:val="262626"/>
                  <w:sz w:val="18"/>
                  <w:szCs w:val="18"/>
                </w:rPr>
                <w:t>44</w:t>
              </w:r>
            </w:hyperlink>
            <w:r>
              <w:rPr>
                <w:rFonts w:ascii="Arial" w:eastAsia="宋体" w:hAnsi="Arial" w:cs="Arial"/>
                <w:color w:val="262626"/>
                <w:sz w:val="18"/>
                <w:szCs w:val="18"/>
              </w:rPr>
              <w:t xml:space="preserve">, </w:t>
            </w:r>
            <w:hyperlink r:id="rId313" w:anchor="i6c9ced68f6b24d58a3dcf326e8c3c699_268" w:history="1">
              <w:r>
                <w:rPr>
                  <w:rStyle w:val="a5"/>
                  <w:rFonts w:ascii="Arial" w:eastAsia="宋体" w:hAnsi="Arial" w:cs="Arial"/>
                  <w:color w:val="262626"/>
                  <w:sz w:val="18"/>
                  <w:szCs w:val="18"/>
                </w:rPr>
                <w:t>77</w:t>
              </w:r>
            </w:hyperlink>
            <w:r>
              <w:rPr>
                <w:rFonts w:ascii="Arial" w:eastAsia="宋体" w:hAnsi="Arial" w:cs="Arial"/>
                <w:color w:val="262626"/>
                <w:sz w:val="18"/>
                <w:szCs w:val="18"/>
              </w:rPr>
              <w:t>-</w:t>
            </w:r>
            <w:hyperlink r:id="rId314" w:anchor="i6c9ced68f6b24d58a3dcf326e8c3c699_343" w:history="1">
              <w:r>
                <w:rPr>
                  <w:rStyle w:val="a5"/>
                  <w:rFonts w:ascii="Arial" w:eastAsia="宋体" w:hAnsi="Arial" w:cs="Arial"/>
                  <w:color w:val="262626"/>
                  <w:sz w:val="18"/>
                  <w:szCs w:val="18"/>
                </w:rPr>
                <w:t>82</w:t>
              </w:r>
            </w:hyperlink>
          </w:p>
        </w:tc>
      </w:tr>
      <w:tr w:rsidR="001B77DD" w14:paraId="67538B69" w14:textId="77777777">
        <w:tc>
          <w:tcPr>
            <w:tcW w:w="0" w:type="auto"/>
            <w:gridSpan w:val="3"/>
            <w:shd w:val="clear" w:color="auto" w:fill="auto"/>
            <w:tcMar>
              <w:top w:w="40" w:type="dxa"/>
              <w:left w:w="20" w:type="dxa"/>
              <w:bottom w:w="40" w:type="dxa"/>
              <w:right w:w="20" w:type="dxa"/>
            </w:tcMar>
            <w:vAlign w:val="center"/>
          </w:tcPr>
          <w:p w14:paraId="67538B66" w14:textId="77777777" w:rsidR="001B77DD" w:rsidRDefault="00BF0A28">
            <w:pPr>
              <w:textAlignment w:val="center"/>
            </w:pPr>
            <w:r>
              <w:rPr>
                <w:rFonts w:ascii="Arial" w:eastAsia="宋体" w:hAnsi="Arial" w:cs="Arial"/>
                <w:color w:val="262626"/>
                <w:sz w:val="18"/>
                <w:szCs w:val="18"/>
              </w:rPr>
              <w:t>Item 7A.</w:t>
            </w:r>
          </w:p>
        </w:tc>
        <w:tc>
          <w:tcPr>
            <w:tcW w:w="0" w:type="auto"/>
            <w:gridSpan w:val="3"/>
            <w:shd w:val="clear" w:color="auto" w:fill="auto"/>
            <w:tcMar>
              <w:top w:w="40" w:type="dxa"/>
              <w:left w:w="20" w:type="dxa"/>
              <w:bottom w:w="40" w:type="dxa"/>
              <w:right w:w="20" w:type="dxa"/>
            </w:tcMar>
            <w:vAlign w:val="center"/>
          </w:tcPr>
          <w:p w14:paraId="67538B67" w14:textId="77777777" w:rsidR="001B77DD" w:rsidRDefault="00BF0A28">
            <w:pPr>
              <w:textAlignment w:val="center"/>
            </w:pPr>
            <w:r>
              <w:rPr>
                <w:rFonts w:ascii="Arial" w:eastAsia="宋体" w:hAnsi="Arial" w:cs="Arial"/>
                <w:color w:val="262626"/>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67538B68" w14:textId="77777777" w:rsidR="001B77DD" w:rsidRDefault="00BF0A28">
            <w:pPr>
              <w:jc w:val="center"/>
              <w:textAlignment w:val="center"/>
            </w:pPr>
            <w:r>
              <w:rPr>
                <w:rFonts w:ascii="Arial" w:eastAsia="宋体" w:hAnsi="Arial" w:cs="Arial"/>
                <w:color w:val="262626"/>
                <w:sz w:val="18"/>
                <w:szCs w:val="18"/>
              </w:rPr>
              <w:t xml:space="preserve">Page </w:t>
            </w:r>
            <w:hyperlink r:id="rId315" w:anchor="i6c9ced68f6b24d58a3dcf326e8c3c699_184" w:history="1">
              <w:r>
                <w:rPr>
                  <w:rStyle w:val="a5"/>
                  <w:rFonts w:ascii="Arial" w:eastAsia="宋体" w:hAnsi="Arial" w:cs="Arial"/>
                  <w:color w:val="262626"/>
                  <w:sz w:val="18"/>
                  <w:szCs w:val="18"/>
                </w:rPr>
                <w:t>49</w:t>
              </w:r>
            </w:hyperlink>
          </w:p>
        </w:tc>
      </w:tr>
      <w:tr w:rsidR="001B77DD" w14:paraId="67538B6D" w14:textId="77777777">
        <w:tc>
          <w:tcPr>
            <w:tcW w:w="0" w:type="auto"/>
            <w:gridSpan w:val="3"/>
            <w:shd w:val="clear" w:color="auto" w:fill="auto"/>
            <w:tcMar>
              <w:top w:w="40" w:type="dxa"/>
              <w:left w:w="20" w:type="dxa"/>
              <w:bottom w:w="40" w:type="dxa"/>
              <w:right w:w="20" w:type="dxa"/>
            </w:tcMar>
            <w:vAlign w:val="center"/>
          </w:tcPr>
          <w:p w14:paraId="67538B6A" w14:textId="77777777" w:rsidR="001B77DD" w:rsidRDefault="00BF0A28">
            <w:pPr>
              <w:textAlignment w:val="center"/>
            </w:pPr>
            <w:r>
              <w:rPr>
                <w:rFonts w:ascii="Arial" w:eastAsia="宋体" w:hAnsi="Arial" w:cs="Arial"/>
                <w:color w:val="262626"/>
                <w:sz w:val="18"/>
                <w:szCs w:val="18"/>
              </w:rPr>
              <w:t>Item 8.</w:t>
            </w:r>
          </w:p>
        </w:tc>
        <w:tc>
          <w:tcPr>
            <w:tcW w:w="0" w:type="auto"/>
            <w:gridSpan w:val="3"/>
            <w:shd w:val="clear" w:color="auto" w:fill="auto"/>
            <w:tcMar>
              <w:top w:w="40" w:type="dxa"/>
              <w:left w:w="20" w:type="dxa"/>
              <w:bottom w:w="40" w:type="dxa"/>
              <w:right w:w="20" w:type="dxa"/>
            </w:tcMar>
            <w:vAlign w:val="center"/>
          </w:tcPr>
          <w:p w14:paraId="67538B6B" w14:textId="77777777" w:rsidR="001B77DD" w:rsidRDefault="00BF0A28">
            <w:pPr>
              <w:textAlignment w:val="center"/>
            </w:pPr>
            <w:r>
              <w:rPr>
                <w:rFonts w:ascii="Arial" w:eastAsia="宋体" w:hAnsi="Arial" w:cs="Arial"/>
                <w:color w:val="262626"/>
                <w:sz w:val="18"/>
                <w:szCs w:val="18"/>
              </w:rPr>
              <w:t xml:space="preserve">Financial Statements and Supplementary Data </w:t>
            </w:r>
          </w:p>
        </w:tc>
        <w:tc>
          <w:tcPr>
            <w:tcW w:w="0" w:type="auto"/>
            <w:gridSpan w:val="3"/>
            <w:shd w:val="clear" w:color="auto" w:fill="auto"/>
            <w:tcMar>
              <w:top w:w="40" w:type="dxa"/>
              <w:left w:w="20" w:type="dxa"/>
              <w:bottom w:w="40" w:type="dxa"/>
              <w:right w:w="20" w:type="dxa"/>
            </w:tcMar>
            <w:vAlign w:val="center"/>
          </w:tcPr>
          <w:p w14:paraId="67538B6C" w14:textId="77777777" w:rsidR="001B77DD" w:rsidRDefault="00BF0A28">
            <w:pPr>
              <w:jc w:val="center"/>
              <w:textAlignment w:val="center"/>
            </w:pPr>
            <w:r>
              <w:rPr>
                <w:rFonts w:ascii="Arial" w:eastAsia="宋体" w:hAnsi="Arial" w:cs="Arial"/>
                <w:color w:val="262626"/>
                <w:sz w:val="18"/>
                <w:szCs w:val="18"/>
              </w:rPr>
              <w:t xml:space="preserve">Pages </w:t>
            </w:r>
            <w:hyperlink r:id="rId316" w:anchor="i6c9ced68f6b24d58a3dcf326e8c3c699_235" w:history="1">
              <w:r>
                <w:rPr>
                  <w:rStyle w:val="a5"/>
                  <w:rFonts w:ascii="Arial" w:eastAsia="宋体" w:hAnsi="Arial" w:cs="Arial"/>
                  <w:color w:val="262626"/>
                  <w:sz w:val="18"/>
                  <w:szCs w:val="18"/>
                </w:rPr>
                <w:t>68</w:t>
              </w:r>
            </w:hyperlink>
            <w:r>
              <w:rPr>
                <w:rFonts w:ascii="Arial" w:eastAsia="宋体" w:hAnsi="Arial" w:cs="Arial"/>
                <w:color w:val="262626"/>
                <w:sz w:val="18"/>
                <w:szCs w:val="18"/>
              </w:rPr>
              <w:t>-</w:t>
            </w:r>
            <w:hyperlink r:id="rId317" w:anchor="i6c9ced68f6b24d58a3dcf326e8c3c699_4076" w:history="1">
              <w:r>
                <w:rPr>
                  <w:rStyle w:val="a5"/>
                  <w:rFonts w:ascii="Arial" w:eastAsia="宋体" w:hAnsi="Arial" w:cs="Arial"/>
                  <w:color w:val="262626"/>
                  <w:sz w:val="18"/>
                  <w:szCs w:val="18"/>
                </w:rPr>
                <w:t>113</w:t>
              </w:r>
            </w:hyperlink>
          </w:p>
        </w:tc>
      </w:tr>
      <w:tr w:rsidR="001B77DD" w14:paraId="67538B71" w14:textId="77777777">
        <w:tc>
          <w:tcPr>
            <w:tcW w:w="0" w:type="auto"/>
            <w:gridSpan w:val="3"/>
            <w:shd w:val="clear" w:color="auto" w:fill="auto"/>
            <w:tcMar>
              <w:top w:w="40" w:type="dxa"/>
              <w:left w:w="20" w:type="dxa"/>
              <w:bottom w:w="40" w:type="dxa"/>
              <w:right w:w="20" w:type="dxa"/>
            </w:tcMar>
            <w:vAlign w:val="center"/>
          </w:tcPr>
          <w:p w14:paraId="67538B6E" w14:textId="77777777" w:rsidR="001B77DD" w:rsidRDefault="00BF0A28">
            <w:pPr>
              <w:textAlignment w:val="center"/>
            </w:pPr>
            <w:r>
              <w:rPr>
                <w:rFonts w:ascii="Arial" w:eastAsia="宋体" w:hAnsi="Arial" w:cs="Arial"/>
                <w:color w:val="262626"/>
                <w:sz w:val="18"/>
                <w:szCs w:val="18"/>
              </w:rPr>
              <w:t>Item 9.</w:t>
            </w:r>
          </w:p>
        </w:tc>
        <w:tc>
          <w:tcPr>
            <w:tcW w:w="0" w:type="auto"/>
            <w:gridSpan w:val="3"/>
            <w:shd w:val="clear" w:color="auto" w:fill="auto"/>
            <w:tcMar>
              <w:top w:w="40" w:type="dxa"/>
              <w:left w:w="20" w:type="dxa"/>
              <w:bottom w:w="40" w:type="dxa"/>
              <w:right w:w="20" w:type="dxa"/>
            </w:tcMar>
            <w:vAlign w:val="center"/>
          </w:tcPr>
          <w:p w14:paraId="67538B6F" w14:textId="77777777" w:rsidR="001B77DD" w:rsidRDefault="00BF0A28">
            <w:pPr>
              <w:textAlignment w:val="center"/>
            </w:pPr>
            <w:r>
              <w:rPr>
                <w:rFonts w:ascii="Arial" w:eastAsia="宋体" w:hAnsi="Arial" w:cs="Arial"/>
                <w:color w:val="262626"/>
                <w:sz w:val="18"/>
                <w:szCs w:val="18"/>
              </w:rPr>
              <w:t>Changes in and Disagreements with Accountants on Accounting and Financial Disclosure</w:t>
            </w:r>
          </w:p>
        </w:tc>
        <w:tc>
          <w:tcPr>
            <w:tcW w:w="0" w:type="auto"/>
            <w:gridSpan w:val="3"/>
            <w:shd w:val="clear" w:color="auto" w:fill="auto"/>
            <w:tcMar>
              <w:top w:w="40" w:type="dxa"/>
              <w:left w:w="20" w:type="dxa"/>
              <w:bottom w:w="40" w:type="dxa"/>
              <w:right w:w="20" w:type="dxa"/>
            </w:tcMar>
            <w:vAlign w:val="center"/>
          </w:tcPr>
          <w:p w14:paraId="67538B70" w14:textId="77777777" w:rsidR="001B77DD" w:rsidRDefault="00BF0A28">
            <w:pPr>
              <w:jc w:val="center"/>
              <w:textAlignment w:val="center"/>
            </w:pPr>
            <w:r>
              <w:rPr>
                <w:rFonts w:ascii="Arial" w:eastAsia="宋体" w:hAnsi="Arial" w:cs="Arial"/>
                <w:color w:val="262626"/>
                <w:sz w:val="18"/>
                <w:szCs w:val="18"/>
              </w:rPr>
              <w:t>Not applicable</w:t>
            </w:r>
          </w:p>
        </w:tc>
      </w:tr>
      <w:tr w:rsidR="001B77DD" w14:paraId="67538B75" w14:textId="77777777">
        <w:tc>
          <w:tcPr>
            <w:tcW w:w="0" w:type="auto"/>
            <w:gridSpan w:val="3"/>
            <w:shd w:val="clear" w:color="auto" w:fill="auto"/>
            <w:tcMar>
              <w:top w:w="40" w:type="dxa"/>
              <w:left w:w="20" w:type="dxa"/>
              <w:bottom w:w="40" w:type="dxa"/>
              <w:right w:w="20" w:type="dxa"/>
            </w:tcMar>
            <w:vAlign w:val="center"/>
          </w:tcPr>
          <w:p w14:paraId="67538B72" w14:textId="77777777" w:rsidR="001B77DD" w:rsidRDefault="00BF0A28">
            <w:pPr>
              <w:textAlignment w:val="center"/>
            </w:pPr>
            <w:r>
              <w:rPr>
                <w:rFonts w:ascii="Arial" w:eastAsia="宋体" w:hAnsi="Arial" w:cs="Arial"/>
                <w:color w:val="262626"/>
                <w:sz w:val="18"/>
                <w:szCs w:val="18"/>
              </w:rPr>
              <w:t>Item 9A.</w:t>
            </w:r>
          </w:p>
        </w:tc>
        <w:tc>
          <w:tcPr>
            <w:tcW w:w="0" w:type="auto"/>
            <w:gridSpan w:val="3"/>
            <w:shd w:val="clear" w:color="auto" w:fill="auto"/>
            <w:tcMar>
              <w:top w:w="40" w:type="dxa"/>
              <w:left w:w="20" w:type="dxa"/>
              <w:bottom w:w="40" w:type="dxa"/>
              <w:right w:w="20" w:type="dxa"/>
            </w:tcMar>
            <w:vAlign w:val="center"/>
          </w:tcPr>
          <w:p w14:paraId="67538B73" w14:textId="77777777" w:rsidR="001B77DD" w:rsidRDefault="00BF0A28">
            <w:pPr>
              <w:textAlignment w:val="center"/>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67538B74" w14:textId="77777777" w:rsidR="001B77DD" w:rsidRDefault="00BF0A28">
            <w:pPr>
              <w:jc w:val="center"/>
              <w:textAlignment w:val="center"/>
            </w:pPr>
            <w:r>
              <w:rPr>
                <w:rFonts w:ascii="Arial" w:eastAsia="宋体" w:hAnsi="Arial" w:cs="Arial"/>
                <w:color w:val="262626"/>
                <w:sz w:val="18"/>
                <w:szCs w:val="18"/>
              </w:rPr>
              <w:t xml:space="preserve">Page </w:t>
            </w:r>
            <w:hyperlink r:id="rId318" w:anchor="i6c9ced68f6b24d58a3dcf326e8c3c699_454" w:history="1">
              <w:r>
                <w:rPr>
                  <w:rStyle w:val="a5"/>
                  <w:rFonts w:ascii="Arial" w:eastAsia="宋体" w:hAnsi="Arial" w:cs="Arial"/>
                  <w:color w:val="262626"/>
                  <w:sz w:val="18"/>
                  <w:szCs w:val="18"/>
                </w:rPr>
                <w:t>114</w:t>
              </w:r>
            </w:hyperlink>
          </w:p>
        </w:tc>
      </w:tr>
      <w:tr w:rsidR="001B77DD" w14:paraId="67538B79" w14:textId="77777777">
        <w:tc>
          <w:tcPr>
            <w:tcW w:w="0" w:type="auto"/>
            <w:gridSpan w:val="3"/>
            <w:shd w:val="clear" w:color="auto" w:fill="auto"/>
            <w:tcMar>
              <w:top w:w="40" w:type="dxa"/>
              <w:left w:w="20" w:type="dxa"/>
              <w:bottom w:w="40" w:type="dxa"/>
              <w:right w:w="20" w:type="dxa"/>
            </w:tcMar>
            <w:vAlign w:val="center"/>
          </w:tcPr>
          <w:p w14:paraId="67538B76" w14:textId="77777777" w:rsidR="001B77DD" w:rsidRDefault="00BF0A28">
            <w:pPr>
              <w:textAlignment w:val="center"/>
            </w:pPr>
            <w:r>
              <w:rPr>
                <w:rFonts w:ascii="Arial" w:eastAsia="宋体" w:hAnsi="Arial" w:cs="Arial"/>
                <w:color w:val="262626"/>
                <w:sz w:val="18"/>
                <w:szCs w:val="18"/>
              </w:rPr>
              <w:t>Item 9B.</w:t>
            </w:r>
          </w:p>
        </w:tc>
        <w:tc>
          <w:tcPr>
            <w:tcW w:w="0" w:type="auto"/>
            <w:gridSpan w:val="3"/>
            <w:shd w:val="clear" w:color="auto" w:fill="auto"/>
            <w:tcMar>
              <w:top w:w="40" w:type="dxa"/>
              <w:left w:w="20" w:type="dxa"/>
              <w:bottom w:w="40" w:type="dxa"/>
              <w:right w:w="20" w:type="dxa"/>
            </w:tcMar>
            <w:vAlign w:val="center"/>
          </w:tcPr>
          <w:p w14:paraId="67538B77" w14:textId="77777777" w:rsidR="001B77DD" w:rsidRDefault="00BF0A28">
            <w:pPr>
              <w:textAlignment w:val="center"/>
            </w:pPr>
            <w:r>
              <w:rPr>
                <w:rFonts w:ascii="Arial" w:eastAsia="宋体" w:hAnsi="Arial" w:cs="Arial"/>
                <w:color w:val="262626"/>
                <w:sz w:val="18"/>
                <w:szCs w:val="18"/>
              </w:rPr>
              <w:t>Other Information</w:t>
            </w:r>
          </w:p>
        </w:tc>
        <w:tc>
          <w:tcPr>
            <w:tcW w:w="0" w:type="auto"/>
            <w:gridSpan w:val="3"/>
            <w:shd w:val="clear" w:color="auto" w:fill="auto"/>
            <w:tcMar>
              <w:top w:w="0" w:type="dxa"/>
              <w:left w:w="20" w:type="dxa"/>
              <w:bottom w:w="0" w:type="dxa"/>
              <w:right w:w="20" w:type="dxa"/>
            </w:tcMar>
            <w:vAlign w:val="bottom"/>
          </w:tcPr>
          <w:p w14:paraId="67538B78" w14:textId="77777777" w:rsidR="001B77DD" w:rsidRDefault="001B77DD">
            <w:pPr>
              <w:rPr>
                <w:rFonts w:ascii="宋体"/>
              </w:rPr>
            </w:pPr>
          </w:p>
        </w:tc>
      </w:tr>
      <w:tr w:rsidR="001B77DD" w14:paraId="67538B7D" w14:textId="77777777">
        <w:tc>
          <w:tcPr>
            <w:tcW w:w="0" w:type="auto"/>
            <w:gridSpan w:val="3"/>
            <w:shd w:val="clear" w:color="auto" w:fill="auto"/>
            <w:tcMar>
              <w:top w:w="0" w:type="dxa"/>
              <w:left w:w="20" w:type="dxa"/>
              <w:bottom w:w="0" w:type="dxa"/>
              <w:right w:w="20" w:type="dxa"/>
            </w:tcMar>
            <w:vAlign w:val="bottom"/>
          </w:tcPr>
          <w:p w14:paraId="67538B7A" w14:textId="77777777" w:rsidR="001B77DD" w:rsidRDefault="001B77DD">
            <w:pPr>
              <w:rPr>
                <w:rFonts w:ascii="宋体"/>
              </w:rPr>
            </w:pPr>
          </w:p>
        </w:tc>
        <w:tc>
          <w:tcPr>
            <w:tcW w:w="0" w:type="auto"/>
            <w:gridSpan w:val="3"/>
            <w:shd w:val="clear" w:color="auto" w:fill="auto"/>
            <w:tcMar>
              <w:top w:w="40" w:type="dxa"/>
              <w:left w:w="260" w:type="dxa"/>
              <w:bottom w:w="40" w:type="dxa"/>
              <w:right w:w="20" w:type="dxa"/>
            </w:tcMar>
            <w:vAlign w:val="bottom"/>
          </w:tcPr>
          <w:p w14:paraId="67538B7B" w14:textId="77777777" w:rsidR="001B77DD" w:rsidRDefault="00BF0A28">
            <w:pPr>
              <w:textAlignment w:val="bottom"/>
            </w:pPr>
            <w:r>
              <w:rPr>
                <w:rFonts w:ascii="Arial" w:eastAsia="宋体" w:hAnsi="Arial" w:cs="Arial"/>
                <w:color w:val="262626"/>
                <w:sz w:val="18"/>
                <w:szCs w:val="18"/>
              </w:rPr>
              <w:t xml:space="preserve">Disclosure Pursuant to Section 13(r) of the </w:t>
            </w:r>
            <w:r>
              <w:rPr>
                <w:rFonts w:ascii="Arial" w:eastAsia="宋体" w:hAnsi="Arial" w:cs="Arial"/>
                <w:color w:val="262626"/>
                <w:sz w:val="18"/>
                <w:szCs w:val="18"/>
              </w:rPr>
              <w:t>Securities Exchange Act of 1934</w:t>
            </w:r>
          </w:p>
        </w:tc>
        <w:tc>
          <w:tcPr>
            <w:tcW w:w="0" w:type="auto"/>
            <w:gridSpan w:val="3"/>
            <w:shd w:val="clear" w:color="auto" w:fill="auto"/>
            <w:tcMar>
              <w:top w:w="40" w:type="dxa"/>
              <w:left w:w="20" w:type="dxa"/>
              <w:bottom w:w="40" w:type="dxa"/>
              <w:right w:w="20" w:type="dxa"/>
            </w:tcMar>
            <w:vAlign w:val="center"/>
          </w:tcPr>
          <w:p w14:paraId="67538B7C" w14:textId="77777777" w:rsidR="001B77DD" w:rsidRDefault="00BF0A28">
            <w:pPr>
              <w:jc w:val="center"/>
              <w:textAlignment w:val="center"/>
            </w:pPr>
            <w:r>
              <w:rPr>
                <w:rFonts w:ascii="Arial" w:eastAsia="宋体" w:hAnsi="Arial" w:cs="Arial"/>
                <w:color w:val="262626"/>
                <w:sz w:val="18"/>
                <w:szCs w:val="18"/>
              </w:rPr>
              <w:t xml:space="preserve">Page </w:t>
            </w:r>
            <w:hyperlink r:id="rId319" w:anchor="i6c9ced68f6b24d58a3dcf326e8c3c699_4101" w:history="1">
              <w:r>
                <w:rPr>
                  <w:rStyle w:val="a5"/>
                  <w:rFonts w:ascii="Arial" w:eastAsia="宋体" w:hAnsi="Arial" w:cs="Arial"/>
                  <w:color w:val="262626"/>
                  <w:sz w:val="18"/>
                  <w:szCs w:val="18"/>
                </w:rPr>
                <w:t>67</w:t>
              </w:r>
            </w:hyperlink>
          </w:p>
        </w:tc>
      </w:tr>
      <w:tr w:rsidR="001B77DD" w14:paraId="67538B81" w14:textId="77777777">
        <w:tc>
          <w:tcPr>
            <w:tcW w:w="0" w:type="auto"/>
            <w:gridSpan w:val="3"/>
            <w:shd w:val="clear" w:color="auto" w:fill="auto"/>
            <w:tcMar>
              <w:top w:w="40" w:type="dxa"/>
              <w:left w:w="20" w:type="dxa"/>
              <w:bottom w:w="40" w:type="dxa"/>
              <w:right w:w="20" w:type="dxa"/>
            </w:tcMar>
            <w:vAlign w:val="center"/>
          </w:tcPr>
          <w:p w14:paraId="67538B7E" w14:textId="77777777" w:rsidR="001B77DD" w:rsidRDefault="00BF0A28">
            <w:pPr>
              <w:textAlignment w:val="center"/>
            </w:pPr>
            <w:r>
              <w:rPr>
                <w:rFonts w:ascii="Arial" w:eastAsia="宋体" w:hAnsi="Arial" w:cs="Arial"/>
                <w:color w:val="262626"/>
                <w:sz w:val="18"/>
                <w:szCs w:val="18"/>
              </w:rPr>
              <w:t>Item 9C.</w:t>
            </w:r>
          </w:p>
        </w:tc>
        <w:tc>
          <w:tcPr>
            <w:tcW w:w="0" w:type="auto"/>
            <w:gridSpan w:val="3"/>
            <w:shd w:val="clear" w:color="auto" w:fill="auto"/>
            <w:tcMar>
              <w:top w:w="40" w:type="dxa"/>
              <w:left w:w="20" w:type="dxa"/>
              <w:bottom w:w="40" w:type="dxa"/>
              <w:right w:w="20" w:type="dxa"/>
            </w:tcMar>
            <w:vAlign w:val="center"/>
          </w:tcPr>
          <w:p w14:paraId="67538B7F" w14:textId="77777777" w:rsidR="001B77DD" w:rsidRDefault="00BF0A28">
            <w:pPr>
              <w:textAlignment w:val="center"/>
            </w:pPr>
            <w:r>
              <w:rPr>
                <w:rFonts w:ascii="Arial" w:eastAsia="宋体" w:hAnsi="Arial" w:cs="Arial"/>
                <w:color w:val="262626"/>
                <w:sz w:val="18"/>
                <w:szCs w:val="18"/>
              </w:rPr>
              <w:t xml:space="preserve">Disclosure Regarding Foreign </w:t>
            </w:r>
            <w:r>
              <w:rPr>
                <w:rFonts w:ascii="Arial" w:eastAsia="宋体" w:hAnsi="Arial" w:cs="Arial"/>
                <w:color w:val="262626"/>
                <w:sz w:val="18"/>
                <w:szCs w:val="18"/>
              </w:rPr>
              <w:t>Jurisdictions that Prevent Inspections</w:t>
            </w:r>
          </w:p>
        </w:tc>
        <w:tc>
          <w:tcPr>
            <w:tcW w:w="0" w:type="auto"/>
            <w:gridSpan w:val="3"/>
            <w:shd w:val="clear" w:color="auto" w:fill="auto"/>
            <w:tcMar>
              <w:top w:w="40" w:type="dxa"/>
              <w:left w:w="20" w:type="dxa"/>
              <w:bottom w:w="40" w:type="dxa"/>
              <w:right w:w="20" w:type="dxa"/>
            </w:tcMar>
            <w:vAlign w:val="center"/>
          </w:tcPr>
          <w:p w14:paraId="67538B80" w14:textId="77777777" w:rsidR="001B77DD" w:rsidRDefault="00BF0A28">
            <w:pPr>
              <w:jc w:val="center"/>
              <w:textAlignment w:val="center"/>
            </w:pPr>
            <w:r>
              <w:rPr>
                <w:rFonts w:ascii="Arial" w:eastAsia="宋体" w:hAnsi="Arial" w:cs="Arial"/>
                <w:color w:val="262626"/>
                <w:sz w:val="18"/>
                <w:szCs w:val="18"/>
              </w:rPr>
              <w:t>Not applicable</w:t>
            </w:r>
          </w:p>
        </w:tc>
      </w:tr>
      <w:tr w:rsidR="001B77DD" w14:paraId="67538B85"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82"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83"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84" w14:textId="77777777" w:rsidR="001B77DD" w:rsidRDefault="001B77DD">
            <w:pPr>
              <w:rPr>
                <w:rFonts w:ascii="宋体"/>
              </w:rPr>
            </w:pPr>
          </w:p>
        </w:tc>
      </w:tr>
      <w:tr w:rsidR="001B77DD" w14:paraId="67538B89" w14:textId="77777777">
        <w:tc>
          <w:tcPr>
            <w:tcW w:w="0" w:type="auto"/>
            <w:gridSpan w:val="3"/>
            <w:shd w:val="clear" w:color="auto" w:fill="auto"/>
            <w:tcMar>
              <w:top w:w="40" w:type="dxa"/>
              <w:left w:w="20" w:type="dxa"/>
              <w:bottom w:w="40" w:type="dxa"/>
              <w:right w:w="20" w:type="dxa"/>
            </w:tcMar>
            <w:vAlign w:val="center"/>
          </w:tcPr>
          <w:p w14:paraId="67538B86" w14:textId="77777777" w:rsidR="001B77DD" w:rsidRDefault="00BF0A28">
            <w:pPr>
              <w:textAlignment w:val="center"/>
            </w:pPr>
            <w:r>
              <w:rPr>
                <w:rFonts w:ascii="Arial" w:eastAsia="宋体" w:hAnsi="Arial" w:cs="Arial"/>
                <w:color w:val="0068B5"/>
                <w:sz w:val="18"/>
                <w:szCs w:val="18"/>
              </w:rPr>
              <w:t>Part III</w:t>
            </w:r>
          </w:p>
        </w:tc>
        <w:tc>
          <w:tcPr>
            <w:tcW w:w="0" w:type="auto"/>
            <w:gridSpan w:val="3"/>
            <w:shd w:val="clear" w:color="auto" w:fill="auto"/>
            <w:tcMar>
              <w:top w:w="0" w:type="dxa"/>
              <w:left w:w="20" w:type="dxa"/>
              <w:bottom w:w="0" w:type="dxa"/>
              <w:right w:w="20" w:type="dxa"/>
            </w:tcMar>
            <w:vAlign w:val="bottom"/>
          </w:tcPr>
          <w:p w14:paraId="67538B8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88" w14:textId="77777777" w:rsidR="001B77DD" w:rsidRDefault="001B77DD">
            <w:pPr>
              <w:rPr>
                <w:rFonts w:ascii="宋体"/>
              </w:rPr>
            </w:pPr>
          </w:p>
        </w:tc>
      </w:tr>
      <w:tr w:rsidR="001B77DD" w14:paraId="67538B8D" w14:textId="77777777">
        <w:tc>
          <w:tcPr>
            <w:tcW w:w="0" w:type="auto"/>
            <w:gridSpan w:val="3"/>
            <w:shd w:val="clear" w:color="auto" w:fill="auto"/>
            <w:tcMar>
              <w:top w:w="40" w:type="dxa"/>
              <w:left w:w="20" w:type="dxa"/>
              <w:bottom w:w="40" w:type="dxa"/>
              <w:right w:w="20" w:type="dxa"/>
            </w:tcMar>
            <w:vAlign w:val="center"/>
          </w:tcPr>
          <w:p w14:paraId="67538B8A" w14:textId="77777777" w:rsidR="001B77DD" w:rsidRDefault="00BF0A28">
            <w:pPr>
              <w:textAlignment w:val="center"/>
            </w:pPr>
            <w:r>
              <w:rPr>
                <w:rFonts w:ascii="Arial" w:eastAsia="宋体" w:hAnsi="Arial" w:cs="Arial"/>
                <w:color w:val="262626"/>
                <w:sz w:val="18"/>
                <w:szCs w:val="18"/>
              </w:rPr>
              <w:t>Item 10.</w:t>
            </w:r>
          </w:p>
        </w:tc>
        <w:tc>
          <w:tcPr>
            <w:tcW w:w="0" w:type="auto"/>
            <w:gridSpan w:val="3"/>
            <w:shd w:val="clear" w:color="auto" w:fill="auto"/>
            <w:tcMar>
              <w:top w:w="40" w:type="dxa"/>
              <w:left w:w="20" w:type="dxa"/>
              <w:bottom w:w="40" w:type="dxa"/>
              <w:right w:w="20" w:type="dxa"/>
            </w:tcMar>
            <w:vAlign w:val="center"/>
          </w:tcPr>
          <w:p w14:paraId="67538B8B" w14:textId="77777777" w:rsidR="001B77DD" w:rsidRDefault="00BF0A28">
            <w:pPr>
              <w:textAlignment w:val="center"/>
            </w:pPr>
            <w:r>
              <w:rPr>
                <w:rFonts w:ascii="Arial" w:eastAsia="宋体" w:hAnsi="Arial" w:cs="Arial"/>
                <w:color w:val="262626"/>
                <w:sz w:val="18"/>
                <w:szCs w:val="18"/>
              </w:rPr>
              <w:t>Directors, Executive Officers, and Corporate Governance</w:t>
            </w:r>
          </w:p>
        </w:tc>
        <w:tc>
          <w:tcPr>
            <w:tcW w:w="0" w:type="auto"/>
            <w:gridSpan w:val="3"/>
            <w:shd w:val="clear" w:color="auto" w:fill="auto"/>
            <w:tcMar>
              <w:top w:w="40" w:type="dxa"/>
              <w:left w:w="20" w:type="dxa"/>
              <w:bottom w:w="40" w:type="dxa"/>
              <w:right w:w="20" w:type="dxa"/>
            </w:tcMar>
            <w:vAlign w:val="center"/>
          </w:tcPr>
          <w:p w14:paraId="67538B8C" w14:textId="77777777" w:rsidR="001B77DD" w:rsidRDefault="00BF0A28">
            <w:pPr>
              <w:jc w:val="center"/>
              <w:textAlignment w:val="center"/>
            </w:pPr>
            <w:r>
              <w:rPr>
                <w:rFonts w:ascii="Arial" w:eastAsia="宋体" w:hAnsi="Arial" w:cs="Arial"/>
                <w:color w:val="262626"/>
                <w:sz w:val="18"/>
                <w:szCs w:val="18"/>
              </w:rPr>
              <w:t xml:space="preserve">Page </w:t>
            </w:r>
            <w:hyperlink r:id="rId320" w:anchor="i6c9ced68f6b24d58a3dcf326e8c3c699_229" w:history="1">
              <w:r>
                <w:rPr>
                  <w:rStyle w:val="a5"/>
                  <w:rFonts w:ascii="Arial" w:eastAsia="宋体" w:hAnsi="Arial" w:cs="Arial"/>
                  <w:color w:val="262626"/>
                  <w:sz w:val="18"/>
                  <w:szCs w:val="18"/>
                </w:rPr>
                <w:t>66</w:t>
              </w:r>
            </w:hyperlink>
            <w:r>
              <w:rPr>
                <w:rFonts w:ascii="Arial" w:eastAsia="宋体" w:hAnsi="Arial" w:cs="Arial"/>
                <w:color w:val="262626"/>
                <w:sz w:val="18"/>
                <w:szCs w:val="18"/>
              </w:rPr>
              <w:t>, (a)</w:t>
            </w:r>
          </w:p>
        </w:tc>
      </w:tr>
      <w:tr w:rsidR="001B77DD" w14:paraId="67538B91" w14:textId="77777777">
        <w:tc>
          <w:tcPr>
            <w:tcW w:w="0" w:type="auto"/>
            <w:gridSpan w:val="3"/>
            <w:shd w:val="clear" w:color="auto" w:fill="auto"/>
            <w:tcMar>
              <w:top w:w="40" w:type="dxa"/>
              <w:left w:w="20" w:type="dxa"/>
              <w:bottom w:w="40" w:type="dxa"/>
              <w:right w:w="20" w:type="dxa"/>
            </w:tcMar>
            <w:vAlign w:val="center"/>
          </w:tcPr>
          <w:p w14:paraId="67538B8E" w14:textId="77777777" w:rsidR="001B77DD" w:rsidRDefault="00BF0A28">
            <w:pPr>
              <w:textAlignment w:val="center"/>
            </w:pPr>
            <w:r>
              <w:rPr>
                <w:rFonts w:ascii="Arial" w:eastAsia="宋体" w:hAnsi="Arial" w:cs="Arial"/>
                <w:color w:val="262626"/>
                <w:sz w:val="18"/>
                <w:szCs w:val="18"/>
              </w:rPr>
              <w:t>Item 11.</w:t>
            </w:r>
          </w:p>
        </w:tc>
        <w:tc>
          <w:tcPr>
            <w:tcW w:w="0" w:type="auto"/>
            <w:gridSpan w:val="3"/>
            <w:shd w:val="clear" w:color="auto" w:fill="auto"/>
            <w:tcMar>
              <w:top w:w="40" w:type="dxa"/>
              <w:left w:w="20" w:type="dxa"/>
              <w:bottom w:w="40" w:type="dxa"/>
              <w:right w:w="20" w:type="dxa"/>
            </w:tcMar>
            <w:vAlign w:val="center"/>
          </w:tcPr>
          <w:p w14:paraId="67538B8F" w14:textId="77777777" w:rsidR="001B77DD" w:rsidRDefault="00BF0A28">
            <w:pPr>
              <w:textAlignment w:val="center"/>
            </w:pPr>
            <w:r>
              <w:rPr>
                <w:rFonts w:ascii="Arial" w:eastAsia="宋体" w:hAnsi="Arial" w:cs="Arial"/>
                <w:color w:val="262626"/>
                <w:sz w:val="18"/>
                <w:szCs w:val="18"/>
              </w:rPr>
              <w:t>Executive Compensation</w:t>
            </w:r>
          </w:p>
        </w:tc>
        <w:tc>
          <w:tcPr>
            <w:tcW w:w="0" w:type="auto"/>
            <w:gridSpan w:val="3"/>
            <w:shd w:val="clear" w:color="auto" w:fill="auto"/>
            <w:tcMar>
              <w:top w:w="40" w:type="dxa"/>
              <w:left w:w="20" w:type="dxa"/>
              <w:bottom w:w="40" w:type="dxa"/>
              <w:right w:w="20" w:type="dxa"/>
            </w:tcMar>
            <w:vAlign w:val="center"/>
          </w:tcPr>
          <w:p w14:paraId="67538B90" w14:textId="77777777" w:rsidR="001B77DD" w:rsidRDefault="00BF0A28">
            <w:pPr>
              <w:jc w:val="center"/>
              <w:textAlignment w:val="center"/>
            </w:pPr>
            <w:r>
              <w:rPr>
                <w:rFonts w:ascii="Arial" w:eastAsia="宋体" w:hAnsi="Arial" w:cs="Arial"/>
                <w:color w:val="262626"/>
                <w:sz w:val="18"/>
                <w:szCs w:val="18"/>
              </w:rPr>
              <w:t>(b)</w:t>
            </w:r>
          </w:p>
        </w:tc>
      </w:tr>
      <w:tr w:rsidR="001B77DD" w14:paraId="67538B95" w14:textId="77777777">
        <w:tc>
          <w:tcPr>
            <w:tcW w:w="0" w:type="auto"/>
            <w:gridSpan w:val="3"/>
            <w:shd w:val="clear" w:color="auto" w:fill="auto"/>
            <w:tcMar>
              <w:top w:w="40" w:type="dxa"/>
              <w:left w:w="20" w:type="dxa"/>
              <w:bottom w:w="40" w:type="dxa"/>
              <w:right w:w="20" w:type="dxa"/>
            </w:tcMar>
            <w:vAlign w:val="center"/>
          </w:tcPr>
          <w:p w14:paraId="67538B92" w14:textId="77777777" w:rsidR="001B77DD" w:rsidRDefault="00BF0A28">
            <w:pPr>
              <w:textAlignment w:val="center"/>
            </w:pPr>
            <w:r>
              <w:rPr>
                <w:rFonts w:ascii="Arial" w:eastAsia="宋体" w:hAnsi="Arial" w:cs="Arial"/>
                <w:color w:val="262626"/>
                <w:sz w:val="18"/>
                <w:szCs w:val="18"/>
              </w:rPr>
              <w:t>Item 12.</w:t>
            </w:r>
          </w:p>
        </w:tc>
        <w:tc>
          <w:tcPr>
            <w:tcW w:w="0" w:type="auto"/>
            <w:gridSpan w:val="3"/>
            <w:shd w:val="clear" w:color="auto" w:fill="auto"/>
            <w:tcMar>
              <w:top w:w="40" w:type="dxa"/>
              <w:left w:w="20" w:type="dxa"/>
              <w:bottom w:w="40" w:type="dxa"/>
              <w:right w:w="20" w:type="dxa"/>
            </w:tcMar>
            <w:vAlign w:val="center"/>
          </w:tcPr>
          <w:p w14:paraId="67538B93" w14:textId="77777777" w:rsidR="001B77DD" w:rsidRDefault="00BF0A28">
            <w:pPr>
              <w:textAlignment w:val="center"/>
            </w:pPr>
            <w:r>
              <w:rPr>
                <w:rFonts w:ascii="Arial" w:eastAsia="宋体" w:hAnsi="Arial" w:cs="Arial"/>
                <w:color w:val="262626"/>
                <w:sz w:val="18"/>
                <w:szCs w:val="18"/>
              </w:rPr>
              <w:t xml:space="preserve">Security Ownership of Certain </w:t>
            </w:r>
            <w:r>
              <w:rPr>
                <w:rFonts w:ascii="Arial" w:eastAsia="宋体" w:hAnsi="Arial" w:cs="Arial"/>
                <w:color w:val="262626"/>
                <w:sz w:val="18"/>
                <w:szCs w:val="18"/>
              </w:rPr>
              <w:t>Beneficial Owners and Management and Related Stockholder Matters</w:t>
            </w:r>
          </w:p>
        </w:tc>
        <w:tc>
          <w:tcPr>
            <w:tcW w:w="0" w:type="auto"/>
            <w:gridSpan w:val="3"/>
            <w:shd w:val="clear" w:color="auto" w:fill="auto"/>
            <w:tcMar>
              <w:top w:w="40" w:type="dxa"/>
              <w:left w:w="20" w:type="dxa"/>
              <w:bottom w:w="40" w:type="dxa"/>
              <w:right w:w="20" w:type="dxa"/>
            </w:tcMar>
            <w:vAlign w:val="center"/>
          </w:tcPr>
          <w:p w14:paraId="67538B94" w14:textId="77777777" w:rsidR="001B77DD" w:rsidRDefault="00BF0A28">
            <w:pPr>
              <w:jc w:val="center"/>
              <w:textAlignment w:val="center"/>
            </w:pPr>
            <w:r>
              <w:rPr>
                <w:rFonts w:ascii="Arial" w:eastAsia="宋体" w:hAnsi="Arial" w:cs="Arial"/>
                <w:color w:val="262626"/>
                <w:sz w:val="18"/>
                <w:szCs w:val="18"/>
              </w:rPr>
              <w:t>(c)</w:t>
            </w:r>
          </w:p>
        </w:tc>
      </w:tr>
      <w:tr w:rsidR="001B77DD" w14:paraId="67538B99" w14:textId="77777777">
        <w:tc>
          <w:tcPr>
            <w:tcW w:w="0" w:type="auto"/>
            <w:gridSpan w:val="3"/>
            <w:shd w:val="clear" w:color="auto" w:fill="auto"/>
            <w:tcMar>
              <w:top w:w="40" w:type="dxa"/>
              <w:left w:w="20" w:type="dxa"/>
              <w:bottom w:w="40" w:type="dxa"/>
              <w:right w:w="20" w:type="dxa"/>
            </w:tcMar>
            <w:vAlign w:val="center"/>
          </w:tcPr>
          <w:p w14:paraId="67538B96" w14:textId="77777777" w:rsidR="001B77DD" w:rsidRDefault="00BF0A28">
            <w:pPr>
              <w:textAlignment w:val="center"/>
            </w:pPr>
            <w:r>
              <w:rPr>
                <w:rFonts w:ascii="Arial" w:eastAsia="宋体" w:hAnsi="Arial" w:cs="Arial"/>
                <w:color w:val="262626"/>
                <w:sz w:val="18"/>
                <w:szCs w:val="18"/>
              </w:rPr>
              <w:t>Item 13.</w:t>
            </w:r>
          </w:p>
        </w:tc>
        <w:tc>
          <w:tcPr>
            <w:tcW w:w="0" w:type="auto"/>
            <w:gridSpan w:val="3"/>
            <w:shd w:val="clear" w:color="auto" w:fill="auto"/>
            <w:tcMar>
              <w:top w:w="40" w:type="dxa"/>
              <w:left w:w="20" w:type="dxa"/>
              <w:bottom w:w="40" w:type="dxa"/>
              <w:right w:w="20" w:type="dxa"/>
            </w:tcMar>
            <w:vAlign w:val="center"/>
          </w:tcPr>
          <w:p w14:paraId="67538B97" w14:textId="77777777" w:rsidR="001B77DD" w:rsidRDefault="00BF0A28">
            <w:pPr>
              <w:textAlignment w:val="center"/>
            </w:pPr>
            <w:r>
              <w:rPr>
                <w:rFonts w:ascii="Arial" w:eastAsia="宋体" w:hAnsi="Arial" w:cs="Arial"/>
                <w:color w:val="262626"/>
                <w:sz w:val="18"/>
                <w:szCs w:val="18"/>
              </w:rPr>
              <w:t>Certain Relationships and Related Transactions, and Director Independence</w:t>
            </w:r>
          </w:p>
        </w:tc>
        <w:tc>
          <w:tcPr>
            <w:tcW w:w="0" w:type="auto"/>
            <w:gridSpan w:val="3"/>
            <w:shd w:val="clear" w:color="auto" w:fill="auto"/>
            <w:tcMar>
              <w:top w:w="40" w:type="dxa"/>
              <w:left w:w="20" w:type="dxa"/>
              <w:bottom w:w="40" w:type="dxa"/>
              <w:right w:w="20" w:type="dxa"/>
            </w:tcMar>
            <w:vAlign w:val="center"/>
          </w:tcPr>
          <w:p w14:paraId="67538B98" w14:textId="77777777" w:rsidR="001B77DD" w:rsidRDefault="00BF0A28">
            <w:pPr>
              <w:jc w:val="center"/>
              <w:textAlignment w:val="center"/>
            </w:pPr>
            <w:r>
              <w:rPr>
                <w:rFonts w:ascii="Arial" w:eastAsia="宋体" w:hAnsi="Arial" w:cs="Arial"/>
                <w:color w:val="262626"/>
                <w:sz w:val="18"/>
                <w:szCs w:val="18"/>
              </w:rPr>
              <w:t>(d)</w:t>
            </w:r>
          </w:p>
        </w:tc>
      </w:tr>
      <w:tr w:rsidR="001B77DD" w14:paraId="67538B9D" w14:textId="77777777">
        <w:tc>
          <w:tcPr>
            <w:tcW w:w="0" w:type="auto"/>
            <w:gridSpan w:val="3"/>
            <w:shd w:val="clear" w:color="auto" w:fill="auto"/>
            <w:tcMar>
              <w:top w:w="40" w:type="dxa"/>
              <w:left w:w="20" w:type="dxa"/>
              <w:bottom w:w="40" w:type="dxa"/>
              <w:right w:w="20" w:type="dxa"/>
            </w:tcMar>
            <w:vAlign w:val="center"/>
          </w:tcPr>
          <w:p w14:paraId="67538B9A" w14:textId="77777777" w:rsidR="001B77DD" w:rsidRDefault="00BF0A28">
            <w:pPr>
              <w:textAlignment w:val="center"/>
            </w:pPr>
            <w:r>
              <w:rPr>
                <w:rFonts w:ascii="Arial" w:eastAsia="宋体" w:hAnsi="Arial" w:cs="Arial"/>
                <w:color w:val="262626"/>
                <w:sz w:val="18"/>
                <w:szCs w:val="18"/>
              </w:rPr>
              <w:t>Item 14.</w:t>
            </w:r>
          </w:p>
        </w:tc>
        <w:tc>
          <w:tcPr>
            <w:tcW w:w="0" w:type="auto"/>
            <w:gridSpan w:val="3"/>
            <w:shd w:val="clear" w:color="auto" w:fill="auto"/>
            <w:tcMar>
              <w:top w:w="40" w:type="dxa"/>
              <w:left w:w="20" w:type="dxa"/>
              <w:bottom w:w="40" w:type="dxa"/>
              <w:right w:w="20" w:type="dxa"/>
            </w:tcMar>
            <w:vAlign w:val="center"/>
          </w:tcPr>
          <w:p w14:paraId="67538B9B" w14:textId="77777777" w:rsidR="001B77DD" w:rsidRDefault="00BF0A28">
            <w:pPr>
              <w:textAlignment w:val="center"/>
            </w:pPr>
            <w:r>
              <w:rPr>
                <w:rFonts w:ascii="Arial" w:eastAsia="宋体" w:hAnsi="Arial" w:cs="Arial"/>
                <w:color w:val="262626"/>
                <w:sz w:val="18"/>
                <w:szCs w:val="18"/>
              </w:rPr>
              <w:t>Principal Accounting Fees and Services</w:t>
            </w:r>
          </w:p>
        </w:tc>
        <w:tc>
          <w:tcPr>
            <w:tcW w:w="0" w:type="auto"/>
            <w:gridSpan w:val="3"/>
            <w:shd w:val="clear" w:color="auto" w:fill="auto"/>
            <w:tcMar>
              <w:top w:w="40" w:type="dxa"/>
              <w:left w:w="20" w:type="dxa"/>
              <w:bottom w:w="40" w:type="dxa"/>
              <w:right w:w="20" w:type="dxa"/>
            </w:tcMar>
            <w:vAlign w:val="center"/>
          </w:tcPr>
          <w:p w14:paraId="67538B9C" w14:textId="77777777" w:rsidR="001B77DD" w:rsidRDefault="00BF0A28">
            <w:pPr>
              <w:jc w:val="center"/>
              <w:textAlignment w:val="center"/>
            </w:pPr>
            <w:r>
              <w:rPr>
                <w:rFonts w:ascii="Arial" w:eastAsia="宋体" w:hAnsi="Arial" w:cs="Arial"/>
                <w:color w:val="262626"/>
                <w:sz w:val="18"/>
                <w:szCs w:val="18"/>
              </w:rPr>
              <w:t>(e)</w:t>
            </w:r>
          </w:p>
        </w:tc>
      </w:tr>
      <w:tr w:rsidR="001B77DD" w14:paraId="67538BA1"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9E"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9F"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A0" w14:textId="77777777" w:rsidR="001B77DD" w:rsidRDefault="001B77DD">
            <w:pPr>
              <w:rPr>
                <w:rFonts w:ascii="宋体"/>
              </w:rPr>
            </w:pPr>
          </w:p>
        </w:tc>
      </w:tr>
      <w:tr w:rsidR="001B77DD" w14:paraId="67538BA5" w14:textId="77777777">
        <w:tc>
          <w:tcPr>
            <w:tcW w:w="0" w:type="auto"/>
            <w:gridSpan w:val="3"/>
            <w:shd w:val="clear" w:color="auto" w:fill="auto"/>
            <w:tcMar>
              <w:top w:w="40" w:type="dxa"/>
              <w:left w:w="20" w:type="dxa"/>
              <w:bottom w:w="40" w:type="dxa"/>
              <w:right w:w="20" w:type="dxa"/>
            </w:tcMar>
            <w:vAlign w:val="center"/>
          </w:tcPr>
          <w:p w14:paraId="67538BA2" w14:textId="77777777" w:rsidR="001B77DD" w:rsidRDefault="00BF0A28">
            <w:pPr>
              <w:textAlignment w:val="center"/>
            </w:pPr>
            <w:r>
              <w:rPr>
                <w:rFonts w:ascii="Arial" w:eastAsia="宋体" w:hAnsi="Arial" w:cs="Arial"/>
                <w:color w:val="0068B5"/>
                <w:sz w:val="18"/>
                <w:szCs w:val="18"/>
              </w:rPr>
              <w:t>Part IV</w:t>
            </w:r>
          </w:p>
        </w:tc>
        <w:tc>
          <w:tcPr>
            <w:tcW w:w="0" w:type="auto"/>
            <w:gridSpan w:val="3"/>
            <w:shd w:val="clear" w:color="auto" w:fill="auto"/>
            <w:tcMar>
              <w:top w:w="0" w:type="dxa"/>
              <w:left w:w="20" w:type="dxa"/>
              <w:bottom w:w="0" w:type="dxa"/>
              <w:right w:w="20" w:type="dxa"/>
            </w:tcMar>
            <w:vAlign w:val="bottom"/>
          </w:tcPr>
          <w:p w14:paraId="67538BA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A4" w14:textId="77777777" w:rsidR="001B77DD" w:rsidRDefault="001B77DD">
            <w:pPr>
              <w:rPr>
                <w:rFonts w:ascii="宋体"/>
              </w:rPr>
            </w:pPr>
          </w:p>
        </w:tc>
      </w:tr>
      <w:tr w:rsidR="001B77DD" w14:paraId="67538BA9" w14:textId="77777777">
        <w:tc>
          <w:tcPr>
            <w:tcW w:w="0" w:type="auto"/>
            <w:gridSpan w:val="3"/>
            <w:shd w:val="clear" w:color="auto" w:fill="auto"/>
            <w:tcMar>
              <w:top w:w="40" w:type="dxa"/>
              <w:left w:w="20" w:type="dxa"/>
              <w:bottom w:w="40" w:type="dxa"/>
              <w:right w:w="20" w:type="dxa"/>
            </w:tcMar>
            <w:vAlign w:val="center"/>
          </w:tcPr>
          <w:p w14:paraId="67538BA6" w14:textId="77777777" w:rsidR="001B77DD" w:rsidRDefault="00BF0A28">
            <w:pPr>
              <w:textAlignment w:val="center"/>
            </w:pPr>
            <w:r>
              <w:rPr>
                <w:rFonts w:ascii="Arial" w:eastAsia="宋体" w:hAnsi="Arial" w:cs="Arial"/>
                <w:color w:val="262626"/>
                <w:sz w:val="18"/>
                <w:szCs w:val="18"/>
              </w:rPr>
              <w:t>Item 15.</w:t>
            </w:r>
          </w:p>
        </w:tc>
        <w:tc>
          <w:tcPr>
            <w:tcW w:w="0" w:type="auto"/>
            <w:gridSpan w:val="3"/>
            <w:shd w:val="clear" w:color="auto" w:fill="auto"/>
            <w:tcMar>
              <w:top w:w="40" w:type="dxa"/>
              <w:left w:w="20" w:type="dxa"/>
              <w:bottom w:w="40" w:type="dxa"/>
              <w:right w:w="20" w:type="dxa"/>
            </w:tcMar>
            <w:vAlign w:val="center"/>
          </w:tcPr>
          <w:p w14:paraId="67538BA7" w14:textId="77777777" w:rsidR="001B77DD" w:rsidRDefault="00BF0A28">
            <w:pPr>
              <w:textAlignment w:val="center"/>
            </w:pPr>
            <w:r>
              <w:rPr>
                <w:rFonts w:ascii="Arial" w:eastAsia="宋体" w:hAnsi="Arial" w:cs="Arial"/>
                <w:color w:val="262626"/>
                <w:sz w:val="18"/>
                <w:szCs w:val="18"/>
              </w:rPr>
              <w:t xml:space="preserve">Exhibits and </w:t>
            </w:r>
            <w:r>
              <w:rPr>
                <w:rFonts w:ascii="Arial" w:eastAsia="宋体" w:hAnsi="Arial" w:cs="Arial"/>
                <w:color w:val="262626"/>
                <w:sz w:val="18"/>
                <w:szCs w:val="18"/>
              </w:rPr>
              <w:t>Financial Statement Schedules</w:t>
            </w:r>
          </w:p>
        </w:tc>
        <w:tc>
          <w:tcPr>
            <w:tcW w:w="0" w:type="auto"/>
            <w:gridSpan w:val="3"/>
            <w:shd w:val="clear" w:color="auto" w:fill="auto"/>
            <w:tcMar>
              <w:top w:w="40" w:type="dxa"/>
              <w:left w:w="20" w:type="dxa"/>
              <w:bottom w:w="40" w:type="dxa"/>
              <w:right w:w="20" w:type="dxa"/>
            </w:tcMar>
            <w:vAlign w:val="center"/>
          </w:tcPr>
          <w:p w14:paraId="67538BA8" w14:textId="77777777" w:rsidR="001B77DD" w:rsidRDefault="00BF0A28">
            <w:pPr>
              <w:jc w:val="center"/>
              <w:textAlignment w:val="center"/>
            </w:pPr>
            <w:r>
              <w:rPr>
                <w:rFonts w:ascii="Arial" w:eastAsia="宋体" w:hAnsi="Arial" w:cs="Arial"/>
                <w:color w:val="262626"/>
                <w:sz w:val="18"/>
                <w:szCs w:val="18"/>
              </w:rPr>
              <w:t xml:space="preserve">Pages </w:t>
            </w:r>
            <w:hyperlink r:id="rId321" w:anchor="i6c9ced68f6b24d58a3dcf326e8c3c699_457" w:history="1">
              <w:r>
                <w:rPr>
                  <w:rStyle w:val="a5"/>
                  <w:rFonts w:ascii="Arial" w:eastAsia="宋体" w:hAnsi="Arial" w:cs="Arial"/>
                  <w:color w:val="262626"/>
                  <w:sz w:val="18"/>
                  <w:szCs w:val="18"/>
                </w:rPr>
                <w:t>115</w:t>
              </w:r>
            </w:hyperlink>
            <w:r>
              <w:rPr>
                <w:rFonts w:ascii="Arial" w:eastAsia="宋体" w:hAnsi="Arial" w:cs="Arial"/>
                <w:color w:val="262626"/>
                <w:sz w:val="18"/>
                <w:szCs w:val="18"/>
              </w:rPr>
              <w:t>-</w:t>
            </w:r>
            <w:hyperlink r:id="rId322" w:anchor="i6c9ced68f6b24d58a3dcf326e8c3c699_466" w:history="1">
              <w:r>
                <w:rPr>
                  <w:rStyle w:val="a5"/>
                  <w:rFonts w:ascii="Arial" w:eastAsia="宋体" w:hAnsi="Arial" w:cs="Arial"/>
                  <w:color w:val="262626"/>
                  <w:sz w:val="18"/>
                  <w:szCs w:val="18"/>
                </w:rPr>
                <w:t>119</w:t>
              </w:r>
            </w:hyperlink>
          </w:p>
        </w:tc>
      </w:tr>
      <w:tr w:rsidR="001B77DD" w14:paraId="67538BAD" w14:textId="77777777">
        <w:tc>
          <w:tcPr>
            <w:tcW w:w="0" w:type="auto"/>
            <w:gridSpan w:val="3"/>
            <w:shd w:val="clear" w:color="auto" w:fill="auto"/>
            <w:tcMar>
              <w:top w:w="40" w:type="dxa"/>
              <w:left w:w="20" w:type="dxa"/>
              <w:bottom w:w="40" w:type="dxa"/>
              <w:right w:w="20" w:type="dxa"/>
            </w:tcMar>
            <w:vAlign w:val="center"/>
          </w:tcPr>
          <w:p w14:paraId="67538BAA" w14:textId="77777777" w:rsidR="001B77DD" w:rsidRDefault="00BF0A28">
            <w:pPr>
              <w:textAlignment w:val="center"/>
            </w:pPr>
            <w:r>
              <w:rPr>
                <w:rFonts w:ascii="Arial" w:eastAsia="宋体" w:hAnsi="Arial" w:cs="Arial"/>
                <w:color w:val="262626"/>
                <w:sz w:val="18"/>
                <w:szCs w:val="18"/>
              </w:rPr>
              <w:t>Item 16.</w:t>
            </w:r>
          </w:p>
        </w:tc>
        <w:tc>
          <w:tcPr>
            <w:tcW w:w="0" w:type="auto"/>
            <w:gridSpan w:val="3"/>
            <w:shd w:val="clear" w:color="auto" w:fill="auto"/>
            <w:tcMar>
              <w:top w:w="40" w:type="dxa"/>
              <w:left w:w="20" w:type="dxa"/>
              <w:bottom w:w="40" w:type="dxa"/>
              <w:right w:w="20" w:type="dxa"/>
            </w:tcMar>
            <w:vAlign w:val="center"/>
          </w:tcPr>
          <w:p w14:paraId="67538BAB" w14:textId="77777777" w:rsidR="001B77DD" w:rsidRDefault="00BF0A28">
            <w:pPr>
              <w:textAlignment w:val="center"/>
            </w:pPr>
            <w:r>
              <w:rPr>
                <w:rFonts w:ascii="Arial" w:eastAsia="宋体" w:hAnsi="Arial" w:cs="Arial"/>
                <w:color w:val="262626"/>
                <w:sz w:val="18"/>
                <w:szCs w:val="18"/>
              </w:rPr>
              <w:t>Form 10-K Summary</w:t>
            </w:r>
          </w:p>
        </w:tc>
        <w:tc>
          <w:tcPr>
            <w:tcW w:w="0" w:type="auto"/>
            <w:gridSpan w:val="3"/>
            <w:shd w:val="clear" w:color="auto" w:fill="auto"/>
            <w:tcMar>
              <w:top w:w="40" w:type="dxa"/>
              <w:left w:w="20" w:type="dxa"/>
              <w:bottom w:w="40" w:type="dxa"/>
              <w:right w:w="20" w:type="dxa"/>
            </w:tcMar>
            <w:vAlign w:val="center"/>
          </w:tcPr>
          <w:p w14:paraId="67538BAC" w14:textId="77777777" w:rsidR="001B77DD" w:rsidRDefault="00BF0A28">
            <w:pPr>
              <w:jc w:val="center"/>
              <w:textAlignment w:val="center"/>
            </w:pPr>
            <w:r>
              <w:rPr>
                <w:rFonts w:ascii="Arial" w:eastAsia="宋体" w:hAnsi="Arial" w:cs="Arial"/>
                <w:color w:val="262626"/>
                <w:sz w:val="18"/>
                <w:szCs w:val="18"/>
              </w:rPr>
              <w:t>Not applicable</w:t>
            </w:r>
          </w:p>
        </w:tc>
      </w:tr>
      <w:tr w:rsidR="001B77DD" w14:paraId="67538BB1"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AE"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AF" w14:textId="77777777" w:rsidR="001B77DD" w:rsidRDefault="001B77DD">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7538BB0" w14:textId="77777777" w:rsidR="001B77DD" w:rsidRDefault="001B77DD">
            <w:pPr>
              <w:rPr>
                <w:rFonts w:ascii="宋体"/>
              </w:rPr>
            </w:pPr>
          </w:p>
        </w:tc>
      </w:tr>
      <w:tr w:rsidR="001B77DD" w14:paraId="67538BB5" w14:textId="77777777">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67538BB2" w14:textId="77777777" w:rsidR="001B77DD" w:rsidRDefault="00BF0A28">
            <w:pPr>
              <w:textAlignment w:val="center"/>
            </w:pPr>
            <w:r>
              <w:rPr>
                <w:rFonts w:ascii="Arial" w:eastAsia="宋体" w:hAnsi="Arial" w:cs="Arial"/>
                <w:color w:val="0068B5"/>
                <w:sz w:val="18"/>
                <w:szCs w:val="18"/>
              </w:rPr>
              <w:t>Signatures</w:t>
            </w: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67538BB3" w14:textId="77777777" w:rsidR="001B77DD" w:rsidRDefault="001B77DD">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67538BB4" w14:textId="77777777" w:rsidR="001B77DD" w:rsidRDefault="00BF0A28">
            <w:pPr>
              <w:jc w:val="center"/>
              <w:textAlignment w:val="center"/>
            </w:pPr>
            <w:r>
              <w:rPr>
                <w:rFonts w:ascii="Arial" w:eastAsia="宋体" w:hAnsi="Arial" w:cs="Arial"/>
                <w:color w:val="262626"/>
                <w:sz w:val="18"/>
                <w:szCs w:val="18"/>
              </w:rPr>
              <w:t xml:space="preserve">Page </w:t>
            </w:r>
            <w:hyperlink r:id="rId323" w:anchor="i6c9ced68f6b24d58a3dcf326e8c3c699_472" w:history="1">
              <w:r>
                <w:rPr>
                  <w:rStyle w:val="a5"/>
                  <w:rFonts w:ascii="Arial" w:eastAsia="宋体" w:hAnsi="Arial" w:cs="Arial"/>
                  <w:color w:val="262626"/>
                  <w:sz w:val="18"/>
                  <w:szCs w:val="18"/>
                </w:rPr>
                <w:t>121</w:t>
              </w:r>
            </w:hyperlink>
          </w:p>
        </w:tc>
      </w:tr>
    </w:tbl>
    <w:p w14:paraId="67538BB6" w14:textId="77777777" w:rsidR="001B77DD" w:rsidRDefault="00BF0A28">
      <w:pPr>
        <w:spacing w:after="60"/>
        <w:ind w:hanging="360"/>
      </w:pPr>
      <w:r>
        <w:rPr>
          <w:rFonts w:ascii="Arial" w:eastAsia="宋体" w:hAnsi="Arial" w:cs="Arial"/>
          <w:i/>
          <w:iCs/>
          <w:color w:val="262626"/>
          <w:sz w:val="16"/>
          <w:szCs w:val="16"/>
        </w:rPr>
        <w:t>(a)    Incorporated by reference to "Proposal 1: Election of Directors," "Corporate Governance," "Code of Conduct," and "Other Matters-Delinquent Section 16(a) Reports" in the 2022 Proxy Statement. The information under the heading "Information about Our E</w:t>
      </w:r>
      <w:r>
        <w:rPr>
          <w:rFonts w:ascii="Arial" w:eastAsia="宋体" w:hAnsi="Arial" w:cs="Arial"/>
          <w:i/>
          <w:iCs/>
          <w:color w:val="262626"/>
          <w:sz w:val="16"/>
          <w:szCs w:val="16"/>
        </w:rPr>
        <w:t xml:space="preserve">xecutive Officers" within Other Key Information is also incorporated by reference in this section. </w:t>
      </w:r>
    </w:p>
    <w:p w14:paraId="67538BB7" w14:textId="77777777" w:rsidR="001B77DD" w:rsidRDefault="00BF0A28">
      <w:pPr>
        <w:spacing w:after="60"/>
        <w:ind w:hanging="360"/>
      </w:pPr>
      <w:r>
        <w:rPr>
          <w:rFonts w:ascii="Arial" w:eastAsia="宋体" w:hAnsi="Arial" w:cs="Arial"/>
          <w:i/>
          <w:iCs/>
          <w:color w:val="262626"/>
          <w:sz w:val="16"/>
          <w:szCs w:val="16"/>
        </w:rPr>
        <w:t xml:space="preserve">(b)    Incorporated by reference to "Director Compensation," "Compensation Discussion and Analysis," "Report of the Compensation Committee," and "Executive </w:t>
      </w:r>
      <w:r>
        <w:rPr>
          <w:rFonts w:ascii="Arial" w:eastAsia="宋体" w:hAnsi="Arial" w:cs="Arial"/>
          <w:i/>
          <w:iCs/>
          <w:color w:val="262626"/>
          <w:sz w:val="16"/>
          <w:szCs w:val="16"/>
        </w:rPr>
        <w:t>Compensation" in the 2022 Proxy Statement.</w:t>
      </w:r>
    </w:p>
    <w:p w14:paraId="67538BB8" w14:textId="77777777" w:rsidR="001B77DD" w:rsidRDefault="00BF0A28">
      <w:pPr>
        <w:spacing w:after="60"/>
        <w:ind w:hanging="360"/>
      </w:pPr>
      <w:r>
        <w:rPr>
          <w:rFonts w:ascii="Arial" w:eastAsia="宋体" w:hAnsi="Arial" w:cs="Arial"/>
          <w:i/>
          <w:iCs/>
          <w:color w:val="262626"/>
          <w:sz w:val="16"/>
          <w:szCs w:val="16"/>
        </w:rPr>
        <w:t>(c)    Incorporated by reference to "Security Ownership of Certain Beneficial Owners and Management" and "Equity Compensation Plan Information" in the 2022 Proxy Statement.</w:t>
      </w:r>
    </w:p>
    <w:p w14:paraId="67538BB9" w14:textId="77777777" w:rsidR="001B77DD" w:rsidRDefault="00BF0A28">
      <w:pPr>
        <w:spacing w:after="60"/>
        <w:ind w:hanging="360"/>
      </w:pPr>
      <w:r>
        <w:rPr>
          <w:rFonts w:ascii="Arial" w:eastAsia="宋体" w:hAnsi="Arial" w:cs="Arial"/>
          <w:i/>
          <w:iCs/>
          <w:color w:val="262626"/>
          <w:sz w:val="16"/>
          <w:szCs w:val="16"/>
        </w:rPr>
        <w:t>(d)    Incorporated by reference to "Cor</w:t>
      </w:r>
      <w:r>
        <w:rPr>
          <w:rFonts w:ascii="Arial" w:eastAsia="宋体" w:hAnsi="Arial" w:cs="Arial"/>
          <w:i/>
          <w:iCs/>
          <w:color w:val="262626"/>
          <w:sz w:val="16"/>
          <w:szCs w:val="16"/>
        </w:rPr>
        <w:t>porate Governance" and "Certain Relationships and Related Transactions" in the 2022 Proxy Statement.</w:t>
      </w:r>
    </w:p>
    <w:p w14:paraId="67538BBA" w14:textId="77777777" w:rsidR="001B77DD" w:rsidRDefault="00BF0A28">
      <w:pPr>
        <w:spacing w:after="100"/>
        <w:ind w:hanging="360"/>
      </w:pPr>
      <w:r>
        <w:rPr>
          <w:rFonts w:ascii="Arial" w:eastAsia="宋体" w:hAnsi="Arial" w:cs="Arial"/>
          <w:i/>
          <w:iCs/>
          <w:color w:val="262626"/>
          <w:sz w:val="16"/>
          <w:szCs w:val="16"/>
        </w:rPr>
        <w:t xml:space="preserve">(e)    Incorporated by reference to "Report of the Audit Committee" and "Proposal 2: Ratification of Selection of Independent Registered Public Accounting </w:t>
      </w:r>
      <w:r>
        <w:rPr>
          <w:rFonts w:ascii="Arial" w:eastAsia="宋体" w:hAnsi="Arial" w:cs="Arial"/>
          <w:i/>
          <w:iCs/>
          <w:color w:val="262626"/>
          <w:sz w:val="16"/>
          <w:szCs w:val="16"/>
        </w:rPr>
        <w:t>Firm" in the 2022 Proxy Statement.</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BC4" w14:textId="77777777">
        <w:tc>
          <w:tcPr>
            <w:tcW w:w="50" w:type="pct"/>
            <w:shd w:val="clear" w:color="auto" w:fill="auto"/>
            <w:vAlign w:val="bottom"/>
          </w:tcPr>
          <w:p w14:paraId="67538BBB" w14:textId="77777777" w:rsidR="001B77DD" w:rsidRDefault="001B77DD">
            <w:pPr>
              <w:rPr>
                <w:rFonts w:ascii="宋体"/>
              </w:rPr>
            </w:pPr>
          </w:p>
        </w:tc>
        <w:tc>
          <w:tcPr>
            <w:tcW w:w="283" w:type="pct"/>
            <w:shd w:val="clear" w:color="auto" w:fill="auto"/>
            <w:vAlign w:val="bottom"/>
          </w:tcPr>
          <w:p w14:paraId="67538BBC" w14:textId="77777777" w:rsidR="001B77DD" w:rsidRDefault="001B77DD">
            <w:pPr>
              <w:rPr>
                <w:rFonts w:ascii="宋体"/>
              </w:rPr>
            </w:pPr>
          </w:p>
        </w:tc>
        <w:tc>
          <w:tcPr>
            <w:tcW w:w="5" w:type="pct"/>
            <w:shd w:val="clear" w:color="auto" w:fill="auto"/>
            <w:vAlign w:val="bottom"/>
          </w:tcPr>
          <w:p w14:paraId="67538BBD" w14:textId="77777777" w:rsidR="001B77DD" w:rsidRDefault="001B77DD">
            <w:pPr>
              <w:rPr>
                <w:rFonts w:ascii="宋体"/>
              </w:rPr>
            </w:pPr>
          </w:p>
        </w:tc>
        <w:tc>
          <w:tcPr>
            <w:tcW w:w="50" w:type="pct"/>
            <w:shd w:val="clear" w:color="auto" w:fill="auto"/>
            <w:vAlign w:val="bottom"/>
          </w:tcPr>
          <w:p w14:paraId="67538BBE" w14:textId="77777777" w:rsidR="001B77DD" w:rsidRDefault="001B77DD">
            <w:pPr>
              <w:rPr>
                <w:rFonts w:ascii="宋体"/>
              </w:rPr>
            </w:pPr>
          </w:p>
        </w:tc>
        <w:tc>
          <w:tcPr>
            <w:tcW w:w="2656" w:type="pct"/>
            <w:shd w:val="clear" w:color="auto" w:fill="auto"/>
            <w:vAlign w:val="bottom"/>
          </w:tcPr>
          <w:p w14:paraId="67538BBF" w14:textId="77777777" w:rsidR="001B77DD" w:rsidRDefault="001B77DD">
            <w:pPr>
              <w:rPr>
                <w:rFonts w:ascii="宋体"/>
              </w:rPr>
            </w:pPr>
          </w:p>
        </w:tc>
        <w:tc>
          <w:tcPr>
            <w:tcW w:w="5" w:type="pct"/>
            <w:shd w:val="clear" w:color="auto" w:fill="auto"/>
            <w:vAlign w:val="bottom"/>
          </w:tcPr>
          <w:p w14:paraId="67538BC0" w14:textId="77777777" w:rsidR="001B77DD" w:rsidRDefault="001B77DD">
            <w:pPr>
              <w:rPr>
                <w:rFonts w:ascii="宋体"/>
              </w:rPr>
            </w:pPr>
          </w:p>
        </w:tc>
        <w:tc>
          <w:tcPr>
            <w:tcW w:w="50" w:type="pct"/>
            <w:shd w:val="clear" w:color="auto" w:fill="auto"/>
            <w:vAlign w:val="bottom"/>
          </w:tcPr>
          <w:p w14:paraId="67538BC1" w14:textId="77777777" w:rsidR="001B77DD" w:rsidRDefault="001B77DD">
            <w:pPr>
              <w:rPr>
                <w:rFonts w:ascii="宋体"/>
              </w:rPr>
            </w:pPr>
          </w:p>
        </w:tc>
        <w:tc>
          <w:tcPr>
            <w:tcW w:w="1894" w:type="pct"/>
            <w:shd w:val="clear" w:color="auto" w:fill="auto"/>
            <w:vAlign w:val="bottom"/>
          </w:tcPr>
          <w:p w14:paraId="67538BC2" w14:textId="77777777" w:rsidR="001B77DD" w:rsidRDefault="001B77DD">
            <w:pPr>
              <w:rPr>
                <w:rFonts w:ascii="宋体"/>
              </w:rPr>
            </w:pPr>
          </w:p>
        </w:tc>
        <w:tc>
          <w:tcPr>
            <w:tcW w:w="5" w:type="pct"/>
            <w:shd w:val="clear" w:color="auto" w:fill="auto"/>
            <w:vAlign w:val="bottom"/>
          </w:tcPr>
          <w:p w14:paraId="67538BC3" w14:textId="77777777" w:rsidR="001B77DD" w:rsidRDefault="001B77DD">
            <w:pPr>
              <w:rPr>
                <w:rFonts w:ascii="宋体"/>
              </w:rPr>
            </w:pPr>
          </w:p>
        </w:tc>
      </w:tr>
      <w:tr w:rsidR="001B77DD" w14:paraId="67538BC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BC5"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A8" wp14:editId="67538FA9">
                  <wp:extent cx="304800" cy="304800"/>
                  <wp:effectExtent l="0" t="0" r="0" b="0"/>
                  <wp:docPr id="150" name="图片 368"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68"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BC6"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BC7" w14:textId="77777777" w:rsidR="001B77DD" w:rsidRDefault="00BF0A28">
            <w:pPr>
              <w:jc w:val="right"/>
              <w:textAlignment w:val="center"/>
            </w:pPr>
            <w:r>
              <w:rPr>
                <w:rFonts w:ascii="Arial" w:eastAsia="宋体" w:hAnsi="Arial" w:cs="Arial"/>
                <w:color w:val="262626"/>
                <w:sz w:val="16"/>
                <w:szCs w:val="16"/>
              </w:rPr>
              <w:t>120</w:t>
            </w:r>
          </w:p>
        </w:tc>
      </w:tr>
    </w:tbl>
    <w:p w14:paraId="67538BC9" w14:textId="77777777" w:rsidR="001B77DD" w:rsidRDefault="00BF0A28">
      <w:r>
        <w:pict w14:anchorId="67538FAA">
          <v:rect id="_x0000_i1146" style="width:415.3pt;height:1.5pt" o:hralign="center" o:hrstd="t" o:hr="t" fillcolor="#a0a0a0" stroked="f"/>
        </w:pict>
      </w:r>
    </w:p>
    <w:p w14:paraId="67538BCA" w14:textId="77777777" w:rsidR="001B77DD" w:rsidRDefault="00BF0A28">
      <w:pPr>
        <w:jc w:val="right"/>
      </w:pPr>
      <w:hyperlink r:id="rId324" w:anchor="i6c9ced68f6b24d58a3dcf326e8c3c699_16" w:history="1">
        <w:r>
          <w:rPr>
            <w:rStyle w:val="a5"/>
            <w:rFonts w:ascii="Arial" w:eastAsia="宋体" w:hAnsi="Arial" w:cs="Arial"/>
            <w:b/>
            <w:bCs/>
            <w:sz w:val="16"/>
            <w:szCs w:val="16"/>
          </w:rPr>
          <w:t>Table of Contents</w:t>
        </w:r>
      </w:hyperlink>
    </w:p>
    <w:p w14:paraId="67538BCB" w14:textId="77777777" w:rsidR="001B77DD" w:rsidRDefault="001B77DD">
      <w:pPr>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1B77DD" w14:paraId="67538BD2" w14:textId="77777777">
        <w:tc>
          <w:tcPr>
            <w:tcW w:w="50" w:type="pct"/>
            <w:shd w:val="clear" w:color="auto" w:fill="auto"/>
            <w:vAlign w:val="bottom"/>
          </w:tcPr>
          <w:p w14:paraId="67538BCC" w14:textId="77777777" w:rsidR="001B77DD" w:rsidRDefault="001B77DD">
            <w:pPr>
              <w:rPr>
                <w:rFonts w:ascii="宋体"/>
              </w:rPr>
            </w:pPr>
          </w:p>
        </w:tc>
        <w:tc>
          <w:tcPr>
            <w:tcW w:w="4870" w:type="pct"/>
            <w:shd w:val="clear" w:color="auto" w:fill="auto"/>
            <w:vAlign w:val="bottom"/>
          </w:tcPr>
          <w:p w14:paraId="67538BCD" w14:textId="77777777" w:rsidR="001B77DD" w:rsidRDefault="001B77DD">
            <w:pPr>
              <w:rPr>
                <w:rFonts w:ascii="宋体"/>
              </w:rPr>
            </w:pPr>
          </w:p>
        </w:tc>
        <w:tc>
          <w:tcPr>
            <w:tcW w:w="5" w:type="pct"/>
            <w:shd w:val="clear" w:color="auto" w:fill="auto"/>
            <w:vAlign w:val="bottom"/>
          </w:tcPr>
          <w:p w14:paraId="67538BCE" w14:textId="77777777" w:rsidR="001B77DD" w:rsidRDefault="001B77DD">
            <w:pPr>
              <w:rPr>
                <w:rFonts w:ascii="宋体"/>
              </w:rPr>
            </w:pPr>
          </w:p>
        </w:tc>
        <w:tc>
          <w:tcPr>
            <w:tcW w:w="5" w:type="pct"/>
            <w:shd w:val="clear" w:color="auto" w:fill="auto"/>
            <w:vAlign w:val="bottom"/>
          </w:tcPr>
          <w:p w14:paraId="67538BCF" w14:textId="77777777" w:rsidR="001B77DD" w:rsidRDefault="001B77DD">
            <w:pPr>
              <w:rPr>
                <w:rFonts w:ascii="宋体"/>
              </w:rPr>
            </w:pPr>
          </w:p>
        </w:tc>
        <w:tc>
          <w:tcPr>
            <w:tcW w:w="64" w:type="pct"/>
            <w:shd w:val="clear" w:color="auto" w:fill="auto"/>
            <w:vAlign w:val="bottom"/>
          </w:tcPr>
          <w:p w14:paraId="67538BD0" w14:textId="77777777" w:rsidR="001B77DD" w:rsidRDefault="001B77DD">
            <w:pPr>
              <w:rPr>
                <w:rFonts w:ascii="宋体"/>
              </w:rPr>
            </w:pPr>
          </w:p>
        </w:tc>
        <w:tc>
          <w:tcPr>
            <w:tcW w:w="5" w:type="pct"/>
            <w:shd w:val="clear" w:color="auto" w:fill="auto"/>
            <w:vAlign w:val="bottom"/>
          </w:tcPr>
          <w:p w14:paraId="67538BD1" w14:textId="77777777" w:rsidR="001B77DD" w:rsidRDefault="001B77DD">
            <w:pPr>
              <w:rPr>
                <w:rFonts w:ascii="宋体"/>
              </w:rPr>
            </w:pPr>
          </w:p>
        </w:tc>
      </w:tr>
      <w:tr w:rsidR="001B77DD" w14:paraId="67538BD5" w14:textId="77777777">
        <w:tc>
          <w:tcPr>
            <w:tcW w:w="0" w:type="auto"/>
            <w:gridSpan w:val="3"/>
            <w:shd w:val="clear" w:color="auto" w:fill="004A86"/>
            <w:tcMar>
              <w:top w:w="40" w:type="dxa"/>
              <w:left w:w="20" w:type="dxa"/>
              <w:bottom w:w="40" w:type="dxa"/>
              <w:right w:w="20" w:type="dxa"/>
            </w:tcMar>
            <w:vAlign w:val="center"/>
          </w:tcPr>
          <w:p w14:paraId="67538BD3" w14:textId="77777777" w:rsidR="001B77DD" w:rsidRDefault="00BF0A28">
            <w:pPr>
              <w:textAlignment w:val="center"/>
            </w:pPr>
            <w:r>
              <w:rPr>
                <w:rFonts w:ascii="Arial" w:eastAsia="宋体" w:hAnsi="Arial" w:cs="Arial"/>
                <w:color w:val="FFFFFF"/>
                <w:sz w:val="36"/>
                <w:szCs w:val="36"/>
              </w:rPr>
              <w:t>Signatures</w:t>
            </w:r>
          </w:p>
        </w:tc>
        <w:tc>
          <w:tcPr>
            <w:tcW w:w="0" w:type="auto"/>
            <w:gridSpan w:val="3"/>
            <w:shd w:val="clear" w:color="auto" w:fill="auto"/>
            <w:tcMar>
              <w:top w:w="0" w:type="dxa"/>
              <w:left w:w="20" w:type="dxa"/>
              <w:bottom w:w="0" w:type="dxa"/>
              <w:right w:w="20" w:type="dxa"/>
            </w:tcMar>
            <w:vAlign w:val="bottom"/>
          </w:tcPr>
          <w:p w14:paraId="67538BD4" w14:textId="77777777" w:rsidR="001B77DD" w:rsidRDefault="001B77DD">
            <w:pPr>
              <w:rPr>
                <w:rFonts w:ascii="宋体"/>
              </w:rPr>
            </w:pPr>
          </w:p>
        </w:tc>
      </w:tr>
      <w:tr w:rsidR="001B77DD" w14:paraId="67538BD8" w14:textId="77777777">
        <w:trPr>
          <w:trHeight w:val="160"/>
        </w:trPr>
        <w:tc>
          <w:tcPr>
            <w:tcW w:w="0" w:type="auto"/>
            <w:gridSpan w:val="3"/>
            <w:shd w:val="clear" w:color="auto" w:fill="auto"/>
            <w:tcMar>
              <w:top w:w="0" w:type="dxa"/>
              <w:left w:w="20" w:type="dxa"/>
              <w:bottom w:w="0" w:type="dxa"/>
              <w:right w:w="20" w:type="dxa"/>
            </w:tcMar>
            <w:vAlign w:val="bottom"/>
          </w:tcPr>
          <w:p w14:paraId="67538BD6" w14:textId="77777777" w:rsidR="001B77DD" w:rsidRDefault="001B77DD">
            <w:pPr>
              <w:rPr>
                <w:rFonts w:ascii="宋体"/>
              </w:rPr>
            </w:pPr>
          </w:p>
        </w:tc>
        <w:tc>
          <w:tcPr>
            <w:tcW w:w="0" w:type="auto"/>
            <w:gridSpan w:val="3"/>
            <w:shd w:val="clear" w:color="auto" w:fill="00A3F6"/>
            <w:tcMar>
              <w:top w:w="0" w:type="dxa"/>
              <w:left w:w="20" w:type="dxa"/>
              <w:bottom w:w="0" w:type="dxa"/>
              <w:right w:w="20" w:type="dxa"/>
            </w:tcMar>
            <w:vAlign w:val="bottom"/>
          </w:tcPr>
          <w:p w14:paraId="67538BD7" w14:textId="77777777" w:rsidR="001B77DD" w:rsidRDefault="001B77DD">
            <w:pPr>
              <w:rPr>
                <w:rFonts w:ascii="宋体"/>
              </w:rPr>
            </w:pPr>
          </w:p>
        </w:tc>
      </w:tr>
    </w:tbl>
    <w:p w14:paraId="67538BD9" w14:textId="77777777" w:rsidR="001B77DD" w:rsidRDefault="00BF0A28">
      <w:pPr>
        <w:spacing w:before="80" w:after="180"/>
      </w:pPr>
      <w:r>
        <w:rPr>
          <w:rFonts w:ascii="Arial" w:eastAsia="宋体" w:hAnsi="Arial" w:cs="Arial"/>
          <w:color w:val="262626"/>
          <w:sz w:val="18"/>
          <w:szCs w:val="18"/>
        </w:rPr>
        <w:t xml:space="preserve">Pursuant to the requirements of Section 13 or 15(d) of the Securities Exchange Act of 1934, the Registrant has duly caused this report to be signed on its behalf by the undersigned, thereunto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63"/>
        <w:gridCol w:w="3636"/>
        <w:gridCol w:w="36"/>
        <w:gridCol w:w="63"/>
        <w:gridCol w:w="343"/>
        <w:gridCol w:w="37"/>
        <w:gridCol w:w="37"/>
        <w:gridCol w:w="110"/>
        <w:gridCol w:w="36"/>
        <w:gridCol w:w="63"/>
        <w:gridCol w:w="3864"/>
        <w:gridCol w:w="36"/>
      </w:tblGrid>
      <w:tr w:rsidR="001B77DD" w14:paraId="67538BE6" w14:textId="77777777">
        <w:tc>
          <w:tcPr>
            <w:tcW w:w="50" w:type="pct"/>
            <w:shd w:val="clear" w:color="auto" w:fill="auto"/>
            <w:vAlign w:val="bottom"/>
          </w:tcPr>
          <w:p w14:paraId="67538BDA" w14:textId="77777777" w:rsidR="001B77DD" w:rsidRDefault="001B77DD">
            <w:pPr>
              <w:rPr>
                <w:rFonts w:ascii="宋体"/>
              </w:rPr>
            </w:pPr>
          </w:p>
        </w:tc>
        <w:tc>
          <w:tcPr>
            <w:tcW w:w="2195" w:type="pct"/>
            <w:shd w:val="clear" w:color="auto" w:fill="auto"/>
            <w:vAlign w:val="bottom"/>
          </w:tcPr>
          <w:p w14:paraId="67538BDB" w14:textId="77777777" w:rsidR="001B77DD" w:rsidRDefault="001B77DD">
            <w:pPr>
              <w:rPr>
                <w:rFonts w:ascii="宋体"/>
              </w:rPr>
            </w:pPr>
          </w:p>
        </w:tc>
        <w:tc>
          <w:tcPr>
            <w:tcW w:w="5" w:type="pct"/>
            <w:shd w:val="clear" w:color="auto" w:fill="auto"/>
            <w:vAlign w:val="bottom"/>
          </w:tcPr>
          <w:p w14:paraId="67538BDC" w14:textId="77777777" w:rsidR="001B77DD" w:rsidRDefault="001B77DD">
            <w:pPr>
              <w:rPr>
                <w:rFonts w:ascii="宋体"/>
              </w:rPr>
            </w:pPr>
          </w:p>
        </w:tc>
        <w:tc>
          <w:tcPr>
            <w:tcW w:w="50" w:type="pct"/>
            <w:shd w:val="clear" w:color="auto" w:fill="auto"/>
            <w:vAlign w:val="bottom"/>
          </w:tcPr>
          <w:p w14:paraId="67538BDD" w14:textId="77777777" w:rsidR="001B77DD" w:rsidRDefault="001B77DD">
            <w:pPr>
              <w:rPr>
                <w:rFonts w:ascii="宋体"/>
              </w:rPr>
            </w:pPr>
          </w:p>
        </w:tc>
        <w:tc>
          <w:tcPr>
            <w:tcW w:w="218" w:type="pct"/>
            <w:shd w:val="clear" w:color="auto" w:fill="auto"/>
            <w:vAlign w:val="bottom"/>
          </w:tcPr>
          <w:p w14:paraId="67538BDE" w14:textId="77777777" w:rsidR="001B77DD" w:rsidRDefault="001B77DD">
            <w:pPr>
              <w:rPr>
                <w:rFonts w:ascii="宋体"/>
              </w:rPr>
            </w:pPr>
          </w:p>
        </w:tc>
        <w:tc>
          <w:tcPr>
            <w:tcW w:w="5" w:type="pct"/>
            <w:shd w:val="clear" w:color="auto" w:fill="auto"/>
            <w:vAlign w:val="bottom"/>
          </w:tcPr>
          <w:p w14:paraId="67538BDF" w14:textId="77777777" w:rsidR="001B77DD" w:rsidRDefault="001B77DD">
            <w:pPr>
              <w:rPr>
                <w:rFonts w:ascii="宋体"/>
              </w:rPr>
            </w:pPr>
          </w:p>
        </w:tc>
        <w:tc>
          <w:tcPr>
            <w:tcW w:w="5" w:type="pct"/>
            <w:shd w:val="clear" w:color="auto" w:fill="auto"/>
            <w:vAlign w:val="bottom"/>
          </w:tcPr>
          <w:p w14:paraId="67538BE0" w14:textId="77777777" w:rsidR="001B77DD" w:rsidRDefault="001B77DD">
            <w:pPr>
              <w:rPr>
                <w:rFonts w:ascii="宋体"/>
              </w:rPr>
            </w:pPr>
          </w:p>
        </w:tc>
        <w:tc>
          <w:tcPr>
            <w:tcW w:w="78" w:type="pct"/>
            <w:shd w:val="clear" w:color="auto" w:fill="auto"/>
            <w:vAlign w:val="bottom"/>
          </w:tcPr>
          <w:p w14:paraId="67538BE1" w14:textId="77777777" w:rsidR="001B77DD" w:rsidRDefault="001B77DD">
            <w:pPr>
              <w:rPr>
                <w:rFonts w:ascii="宋体"/>
              </w:rPr>
            </w:pPr>
          </w:p>
        </w:tc>
        <w:tc>
          <w:tcPr>
            <w:tcW w:w="5" w:type="pct"/>
            <w:shd w:val="clear" w:color="auto" w:fill="auto"/>
            <w:vAlign w:val="bottom"/>
          </w:tcPr>
          <w:p w14:paraId="67538BE2" w14:textId="77777777" w:rsidR="001B77DD" w:rsidRDefault="001B77DD">
            <w:pPr>
              <w:rPr>
                <w:rFonts w:ascii="宋体"/>
              </w:rPr>
            </w:pPr>
          </w:p>
        </w:tc>
        <w:tc>
          <w:tcPr>
            <w:tcW w:w="50" w:type="pct"/>
            <w:shd w:val="clear" w:color="auto" w:fill="auto"/>
            <w:vAlign w:val="bottom"/>
          </w:tcPr>
          <w:p w14:paraId="67538BE3" w14:textId="77777777" w:rsidR="001B77DD" w:rsidRDefault="001B77DD">
            <w:pPr>
              <w:rPr>
                <w:rFonts w:ascii="宋体"/>
              </w:rPr>
            </w:pPr>
          </w:p>
        </w:tc>
        <w:tc>
          <w:tcPr>
            <w:tcW w:w="2332" w:type="pct"/>
            <w:shd w:val="clear" w:color="auto" w:fill="auto"/>
            <w:vAlign w:val="bottom"/>
          </w:tcPr>
          <w:p w14:paraId="67538BE4" w14:textId="77777777" w:rsidR="001B77DD" w:rsidRDefault="001B77DD">
            <w:pPr>
              <w:rPr>
                <w:rFonts w:ascii="宋体"/>
              </w:rPr>
            </w:pPr>
          </w:p>
        </w:tc>
        <w:tc>
          <w:tcPr>
            <w:tcW w:w="5" w:type="pct"/>
            <w:shd w:val="clear" w:color="auto" w:fill="auto"/>
            <w:vAlign w:val="bottom"/>
          </w:tcPr>
          <w:p w14:paraId="67538BE5" w14:textId="77777777" w:rsidR="001B77DD" w:rsidRDefault="001B77DD">
            <w:pPr>
              <w:rPr>
                <w:rFonts w:ascii="宋体"/>
              </w:rPr>
            </w:pPr>
          </w:p>
        </w:tc>
      </w:tr>
      <w:tr w:rsidR="001B77DD" w14:paraId="67538BE9" w14:textId="77777777">
        <w:tc>
          <w:tcPr>
            <w:tcW w:w="0" w:type="auto"/>
            <w:gridSpan w:val="3"/>
            <w:shd w:val="clear" w:color="auto" w:fill="auto"/>
            <w:tcMar>
              <w:top w:w="0" w:type="dxa"/>
              <w:left w:w="20" w:type="dxa"/>
              <w:bottom w:w="0" w:type="dxa"/>
              <w:right w:w="20" w:type="dxa"/>
            </w:tcMar>
            <w:vAlign w:val="bottom"/>
          </w:tcPr>
          <w:p w14:paraId="67538BE7" w14:textId="77777777" w:rsidR="001B77DD" w:rsidRDefault="001B77DD">
            <w:pPr>
              <w:rPr>
                <w:rFonts w:ascii="宋体"/>
              </w:rPr>
            </w:pPr>
          </w:p>
        </w:tc>
        <w:tc>
          <w:tcPr>
            <w:tcW w:w="0" w:type="auto"/>
            <w:gridSpan w:val="9"/>
            <w:shd w:val="clear" w:color="auto" w:fill="auto"/>
            <w:tcMar>
              <w:top w:w="40" w:type="dxa"/>
              <w:left w:w="20" w:type="dxa"/>
              <w:bottom w:w="40" w:type="dxa"/>
              <w:right w:w="20" w:type="dxa"/>
            </w:tcMar>
            <w:vAlign w:val="bottom"/>
          </w:tcPr>
          <w:p w14:paraId="67538BE8" w14:textId="77777777" w:rsidR="001B77DD" w:rsidRDefault="00BF0A28">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r>
            <w:r>
              <w:rPr>
                <w:rFonts w:ascii="Arial" w:eastAsia="宋体" w:hAnsi="Arial" w:cs="Arial"/>
                <w:color w:val="262626"/>
                <w:sz w:val="18"/>
                <w:szCs w:val="18"/>
              </w:rPr>
              <w:t>Registrant</w:t>
            </w:r>
          </w:p>
        </w:tc>
      </w:tr>
      <w:tr w:rsidR="001B77DD" w14:paraId="67538BEE" w14:textId="77777777">
        <w:trPr>
          <w:trHeight w:val="120"/>
        </w:trPr>
        <w:tc>
          <w:tcPr>
            <w:tcW w:w="0" w:type="auto"/>
            <w:gridSpan w:val="3"/>
            <w:shd w:val="clear" w:color="auto" w:fill="auto"/>
            <w:tcMar>
              <w:top w:w="0" w:type="dxa"/>
              <w:left w:w="20" w:type="dxa"/>
              <w:bottom w:w="0" w:type="dxa"/>
              <w:right w:w="20" w:type="dxa"/>
            </w:tcMar>
            <w:vAlign w:val="bottom"/>
          </w:tcPr>
          <w:p w14:paraId="67538BE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E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E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ED" w14:textId="77777777" w:rsidR="001B77DD" w:rsidRDefault="001B77DD">
            <w:pPr>
              <w:rPr>
                <w:rFonts w:ascii="宋体"/>
              </w:rPr>
            </w:pPr>
          </w:p>
        </w:tc>
      </w:tr>
      <w:tr w:rsidR="001B77DD" w14:paraId="67538BF3" w14:textId="77777777">
        <w:tc>
          <w:tcPr>
            <w:tcW w:w="0" w:type="auto"/>
            <w:gridSpan w:val="3"/>
            <w:shd w:val="clear" w:color="auto" w:fill="auto"/>
            <w:tcMar>
              <w:top w:w="0" w:type="dxa"/>
              <w:left w:w="20" w:type="dxa"/>
              <w:bottom w:w="0" w:type="dxa"/>
              <w:right w:w="20" w:type="dxa"/>
            </w:tcMar>
            <w:vAlign w:val="bottom"/>
          </w:tcPr>
          <w:p w14:paraId="67538BE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BF0" w14:textId="77777777" w:rsidR="001B77DD" w:rsidRDefault="00BF0A28">
            <w:pPr>
              <w:textAlignment w:val="top"/>
            </w:pPr>
            <w:r>
              <w:rPr>
                <w:rFonts w:ascii="Arial" w:eastAsia="宋体" w:hAnsi="Arial" w:cs="Arial"/>
                <w:color w:val="262626"/>
                <w:sz w:val="18"/>
                <w:szCs w:val="18"/>
              </w:rPr>
              <w:t>By:</w:t>
            </w:r>
          </w:p>
        </w:tc>
        <w:tc>
          <w:tcPr>
            <w:tcW w:w="0" w:type="auto"/>
            <w:gridSpan w:val="3"/>
            <w:shd w:val="clear" w:color="auto" w:fill="auto"/>
            <w:tcMar>
              <w:top w:w="0" w:type="dxa"/>
              <w:left w:w="20" w:type="dxa"/>
              <w:bottom w:w="0" w:type="dxa"/>
              <w:right w:w="20" w:type="dxa"/>
            </w:tcMar>
            <w:vAlign w:val="bottom"/>
          </w:tcPr>
          <w:p w14:paraId="67538BF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BF2" w14:textId="77777777" w:rsidR="001B77DD" w:rsidRDefault="00BF0A28">
            <w:pPr>
              <w:textAlignment w:val="bottom"/>
            </w:pPr>
            <w:r>
              <w:rPr>
                <w:rFonts w:ascii="Arial" w:eastAsia="宋体" w:hAnsi="Arial" w:cs="Arial"/>
                <w:color w:val="262626"/>
                <w:sz w:val="18"/>
                <w:szCs w:val="18"/>
              </w:rPr>
              <w:t>/s/ PATRICK P. GELSINGER</w:t>
            </w:r>
          </w:p>
        </w:tc>
      </w:tr>
      <w:tr w:rsidR="001B77DD" w14:paraId="67538BF8" w14:textId="77777777">
        <w:tc>
          <w:tcPr>
            <w:tcW w:w="0" w:type="auto"/>
            <w:gridSpan w:val="3"/>
            <w:shd w:val="clear" w:color="auto" w:fill="auto"/>
            <w:tcMar>
              <w:top w:w="0" w:type="dxa"/>
              <w:left w:w="20" w:type="dxa"/>
              <w:bottom w:w="0" w:type="dxa"/>
              <w:right w:w="20" w:type="dxa"/>
            </w:tcMar>
            <w:vAlign w:val="bottom"/>
          </w:tcPr>
          <w:p w14:paraId="67538BF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F5" w14:textId="77777777" w:rsidR="001B77DD" w:rsidRDefault="001B77DD">
            <w:pPr>
              <w:rPr>
                <w:rFonts w:ascii="宋体"/>
              </w:rPr>
            </w:pPr>
          </w:p>
        </w:tc>
        <w:tc>
          <w:tcPr>
            <w:tcW w:w="0" w:type="auto"/>
            <w:gridSpan w:val="3"/>
            <w:tcBorders>
              <w:top w:val="single" w:sz="4" w:space="0" w:color="333333"/>
            </w:tcBorders>
            <w:shd w:val="clear" w:color="auto" w:fill="auto"/>
            <w:tcMar>
              <w:top w:w="0" w:type="dxa"/>
              <w:left w:w="20" w:type="dxa"/>
              <w:bottom w:w="0" w:type="dxa"/>
              <w:right w:w="20" w:type="dxa"/>
            </w:tcMar>
            <w:vAlign w:val="bottom"/>
          </w:tcPr>
          <w:p w14:paraId="67538BF6"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BF7" w14:textId="77777777" w:rsidR="001B77DD" w:rsidRDefault="00BF0A28">
            <w:pPr>
              <w:textAlignment w:val="bottom"/>
            </w:pPr>
            <w:r>
              <w:rPr>
                <w:rFonts w:ascii="Arial" w:eastAsia="宋体" w:hAnsi="Arial" w:cs="Arial"/>
                <w:color w:val="262626"/>
                <w:sz w:val="18"/>
                <w:szCs w:val="18"/>
              </w:rPr>
              <w:t>Patrick P. Gelsinger</w:t>
            </w:r>
          </w:p>
        </w:tc>
      </w:tr>
      <w:tr w:rsidR="001B77DD" w14:paraId="67538BFD" w14:textId="77777777">
        <w:tc>
          <w:tcPr>
            <w:tcW w:w="0" w:type="auto"/>
            <w:gridSpan w:val="3"/>
            <w:shd w:val="clear" w:color="auto" w:fill="auto"/>
            <w:tcMar>
              <w:top w:w="0" w:type="dxa"/>
              <w:left w:w="20" w:type="dxa"/>
              <w:bottom w:w="0" w:type="dxa"/>
              <w:right w:w="20" w:type="dxa"/>
            </w:tcMar>
            <w:vAlign w:val="bottom"/>
          </w:tcPr>
          <w:p w14:paraId="67538BF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F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F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BFC" w14:textId="77777777" w:rsidR="001B77DD" w:rsidRDefault="00BF0A28">
            <w:pPr>
              <w:textAlignment w:val="bottom"/>
            </w:pPr>
            <w:r>
              <w:rPr>
                <w:rFonts w:ascii="Arial" w:eastAsia="宋体" w:hAnsi="Arial" w:cs="Arial"/>
                <w:color w:val="262626"/>
                <w:sz w:val="18"/>
                <w:szCs w:val="18"/>
              </w:rPr>
              <w:t>Chief Executive Officer, Director, and Principal Executive Officer</w:t>
            </w:r>
          </w:p>
        </w:tc>
      </w:tr>
      <w:tr w:rsidR="001B77DD" w14:paraId="67538C02" w14:textId="77777777">
        <w:tc>
          <w:tcPr>
            <w:tcW w:w="0" w:type="auto"/>
            <w:gridSpan w:val="3"/>
            <w:shd w:val="clear" w:color="auto" w:fill="auto"/>
            <w:tcMar>
              <w:top w:w="0" w:type="dxa"/>
              <w:left w:w="20" w:type="dxa"/>
              <w:bottom w:w="0" w:type="dxa"/>
              <w:right w:w="20" w:type="dxa"/>
            </w:tcMar>
            <w:vAlign w:val="bottom"/>
          </w:tcPr>
          <w:p w14:paraId="67538BF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BF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0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01" w14:textId="77777777" w:rsidR="001B77DD" w:rsidRDefault="00BF0A28">
            <w:pPr>
              <w:textAlignment w:val="bottom"/>
            </w:pPr>
            <w:r>
              <w:rPr>
                <w:rFonts w:ascii="Arial" w:eastAsia="宋体" w:hAnsi="Arial" w:cs="Arial"/>
                <w:color w:val="262626"/>
                <w:sz w:val="18"/>
                <w:szCs w:val="18"/>
              </w:rPr>
              <w:t>January 26, 2022</w:t>
            </w:r>
          </w:p>
        </w:tc>
      </w:tr>
    </w:tbl>
    <w:p w14:paraId="67538C03" w14:textId="77777777" w:rsidR="001B77DD" w:rsidRDefault="00BF0A28">
      <w:pPr>
        <w:spacing w:after="180"/>
      </w:pPr>
      <w:r>
        <w:rPr>
          <w:rFonts w:ascii="Arial" w:eastAsia="宋体" w:hAnsi="Arial" w:cs="Arial"/>
          <w:color w:val="262626"/>
          <w:sz w:val="18"/>
          <w:szCs w:val="18"/>
        </w:rPr>
        <w:t xml:space="preserve">Pursuant to the requirements of the Securities Exchange Act of 1934, this report has </w:t>
      </w:r>
      <w:r>
        <w:rPr>
          <w:rFonts w:ascii="Arial" w:eastAsia="宋体" w:hAnsi="Arial" w:cs="Arial"/>
          <w:color w:val="262626"/>
          <w:sz w:val="18"/>
          <w:szCs w:val="18"/>
        </w:rPr>
        <w:t>been signed below by the following persons on behalf of the Registrant and in the capacities and on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6"/>
        <w:gridCol w:w="98"/>
        <w:gridCol w:w="36"/>
        <w:gridCol w:w="51"/>
        <w:gridCol w:w="3852"/>
        <w:gridCol w:w="36"/>
        <w:gridCol w:w="36"/>
        <w:gridCol w:w="36"/>
        <w:gridCol w:w="36"/>
        <w:gridCol w:w="36"/>
        <w:gridCol w:w="94"/>
        <w:gridCol w:w="36"/>
        <w:gridCol w:w="52"/>
        <w:gridCol w:w="3853"/>
        <w:gridCol w:w="36"/>
      </w:tblGrid>
      <w:tr w:rsidR="001B77DD" w14:paraId="67538C13" w14:textId="77777777">
        <w:tc>
          <w:tcPr>
            <w:tcW w:w="5" w:type="pct"/>
            <w:shd w:val="clear" w:color="auto" w:fill="auto"/>
            <w:vAlign w:val="bottom"/>
          </w:tcPr>
          <w:p w14:paraId="67538C04" w14:textId="77777777" w:rsidR="001B77DD" w:rsidRDefault="001B77DD">
            <w:pPr>
              <w:rPr>
                <w:rFonts w:ascii="宋体"/>
              </w:rPr>
            </w:pPr>
          </w:p>
        </w:tc>
        <w:tc>
          <w:tcPr>
            <w:tcW w:w="78" w:type="pct"/>
            <w:shd w:val="clear" w:color="auto" w:fill="auto"/>
            <w:vAlign w:val="bottom"/>
          </w:tcPr>
          <w:p w14:paraId="67538C05" w14:textId="77777777" w:rsidR="001B77DD" w:rsidRDefault="001B77DD">
            <w:pPr>
              <w:rPr>
                <w:rFonts w:ascii="宋体"/>
              </w:rPr>
            </w:pPr>
          </w:p>
        </w:tc>
        <w:tc>
          <w:tcPr>
            <w:tcW w:w="5" w:type="pct"/>
            <w:shd w:val="clear" w:color="auto" w:fill="auto"/>
            <w:vAlign w:val="bottom"/>
          </w:tcPr>
          <w:p w14:paraId="67538C06" w14:textId="77777777" w:rsidR="001B77DD" w:rsidRDefault="001B77DD">
            <w:pPr>
              <w:rPr>
                <w:rFonts w:ascii="宋体"/>
              </w:rPr>
            </w:pPr>
          </w:p>
        </w:tc>
        <w:tc>
          <w:tcPr>
            <w:tcW w:w="50" w:type="pct"/>
            <w:shd w:val="clear" w:color="auto" w:fill="auto"/>
            <w:vAlign w:val="bottom"/>
          </w:tcPr>
          <w:p w14:paraId="67538C07" w14:textId="77777777" w:rsidR="001B77DD" w:rsidRDefault="001B77DD">
            <w:pPr>
              <w:rPr>
                <w:rFonts w:ascii="宋体"/>
              </w:rPr>
            </w:pPr>
          </w:p>
        </w:tc>
        <w:tc>
          <w:tcPr>
            <w:tcW w:w="2332" w:type="pct"/>
            <w:shd w:val="clear" w:color="auto" w:fill="auto"/>
            <w:vAlign w:val="bottom"/>
          </w:tcPr>
          <w:p w14:paraId="67538C08" w14:textId="77777777" w:rsidR="001B77DD" w:rsidRDefault="001B77DD">
            <w:pPr>
              <w:rPr>
                <w:rFonts w:ascii="宋体"/>
              </w:rPr>
            </w:pPr>
          </w:p>
        </w:tc>
        <w:tc>
          <w:tcPr>
            <w:tcW w:w="5" w:type="pct"/>
            <w:shd w:val="clear" w:color="auto" w:fill="auto"/>
            <w:vAlign w:val="bottom"/>
          </w:tcPr>
          <w:p w14:paraId="67538C09" w14:textId="77777777" w:rsidR="001B77DD" w:rsidRDefault="001B77DD">
            <w:pPr>
              <w:rPr>
                <w:rFonts w:ascii="宋体"/>
              </w:rPr>
            </w:pPr>
          </w:p>
        </w:tc>
        <w:tc>
          <w:tcPr>
            <w:tcW w:w="5" w:type="pct"/>
            <w:shd w:val="clear" w:color="auto" w:fill="auto"/>
            <w:vAlign w:val="bottom"/>
          </w:tcPr>
          <w:p w14:paraId="67538C0A" w14:textId="77777777" w:rsidR="001B77DD" w:rsidRDefault="001B77DD">
            <w:pPr>
              <w:rPr>
                <w:rFonts w:ascii="宋体"/>
              </w:rPr>
            </w:pPr>
          </w:p>
        </w:tc>
        <w:tc>
          <w:tcPr>
            <w:tcW w:w="37" w:type="pct"/>
            <w:shd w:val="clear" w:color="auto" w:fill="auto"/>
            <w:vAlign w:val="bottom"/>
          </w:tcPr>
          <w:p w14:paraId="67538C0B" w14:textId="77777777" w:rsidR="001B77DD" w:rsidRDefault="001B77DD">
            <w:pPr>
              <w:rPr>
                <w:rFonts w:ascii="宋体"/>
              </w:rPr>
            </w:pPr>
          </w:p>
        </w:tc>
        <w:tc>
          <w:tcPr>
            <w:tcW w:w="5" w:type="pct"/>
            <w:shd w:val="clear" w:color="auto" w:fill="auto"/>
            <w:vAlign w:val="bottom"/>
          </w:tcPr>
          <w:p w14:paraId="67538C0C" w14:textId="77777777" w:rsidR="001B77DD" w:rsidRDefault="001B77DD">
            <w:pPr>
              <w:rPr>
                <w:rFonts w:ascii="宋体"/>
              </w:rPr>
            </w:pPr>
          </w:p>
        </w:tc>
        <w:tc>
          <w:tcPr>
            <w:tcW w:w="5" w:type="pct"/>
            <w:shd w:val="clear" w:color="auto" w:fill="auto"/>
            <w:vAlign w:val="bottom"/>
          </w:tcPr>
          <w:p w14:paraId="67538C0D" w14:textId="77777777" w:rsidR="001B77DD" w:rsidRDefault="001B77DD">
            <w:pPr>
              <w:rPr>
                <w:rFonts w:ascii="宋体"/>
              </w:rPr>
            </w:pPr>
          </w:p>
        </w:tc>
        <w:tc>
          <w:tcPr>
            <w:tcW w:w="78" w:type="pct"/>
            <w:shd w:val="clear" w:color="auto" w:fill="auto"/>
            <w:vAlign w:val="bottom"/>
          </w:tcPr>
          <w:p w14:paraId="67538C0E" w14:textId="77777777" w:rsidR="001B77DD" w:rsidRDefault="001B77DD">
            <w:pPr>
              <w:rPr>
                <w:rFonts w:ascii="宋体"/>
              </w:rPr>
            </w:pPr>
          </w:p>
        </w:tc>
        <w:tc>
          <w:tcPr>
            <w:tcW w:w="5" w:type="pct"/>
            <w:shd w:val="clear" w:color="auto" w:fill="auto"/>
            <w:vAlign w:val="bottom"/>
          </w:tcPr>
          <w:p w14:paraId="67538C0F" w14:textId="77777777" w:rsidR="001B77DD" w:rsidRDefault="001B77DD">
            <w:pPr>
              <w:rPr>
                <w:rFonts w:ascii="宋体"/>
              </w:rPr>
            </w:pPr>
          </w:p>
        </w:tc>
        <w:tc>
          <w:tcPr>
            <w:tcW w:w="50" w:type="pct"/>
            <w:shd w:val="clear" w:color="auto" w:fill="auto"/>
            <w:vAlign w:val="bottom"/>
          </w:tcPr>
          <w:p w14:paraId="67538C10" w14:textId="77777777" w:rsidR="001B77DD" w:rsidRDefault="001B77DD">
            <w:pPr>
              <w:rPr>
                <w:rFonts w:ascii="宋体"/>
              </w:rPr>
            </w:pPr>
          </w:p>
        </w:tc>
        <w:tc>
          <w:tcPr>
            <w:tcW w:w="2332" w:type="pct"/>
            <w:shd w:val="clear" w:color="auto" w:fill="auto"/>
            <w:vAlign w:val="bottom"/>
          </w:tcPr>
          <w:p w14:paraId="67538C11" w14:textId="77777777" w:rsidR="001B77DD" w:rsidRDefault="001B77DD">
            <w:pPr>
              <w:rPr>
                <w:rFonts w:ascii="宋体"/>
              </w:rPr>
            </w:pPr>
          </w:p>
        </w:tc>
        <w:tc>
          <w:tcPr>
            <w:tcW w:w="5" w:type="pct"/>
            <w:shd w:val="clear" w:color="auto" w:fill="auto"/>
            <w:vAlign w:val="bottom"/>
          </w:tcPr>
          <w:p w14:paraId="67538C12" w14:textId="77777777" w:rsidR="001B77DD" w:rsidRDefault="001B77DD">
            <w:pPr>
              <w:rPr>
                <w:rFonts w:ascii="宋体"/>
              </w:rPr>
            </w:pPr>
          </w:p>
        </w:tc>
      </w:tr>
      <w:tr w:rsidR="001B77DD" w14:paraId="67538C19" w14:textId="77777777">
        <w:tc>
          <w:tcPr>
            <w:tcW w:w="0" w:type="auto"/>
            <w:gridSpan w:val="3"/>
            <w:shd w:val="clear" w:color="auto" w:fill="auto"/>
            <w:tcMar>
              <w:top w:w="0" w:type="dxa"/>
              <w:left w:w="20" w:type="dxa"/>
              <w:bottom w:w="0" w:type="dxa"/>
              <w:right w:w="20" w:type="dxa"/>
            </w:tcMar>
            <w:vAlign w:val="bottom"/>
          </w:tcPr>
          <w:p w14:paraId="67538C1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15" w14:textId="77777777" w:rsidR="001B77DD" w:rsidRDefault="00BF0A28">
            <w:pPr>
              <w:textAlignment w:val="bottom"/>
            </w:pPr>
            <w:r>
              <w:rPr>
                <w:rFonts w:ascii="Arial" w:eastAsia="宋体" w:hAnsi="Arial" w:cs="Arial"/>
                <w:color w:val="262626"/>
                <w:sz w:val="18"/>
                <w:szCs w:val="18"/>
              </w:rPr>
              <w:t>/s/ PATRICK P. GELSINGER</w:t>
            </w:r>
          </w:p>
        </w:tc>
        <w:tc>
          <w:tcPr>
            <w:tcW w:w="0" w:type="auto"/>
            <w:gridSpan w:val="3"/>
            <w:shd w:val="clear" w:color="auto" w:fill="auto"/>
            <w:tcMar>
              <w:top w:w="0" w:type="dxa"/>
              <w:left w:w="20" w:type="dxa"/>
              <w:bottom w:w="0" w:type="dxa"/>
              <w:right w:w="20" w:type="dxa"/>
            </w:tcMar>
            <w:vAlign w:val="bottom"/>
          </w:tcPr>
          <w:p w14:paraId="67538C1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1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18" w14:textId="77777777" w:rsidR="001B77DD" w:rsidRDefault="00BF0A28">
            <w:pPr>
              <w:textAlignment w:val="bottom"/>
            </w:pPr>
            <w:r>
              <w:rPr>
                <w:rFonts w:ascii="Arial" w:eastAsia="宋体" w:hAnsi="Arial" w:cs="Arial"/>
                <w:color w:val="262626"/>
                <w:sz w:val="18"/>
                <w:szCs w:val="18"/>
              </w:rPr>
              <w:t>/s/    DAVID ZINSNER</w:t>
            </w:r>
          </w:p>
        </w:tc>
      </w:tr>
      <w:tr w:rsidR="001B77DD" w14:paraId="67538C1F" w14:textId="77777777">
        <w:tc>
          <w:tcPr>
            <w:tcW w:w="0" w:type="auto"/>
            <w:gridSpan w:val="3"/>
            <w:tcBorders>
              <w:top w:val="single" w:sz="4" w:space="0" w:color="333333"/>
            </w:tcBorders>
            <w:shd w:val="clear" w:color="auto" w:fill="auto"/>
            <w:tcMar>
              <w:top w:w="0" w:type="dxa"/>
              <w:left w:w="20" w:type="dxa"/>
              <w:bottom w:w="0" w:type="dxa"/>
              <w:right w:w="20" w:type="dxa"/>
            </w:tcMar>
            <w:vAlign w:val="bottom"/>
          </w:tcPr>
          <w:p w14:paraId="67538C1A"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C1B" w14:textId="77777777" w:rsidR="001B77DD" w:rsidRDefault="00BF0A28">
            <w:pPr>
              <w:textAlignment w:val="bottom"/>
            </w:pPr>
            <w:r>
              <w:rPr>
                <w:rFonts w:ascii="Arial" w:eastAsia="宋体" w:hAnsi="Arial" w:cs="Arial"/>
                <w:color w:val="262626"/>
                <w:sz w:val="18"/>
                <w:szCs w:val="18"/>
              </w:rPr>
              <w:t>Patrick P. Gelsinger</w:t>
            </w:r>
          </w:p>
        </w:tc>
        <w:tc>
          <w:tcPr>
            <w:tcW w:w="0" w:type="auto"/>
            <w:gridSpan w:val="3"/>
            <w:shd w:val="clear" w:color="auto" w:fill="auto"/>
            <w:tcMar>
              <w:top w:w="0" w:type="dxa"/>
              <w:left w:w="20" w:type="dxa"/>
              <w:bottom w:w="0" w:type="dxa"/>
              <w:right w:w="20" w:type="dxa"/>
            </w:tcMar>
            <w:vAlign w:val="bottom"/>
          </w:tcPr>
          <w:p w14:paraId="67538C1C"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1D"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C1E" w14:textId="77777777" w:rsidR="001B77DD" w:rsidRDefault="00BF0A28">
            <w:pPr>
              <w:textAlignment w:val="bottom"/>
            </w:pPr>
            <w:r>
              <w:rPr>
                <w:rFonts w:ascii="Arial" w:eastAsia="宋体" w:hAnsi="Arial" w:cs="Arial"/>
                <w:color w:val="262626"/>
                <w:sz w:val="18"/>
                <w:szCs w:val="18"/>
              </w:rPr>
              <w:t>David Zinsner</w:t>
            </w:r>
          </w:p>
        </w:tc>
      </w:tr>
      <w:tr w:rsidR="001B77DD" w14:paraId="67538C25" w14:textId="77777777">
        <w:tc>
          <w:tcPr>
            <w:tcW w:w="0" w:type="auto"/>
            <w:gridSpan w:val="3"/>
            <w:shd w:val="clear" w:color="auto" w:fill="auto"/>
            <w:tcMar>
              <w:top w:w="0" w:type="dxa"/>
              <w:left w:w="20" w:type="dxa"/>
              <w:bottom w:w="0" w:type="dxa"/>
              <w:right w:w="20" w:type="dxa"/>
            </w:tcMar>
            <w:vAlign w:val="bottom"/>
          </w:tcPr>
          <w:p w14:paraId="67538C2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21" w14:textId="77777777" w:rsidR="001B77DD" w:rsidRDefault="00BF0A28">
            <w:pPr>
              <w:textAlignment w:val="top"/>
            </w:pPr>
            <w:r>
              <w:rPr>
                <w:rFonts w:ascii="Arial" w:eastAsia="宋体" w:hAnsi="Arial" w:cs="Arial"/>
                <w:color w:val="262626"/>
                <w:sz w:val="18"/>
                <w:szCs w:val="18"/>
              </w:rPr>
              <w:t xml:space="preserve">Chief Executive </w:t>
            </w:r>
            <w:r>
              <w:rPr>
                <w:rFonts w:ascii="Arial" w:eastAsia="宋体" w:hAnsi="Arial" w:cs="Arial"/>
                <w:color w:val="262626"/>
                <w:sz w:val="18"/>
                <w:szCs w:val="18"/>
              </w:rPr>
              <w:t>Officer, Director, and Principal Executive Officer</w:t>
            </w:r>
          </w:p>
        </w:tc>
        <w:tc>
          <w:tcPr>
            <w:tcW w:w="0" w:type="auto"/>
            <w:gridSpan w:val="3"/>
            <w:shd w:val="clear" w:color="auto" w:fill="auto"/>
            <w:tcMar>
              <w:top w:w="0" w:type="dxa"/>
              <w:left w:w="20" w:type="dxa"/>
              <w:bottom w:w="0" w:type="dxa"/>
              <w:right w:w="20" w:type="dxa"/>
            </w:tcMar>
            <w:vAlign w:val="bottom"/>
          </w:tcPr>
          <w:p w14:paraId="67538C2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2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24" w14:textId="77777777" w:rsidR="001B77DD" w:rsidRDefault="00BF0A28">
            <w:pPr>
              <w:textAlignment w:val="top"/>
            </w:pPr>
            <w:r>
              <w:rPr>
                <w:rFonts w:ascii="Arial" w:eastAsia="宋体" w:hAnsi="Arial" w:cs="Arial"/>
                <w:color w:val="262626"/>
                <w:sz w:val="18"/>
                <w:szCs w:val="18"/>
              </w:rPr>
              <w:t>Executive Vice President, Chief Financial Officer, Principal</w:t>
            </w:r>
          </w:p>
        </w:tc>
      </w:tr>
      <w:tr w:rsidR="001B77DD" w14:paraId="67538C2B" w14:textId="77777777">
        <w:tc>
          <w:tcPr>
            <w:tcW w:w="0" w:type="auto"/>
            <w:gridSpan w:val="3"/>
            <w:shd w:val="clear" w:color="auto" w:fill="auto"/>
            <w:tcMar>
              <w:top w:w="0" w:type="dxa"/>
              <w:left w:w="20" w:type="dxa"/>
              <w:bottom w:w="0" w:type="dxa"/>
              <w:right w:w="20" w:type="dxa"/>
            </w:tcMar>
            <w:vAlign w:val="bottom"/>
          </w:tcPr>
          <w:p w14:paraId="67538C2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8C27" w14:textId="77777777" w:rsidR="001B77DD" w:rsidRDefault="00BF0A28">
            <w:pPr>
              <w:textAlignment w:val="center"/>
            </w:pPr>
            <w:r>
              <w:rPr>
                <w:rFonts w:ascii="Arial" w:eastAsia="宋体" w:hAnsi="Arial" w:cs="Arial"/>
                <w:color w:val="262626"/>
                <w:sz w:val="18"/>
                <w:szCs w:val="18"/>
              </w:rPr>
              <w:t>January 26, 2022</w:t>
            </w:r>
          </w:p>
        </w:tc>
        <w:tc>
          <w:tcPr>
            <w:tcW w:w="0" w:type="auto"/>
            <w:gridSpan w:val="3"/>
            <w:shd w:val="clear" w:color="auto" w:fill="auto"/>
            <w:tcMar>
              <w:top w:w="0" w:type="dxa"/>
              <w:left w:w="20" w:type="dxa"/>
              <w:bottom w:w="0" w:type="dxa"/>
              <w:right w:w="20" w:type="dxa"/>
            </w:tcMar>
            <w:vAlign w:val="bottom"/>
          </w:tcPr>
          <w:p w14:paraId="67538C2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2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2A" w14:textId="77777777" w:rsidR="001B77DD" w:rsidRDefault="00BF0A28">
            <w:pPr>
              <w:textAlignment w:val="top"/>
            </w:pPr>
            <w:r>
              <w:rPr>
                <w:rFonts w:ascii="Arial" w:eastAsia="宋体" w:hAnsi="Arial" w:cs="Arial"/>
                <w:color w:val="262626"/>
                <w:sz w:val="18"/>
                <w:szCs w:val="18"/>
              </w:rPr>
              <w:t>Financial Officer, and Principal Accounting Officer</w:t>
            </w:r>
          </w:p>
        </w:tc>
      </w:tr>
      <w:tr w:rsidR="001B77DD" w14:paraId="67538C31" w14:textId="77777777">
        <w:tc>
          <w:tcPr>
            <w:tcW w:w="0" w:type="auto"/>
            <w:gridSpan w:val="3"/>
            <w:shd w:val="clear" w:color="auto" w:fill="auto"/>
            <w:tcMar>
              <w:top w:w="0" w:type="dxa"/>
              <w:left w:w="20" w:type="dxa"/>
              <w:bottom w:w="0" w:type="dxa"/>
              <w:right w:w="20" w:type="dxa"/>
            </w:tcMar>
            <w:vAlign w:val="bottom"/>
          </w:tcPr>
          <w:p w14:paraId="67538C2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2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2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2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30" w14:textId="77777777" w:rsidR="001B77DD" w:rsidRDefault="00BF0A28">
            <w:pPr>
              <w:textAlignment w:val="top"/>
            </w:pPr>
            <w:r>
              <w:rPr>
                <w:rFonts w:ascii="Arial" w:eastAsia="宋体" w:hAnsi="Arial" w:cs="Arial"/>
                <w:color w:val="262626"/>
                <w:sz w:val="18"/>
                <w:szCs w:val="18"/>
              </w:rPr>
              <w:t>January 26, 2022</w:t>
            </w:r>
          </w:p>
        </w:tc>
      </w:tr>
      <w:tr w:rsidR="001B77DD" w14:paraId="67538C37" w14:textId="77777777">
        <w:trPr>
          <w:hidden/>
        </w:trPr>
        <w:tc>
          <w:tcPr>
            <w:tcW w:w="0" w:type="auto"/>
            <w:gridSpan w:val="3"/>
            <w:shd w:val="clear" w:color="auto" w:fill="auto"/>
            <w:vAlign w:val="bottom"/>
          </w:tcPr>
          <w:p w14:paraId="67538C32" w14:textId="77777777" w:rsidR="001B77DD" w:rsidRDefault="001B77DD">
            <w:pPr>
              <w:rPr>
                <w:rFonts w:ascii="宋体"/>
                <w:vanish/>
              </w:rPr>
            </w:pPr>
          </w:p>
        </w:tc>
        <w:tc>
          <w:tcPr>
            <w:tcW w:w="0" w:type="auto"/>
            <w:gridSpan w:val="3"/>
            <w:shd w:val="clear" w:color="auto" w:fill="auto"/>
            <w:vAlign w:val="bottom"/>
          </w:tcPr>
          <w:p w14:paraId="67538C33" w14:textId="77777777" w:rsidR="001B77DD" w:rsidRDefault="001B77DD">
            <w:pPr>
              <w:rPr>
                <w:rFonts w:ascii="宋体"/>
                <w:vanish/>
              </w:rPr>
            </w:pPr>
          </w:p>
        </w:tc>
        <w:tc>
          <w:tcPr>
            <w:tcW w:w="0" w:type="auto"/>
            <w:gridSpan w:val="3"/>
            <w:shd w:val="clear" w:color="auto" w:fill="auto"/>
            <w:vAlign w:val="bottom"/>
          </w:tcPr>
          <w:p w14:paraId="67538C34" w14:textId="77777777" w:rsidR="001B77DD" w:rsidRDefault="001B77DD">
            <w:pPr>
              <w:rPr>
                <w:rFonts w:ascii="宋体"/>
                <w:vanish/>
              </w:rPr>
            </w:pPr>
          </w:p>
        </w:tc>
        <w:tc>
          <w:tcPr>
            <w:tcW w:w="0" w:type="auto"/>
            <w:gridSpan w:val="3"/>
            <w:shd w:val="clear" w:color="auto" w:fill="auto"/>
            <w:vAlign w:val="bottom"/>
          </w:tcPr>
          <w:p w14:paraId="67538C35" w14:textId="77777777" w:rsidR="001B77DD" w:rsidRDefault="001B77DD">
            <w:pPr>
              <w:rPr>
                <w:rFonts w:ascii="宋体"/>
                <w:vanish/>
              </w:rPr>
            </w:pPr>
          </w:p>
        </w:tc>
        <w:tc>
          <w:tcPr>
            <w:tcW w:w="0" w:type="auto"/>
            <w:gridSpan w:val="3"/>
            <w:shd w:val="clear" w:color="auto" w:fill="auto"/>
            <w:vAlign w:val="bottom"/>
          </w:tcPr>
          <w:p w14:paraId="67538C36" w14:textId="77777777" w:rsidR="001B77DD" w:rsidRDefault="001B77DD">
            <w:pPr>
              <w:rPr>
                <w:rFonts w:ascii="宋体"/>
                <w:vanish/>
              </w:rPr>
            </w:pPr>
          </w:p>
        </w:tc>
      </w:tr>
      <w:tr w:rsidR="001B77DD" w14:paraId="67538C3D" w14:textId="77777777">
        <w:trPr>
          <w:hidden/>
        </w:trPr>
        <w:tc>
          <w:tcPr>
            <w:tcW w:w="0" w:type="auto"/>
            <w:gridSpan w:val="3"/>
            <w:shd w:val="clear" w:color="auto" w:fill="auto"/>
            <w:vAlign w:val="bottom"/>
          </w:tcPr>
          <w:p w14:paraId="67538C38" w14:textId="77777777" w:rsidR="001B77DD" w:rsidRDefault="001B77DD">
            <w:pPr>
              <w:rPr>
                <w:rFonts w:ascii="宋体"/>
                <w:vanish/>
              </w:rPr>
            </w:pPr>
          </w:p>
        </w:tc>
        <w:tc>
          <w:tcPr>
            <w:tcW w:w="0" w:type="auto"/>
            <w:gridSpan w:val="3"/>
            <w:shd w:val="clear" w:color="auto" w:fill="auto"/>
            <w:vAlign w:val="bottom"/>
          </w:tcPr>
          <w:p w14:paraId="67538C39" w14:textId="77777777" w:rsidR="001B77DD" w:rsidRDefault="001B77DD">
            <w:pPr>
              <w:rPr>
                <w:rFonts w:ascii="宋体"/>
                <w:vanish/>
              </w:rPr>
            </w:pPr>
          </w:p>
        </w:tc>
        <w:tc>
          <w:tcPr>
            <w:tcW w:w="0" w:type="auto"/>
            <w:gridSpan w:val="3"/>
            <w:shd w:val="clear" w:color="auto" w:fill="auto"/>
            <w:vAlign w:val="bottom"/>
          </w:tcPr>
          <w:p w14:paraId="67538C3A" w14:textId="77777777" w:rsidR="001B77DD" w:rsidRDefault="001B77DD">
            <w:pPr>
              <w:rPr>
                <w:rFonts w:ascii="宋体"/>
                <w:vanish/>
              </w:rPr>
            </w:pPr>
          </w:p>
        </w:tc>
        <w:tc>
          <w:tcPr>
            <w:tcW w:w="0" w:type="auto"/>
            <w:gridSpan w:val="3"/>
            <w:shd w:val="clear" w:color="auto" w:fill="auto"/>
            <w:vAlign w:val="bottom"/>
          </w:tcPr>
          <w:p w14:paraId="67538C3B" w14:textId="77777777" w:rsidR="001B77DD" w:rsidRDefault="001B77DD">
            <w:pPr>
              <w:rPr>
                <w:rFonts w:ascii="宋体"/>
                <w:vanish/>
              </w:rPr>
            </w:pPr>
          </w:p>
        </w:tc>
        <w:tc>
          <w:tcPr>
            <w:tcW w:w="0" w:type="auto"/>
            <w:gridSpan w:val="3"/>
            <w:shd w:val="clear" w:color="auto" w:fill="auto"/>
            <w:vAlign w:val="bottom"/>
          </w:tcPr>
          <w:p w14:paraId="67538C3C" w14:textId="77777777" w:rsidR="001B77DD" w:rsidRDefault="001B77DD">
            <w:pPr>
              <w:rPr>
                <w:rFonts w:ascii="宋体"/>
                <w:vanish/>
              </w:rPr>
            </w:pPr>
          </w:p>
        </w:tc>
      </w:tr>
      <w:tr w:rsidR="001B77DD" w14:paraId="67538C43" w14:textId="77777777">
        <w:trPr>
          <w:hidden/>
        </w:trPr>
        <w:tc>
          <w:tcPr>
            <w:tcW w:w="0" w:type="auto"/>
            <w:gridSpan w:val="3"/>
            <w:shd w:val="clear" w:color="auto" w:fill="auto"/>
            <w:vAlign w:val="bottom"/>
          </w:tcPr>
          <w:p w14:paraId="67538C3E" w14:textId="77777777" w:rsidR="001B77DD" w:rsidRDefault="001B77DD">
            <w:pPr>
              <w:rPr>
                <w:rFonts w:ascii="宋体"/>
                <w:vanish/>
              </w:rPr>
            </w:pPr>
          </w:p>
        </w:tc>
        <w:tc>
          <w:tcPr>
            <w:tcW w:w="0" w:type="auto"/>
            <w:gridSpan w:val="3"/>
            <w:shd w:val="clear" w:color="auto" w:fill="auto"/>
            <w:vAlign w:val="bottom"/>
          </w:tcPr>
          <w:p w14:paraId="67538C3F" w14:textId="77777777" w:rsidR="001B77DD" w:rsidRDefault="001B77DD">
            <w:pPr>
              <w:rPr>
                <w:rFonts w:ascii="宋体"/>
                <w:vanish/>
              </w:rPr>
            </w:pPr>
          </w:p>
        </w:tc>
        <w:tc>
          <w:tcPr>
            <w:tcW w:w="0" w:type="auto"/>
            <w:gridSpan w:val="3"/>
            <w:shd w:val="clear" w:color="auto" w:fill="auto"/>
            <w:vAlign w:val="bottom"/>
          </w:tcPr>
          <w:p w14:paraId="67538C40" w14:textId="77777777" w:rsidR="001B77DD" w:rsidRDefault="001B77DD">
            <w:pPr>
              <w:rPr>
                <w:rFonts w:ascii="宋体"/>
                <w:vanish/>
              </w:rPr>
            </w:pPr>
          </w:p>
        </w:tc>
        <w:tc>
          <w:tcPr>
            <w:tcW w:w="0" w:type="auto"/>
            <w:gridSpan w:val="3"/>
            <w:shd w:val="clear" w:color="auto" w:fill="auto"/>
            <w:vAlign w:val="bottom"/>
          </w:tcPr>
          <w:p w14:paraId="67538C41" w14:textId="77777777" w:rsidR="001B77DD" w:rsidRDefault="001B77DD">
            <w:pPr>
              <w:rPr>
                <w:rFonts w:ascii="宋体"/>
                <w:vanish/>
              </w:rPr>
            </w:pPr>
          </w:p>
        </w:tc>
        <w:tc>
          <w:tcPr>
            <w:tcW w:w="0" w:type="auto"/>
            <w:gridSpan w:val="3"/>
            <w:shd w:val="clear" w:color="auto" w:fill="auto"/>
            <w:vAlign w:val="bottom"/>
          </w:tcPr>
          <w:p w14:paraId="67538C42" w14:textId="77777777" w:rsidR="001B77DD" w:rsidRDefault="001B77DD">
            <w:pPr>
              <w:rPr>
                <w:rFonts w:ascii="宋体"/>
                <w:vanish/>
              </w:rPr>
            </w:pPr>
          </w:p>
        </w:tc>
      </w:tr>
      <w:tr w:rsidR="001B77DD" w14:paraId="67538C49" w14:textId="77777777">
        <w:trPr>
          <w:hidden/>
        </w:trPr>
        <w:tc>
          <w:tcPr>
            <w:tcW w:w="0" w:type="auto"/>
            <w:gridSpan w:val="3"/>
            <w:shd w:val="clear" w:color="auto" w:fill="auto"/>
            <w:vAlign w:val="bottom"/>
          </w:tcPr>
          <w:p w14:paraId="67538C44" w14:textId="77777777" w:rsidR="001B77DD" w:rsidRDefault="001B77DD">
            <w:pPr>
              <w:rPr>
                <w:rFonts w:ascii="宋体"/>
                <w:vanish/>
              </w:rPr>
            </w:pPr>
          </w:p>
        </w:tc>
        <w:tc>
          <w:tcPr>
            <w:tcW w:w="0" w:type="auto"/>
            <w:gridSpan w:val="3"/>
            <w:shd w:val="clear" w:color="auto" w:fill="auto"/>
            <w:vAlign w:val="bottom"/>
          </w:tcPr>
          <w:p w14:paraId="67538C45" w14:textId="77777777" w:rsidR="001B77DD" w:rsidRDefault="001B77DD">
            <w:pPr>
              <w:rPr>
                <w:rFonts w:ascii="宋体"/>
                <w:vanish/>
              </w:rPr>
            </w:pPr>
          </w:p>
        </w:tc>
        <w:tc>
          <w:tcPr>
            <w:tcW w:w="0" w:type="auto"/>
            <w:gridSpan w:val="3"/>
            <w:shd w:val="clear" w:color="auto" w:fill="auto"/>
            <w:vAlign w:val="bottom"/>
          </w:tcPr>
          <w:p w14:paraId="67538C46" w14:textId="77777777" w:rsidR="001B77DD" w:rsidRDefault="001B77DD">
            <w:pPr>
              <w:rPr>
                <w:rFonts w:ascii="宋体"/>
                <w:vanish/>
              </w:rPr>
            </w:pPr>
          </w:p>
        </w:tc>
        <w:tc>
          <w:tcPr>
            <w:tcW w:w="0" w:type="auto"/>
            <w:gridSpan w:val="3"/>
            <w:shd w:val="clear" w:color="auto" w:fill="auto"/>
            <w:vAlign w:val="bottom"/>
          </w:tcPr>
          <w:p w14:paraId="67538C47" w14:textId="77777777" w:rsidR="001B77DD" w:rsidRDefault="001B77DD">
            <w:pPr>
              <w:rPr>
                <w:rFonts w:ascii="宋体"/>
                <w:vanish/>
              </w:rPr>
            </w:pPr>
          </w:p>
        </w:tc>
        <w:tc>
          <w:tcPr>
            <w:tcW w:w="0" w:type="auto"/>
            <w:gridSpan w:val="3"/>
            <w:shd w:val="clear" w:color="auto" w:fill="auto"/>
            <w:vAlign w:val="bottom"/>
          </w:tcPr>
          <w:p w14:paraId="67538C48" w14:textId="77777777" w:rsidR="001B77DD" w:rsidRDefault="001B77DD">
            <w:pPr>
              <w:rPr>
                <w:rFonts w:ascii="宋体"/>
                <w:vanish/>
              </w:rPr>
            </w:pPr>
          </w:p>
        </w:tc>
      </w:tr>
      <w:tr w:rsidR="001B77DD" w14:paraId="67538C4F" w14:textId="77777777">
        <w:trPr>
          <w:hidden/>
        </w:trPr>
        <w:tc>
          <w:tcPr>
            <w:tcW w:w="0" w:type="auto"/>
            <w:gridSpan w:val="3"/>
            <w:shd w:val="clear" w:color="auto" w:fill="auto"/>
            <w:vAlign w:val="bottom"/>
          </w:tcPr>
          <w:p w14:paraId="67538C4A" w14:textId="77777777" w:rsidR="001B77DD" w:rsidRDefault="001B77DD">
            <w:pPr>
              <w:rPr>
                <w:rFonts w:ascii="宋体"/>
                <w:vanish/>
              </w:rPr>
            </w:pPr>
          </w:p>
        </w:tc>
        <w:tc>
          <w:tcPr>
            <w:tcW w:w="0" w:type="auto"/>
            <w:gridSpan w:val="3"/>
            <w:shd w:val="clear" w:color="auto" w:fill="auto"/>
            <w:vAlign w:val="bottom"/>
          </w:tcPr>
          <w:p w14:paraId="67538C4B" w14:textId="77777777" w:rsidR="001B77DD" w:rsidRDefault="001B77DD">
            <w:pPr>
              <w:rPr>
                <w:rFonts w:ascii="宋体"/>
                <w:vanish/>
              </w:rPr>
            </w:pPr>
          </w:p>
        </w:tc>
        <w:tc>
          <w:tcPr>
            <w:tcW w:w="0" w:type="auto"/>
            <w:gridSpan w:val="3"/>
            <w:shd w:val="clear" w:color="auto" w:fill="auto"/>
            <w:vAlign w:val="bottom"/>
          </w:tcPr>
          <w:p w14:paraId="67538C4C" w14:textId="77777777" w:rsidR="001B77DD" w:rsidRDefault="001B77DD">
            <w:pPr>
              <w:rPr>
                <w:rFonts w:ascii="宋体"/>
                <w:vanish/>
              </w:rPr>
            </w:pPr>
          </w:p>
        </w:tc>
        <w:tc>
          <w:tcPr>
            <w:tcW w:w="0" w:type="auto"/>
            <w:gridSpan w:val="3"/>
            <w:shd w:val="clear" w:color="auto" w:fill="auto"/>
            <w:vAlign w:val="bottom"/>
          </w:tcPr>
          <w:p w14:paraId="67538C4D" w14:textId="77777777" w:rsidR="001B77DD" w:rsidRDefault="001B77DD">
            <w:pPr>
              <w:rPr>
                <w:rFonts w:ascii="宋体"/>
                <w:vanish/>
              </w:rPr>
            </w:pPr>
          </w:p>
        </w:tc>
        <w:tc>
          <w:tcPr>
            <w:tcW w:w="0" w:type="auto"/>
            <w:gridSpan w:val="3"/>
            <w:shd w:val="clear" w:color="auto" w:fill="auto"/>
            <w:vAlign w:val="bottom"/>
          </w:tcPr>
          <w:p w14:paraId="67538C4E" w14:textId="77777777" w:rsidR="001B77DD" w:rsidRDefault="001B77DD">
            <w:pPr>
              <w:rPr>
                <w:rFonts w:ascii="宋体"/>
                <w:vanish/>
              </w:rPr>
            </w:pPr>
          </w:p>
        </w:tc>
      </w:tr>
    </w:tbl>
    <w:p w14:paraId="67538C50" w14:textId="77777777" w:rsidR="001B77DD" w:rsidRDefault="001B77DD">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6"/>
        <w:gridCol w:w="98"/>
        <w:gridCol w:w="36"/>
        <w:gridCol w:w="51"/>
        <w:gridCol w:w="3852"/>
        <w:gridCol w:w="39"/>
        <w:gridCol w:w="36"/>
        <w:gridCol w:w="36"/>
        <w:gridCol w:w="36"/>
        <w:gridCol w:w="36"/>
        <w:gridCol w:w="92"/>
        <w:gridCol w:w="36"/>
        <w:gridCol w:w="51"/>
        <w:gridCol w:w="3852"/>
        <w:gridCol w:w="37"/>
      </w:tblGrid>
      <w:tr w:rsidR="001B77DD" w14:paraId="67538C60" w14:textId="77777777">
        <w:tc>
          <w:tcPr>
            <w:tcW w:w="5" w:type="pct"/>
            <w:shd w:val="clear" w:color="auto" w:fill="auto"/>
            <w:vAlign w:val="bottom"/>
          </w:tcPr>
          <w:p w14:paraId="67538C51" w14:textId="77777777" w:rsidR="001B77DD" w:rsidRDefault="001B77DD">
            <w:pPr>
              <w:rPr>
                <w:rFonts w:ascii="宋体"/>
              </w:rPr>
            </w:pPr>
          </w:p>
        </w:tc>
        <w:tc>
          <w:tcPr>
            <w:tcW w:w="78" w:type="pct"/>
            <w:shd w:val="clear" w:color="auto" w:fill="auto"/>
            <w:vAlign w:val="bottom"/>
          </w:tcPr>
          <w:p w14:paraId="67538C52" w14:textId="77777777" w:rsidR="001B77DD" w:rsidRDefault="001B77DD">
            <w:pPr>
              <w:rPr>
                <w:rFonts w:ascii="宋体"/>
              </w:rPr>
            </w:pPr>
          </w:p>
        </w:tc>
        <w:tc>
          <w:tcPr>
            <w:tcW w:w="5" w:type="pct"/>
            <w:shd w:val="clear" w:color="auto" w:fill="auto"/>
            <w:vAlign w:val="bottom"/>
          </w:tcPr>
          <w:p w14:paraId="67538C53" w14:textId="77777777" w:rsidR="001B77DD" w:rsidRDefault="001B77DD">
            <w:pPr>
              <w:rPr>
                <w:rFonts w:ascii="宋体"/>
              </w:rPr>
            </w:pPr>
          </w:p>
        </w:tc>
        <w:tc>
          <w:tcPr>
            <w:tcW w:w="50" w:type="pct"/>
            <w:shd w:val="clear" w:color="auto" w:fill="auto"/>
            <w:vAlign w:val="bottom"/>
          </w:tcPr>
          <w:p w14:paraId="67538C54" w14:textId="77777777" w:rsidR="001B77DD" w:rsidRDefault="001B77DD">
            <w:pPr>
              <w:rPr>
                <w:rFonts w:ascii="宋体"/>
              </w:rPr>
            </w:pPr>
          </w:p>
        </w:tc>
        <w:tc>
          <w:tcPr>
            <w:tcW w:w="2332" w:type="pct"/>
            <w:shd w:val="clear" w:color="auto" w:fill="auto"/>
            <w:vAlign w:val="bottom"/>
          </w:tcPr>
          <w:p w14:paraId="67538C55" w14:textId="77777777" w:rsidR="001B77DD" w:rsidRDefault="001B77DD">
            <w:pPr>
              <w:rPr>
                <w:rFonts w:ascii="宋体"/>
              </w:rPr>
            </w:pPr>
          </w:p>
        </w:tc>
        <w:tc>
          <w:tcPr>
            <w:tcW w:w="5" w:type="pct"/>
            <w:shd w:val="clear" w:color="auto" w:fill="auto"/>
            <w:vAlign w:val="bottom"/>
          </w:tcPr>
          <w:p w14:paraId="67538C56" w14:textId="77777777" w:rsidR="001B77DD" w:rsidRDefault="001B77DD">
            <w:pPr>
              <w:rPr>
                <w:rFonts w:ascii="宋体"/>
              </w:rPr>
            </w:pPr>
          </w:p>
        </w:tc>
        <w:tc>
          <w:tcPr>
            <w:tcW w:w="5" w:type="pct"/>
            <w:shd w:val="clear" w:color="auto" w:fill="auto"/>
            <w:vAlign w:val="bottom"/>
          </w:tcPr>
          <w:p w14:paraId="67538C57" w14:textId="77777777" w:rsidR="001B77DD" w:rsidRDefault="001B77DD">
            <w:pPr>
              <w:rPr>
                <w:rFonts w:ascii="宋体"/>
              </w:rPr>
            </w:pPr>
          </w:p>
        </w:tc>
        <w:tc>
          <w:tcPr>
            <w:tcW w:w="37" w:type="pct"/>
            <w:shd w:val="clear" w:color="auto" w:fill="auto"/>
            <w:vAlign w:val="bottom"/>
          </w:tcPr>
          <w:p w14:paraId="67538C58" w14:textId="77777777" w:rsidR="001B77DD" w:rsidRDefault="001B77DD">
            <w:pPr>
              <w:rPr>
                <w:rFonts w:ascii="宋体"/>
              </w:rPr>
            </w:pPr>
          </w:p>
        </w:tc>
        <w:tc>
          <w:tcPr>
            <w:tcW w:w="5" w:type="pct"/>
            <w:shd w:val="clear" w:color="auto" w:fill="auto"/>
            <w:vAlign w:val="bottom"/>
          </w:tcPr>
          <w:p w14:paraId="67538C59" w14:textId="77777777" w:rsidR="001B77DD" w:rsidRDefault="001B77DD">
            <w:pPr>
              <w:rPr>
                <w:rFonts w:ascii="宋体"/>
              </w:rPr>
            </w:pPr>
          </w:p>
        </w:tc>
        <w:tc>
          <w:tcPr>
            <w:tcW w:w="5" w:type="pct"/>
            <w:shd w:val="clear" w:color="auto" w:fill="auto"/>
            <w:vAlign w:val="bottom"/>
          </w:tcPr>
          <w:p w14:paraId="67538C5A" w14:textId="77777777" w:rsidR="001B77DD" w:rsidRDefault="001B77DD">
            <w:pPr>
              <w:rPr>
                <w:rFonts w:ascii="宋体"/>
              </w:rPr>
            </w:pPr>
          </w:p>
        </w:tc>
        <w:tc>
          <w:tcPr>
            <w:tcW w:w="78" w:type="pct"/>
            <w:shd w:val="clear" w:color="auto" w:fill="auto"/>
            <w:vAlign w:val="bottom"/>
          </w:tcPr>
          <w:p w14:paraId="67538C5B" w14:textId="77777777" w:rsidR="001B77DD" w:rsidRDefault="001B77DD">
            <w:pPr>
              <w:rPr>
                <w:rFonts w:ascii="宋体"/>
              </w:rPr>
            </w:pPr>
          </w:p>
        </w:tc>
        <w:tc>
          <w:tcPr>
            <w:tcW w:w="5" w:type="pct"/>
            <w:shd w:val="clear" w:color="auto" w:fill="auto"/>
            <w:vAlign w:val="bottom"/>
          </w:tcPr>
          <w:p w14:paraId="67538C5C" w14:textId="77777777" w:rsidR="001B77DD" w:rsidRDefault="001B77DD">
            <w:pPr>
              <w:rPr>
                <w:rFonts w:ascii="宋体"/>
              </w:rPr>
            </w:pPr>
          </w:p>
        </w:tc>
        <w:tc>
          <w:tcPr>
            <w:tcW w:w="50" w:type="pct"/>
            <w:shd w:val="clear" w:color="auto" w:fill="auto"/>
            <w:vAlign w:val="bottom"/>
          </w:tcPr>
          <w:p w14:paraId="67538C5D" w14:textId="77777777" w:rsidR="001B77DD" w:rsidRDefault="001B77DD">
            <w:pPr>
              <w:rPr>
                <w:rFonts w:ascii="宋体"/>
              </w:rPr>
            </w:pPr>
          </w:p>
        </w:tc>
        <w:tc>
          <w:tcPr>
            <w:tcW w:w="2332" w:type="pct"/>
            <w:shd w:val="clear" w:color="auto" w:fill="auto"/>
            <w:vAlign w:val="bottom"/>
          </w:tcPr>
          <w:p w14:paraId="67538C5E" w14:textId="77777777" w:rsidR="001B77DD" w:rsidRDefault="001B77DD">
            <w:pPr>
              <w:rPr>
                <w:rFonts w:ascii="宋体"/>
              </w:rPr>
            </w:pPr>
          </w:p>
        </w:tc>
        <w:tc>
          <w:tcPr>
            <w:tcW w:w="5" w:type="pct"/>
            <w:shd w:val="clear" w:color="auto" w:fill="auto"/>
            <w:vAlign w:val="bottom"/>
          </w:tcPr>
          <w:p w14:paraId="67538C5F" w14:textId="77777777" w:rsidR="001B77DD" w:rsidRDefault="001B77DD">
            <w:pPr>
              <w:rPr>
                <w:rFonts w:ascii="宋体"/>
              </w:rPr>
            </w:pPr>
          </w:p>
        </w:tc>
      </w:tr>
      <w:tr w:rsidR="001B77DD" w14:paraId="67538C66" w14:textId="77777777">
        <w:tc>
          <w:tcPr>
            <w:tcW w:w="0" w:type="auto"/>
            <w:gridSpan w:val="3"/>
            <w:shd w:val="clear" w:color="auto" w:fill="auto"/>
            <w:tcMar>
              <w:top w:w="0" w:type="dxa"/>
              <w:left w:w="20" w:type="dxa"/>
              <w:bottom w:w="0" w:type="dxa"/>
              <w:right w:w="20" w:type="dxa"/>
            </w:tcMar>
            <w:vAlign w:val="bottom"/>
          </w:tcPr>
          <w:p w14:paraId="67538C6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62" w14:textId="77777777" w:rsidR="001B77DD" w:rsidRDefault="00BF0A28">
            <w:pPr>
              <w:textAlignment w:val="bottom"/>
            </w:pPr>
            <w:r>
              <w:rPr>
                <w:rFonts w:ascii="Arial" w:eastAsia="宋体" w:hAnsi="Arial" w:cs="Arial"/>
                <w:color w:val="262626"/>
                <w:sz w:val="18"/>
                <w:szCs w:val="18"/>
              </w:rPr>
              <w:t>/s/    JAMES J. GOETZ</w:t>
            </w:r>
          </w:p>
        </w:tc>
        <w:tc>
          <w:tcPr>
            <w:tcW w:w="0" w:type="auto"/>
            <w:gridSpan w:val="3"/>
            <w:shd w:val="clear" w:color="auto" w:fill="auto"/>
            <w:tcMar>
              <w:top w:w="0" w:type="dxa"/>
              <w:left w:w="20" w:type="dxa"/>
              <w:bottom w:w="0" w:type="dxa"/>
              <w:right w:w="20" w:type="dxa"/>
            </w:tcMar>
            <w:vAlign w:val="bottom"/>
          </w:tcPr>
          <w:p w14:paraId="67538C6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6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65" w14:textId="77777777" w:rsidR="001B77DD" w:rsidRDefault="00BF0A28">
            <w:pPr>
              <w:textAlignment w:val="bottom"/>
            </w:pPr>
            <w:r>
              <w:rPr>
                <w:rFonts w:ascii="Arial" w:eastAsia="宋体" w:hAnsi="Arial" w:cs="Arial"/>
                <w:color w:val="262626"/>
                <w:sz w:val="18"/>
                <w:szCs w:val="18"/>
              </w:rPr>
              <w:t>/s/    DR. TSU-JAE KING LIU</w:t>
            </w:r>
          </w:p>
        </w:tc>
      </w:tr>
      <w:tr w:rsidR="001B77DD" w14:paraId="67538C6C"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67"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C68" w14:textId="77777777" w:rsidR="001B77DD" w:rsidRDefault="00BF0A28">
            <w:pPr>
              <w:textAlignment w:val="bottom"/>
            </w:pPr>
            <w:r>
              <w:rPr>
                <w:rFonts w:ascii="Arial" w:eastAsia="宋体" w:hAnsi="Arial" w:cs="Arial"/>
                <w:color w:val="262626"/>
                <w:sz w:val="18"/>
                <w:szCs w:val="18"/>
              </w:rPr>
              <w:t>James J. Goetz</w:t>
            </w:r>
          </w:p>
        </w:tc>
        <w:tc>
          <w:tcPr>
            <w:tcW w:w="0" w:type="auto"/>
            <w:gridSpan w:val="3"/>
            <w:shd w:val="clear" w:color="auto" w:fill="auto"/>
            <w:tcMar>
              <w:top w:w="0" w:type="dxa"/>
              <w:left w:w="20" w:type="dxa"/>
              <w:bottom w:w="0" w:type="dxa"/>
              <w:right w:w="20" w:type="dxa"/>
            </w:tcMar>
            <w:vAlign w:val="bottom"/>
          </w:tcPr>
          <w:p w14:paraId="67538C69"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6A"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7538C6B" w14:textId="77777777" w:rsidR="001B77DD" w:rsidRDefault="00BF0A28">
            <w:pPr>
              <w:textAlignment w:val="top"/>
            </w:pPr>
            <w:r>
              <w:rPr>
                <w:rFonts w:ascii="Arial" w:eastAsia="宋体" w:hAnsi="Arial" w:cs="Arial"/>
                <w:color w:val="262626"/>
                <w:sz w:val="18"/>
                <w:szCs w:val="18"/>
              </w:rPr>
              <w:t>Dr. Tsu-Jae King Liu</w:t>
            </w:r>
          </w:p>
        </w:tc>
      </w:tr>
      <w:tr w:rsidR="001B77DD" w14:paraId="67538C72" w14:textId="77777777">
        <w:tc>
          <w:tcPr>
            <w:tcW w:w="0" w:type="auto"/>
            <w:gridSpan w:val="3"/>
            <w:shd w:val="clear" w:color="auto" w:fill="auto"/>
            <w:tcMar>
              <w:top w:w="0" w:type="dxa"/>
              <w:left w:w="20" w:type="dxa"/>
              <w:bottom w:w="0" w:type="dxa"/>
              <w:right w:w="20" w:type="dxa"/>
            </w:tcMar>
            <w:vAlign w:val="bottom"/>
          </w:tcPr>
          <w:p w14:paraId="67538C6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6E" w14:textId="77777777" w:rsidR="001B77DD" w:rsidRDefault="00BF0A28">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67538C6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7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71" w14:textId="77777777" w:rsidR="001B77DD" w:rsidRDefault="00BF0A28">
            <w:pPr>
              <w:textAlignment w:val="top"/>
            </w:pPr>
            <w:r>
              <w:rPr>
                <w:rFonts w:ascii="Arial" w:eastAsia="宋体" w:hAnsi="Arial" w:cs="Arial"/>
                <w:color w:val="262626"/>
                <w:sz w:val="18"/>
                <w:szCs w:val="18"/>
              </w:rPr>
              <w:t>Director</w:t>
            </w:r>
          </w:p>
        </w:tc>
      </w:tr>
      <w:tr w:rsidR="001B77DD" w14:paraId="67538C78" w14:textId="77777777">
        <w:tc>
          <w:tcPr>
            <w:tcW w:w="0" w:type="auto"/>
            <w:gridSpan w:val="3"/>
            <w:shd w:val="clear" w:color="auto" w:fill="auto"/>
            <w:tcMar>
              <w:top w:w="0" w:type="dxa"/>
              <w:left w:w="20" w:type="dxa"/>
              <w:bottom w:w="0" w:type="dxa"/>
              <w:right w:w="20" w:type="dxa"/>
            </w:tcMar>
            <w:vAlign w:val="bottom"/>
          </w:tcPr>
          <w:p w14:paraId="67538C73"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74" w14:textId="77777777" w:rsidR="001B77DD" w:rsidRDefault="00BF0A28">
            <w:pPr>
              <w:textAlignment w:val="top"/>
            </w:pPr>
            <w:r>
              <w:rPr>
                <w:rFonts w:ascii="Arial" w:eastAsia="宋体" w:hAnsi="Arial" w:cs="Arial"/>
                <w:color w:val="262626"/>
                <w:sz w:val="18"/>
                <w:szCs w:val="18"/>
              </w:rPr>
              <w:t>January 26, 2022</w:t>
            </w:r>
          </w:p>
        </w:tc>
        <w:tc>
          <w:tcPr>
            <w:tcW w:w="0" w:type="auto"/>
            <w:gridSpan w:val="3"/>
            <w:shd w:val="clear" w:color="auto" w:fill="auto"/>
            <w:tcMar>
              <w:top w:w="0" w:type="dxa"/>
              <w:left w:w="20" w:type="dxa"/>
              <w:bottom w:w="0" w:type="dxa"/>
              <w:right w:w="20" w:type="dxa"/>
            </w:tcMar>
            <w:vAlign w:val="bottom"/>
          </w:tcPr>
          <w:p w14:paraId="67538C7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76"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77" w14:textId="77777777" w:rsidR="001B77DD" w:rsidRDefault="00BF0A28">
            <w:pPr>
              <w:textAlignment w:val="top"/>
            </w:pPr>
            <w:r>
              <w:rPr>
                <w:rFonts w:ascii="Arial" w:eastAsia="宋体" w:hAnsi="Arial" w:cs="Arial"/>
                <w:color w:val="262626"/>
                <w:sz w:val="18"/>
                <w:szCs w:val="18"/>
              </w:rPr>
              <w:t>January 26, 2022</w:t>
            </w:r>
          </w:p>
        </w:tc>
      </w:tr>
      <w:tr w:rsidR="001B77DD" w14:paraId="67538C7E" w14:textId="77777777">
        <w:trPr>
          <w:trHeight w:val="60"/>
        </w:trPr>
        <w:tc>
          <w:tcPr>
            <w:tcW w:w="0" w:type="auto"/>
            <w:gridSpan w:val="3"/>
            <w:shd w:val="clear" w:color="auto" w:fill="auto"/>
            <w:tcMar>
              <w:top w:w="0" w:type="dxa"/>
              <w:left w:w="20" w:type="dxa"/>
              <w:bottom w:w="0" w:type="dxa"/>
              <w:right w:w="20" w:type="dxa"/>
            </w:tcMar>
            <w:vAlign w:val="bottom"/>
          </w:tcPr>
          <w:p w14:paraId="67538C7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7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7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7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7D" w14:textId="77777777" w:rsidR="001B77DD" w:rsidRDefault="001B77DD">
            <w:pPr>
              <w:rPr>
                <w:rFonts w:ascii="宋体"/>
              </w:rPr>
            </w:pPr>
          </w:p>
        </w:tc>
      </w:tr>
      <w:tr w:rsidR="001B77DD" w14:paraId="67538C84" w14:textId="77777777">
        <w:tc>
          <w:tcPr>
            <w:tcW w:w="0" w:type="auto"/>
            <w:gridSpan w:val="3"/>
            <w:shd w:val="clear" w:color="auto" w:fill="auto"/>
            <w:tcMar>
              <w:top w:w="0" w:type="dxa"/>
              <w:left w:w="20" w:type="dxa"/>
              <w:bottom w:w="0" w:type="dxa"/>
              <w:right w:w="20" w:type="dxa"/>
            </w:tcMar>
            <w:vAlign w:val="bottom"/>
          </w:tcPr>
          <w:p w14:paraId="67538C7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80" w14:textId="77777777" w:rsidR="001B77DD" w:rsidRDefault="00BF0A28">
            <w:pPr>
              <w:textAlignment w:val="bottom"/>
            </w:pPr>
            <w:r>
              <w:rPr>
                <w:rFonts w:ascii="Arial" w:eastAsia="宋体" w:hAnsi="Arial" w:cs="Arial"/>
                <w:color w:val="262626"/>
                <w:sz w:val="18"/>
                <w:szCs w:val="18"/>
              </w:rPr>
              <w:t>/s/    DR. ANDREA J. GOLDSMITH</w:t>
            </w:r>
          </w:p>
        </w:tc>
        <w:tc>
          <w:tcPr>
            <w:tcW w:w="0" w:type="auto"/>
            <w:gridSpan w:val="3"/>
            <w:shd w:val="clear" w:color="auto" w:fill="auto"/>
            <w:tcMar>
              <w:top w:w="0" w:type="dxa"/>
              <w:left w:w="20" w:type="dxa"/>
              <w:bottom w:w="0" w:type="dxa"/>
              <w:right w:w="20" w:type="dxa"/>
            </w:tcMar>
            <w:vAlign w:val="bottom"/>
          </w:tcPr>
          <w:p w14:paraId="67538C8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8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83" w14:textId="77777777" w:rsidR="001B77DD" w:rsidRDefault="00BF0A28">
            <w:pPr>
              <w:textAlignment w:val="bottom"/>
            </w:pPr>
            <w:r>
              <w:rPr>
                <w:rFonts w:ascii="Arial" w:eastAsia="宋体" w:hAnsi="Arial" w:cs="Arial"/>
                <w:color w:val="262626"/>
                <w:sz w:val="18"/>
                <w:szCs w:val="18"/>
              </w:rPr>
              <w:t>/s/    GREGORY D. SMITH</w:t>
            </w:r>
          </w:p>
        </w:tc>
      </w:tr>
      <w:tr w:rsidR="001B77DD" w14:paraId="67538C8A"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85"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C86" w14:textId="77777777" w:rsidR="001B77DD" w:rsidRDefault="00BF0A28">
            <w:pPr>
              <w:textAlignment w:val="bottom"/>
            </w:pPr>
            <w:r>
              <w:rPr>
                <w:rFonts w:ascii="Arial" w:eastAsia="宋体" w:hAnsi="Arial" w:cs="Arial"/>
                <w:color w:val="262626"/>
                <w:sz w:val="18"/>
                <w:szCs w:val="18"/>
              </w:rPr>
              <w:t>Andrea J. Goldsmith</w:t>
            </w:r>
          </w:p>
        </w:tc>
        <w:tc>
          <w:tcPr>
            <w:tcW w:w="0" w:type="auto"/>
            <w:gridSpan w:val="3"/>
            <w:shd w:val="clear" w:color="auto" w:fill="auto"/>
            <w:tcMar>
              <w:top w:w="0" w:type="dxa"/>
              <w:left w:w="20" w:type="dxa"/>
              <w:bottom w:w="0" w:type="dxa"/>
              <w:right w:w="20" w:type="dxa"/>
            </w:tcMar>
            <w:vAlign w:val="bottom"/>
          </w:tcPr>
          <w:p w14:paraId="67538C8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88"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C89" w14:textId="77777777" w:rsidR="001B77DD" w:rsidRDefault="00BF0A28">
            <w:pPr>
              <w:textAlignment w:val="bottom"/>
            </w:pPr>
            <w:r>
              <w:rPr>
                <w:rFonts w:ascii="Arial" w:eastAsia="宋体" w:hAnsi="Arial" w:cs="Arial"/>
                <w:color w:val="262626"/>
                <w:sz w:val="18"/>
                <w:szCs w:val="18"/>
              </w:rPr>
              <w:t>Gregory D. Smith</w:t>
            </w:r>
          </w:p>
        </w:tc>
      </w:tr>
      <w:tr w:rsidR="001B77DD" w14:paraId="67538C90" w14:textId="77777777">
        <w:tc>
          <w:tcPr>
            <w:tcW w:w="0" w:type="auto"/>
            <w:gridSpan w:val="3"/>
            <w:shd w:val="clear" w:color="auto" w:fill="auto"/>
            <w:tcMar>
              <w:top w:w="0" w:type="dxa"/>
              <w:left w:w="20" w:type="dxa"/>
              <w:bottom w:w="0" w:type="dxa"/>
              <w:right w:w="20" w:type="dxa"/>
            </w:tcMar>
            <w:vAlign w:val="bottom"/>
          </w:tcPr>
          <w:p w14:paraId="67538C8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8C" w14:textId="77777777" w:rsidR="001B77DD" w:rsidRDefault="00BF0A28">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67538C8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8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8F" w14:textId="77777777" w:rsidR="001B77DD" w:rsidRDefault="00BF0A28">
            <w:pPr>
              <w:textAlignment w:val="bottom"/>
            </w:pPr>
            <w:r>
              <w:rPr>
                <w:rFonts w:ascii="Arial" w:eastAsia="宋体" w:hAnsi="Arial" w:cs="Arial"/>
                <w:color w:val="262626"/>
                <w:sz w:val="18"/>
                <w:szCs w:val="18"/>
              </w:rPr>
              <w:t>Director</w:t>
            </w:r>
          </w:p>
        </w:tc>
      </w:tr>
      <w:tr w:rsidR="001B77DD" w14:paraId="67538C96" w14:textId="77777777">
        <w:tc>
          <w:tcPr>
            <w:tcW w:w="0" w:type="auto"/>
            <w:gridSpan w:val="3"/>
            <w:shd w:val="clear" w:color="auto" w:fill="auto"/>
            <w:tcMar>
              <w:top w:w="0" w:type="dxa"/>
              <w:left w:w="20" w:type="dxa"/>
              <w:bottom w:w="0" w:type="dxa"/>
              <w:right w:w="20" w:type="dxa"/>
            </w:tcMar>
            <w:vAlign w:val="bottom"/>
          </w:tcPr>
          <w:p w14:paraId="67538C91"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92" w14:textId="77777777" w:rsidR="001B77DD" w:rsidRDefault="00BF0A28">
            <w:pPr>
              <w:textAlignment w:val="top"/>
            </w:pPr>
            <w:r>
              <w:rPr>
                <w:rFonts w:ascii="Arial" w:eastAsia="宋体" w:hAnsi="Arial" w:cs="Arial"/>
                <w:color w:val="262626"/>
                <w:sz w:val="18"/>
                <w:szCs w:val="18"/>
              </w:rPr>
              <w:t>January 26, 2022</w:t>
            </w:r>
          </w:p>
        </w:tc>
        <w:tc>
          <w:tcPr>
            <w:tcW w:w="0" w:type="auto"/>
            <w:gridSpan w:val="3"/>
            <w:shd w:val="clear" w:color="auto" w:fill="auto"/>
            <w:tcMar>
              <w:top w:w="0" w:type="dxa"/>
              <w:left w:w="20" w:type="dxa"/>
              <w:bottom w:w="0" w:type="dxa"/>
              <w:right w:w="20" w:type="dxa"/>
            </w:tcMar>
            <w:vAlign w:val="bottom"/>
          </w:tcPr>
          <w:p w14:paraId="67538C9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94"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95" w14:textId="77777777" w:rsidR="001B77DD" w:rsidRDefault="00BF0A28">
            <w:pPr>
              <w:textAlignment w:val="top"/>
            </w:pPr>
            <w:r>
              <w:rPr>
                <w:rFonts w:ascii="Arial" w:eastAsia="宋体" w:hAnsi="Arial" w:cs="Arial"/>
                <w:color w:val="262626"/>
                <w:sz w:val="18"/>
                <w:szCs w:val="18"/>
              </w:rPr>
              <w:t>January 26, 2022</w:t>
            </w:r>
          </w:p>
        </w:tc>
      </w:tr>
      <w:tr w:rsidR="001B77DD" w14:paraId="67538C9C" w14:textId="77777777">
        <w:trPr>
          <w:trHeight w:val="60"/>
        </w:trPr>
        <w:tc>
          <w:tcPr>
            <w:tcW w:w="0" w:type="auto"/>
            <w:gridSpan w:val="3"/>
            <w:shd w:val="clear" w:color="auto" w:fill="auto"/>
            <w:tcMar>
              <w:top w:w="0" w:type="dxa"/>
              <w:left w:w="20" w:type="dxa"/>
              <w:bottom w:w="0" w:type="dxa"/>
              <w:right w:w="20" w:type="dxa"/>
            </w:tcMar>
            <w:vAlign w:val="bottom"/>
          </w:tcPr>
          <w:p w14:paraId="67538C9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9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9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9A"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9B" w14:textId="77777777" w:rsidR="001B77DD" w:rsidRDefault="001B77DD">
            <w:pPr>
              <w:rPr>
                <w:rFonts w:ascii="宋体"/>
              </w:rPr>
            </w:pPr>
          </w:p>
        </w:tc>
      </w:tr>
      <w:tr w:rsidR="001B77DD" w14:paraId="67538CA2" w14:textId="77777777">
        <w:tc>
          <w:tcPr>
            <w:tcW w:w="0" w:type="auto"/>
            <w:gridSpan w:val="3"/>
            <w:shd w:val="clear" w:color="auto" w:fill="auto"/>
            <w:tcMar>
              <w:top w:w="0" w:type="dxa"/>
              <w:left w:w="20" w:type="dxa"/>
              <w:bottom w:w="0" w:type="dxa"/>
              <w:right w:w="20" w:type="dxa"/>
            </w:tcMar>
            <w:vAlign w:val="bottom"/>
          </w:tcPr>
          <w:p w14:paraId="67538C9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9E" w14:textId="77777777" w:rsidR="001B77DD" w:rsidRDefault="00BF0A28">
            <w:pPr>
              <w:textAlignment w:val="bottom"/>
            </w:pPr>
            <w:r>
              <w:rPr>
                <w:rFonts w:ascii="Arial" w:eastAsia="宋体" w:hAnsi="Arial" w:cs="Arial"/>
                <w:color w:val="262626"/>
                <w:sz w:val="18"/>
                <w:szCs w:val="18"/>
              </w:rPr>
              <w:t>/s/    ALYSSA HENRY       </w:t>
            </w:r>
          </w:p>
        </w:tc>
        <w:tc>
          <w:tcPr>
            <w:tcW w:w="0" w:type="auto"/>
            <w:gridSpan w:val="3"/>
            <w:shd w:val="clear" w:color="auto" w:fill="auto"/>
            <w:tcMar>
              <w:top w:w="0" w:type="dxa"/>
              <w:left w:w="20" w:type="dxa"/>
              <w:bottom w:w="0" w:type="dxa"/>
              <w:right w:w="20" w:type="dxa"/>
            </w:tcMar>
            <w:vAlign w:val="bottom"/>
          </w:tcPr>
          <w:p w14:paraId="67538C9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A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A1" w14:textId="77777777" w:rsidR="001B77DD" w:rsidRDefault="00BF0A28">
            <w:pPr>
              <w:textAlignment w:val="bottom"/>
            </w:pPr>
            <w:r>
              <w:rPr>
                <w:rFonts w:ascii="Arial" w:eastAsia="宋体" w:hAnsi="Arial" w:cs="Arial"/>
                <w:color w:val="262626"/>
                <w:sz w:val="18"/>
                <w:szCs w:val="18"/>
              </w:rPr>
              <w:t>/s/    DION J. WEISLER</w:t>
            </w:r>
          </w:p>
        </w:tc>
      </w:tr>
      <w:tr w:rsidR="001B77DD" w14:paraId="67538CA8"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A3"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CA4" w14:textId="77777777" w:rsidR="001B77DD" w:rsidRDefault="00BF0A28">
            <w:pPr>
              <w:textAlignment w:val="bottom"/>
            </w:pPr>
            <w:r>
              <w:rPr>
                <w:rFonts w:ascii="Arial" w:eastAsia="宋体" w:hAnsi="Arial" w:cs="Arial"/>
                <w:color w:val="262626"/>
                <w:sz w:val="18"/>
                <w:szCs w:val="18"/>
              </w:rPr>
              <w:t>Alyssa Henry</w:t>
            </w:r>
          </w:p>
        </w:tc>
        <w:tc>
          <w:tcPr>
            <w:tcW w:w="0" w:type="auto"/>
            <w:gridSpan w:val="3"/>
            <w:shd w:val="clear" w:color="auto" w:fill="auto"/>
            <w:tcMar>
              <w:top w:w="0" w:type="dxa"/>
              <w:left w:w="20" w:type="dxa"/>
              <w:bottom w:w="0" w:type="dxa"/>
              <w:right w:w="20" w:type="dxa"/>
            </w:tcMar>
            <w:vAlign w:val="bottom"/>
          </w:tcPr>
          <w:p w14:paraId="67538CA5"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A6"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CA7" w14:textId="77777777" w:rsidR="001B77DD" w:rsidRDefault="00BF0A28">
            <w:pPr>
              <w:textAlignment w:val="bottom"/>
            </w:pPr>
            <w:r>
              <w:rPr>
                <w:rFonts w:ascii="Arial" w:eastAsia="宋体" w:hAnsi="Arial" w:cs="Arial"/>
                <w:color w:val="262626"/>
                <w:sz w:val="18"/>
                <w:szCs w:val="18"/>
              </w:rPr>
              <w:t>Dion J. Weisler</w:t>
            </w:r>
          </w:p>
        </w:tc>
      </w:tr>
      <w:tr w:rsidR="001B77DD" w14:paraId="67538CAE" w14:textId="77777777">
        <w:tc>
          <w:tcPr>
            <w:tcW w:w="0" w:type="auto"/>
            <w:gridSpan w:val="3"/>
            <w:shd w:val="clear" w:color="auto" w:fill="auto"/>
            <w:tcMar>
              <w:top w:w="0" w:type="dxa"/>
              <w:left w:w="20" w:type="dxa"/>
              <w:bottom w:w="0" w:type="dxa"/>
              <w:right w:w="20" w:type="dxa"/>
            </w:tcMar>
            <w:vAlign w:val="bottom"/>
          </w:tcPr>
          <w:p w14:paraId="67538CA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AA" w14:textId="77777777" w:rsidR="001B77DD" w:rsidRDefault="00BF0A28">
            <w:pPr>
              <w:textAlignment w:val="bottom"/>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67538CA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AC"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center"/>
          </w:tcPr>
          <w:p w14:paraId="67538CAD" w14:textId="77777777" w:rsidR="001B77DD" w:rsidRDefault="00BF0A28">
            <w:pPr>
              <w:textAlignment w:val="center"/>
            </w:pPr>
            <w:r>
              <w:rPr>
                <w:rFonts w:ascii="Arial" w:eastAsia="宋体" w:hAnsi="Arial" w:cs="Arial"/>
                <w:color w:val="262626"/>
                <w:sz w:val="18"/>
                <w:szCs w:val="18"/>
              </w:rPr>
              <w:t>Director</w:t>
            </w:r>
          </w:p>
        </w:tc>
      </w:tr>
      <w:tr w:rsidR="001B77DD" w14:paraId="67538CB4" w14:textId="77777777">
        <w:tc>
          <w:tcPr>
            <w:tcW w:w="0" w:type="auto"/>
            <w:gridSpan w:val="3"/>
            <w:shd w:val="clear" w:color="auto" w:fill="auto"/>
            <w:tcMar>
              <w:top w:w="0" w:type="dxa"/>
              <w:left w:w="20" w:type="dxa"/>
              <w:bottom w:w="0" w:type="dxa"/>
              <w:right w:w="20" w:type="dxa"/>
            </w:tcMar>
            <w:vAlign w:val="bottom"/>
          </w:tcPr>
          <w:p w14:paraId="67538CAF"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B0" w14:textId="77777777" w:rsidR="001B77DD" w:rsidRDefault="00BF0A28">
            <w:pPr>
              <w:textAlignment w:val="top"/>
            </w:pPr>
            <w:r>
              <w:rPr>
                <w:rFonts w:ascii="Arial" w:eastAsia="宋体" w:hAnsi="Arial" w:cs="Arial"/>
                <w:color w:val="262626"/>
                <w:sz w:val="18"/>
                <w:szCs w:val="18"/>
              </w:rPr>
              <w:t>January 26, 2022</w:t>
            </w:r>
          </w:p>
        </w:tc>
        <w:tc>
          <w:tcPr>
            <w:tcW w:w="0" w:type="auto"/>
            <w:gridSpan w:val="3"/>
            <w:shd w:val="clear" w:color="auto" w:fill="auto"/>
            <w:tcMar>
              <w:top w:w="0" w:type="dxa"/>
              <w:left w:w="20" w:type="dxa"/>
              <w:bottom w:w="0" w:type="dxa"/>
              <w:right w:w="20" w:type="dxa"/>
            </w:tcMar>
            <w:vAlign w:val="bottom"/>
          </w:tcPr>
          <w:p w14:paraId="67538CB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B2"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B3" w14:textId="77777777" w:rsidR="001B77DD" w:rsidRDefault="00BF0A28">
            <w:pPr>
              <w:textAlignment w:val="bottom"/>
            </w:pPr>
            <w:r>
              <w:rPr>
                <w:rFonts w:ascii="Arial" w:eastAsia="宋体" w:hAnsi="Arial" w:cs="Arial"/>
                <w:color w:val="262626"/>
                <w:sz w:val="18"/>
                <w:szCs w:val="18"/>
              </w:rPr>
              <w:t>January 26, 2022</w:t>
            </w:r>
          </w:p>
        </w:tc>
      </w:tr>
      <w:tr w:rsidR="001B77DD" w14:paraId="67538CBA" w14:textId="77777777">
        <w:trPr>
          <w:trHeight w:val="60"/>
        </w:trPr>
        <w:tc>
          <w:tcPr>
            <w:tcW w:w="0" w:type="auto"/>
            <w:gridSpan w:val="3"/>
            <w:shd w:val="clear" w:color="auto" w:fill="auto"/>
            <w:tcMar>
              <w:top w:w="0" w:type="dxa"/>
              <w:left w:w="20" w:type="dxa"/>
              <w:bottom w:w="0" w:type="dxa"/>
              <w:right w:w="20" w:type="dxa"/>
            </w:tcMar>
            <w:vAlign w:val="bottom"/>
          </w:tcPr>
          <w:p w14:paraId="67538CB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B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B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B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B9" w14:textId="77777777" w:rsidR="001B77DD" w:rsidRDefault="001B77DD">
            <w:pPr>
              <w:rPr>
                <w:rFonts w:ascii="宋体"/>
              </w:rPr>
            </w:pPr>
          </w:p>
        </w:tc>
      </w:tr>
      <w:tr w:rsidR="001B77DD" w14:paraId="67538CC0" w14:textId="77777777">
        <w:tc>
          <w:tcPr>
            <w:tcW w:w="0" w:type="auto"/>
            <w:gridSpan w:val="3"/>
            <w:shd w:val="clear" w:color="auto" w:fill="auto"/>
            <w:tcMar>
              <w:top w:w="0" w:type="dxa"/>
              <w:left w:w="20" w:type="dxa"/>
              <w:bottom w:w="0" w:type="dxa"/>
              <w:right w:w="20" w:type="dxa"/>
            </w:tcMar>
            <w:vAlign w:val="bottom"/>
          </w:tcPr>
          <w:p w14:paraId="67538CB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BC" w14:textId="77777777" w:rsidR="001B77DD" w:rsidRDefault="00BF0A28">
            <w:pPr>
              <w:textAlignment w:val="bottom"/>
            </w:pPr>
            <w:r>
              <w:rPr>
                <w:rFonts w:ascii="Arial" w:eastAsia="宋体" w:hAnsi="Arial" w:cs="Arial"/>
                <w:color w:val="262626"/>
                <w:sz w:val="18"/>
                <w:szCs w:val="18"/>
              </w:rPr>
              <w:t xml:space="preserve">/s/    </w:t>
            </w:r>
            <w:r>
              <w:rPr>
                <w:rFonts w:ascii="Arial" w:eastAsia="宋体" w:hAnsi="Arial" w:cs="Arial"/>
                <w:color w:val="262626"/>
                <w:sz w:val="18"/>
                <w:szCs w:val="18"/>
              </w:rPr>
              <w:t>DR. OMAR ISHRAK</w:t>
            </w:r>
          </w:p>
        </w:tc>
        <w:tc>
          <w:tcPr>
            <w:tcW w:w="0" w:type="auto"/>
            <w:gridSpan w:val="3"/>
            <w:shd w:val="clear" w:color="auto" w:fill="auto"/>
            <w:tcMar>
              <w:top w:w="0" w:type="dxa"/>
              <w:left w:w="20" w:type="dxa"/>
              <w:bottom w:w="0" w:type="dxa"/>
              <w:right w:w="20" w:type="dxa"/>
            </w:tcMar>
            <w:vAlign w:val="bottom"/>
          </w:tcPr>
          <w:p w14:paraId="67538CB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BE"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BF" w14:textId="77777777" w:rsidR="001B77DD" w:rsidRDefault="00BF0A28">
            <w:pPr>
              <w:textAlignment w:val="bottom"/>
            </w:pPr>
            <w:r>
              <w:rPr>
                <w:rFonts w:ascii="Arial" w:eastAsia="宋体" w:hAnsi="Arial" w:cs="Arial"/>
                <w:color w:val="262626"/>
                <w:sz w:val="18"/>
                <w:szCs w:val="18"/>
              </w:rPr>
              <w:t>/s/    FRANK D. YEARY</w:t>
            </w:r>
          </w:p>
        </w:tc>
      </w:tr>
      <w:tr w:rsidR="001B77DD" w14:paraId="67538CC6"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C1"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7538CC2" w14:textId="77777777" w:rsidR="001B77DD" w:rsidRDefault="00BF0A28">
            <w:pPr>
              <w:textAlignment w:val="top"/>
            </w:pPr>
            <w:r>
              <w:rPr>
                <w:rFonts w:ascii="Arial" w:eastAsia="宋体" w:hAnsi="Arial" w:cs="Arial"/>
                <w:color w:val="262626"/>
                <w:sz w:val="18"/>
                <w:szCs w:val="18"/>
              </w:rPr>
              <w:t>Dr. Omar Ishrak</w:t>
            </w:r>
          </w:p>
        </w:tc>
        <w:tc>
          <w:tcPr>
            <w:tcW w:w="0" w:type="auto"/>
            <w:gridSpan w:val="3"/>
            <w:shd w:val="clear" w:color="auto" w:fill="auto"/>
            <w:tcMar>
              <w:top w:w="0" w:type="dxa"/>
              <w:left w:w="20" w:type="dxa"/>
              <w:bottom w:w="0" w:type="dxa"/>
              <w:right w:w="20" w:type="dxa"/>
            </w:tcMar>
            <w:vAlign w:val="bottom"/>
          </w:tcPr>
          <w:p w14:paraId="67538CC3" w14:textId="77777777" w:rsidR="001B77DD" w:rsidRDefault="001B77DD">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C4"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7538CC5" w14:textId="77777777" w:rsidR="001B77DD" w:rsidRDefault="00BF0A28">
            <w:pPr>
              <w:textAlignment w:val="bottom"/>
            </w:pPr>
            <w:r>
              <w:rPr>
                <w:rFonts w:ascii="Arial" w:eastAsia="宋体" w:hAnsi="Arial" w:cs="Arial"/>
                <w:color w:val="262626"/>
                <w:sz w:val="18"/>
                <w:szCs w:val="18"/>
              </w:rPr>
              <w:t>Frank D. Yeary</w:t>
            </w:r>
          </w:p>
        </w:tc>
      </w:tr>
      <w:tr w:rsidR="001B77DD" w14:paraId="67538CCC" w14:textId="77777777">
        <w:tc>
          <w:tcPr>
            <w:tcW w:w="0" w:type="auto"/>
            <w:gridSpan w:val="3"/>
            <w:shd w:val="clear" w:color="auto" w:fill="auto"/>
            <w:tcMar>
              <w:top w:w="0" w:type="dxa"/>
              <w:left w:w="20" w:type="dxa"/>
              <w:bottom w:w="0" w:type="dxa"/>
              <w:right w:w="20" w:type="dxa"/>
            </w:tcMar>
            <w:vAlign w:val="bottom"/>
          </w:tcPr>
          <w:p w14:paraId="67538CC7"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C8" w14:textId="77777777" w:rsidR="001B77DD" w:rsidRDefault="00BF0A28">
            <w:pPr>
              <w:textAlignment w:val="bottom"/>
            </w:pPr>
            <w:r>
              <w:rPr>
                <w:rFonts w:ascii="Arial" w:eastAsia="宋体" w:hAnsi="Arial" w:cs="Arial"/>
                <w:color w:val="262626"/>
                <w:sz w:val="18"/>
                <w:szCs w:val="18"/>
              </w:rPr>
              <w:t>Chairman of the Board and Director</w:t>
            </w:r>
          </w:p>
        </w:tc>
        <w:tc>
          <w:tcPr>
            <w:tcW w:w="0" w:type="auto"/>
            <w:gridSpan w:val="3"/>
            <w:shd w:val="clear" w:color="auto" w:fill="auto"/>
            <w:tcMar>
              <w:top w:w="0" w:type="dxa"/>
              <w:left w:w="20" w:type="dxa"/>
              <w:bottom w:w="0" w:type="dxa"/>
              <w:right w:w="20" w:type="dxa"/>
            </w:tcMar>
            <w:vAlign w:val="bottom"/>
          </w:tcPr>
          <w:p w14:paraId="67538CC9"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CA"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CB" w14:textId="77777777" w:rsidR="001B77DD" w:rsidRDefault="00BF0A28">
            <w:pPr>
              <w:textAlignment w:val="bottom"/>
            </w:pPr>
            <w:r>
              <w:rPr>
                <w:rFonts w:ascii="Arial" w:eastAsia="宋体" w:hAnsi="Arial" w:cs="Arial"/>
                <w:color w:val="262626"/>
                <w:sz w:val="18"/>
                <w:szCs w:val="18"/>
              </w:rPr>
              <w:t>Director</w:t>
            </w:r>
          </w:p>
        </w:tc>
      </w:tr>
      <w:tr w:rsidR="001B77DD" w14:paraId="67538CD2" w14:textId="77777777">
        <w:tc>
          <w:tcPr>
            <w:tcW w:w="0" w:type="auto"/>
            <w:gridSpan w:val="3"/>
            <w:shd w:val="clear" w:color="auto" w:fill="auto"/>
            <w:tcMar>
              <w:top w:w="0" w:type="dxa"/>
              <w:left w:w="20" w:type="dxa"/>
              <w:bottom w:w="0" w:type="dxa"/>
              <w:right w:w="20" w:type="dxa"/>
            </w:tcMar>
            <w:vAlign w:val="bottom"/>
          </w:tcPr>
          <w:p w14:paraId="67538CCD"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CE" w14:textId="77777777" w:rsidR="001B77DD" w:rsidRDefault="00BF0A28">
            <w:pPr>
              <w:textAlignment w:val="top"/>
            </w:pPr>
            <w:r>
              <w:rPr>
                <w:rFonts w:ascii="Arial" w:eastAsia="宋体" w:hAnsi="Arial" w:cs="Arial"/>
                <w:color w:val="262626"/>
                <w:sz w:val="18"/>
                <w:szCs w:val="18"/>
              </w:rPr>
              <w:t>January 26, 2022</w:t>
            </w:r>
          </w:p>
        </w:tc>
        <w:tc>
          <w:tcPr>
            <w:tcW w:w="0" w:type="auto"/>
            <w:gridSpan w:val="3"/>
            <w:shd w:val="clear" w:color="auto" w:fill="auto"/>
            <w:tcMar>
              <w:top w:w="0" w:type="dxa"/>
              <w:left w:w="20" w:type="dxa"/>
              <w:bottom w:w="0" w:type="dxa"/>
              <w:right w:w="20" w:type="dxa"/>
            </w:tcMar>
            <w:vAlign w:val="bottom"/>
          </w:tcPr>
          <w:p w14:paraId="67538CCF"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D0"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D1" w14:textId="77777777" w:rsidR="001B77DD" w:rsidRDefault="00BF0A28">
            <w:pPr>
              <w:textAlignment w:val="bottom"/>
            </w:pPr>
            <w:r>
              <w:rPr>
                <w:rFonts w:ascii="Arial" w:eastAsia="宋体" w:hAnsi="Arial" w:cs="Arial"/>
                <w:color w:val="262626"/>
                <w:sz w:val="18"/>
                <w:szCs w:val="18"/>
              </w:rPr>
              <w:t>January 26, 2022</w:t>
            </w:r>
          </w:p>
        </w:tc>
      </w:tr>
      <w:tr w:rsidR="001B77DD" w14:paraId="67538CD8" w14:textId="77777777">
        <w:trPr>
          <w:trHeight w:val="60"/>
        </w:trPr>
        <w:tc>
          <w:tcPr>
            <w:tcW w:w="0" w:type="auto"/>
            <w:gridSpan w:val="3"/>
            <w:shd w:val="clear" w:color="auto" w:fill="auto"/>
            <w:tcMar>
              <w:top w:w="0" w:type="dxa"/>
              <w:left w:w="20" w:type="dxa"/>
              <w:bottom w:w="0" w:type="dxa"/>
              <w:right w:w="20" w:type="dxa"/>
            </w:tcMar>
            <w:vAlign w:val="bottom"/>
          </w:tcPr>
          <w:p w14:paraId="67538CD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D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D5"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D6"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D7" w14:textId="77777777" w:rsidR="001B77DD" w:rsidRDefault="001B77DD">
            <w:pPr>
              <w:rPr>
                <w:rFonts w:ascii="宋体"/>
              </w:rPr>
            </w:pPr>
          </w:p>
        </w:tc>
      </w:tr>
      <w:tr w:rsidR="001B77DD" w14:paraId="67538CDE" w14:textId="77777777">
        <w:tc>
          <w:tcPr>
            <w:tcW w:w="0" w:type="auto"/>
            <w:gridSpan w:val="3"/>
            <w:shd w:val="clear" w:color="auto" w:fill="auto"/>
            <w:tcMar>
              <w:top w:w="0" w:type="dxa"/>
              <w:left w:w="20" w:type="dxa"/>
              <w:bottom w:w="0" w:type="dxa"/>
              <w:right w:w="20" w:type="dxa"/>
            </w:tcMar>
            <w:vAlign w:val="bottom"/>
          </w:tcPr>
          <w:p w14:paraId="67538CD9"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vAlign w:val="bottom"/>
          </w:tcPr>
          <w:p w14:paraId="67538CDA" w14:textId="77777777" w:rsidR="001B77DD" w:rsidRDefault="00BF0A28">
            <w:pPr>
              <w:textAlignment w:val="bottom"/>
            </w:pPr>
            <w:r>
              <w:rPr>
                <w:rFonts w:ascii="Arial" w:eastAsia="宋体" w:hAnsi="Arial" w:cs="Arial"/>
                <w:color w:val="262626"/>
                <w:sz w:val="18"/>
                <w:szCs w:val="18"/>
              </w:rPr>
              <w:t>/s/    DR. RISA LAVIZZO-MOUREY</w:t>
            </w:r>
          </w:p>
        </w:tc>
        <w:tc>
          <w:tcPr>
            <w:tcW w:w="0" w:type="auto"/>
            <w:gridSpan w:val="3"/>
            <w:shd w:val="clear" w:color="auto" w:fill="auto"/>
            <w:tcMar>
              <w:top w:w="0" w:type="dxa"/>
              <w:left w:w="20" w:type="dxa"/>
              <w:bottom w:w="0" w:type="dxa"/>
              <w:right w:w="20" w:type="dxa"/>
            </w:tcMar>
            <w:vAlign w:val="bottom"/>
          </w:tcPr>
          <w:p w14:paraId="67538CDB"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DC"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DD" w14:textId="77777777" w:rsidR="001B77DD" w:rsidRDefault="001B77DD">
            <w:pPr>
              <w:rPr>
                <w:rFonts w:ascii="宋体"/>
              </w:rPr>
            </w:pPr>
          </w:p>
        </w:tc>
      </w:tr>
      <w:tr w:rsidR="001B77DD" w14:paraId="67538CE4" w14:textId="77777777">
        <w:tc>
          <w:tcPr>
            <w:tcW w:w="0" w:type="auto"/>
            <w:gridSpan w:val="3"/>
            <w:tcBorders>
              <w:top w:val="single" w:sz="4" w:space="0" w:color="262626"/>
            </w:tcBorders>
            <w:shd w:val="clear" w:color="auto" w:fill="auto"/>
            <w:tcMar>
              <w:top w:w="0" w:type="dxa"/>
              <w:left w:w="20" w:type="dxa"/>
              <w:bottom w:w="0" w:type="dxa"/>
              <w:right w:w="20" w:type="dxa"/>
            </w:tcMar>
            <w:vAlign w:val="bottom"/>
          </w:tcPr>
          <w:p w14:paraId="67538CDF" w14:textId="77777777" w:rsidR="001B77DD" w:rsidRDefault="001B77DD">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7538CE0" w14:textId="77777777" w:rsidR="001B77DD" w:rsidRDefault="00BF0A28">
            <w:pPr>
              <w:textAlignment w:val="top"/>
            </w:pPr>
            <w:r>
              <w:rPr>
                <w:rFonts w:ascii="Arial" w:eastAsia="宋体" w:hAnsi="Arial" w:cs="Arial"/>
                <w:color w:val="262626"/>
                <w:sz w:val="18"/>
                <w:szCs w:val="18"/>
              </w:rPr>
              <w:t>Dr. Risa Lavizzo-Mourey</w:t>
            </w:r>
          </w:p>
        </w:tc>
        <w:tc>
          <w:tcPr>
            <w:tcW w:w="0" w:type="auto"/>
            <w:gridSpan w:val="3"/>
            <w:shd w:val="clear" w:color="auto" w:fill="auto"/>
            <w:tcMar>
              <w:top w:w="0" w:type="dxa"/>
              <w:left w:w="20" w:type="dxa"/>
              <w:bottom w:w="0" w:type="dxa"/>
              <w:right w:w="20" w:type="dxa"/>
            </w:tcMar>
            <w:vAlign w:val="bottom"/>
          </w:tcPr>
          <w:p w14:paraId="67538CE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E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E3" w14:textId="77777777" w:rsidR="001B77DD" w:rsidRDefault="001B77DD">
            <w:pPr>
              <w:rPr>
                <w:rFonts w:ascii="宋体"/>
              </w:rPr>
            </w:pPr>
          </w:p>
        </w:tc>
      </w:tr>
      <w:tr w:rsidR="001B77DD" w14:paraId="67538CEA" w14:textId="77777777">
        <w:tc>
          <w:tcPr>
            <w:tcW w:w="0" w:type="auto"/>
            <w:gridSpan w:val="3"/>
            <w:shd w:val="clear" w:color="auto" w:fill="auto"/>
            <w:tcMar>
              <w:top w:w="0" w:type="dxa"/>
              <w:left w:w="20" w:type="dxa"/>
              <w:bottom w:w="0" w:type="dxa"/>
              <w:right w:w="20" w:type="dxa"/>
            </w:tcMar>
            <w:vAlign w:val="bottom"/>
          </w:tcPr>
          <w:p w14:paraId="67538CE5"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E6" w14:textId="77777777" w:rsidR="001B77DD" w:rsidRDefault="00BF0A28">
            <w:pPr>
              <w:textAlignment w:val="top"/>
            </w:pPr>
            <w:r>
              <w:rPr>
                <w:rFonts w:ascii="Arial" w:eastAsia="宋体" w:hAnsi="Arial" w:cs="Arial"/>
                <w:color w:val="262626"/>
                <w:sz w:val="18"/>
                <w:szCs w:val="18"/>
              </w:rPr>
              <w:t>Director</w:t>
            </w:r>
          </w:p>
        </w:tc>
        <w:tc>
          <w:tcPr>
            <w:tcW w:w="0" w:type="auto"/>
            <w:gridSpan w:val="3"/>
            <w:shd w:val="clear" w:color="auto" w:fill="auto"/>
            <w:tcMar>
              <w:top w:w="0" w:type="dxa"/>
              <w:left w:w="20" w:type="dxa"/>
              <w:bottom w:w="0" w:type="dxa"/>
              <w:right w:w="20" w:type="dxa"/>
            </w:tcMar>
            <w:vAlign w:val="bottom"/>
          </w:tcPr>
          <w:p w14:paraId="67538CE7"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E8"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E9" w14:textId="77777777" w:rsidR="001B77DD" w:rsidRDefault="001B77DD">
            <w:pPr>
              <w:rPr>
                <w:rFonts w:ascii="宋体"/>
              </w:rPr>
            </w:pPr>
          </w:p>
        </w:tc>
      </w:tr>
      <w:tr w:rsidR="001B77DD" w14:paraId="67538CF0" w14:textId="77777777">
        <w:tc>
          <w:tcPr>
            <w:tcW w:w="0" w:type="auto"/>
            <w:gridSpan w:val="3"/>
            <w:shd w:val="clear" w:color="auto" w:fill="auto"/>
            <w:tcMar>
              <w:top w:w="0" w:type="dxa"/>
              <w:left w:w="20" w:type="dxa"/>
              <w:bottom w:w="0" w:type="dxa"/>
              <w:right w:w="20" w:type="dxa"/>
            </w:tcMar>
            <w:vAlign w:val="bottom"/>
          </w:tcPr>
          <w:p w14:paraId="67538CEB" w14:textId="77777777" w:rsidR="001B77DD" w:rsidRDefault="001B77DD">
            <w:pPr>
              <w:rPr>
                <w:rFonts w:ascii="宋体"/>
              </w:rPr>
            </w:pPr>
          </w:p>
        </w:tc>
        <w:tc>
          <w:tcPr>
            <w:tcW w:w="0" w:type="auto"/>
            <w:gridSpan w:val="3"/>
            <w:shd w:val="clear" w:color="auto" w:fill="auto"/>
            <w:tcMar>
              <w:top w:w="40" w:type="dxa"/>
              <w:left w:w="20" w:type="dxa"/>
              <w:bottom w:w="40" w:type="dxa"/>
              <w:right w:w="20" w:type="dxa"/>
            </w:tcMar>
          </w:tcPr>
          <w:p w14:paraId="67538CEC" w14:textId="77777777" w:rsidR="001B77DD" w:rsidRDefault="00BF0A28">
            <w:pPr>
              <w:textAlignment w:val="top"/>
            </w:pPr>
            <w:r>
              <w:rPr>
                <w:rFonts w:ascii="Arial" w:eastAsia="宋体" w:hAnsi="Arial" w:cs="Arial"/>
                <w:color w:val="262626"/>
                <w:sz w:val="18"/>
                <w:szCs w:val="18"/>
              </w:rPr>
              <w:t>January 26, 2022</w:t>
            </w:r>
          </w:p>
        </w:tc>
        <w:tc>
          <w:tcPr>
            <w:tcW w:w="0" w:type="auto"/>
            <w:gridSpan w:val="3"/>
            <w:shd w:val="clear" w:color="auto" w:fill="auto"/>
            <w:tcMar>
              <w:top w:w="0" w:type="dxa"/>
              <w:left w:w="20" w:type="dxa"/>
              <w:bottom w:w="0" w:type="dxa"/>
              <w:right w:w="20" w:type="dxa"/>
            </w:tcMar>
            <w:vAlign w:val="bottom"/>
          </w:tcPr>
          <w:p w14:paraId="67538CED"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EE"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EF" w14:textId="77777777" w:rsidR="001B77DD" w:rsidRDefault="001B77DD">
            <w:pPr>
              <w:rPr>
                <w:rFonts w:ascii="宋体"/>
              </w:rPr>
            </w:pPr>
          </w:p>
        </w:tc>
      </w:tr>
      <w:tr w:rsidR="001B77DD" w14:paraId="67538CF6" w14:textId="77777777">
        <w:trPr>
          <w:trHeight w:val="60"/>
        </w:trPr>
        <w:tc>
          <w:tcPr>
            <w:tcW w:w="0" w:type="auto"/>
            <w:gridSpan w:val="3"/>
            <w:shd w:val="clear" w:color="auto" w:fill="auto"/>
            <w:tcMar>
              <w:top w:w="0" w:type="dxa"/>
              <w:left w:w="20" w:type="dxa"/>
              <w:bottom w:w="0" w:type="dxa"/>
              <w:right w:w="20" w:type="dxa"/>
            </w:tcMar>
            <w:vAlign w:val="bottom"/>
          </w:tcPr>
          <w:p w14:paraId="67538CF1"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F2"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F3"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F4" w14:textId="77777777" w:rsidR="001B77DD" w:rsidRDefault="001B77DD">
            <w:pPr>
              <w:rPr>
                <w:rFonts w:ascii="宋体"/>
              </w:rPr>
            </w:pPr>
          </w:p>
        </w:tc>
        <w:tc>
          <w:tcPr>
            <w:tcW w:w="0" w:type="auto"/>
            <w:gridSpan w:val="3"/>
            <w:shd w:val="clear" w:color="auto" w:fill="auto"/>
            <w:tcMar>
              <w:top w:w="0" w:type="dxa"/>
              <w:left w:w="20" w:type="dxa"/>
              <w:bottom w:w="0" w:type="dxa"/>
              <w:right w:w="20" w:type="dxa"/>
            </w:tcMar>
            <w:vAlign w:val="bottom"/>
          </w:tcPr>
          <w:p w14:paraId="67538CF5" w14:textId="77777777" w:rsidR="001B77DD" w:rsidRDefault="001B77DD">
            <w:pPr>
              <w:rPr>
                <w:rFonts w:ascii="宋体"/>
              </w:rPr>
            </w:pPr>
          </w:p>
        </w:tc>
      </w:tr>
      <w:tr w:rsidR="001B77DD" w14:paraId="67538CFC" w14:textId="77777777">
        <w:trPr>
          <w:hidden/>
        </w:trPr>
        <w:tc>
          <w:tcPr>
            <w:tcW w:w="0" w:type="auto"/>
            <w:gridSpan w:val="3"/>
            <w:shd w:val="clear" w:color="auto" w:fill="auto"/>
            <w:vAlign w:val="bottom"/>
          </w:tcPr>
          <w:p w14:paraId="67538CF7" w14:textId="77777777" w:rsidR="001B77DD" w:rsidRDefault="001B77DD">
            <w:pPr>
              <w:rPr>
                <w:rFonts w:ascii="宋体"/>
                <w:vanish/>
              </w:rPr>
            </w:pPr>
          </w:p>
        </w:tc>
        <w:tc>
          <w:tcPr>
            <w:tcW w:w="0" w:type="auto"/>
            <w:gridSpan w:val="3"/>
            <w:shd w:val="clear" w:color="auto" w:fill="auto"/>
            <w:vAlign w:val="bottom"/>
          </w:tcPr>
          <w:p w14:paraId="67538CF8" w14:textId="77777777" w:rsidR="001B77DD" w:rsidRDefault="001B77DD">
            <w:pPr>
              <w:rPr>
                <w:rFonts w:ascii="宋体"/>
                <w:vanish/>
              </w:rPr>
            </w:pPr>
          </w:p>
        </w:tc>
        <w:tc>
          <w:tcPr>
            <w:tcW w:w="0" w:type="auto"/>
            <w:gridSpan w:val="3"/>
            <w:shd w:val="clear" w:color="auto" w:fill="auto"/>
            <w:vAlign w:val="bottom"/>
          </w:tcPr>
          <w:p w14:paraId="67538CF9" w14:textId="77777777" w:rsidR="001B77DD" w:rsidRDefault="001B77DD">
            <w:pPr>
              <w:rPr>
                <w:rFonts w:ascii="宋体"/>
                <w:vanish/>
              </w:rPr>
            </w:pPr>
          </w:p>
        </w:tc>
        <w:tc>
          <w:tcPr>
            <w:tcW w:w="0" w:type="auto"/>
            <w:gridSpan w:val="3"/>
            <w:shd w:val="clear" w:color="auto" w:fill="auto"/>
            <w:vAlign w:val="bottom"/>
          </w:tcPr>
          <w:p w14:paraId="67538CFA" w14:textId="77777777" w:rsidR="001B77DD" w:rsidRDefault="001B77DD">
            <w:pPr>
              <w:rPr>
                <w:rFonts w:ascii="宋体"/>
                <w:vanish/>
              </w:rPr>
            </w:pPr>
          </w:p>
        </w:tc>
        <w:tc>
          <w:tcPr>
            <w:tcW w:w="0" w:type="auto"/>
            <w:gridSpan w:val="3"/>
            <w:shd w:val="clear" w:color="auto" w:fill="auto"/>
            <w:vAlign w:val="bottom"/>
          </w:tcPr>
          <w:p w14:paraId="67538CFB" w14:textId="77777777" w:rsidR="001B77DD" w:rsidRDefault="001B77DD">
            <w:pPr>
              <w:rPr>
                <w:rFonts w:ascii="宋体"/>
                <w:vanish/>
              </w:rPr>
            </w:pPr>
          </w:p>
        </w:tc>
      </w:tr>
      <w:tr w:rsidR="001B77DD" w14:paraId="67538D02" w14:textId="77777777">
        <w:trPr>
          <w:hidden/>
        </w:trPr>
        <w:tc>
          <w:tcPr>
            <w:tcW w:w="0" w:type="auto"/>
            <w:gridSpan w:val="3"/>
            <w:shd w:val="clear" w:color="auto" w:fill="auto"/>
            <w:vAlign w:val="bottom"/>
          </w:tcPr>
          <w:p w14:paraId="67538CFD" w14:textId="77777777" w:rsidR="001B77DD" w:rsidRDefault="001B77DD">
            <w:pPr>
              <w:rPr>
                <w:rFonts w:ascii="宋体"/>
                <w:vanish/>
              </w:rPr>
            </w:pPr>
          </w:p>
        </w:tc>
        <w:tc>
          <w:tcPr>
            <w:tcW w:w="0" w:type="auto"/>
            <w:gridSpan w:val="3"/>
            <w:shd w:val="clear" w:color="auto" w:fill="auto"/>
            <w:vAlign w:val="bottom"/>
          </w:tcPr>
          <w:p w14:paraId="67538CFE" w14:textId="77777777" w:rsidR="001B77DD" w:rsidRDefault="001B77DD">
            <w:pPr>
              <w:rPr>
                <w:rFonts w:ascii="宋体"/>
                <w:vanish/>
              </w:rPr>
            </w:pPr>
          </w:p>
        </w:tc>
        <w:tc>
          <w:tcPr>
            <w:tcW w:w="0" w:type="auto"/>
            <w:gridSpan w:val="3"/>
            <w:shd w:val="clear" w:color="auto" w:fill="auto"/>
            <w:vAlign w:val="bottom"/>
          </w:tcPr>
          <w:p w14:paraId="67538CFF" w14:textId="77777777" w:rsidR="001B77DD" w:rsidRDefault="001B77DD">
            <w:pPr>
              <w:rPr>
                <w:rFonts w:ascii="宋体"/>
                <w:vanish/>
              </w:rPr>
            </w:pPr>
          </w:p>
        </w:tc>
        <w:tc>
          <w:tcPr>
            <w:tcW w:w="0" w:type="auto"/>
            <w:gridSpan w:val="3"/>
            <w:shd w:val="clear" w:color="auto" w:fill="auto"/>
            <w:vAlign w:val="bottom"/>
          </w:tcPr>
          <w:p w14:paraId="67538D00" w14:textId="77777777" w:rsidR="001B77DD" w:rsidRDefault="001B77DD">
            <w:pPr>
              <w:rPr>
                <w:rFonts w:ascii="宋体"/>
                <w:vanish/>
              </w:rPr>
            </w:pPr>
          </w:p>
        </w:tc>
        <w:tc>
          <w:tcPr>
            <w:tcW w:w="0" w:type="auto"/>
            <w:gridSpan w:val="3"/>
            <w:shd w:val="clear" w:color="auto" w:fill="auto"/>
            <w:vAlign w:val="bottom"/>
          </w:tcPr>
          <w:p w14:paraId="67538D01" w14:textId="77777777" w:rsidR="001B77DD" w:rsidRDefault="001B77DD">
            <w:pPr>
              <w:rPr>
                <w:rFonts w:ascii="宋体"/>
                <w:vanish/>
              </w:rPr>
            </w:pPr>
          </w:p>
        </w:tc>
      </w:tr>
      <w:tr w:rsidR="001B77DD" w14:paraId="67538D08" w14:textId="77777777">
        <w:trPr>
          <w:hidden/>
        </w:trPr>
        <w:tc>
          <w:tcPr>
            <w:tcW w:w="0" w:type="auto"/>
            <w:gridSpan w:val="3"/>
            <w:shd w:val="clear" w:color="auto" w:fill="auto"/>
            <w:vAlign w:val="bottom"/>
          </w:tcPr>
          <w:p w14:paraId="67538D03" w14:textId="77777777" w:rsidR="001B77DD" w:rsidRDefault="001B77DD">
            <w:pPr>
              <w:rPr>
                <w:rFonts w:ascii="宋体"/>
                <w:vanish/>
              </w:rPr>
            </w:pPr>
          </w:p>
        </w:tc>
        <w:tc>
          <w:tcPr>
            <w:tcW w:w="0" w:type="auto"/>
            <w:gridSpan w:val="3"/>
            <w:shd w:val="clear" w:color="auto" w:fill="auto"/>
            <w:vAlign w:val="bottom"/>
          </w:tcPr>
          <w:p w14:paraId="67538D04" w14:textId="77777777" w:rsidR="001B77DD" w:rsidRDefault="001B77DD">
            <w:pPr>
              <w:rPr>
                <w:rFonts w:ascii="宋体"/>
                <w:vanish/>
              </w:rPr>
            </w:pPr>
          </w:p>
        </w:tc>
        <w:tc>
          <w:tcPr>
            <w:tcW w:w="0" w:type="auto"/>
            <w:gridSpan w:val="3"/>
            <w:shd w:val="clear" w:color="auto" w:fill="auto"/>
            <w:vAlign w:val="bottom"/>
          </w:tcPr>
          <w:p w14:paraId="67538D05" w14:textId="77777777" w:rsidR="001B77DD" w:rsidRDefault="001B77DD">
            <w:pPr>
              <w:rPr>
                <w:rFonts w:ascii="宋体"/>
                <w:vanish/>
              </w:rPr>
            </w:pPr>
          </w:p>
        </w:tc>
        <w:tc>
          <w:tcPr>
            <w:tcW w:w="0" w:type="auto"/>
            <w:gridSpan w:val="3"/>
            <w:shd w:val="clear" w:color="auto" w:fill="auto"/>
            <w:vAlign w:val="bottom"/>
          </w:tcPr>
          <w:p w14:paraId="67538D06" w14:textId="77777777" w:rsidR="001B77DD" w:rsidRDefault="001B77DD">
            <w:pPr>
              <w:rPr>
                <w:rFonts w:ascii="宋体"/>
                <w:vanish/>
              </w:rPr>
            </w:pPr>
          </w:p>
        </w:tc>
        <w:tc>
          <w:tcPr>
            <w:tcW w:w="0" w:type="auto"/>
            <w:gridSpan w:val="3"/>
            <w:shd w:val="clear" w:color="auto" w:fill="auto"/>
            <w:vAlign w:val="bottom"/>
          </w:tcPr>
          <w:p w14:paraId="67538D07" w14:textId="77777777" w:rsidR="001B77DD" w:rsidRDefault="001B77DD">
            <w:pPr>
              <w:rPr>
                <w:rFonts w:ascii="宋体"/>
                <w:vanish/>
              </w:rPr>
            </w:pPr>
          </w:p>
        </w:tc>
      </w:tr>
      <w:tr w:rsidR="001B77DD" w14:paraId="67538D0E" w14:textId="77777777">
        <w:trPr>
          <w:hidden/>
        </w:trPr>
        <w:tc>
          <w:tcPr>
            <w:tcW w:w="0" w:type="auto"/>
            <w:gridSpan w:val="3"/>
            <w:shd w:val="clear" w:color="auto" w:fill="auto"/>
            <w:vAlign w:val="bottom"/>
          </w:tcPr>
          <w:p w14:paraId="67538D09" w14:textId="77777777" w:rsidR="001B77DD" w:rsidRDefault="001B77DD">
            <w:pPr>
              <w:rPr>
                <w:rFonts w:ascii="宋体"/>
                <w:vanish/>
              </w:rPr>
            </w:pPr>
          </w:p>
        </w:tc>
        <w:tc>
          <w:tcPr>
            <w:tcW w:w="0" w:type="auto"/>
            <w:gridSpan w:val="3"/>
            <w:shd w:val="clear" w:color="auto" w:fill="auto"/>
            <w:vAlign w:val="bottom"/>
          </w:tcPr>
          <w:p w14:paraId="67538D0A" w14:textId="77777777" w:rsidR="001B77DD" w:rsidRDefault="001B77DD">
            <w:pPr>
              <w:rPr>
                <w:rFonts w:ascii="宋体"/>
                <w:vanish/>
              </w:rPr>
            </w:pPr>
          </w:p>
        </w:tc>
        <w:tc>
          <w:tcPr>
            <w:tcW w:w="0" w:type="auto"/>
            <w:gridSpan w:val="3"/>
            <w:shd w:val="clear" w:color="auto" w:fill="auto"/>
            <w:vAlign w:val="bottom"/>
          </w:tcPr>
          <w:p w14:paraId="67538D0B" w14:textId="77777777" w:rsidR="001B77DD" w:rsidRDefault="001B77DD">
            <w:pPr>
              <w:rPr>
                <w:rFonts w:ascii="宋体"/>
                <w:vanish/>
              </w:rPr>
            </w:pPr>
          </w:p>
        </w:tc>
        <w:tc>
          <w:tcPr>
            <w:tcW w:w="0" w:type="auto"/>
            <w:gridSpan w:val="3"/>
            <w:shd w:val="clear" w:color="auto" w:fill="auto"/>
            <w:vAlign w:val="bottom"/>
          </w:tcPr>
          <w:p w14:paraId="67538D0C" w14:textId="77777777" w:rsidR="001B77DD" w:rsidRDefault="001B77DD">
            <w:pPr>
              <w:rPr>
                <w:rFonts w:ascii="宋体"/>
                <w:vanish/>
              </w:rPr>
            </w:pPr>
          </w:p>
        </w:tc>
        <w:tc>
          <w:tcPr>
            <w:tcW w:w="0" w:type="auto"/>
            <w:gridSpan w:val="3"/>
            <w:shd w:val="clear" w:color="auto" w:fill="auto"/>
            <w:vAlign w:val="bottom"/>
          </w:tcPr>
          <w:p w14:paraId="67538D0D" w14:textId="77777777" w:rsidR="001B77DD" w:rsidRDefault="001B77DD">
            <w:pPr>
              <w:rPr>
                <w:rFonts w:ascii="宋体"/>
                <w:vanish/>
              </w:rPr>
            </w:pPr>
          </w:p>
        </w:tc>
      </w:tr>
      <w:tr w:rsidR="001B77DD" w14:paraId="67538D14" w14:textId="77777777">
        <w:trPr>
          <w:hidden/>
        </w:trPr>
        <w:tc>
          <w:tcPr>
            <w:tcW w:w="0" w:type="auto"/>
            <w:gridSpan w:val="3"/>
            <w:shd w:val="clear" w:color="auto" w:fill="auto"/>
            <w:vAlign w:val="bottom"/>
          </w:tcPr>
          <w:p w14:paraId="67538D0F" w14:textId="77777777" w:rsidR="001B77DD" w:rsidRDefault="001B77DD">
            <w:pPr>
              <w:rPr>
                <w:rFonts w:ascii="宋体"/>
                <w:vanish/>
              </w:rPr>
            </w:pPr>
          </w:p>
        </w:tc>
        <w:tc>
          <w:tcPr>
            <w:tcW w:w="0" w:type="auto"/>
            <w:gridSpan w:val="3"/>
            <w:shd w:val="clear" w:color="auto" w:fill="auto"/>
            <w:vAlign w:val="bottom"/>
          </w:tcPr>
          <w:p w14:paraId="67538D10" w14:textId="77777777" w:rsidR="001B77DD" w:rsidRDefault="001B77DD">
            <w:pPr>
              <w:rPr>
                <w:rFonts w:ascii="宋体"/>
                <w:vanish/>
              </w:rPr>
            </w:pPr>
          </w:p>
        </w:tc>
        <w:tc>
          <w:tcPr>
            <w:tcW w:w="0" w:type="auto"/>
            <w:gridSpan w:val="3"/>
            <w:shd w:val="clear" w:color="auto" w:fill="auto"/>
            <w:vAlign w:val="bottom"/>
          </w:tcPr>
          <w:p w14:paraId="67538D11" w14:textId="77777777" w:rsidR="001B77DD" w:rsidRDefault="001B77DD">
            <w:pPr>
              <w:rPr>
                <w:rFonts w:ascii="宋体"/>
                <w:vanish/>
              </w:rPr>
            </w:pPr>
          </w:p>
        </w:tc>
        <w:tc>
          <w:tcPr>
            <w:tcW w:w="0" w:type="auto"/>
            <w:gridSpan w:val="3"/>
            <w:shd w:val="clear" w:color="auto" w:fill="auto"/>
            <w:vAlign w:val="bottom"/>
          </w:tcPr>
          <w:p w14:paraId="67538D12" w14:textId="77777777" w:rsidR="001B77DD" w:rsidRDefault="001B77DD">
            <w:pPr>
              <w:rPr>
                <w:rFonts w:ascii="宋体"/>
                <w:vanish/>
              </w:rPr>
            </w:pPr>
          </w:p>
        </w:tc>
        <w:tc>
          <w:tcPr>
            <w:tcW w:w="0" w:type="auto"/>
            <w:gridSpan w:val="3"/>
            <w:shd w:val="clear" w:color="auto" w:fill="auto"/>
            <w:vAlign w:val="bottom"/>
          </w:tcPr>
          <w:p w14:paraId="67538D13" w14:textId="77777777" w:rsidR="001B77DD" w:rsidRDefault="001B77DD">
            <w:pPr>
              <w:rPr>
                <w:rFonts w:ascii="宋体"/>
                <w:vanish/>
              </w:rPr>
            </w:pPr>
          </w:p>
        </w:tc>
      </w:tr>
      <w:tr w:rsidR="001B77DD" w14:paraId="67538D1A" w14:textId="77777777">
        <w:trPr>
          <w:hidden/>
        </w:trPr>
        <w:tc>
          <w:tcPr>
            <w:tcW w:w="0" w:type="auto"/>
            <w:gridSpan w:val="3"/>
            <w:shd w:val="clear" w:color="auto" w:fill="auto"/>
            <w:vAlign w:val="bottom"/>
          </w:tcPr>
          <w:p w14:paraId="67538D15" w14:textId="77777777" w:rsidR="001B77DD" w:rsidRDefault="001B77DD">
            <w:pPr>
              <w:rPr>
                <w:rFonts w:ascii="宋体"/>
                <w:vanish/>
              </w:rPr>
            </w:pPr>
          </w:p>
        </w:tc>
        <w:tc>
          <w:tcPr>
            <w:tcW w:w="0" w:type="auto"/>
            <w:gridSpan w:val="3"/>
            <w:shd w:val="clear" w:color="auto" w:fill="auto"/>
            <w:vAlign w:val="bottom"/>
          </w:tcPr>
          <w:p w14:paraId="67538D16" w14:textId="77777777" w:rsidR="001B77DD" w:rsidRDefault="001B77DD">
            <w:pPr>
              <w:rPr>
                <w:rFonts w:ascii="宋体"/>
                <w:vanish/>
              </w:rPr>
            </w:pPr>
          </w:p>
        </w:tc>
        <w:tc>
          <w:tcPr>
            <w:tcW w:w="0" w:type="auto"/>
            <w:gridSpan w:val="3"/>
            <w:shd w:val="clear" w:color="auto" w:fill="auto"/>
            <w:vAlign w:val="bottom"/>
          </w:tcPr>
          <w:p w14:paraId="67538D17" w14:textId="77777777" w:rsidR="001B77DD" w:rsidRDefault="001B77DD">
            <w:pPr>
              <w:rPr>
                <w:rFonts w:ascii="宋体"/>
                <w:vanish/>
              </w:rPr>
            </w:pPr>
          </w:p>
        </w:tc>
        <w:tc>
          <w:tcPr>
            <w:tcW w:w="0" w:type="auto"/>
            <w:gridSpan w:val="3"/>
            <w:shd w:val="clear" w:color="auto" w:fill="auto"/>
            <w:vAlign w:val="bottom"/>
          </w:tcPr>
          <w:p w14:paraId="67538D18" w14:textId="77777777" w:rsidR="001B77DD" w:rsidRDefault="001B77DD">
            <w:pPr>
              <w:rPr>
                <w:rFonts w:ascii="宋体"/>
                <w:vanish/>
              </w:rPr>
            </w:pPr>
          </w:p>
        </w:tc>
        <w:tc>
          <w:tcPr>
            <w:tcW w:w="0" w:type="auto"/>
            <w:gridSpan w:val="3"/>
            <w:shd w:val="clear" w:color="auto" w:fill="auto"/>
            <w:vAlign w:val="bottom"/>
          </w:tcPr>
          <w:p w14:paraId="67538D19" w14:textId="77777777" w:rsidR="001B77DD" w:rsidRDefault="001B77DD">
            <w:pPr>
              <w:rPr>
                <w:rFonts w:ascii="宋体"/>
                <w:vanish/>
              </w:rPr>
            </w:pPr>
          </w:p>
        </w:tc>
      </w:tr>
      <w:tr w:rsidR="001B77DD" w14:paraId="67538D20" w14:textId="77777777">
        <w:trPr>
          <w:hidden/>
        </w:trPr>
        <w:tc>
          <w:tcPr>
            <w:tcW w:w="0" w:type="auto"/>
            <w:gridSpan w:val="3"/>
            <w:shd w:val="clear" w:color="auto" w:fill="auto"/>
            <w:vAlign w:val="bottom"/>
          </w:tcPr>
          <w:p w14:paraId="67538D1B" w14:textId="77777777" w:rsidR="001B77DD" w:rsidRDefault="001B77DD">
            <w:pPr>
              <w:rPr>
                <w:rFonts w:ascii="宋体"/>
                <w:vanish/>
              </w:rPr>
            </w:pPr>
          </w:p>
        </w:tc>
        <w:tc>
          <w:tcPr>
            <w:tcW w:w="0" w:type="auto"/>
            <w:gridSpan w:val="3"/>
            <w:shd w:val="clear" w:color="auto" w:fill="auto"/>
            <w:vAlign w:val="bottom"/>
          </w:tcPr>
          <w:p w14:paraId="67538D1C" w14:textId="77777777" w:rsidR="001B77DD" w:rsidRDefault="001B77DD">
            <w:pPr>
              <w:rPr>
                <w:rFonts w:ascii="宋体"/>
                <w:vanish/>
              </w:rPr>
            </w:pPr>
          </w:p>
        </w:tc>
        <w:tc>
          <w:tcPr>
            <w:tcW w:w="0" w:type="auto"/>
            <w:gridSpan w:val="3"/>
            <w:shd w:val="clear" w:color="auto" w:fill="auto"/>
            <w:vAlign w:val="bottom"/>
          </w:tcPr>
          <w:p w14:paraId="67538D1D" w14:textId="77777777" w:rsidR="001B77DD" w:rsidRDefault="001B77DD">
            <w:pPr>
              <w:rPr>
                <w:rFonts w:ascii="宋体"/>
                <w:vanish/>
              </w:rPr>
            </w:pPr>
          </w:p>
        </w:tc>
        <w:tc>
          <w:tcPr>
            <w:tcW w:w="0" w:type="auto"/>
            <w:gridSpan w:val="3"/>
            <w:shd w:val="clear" w:color="auto" w:fill="auto"/>
            <w:vAlign w:val="bottom"/>
          </w:tcPr>
          <w:p w14:paraId="67538D1E" w14:textId="77777777" w:rsidR="001B77DD" w:rsidRDefault="001B77DD">
            <w:pPr>
              <w:rPr>
                <w:rFonts w:ascii="宋体"/>
                <w:vanish/>
              </w:rPr>
            </w:pPr>
          </w:p>
        </w:tc>
        <w:tc>
          <w:tcPr>
            <w:tcW w:w="0" w:type="auto"/>
            <w:gridSpan w:val="3"/>
            <w:shd w:val="clear" w:color="auto" w:fill="auto"/>
            <w:vAlign w:val="bottom"/>
          </w:tcPr>
          <w:p w14:paraId="67538D1F" w14:textId="77777777" w:rsidR="001B77DD" w:rsidRDefault="001B77DD">
            <w:pPr>
              <w:rPr>
                <w:rFonts w:ascii="宋体"/>
                <w:vanish/>
              </w:rPr>
            </w:pPr>
          </w:p>
        </w:tc>
      </w:tr>
      <w:tr w:rsidR="001B77DD" w14:paraId="67538D26" w14:textId="77777777">
        <w:trPr>
          <w:hidden/>
        </w:trPr>
        <w:tc>
          <w:tcPr>
            <w:tcW w:w="0" w:type="auto"/>
            <w:gridSpan w:val="3"/>
            <w:shd w:val="clear" w:color="auto" w:fill="auto"/>
            <w:vAlign w:val="bottom"/>
          </w:tcPr>
          <w:p w14:paraId="67538D21" w14:textId="77777777" w:rsidR="001B77DD" w:rsidRDefault="001B77DD">
            <w:pPr>
              <w:rPr>
                <w:rFonts w:ascii="宋体"/>
                <w:vanish/>
              </w:rPr>
            </w:pPr>
          </w:p>
        </w:tc>
        <w:tc>
          <w:tcPr>
            <w:tcW w:w="0" w:type="auto"/>
            <w:gridSpan w:val="3"/>
            <w:shd w:val="clear" w:color="auto" w:fill="auto"/>
            <w:vAlign w:val="bottom"/>
          </w:tcPr>
          <w:p w14:paraId="67538D22" w14:textId="77777777" w:rsidR="001B77DD" w:rsidRDefault="001B77DD">
            <w:pPr>
              <w:rPr>
                <w:rFonts w:ascii="宋体"/>
                <w:vanish/>
              </w:rPr>
            </w:pPr>
          </w:p>
        </w:tc>
        <w:tc>
          <w:tcPr>
            <w:tcW w:w="0" w:type="auto"/>
            <w:gridSpan w:val="3"/>
            <w:shd w:val="clear" w:color="auto" w:fill="auto"/>
            <w:vAlign w:val="bottom"/>
          </w:tcPr>
          <w:p w14:paraId="67538D23" w14:textId="77777777" w:rsidR="001B77DD" w:rsidRDefault="001B77DD">
            <w:pPr>
              <w:rPr>
                <w:rFonts w:ascii="宋体"/>
                <w:vanish/>
              </w:rPr>
            </w:pPr>
          </w:p>
        </w:tc>
        <w:tc>
          <w:tcPr>
            <w:tcW w:w="0" w:type="auto"/>
            <w:gridSpan w:val="3"/>
            <w:shd w:val="clear" w:color="auto" w:fill="auto"/>
            <w:vAlign w:val="bottom"/>
          </w:tcPr>
          <w:p w14:paraId="67538D24" w14:textId="77777777" w:rsidR="001B77DD" w:rsidRDefault="001B77DD">
            <w:pPr>
              <w:rPr>
                <w:rFonts w:ascii="宋体"/>
                <w:vanish/>
              </w:rPr>
            </w:pPr>
          </w:p>
        </w:tc>
        <w:tc>
          <w:tcPr>
            <w:tcW w:w="0" w:type="auto"/>
            <w:gridSpan w:val="3"/>
            <w:shd w:val="clear" w:color="auto" w:fill="auto"/>
            <w:vAlign w:val="bottom"/>
          </w:tcPr>
          <w:p w14:paraId="67538D25" w14:textId="77777777" w:rsidR="001B77DD" w:rsidRDefault="001B77DD">
            <w:pPr>
              <w:rPr>
                <w:rFonts w:ascii="宋体"/>
                <w:vanish/>
              </w:rPr>
            </w:pPr>
          </w:p>
        </w:tc>
      </w:tr>
      <w:tr w:rsidR="001B77DD" w14:paraId="67538D2C" w14:textId="77777777">
        <w:trPr>
          <w:hidden/>
        </w:trPr>
        <w:tc>
          <w:tcPr>
            <w:tcW w:w="0" w:type="auto"/>
            <w:gridSpan w:val="3"/>
            <w:shd w:val="clear" w:color="auto" w:fill="auto"/>
            <w:vAlign w:val="bottom"/>
          </w:tcPr>
          <w:p w14:paraId="67538D27" w14:textId="77777777" w:rsidR="001B77DD" w:rsidRDefault="001B77DD">
            <w:pPr>
              <w:rPr>
                <w:rFonts w:ascii="宋体"/>
                <w:vanish/>
              </w:rPr>
            </w:pPr>
          </w:p>
        </w:tc>
        <w:tc>
          <w:tcPr>
            <w:tcW w:w="0" w:type="auto"/>
            <w:gridSpan w:val="3"/>
            <w:shd w:val="clear" w:color="auto" w:fill="auto"/>
            <w:vAlign w:val="bottom"/>
          </w:tcPr>
          <w:p w14:paraId="67538D28" w14:textId="77777777" w:rsidR="001B77DD" w:rsidRDefault="001B77DD">
            <w:pPr>
              <w:rPr>
                <w:rFonts w:ascii="宋体"/>
                <w:vanish/>
              </w:rPr>
            </w:pPr>
          </w:p>
        </w:tc>
        <w:tc>
          <w:tcPr>
            <w:tcW w:w="0" w:type="auto"/>
            <w:gridSpan w:val="3"/>
            <w:shd w:val="clear" w:color="auto" w:fill="auto"/>
            <w:vAlign w:val="bottom"/>
          </w:tcPr>
          <w:p w14:paraId="67538D29" w14:textId="77777777" w:rsidR="001B77DD" w:rsidRDefault="001B77DD">
            <w:pPr>
              <w:rPr>
                <w:rFonts w:ascii="宋体"/>
                <w:vanish/>
              </w:rPr>
            </w:pPr>
          </w:p>
        </w:tc>
        <w:tc>
          <w:tcPr>
            <w:tcW w:w="0" w:type="auto"/>
            <w:gridSpan w:val="3"/>
            <w:shd w:val="clear" w:color="auto" w:fill="auto"/>
            <w:vAlign w:val="bottom"/>
          </w:tcPr>
          <w:p w14:paraId="67538D2A" w14:textId="77777777" w:rsidR="001B77DD" w:rsidRDefault="001B77DD">
            <w:pPr>
              <w:rPr>
                <w:rFonts w:ascii="宋体"/>
                <w:vanish/>
              </w:rPr>
            </w:pPr>
          </w:p>
        </w:tc>
        <w:tc>
          <w:tcPr>
            <w:tcW w:w="0" w:type="auto"/>
            <w:gridSpan w:val="3"/>
            <w:shd w:val="clear" w:color="auto" w:fill="auto"/>
            <w:vAlign w:val="bottom"/>
          </w:tcPr>
          <w:p w14:paraId="67538D2B" w14:textId="77777777" w:rsidR="001B77DD" w:rsidRDefault="001B77DD">
            <w:pPr>
              <w:rPr>
                <w:rFonts w:ascii="宋体"/>
                <w:vanish/>
              </w:rPr>
            </w:pPr>
          </w:p>
        </w:tc>
      </w:tr>
      <w:tr w:rsidR="001B77DD" w14:paraId="67538D32" w14:textId="77777777">
        <w:trPr>
          <w:hidden/>
        </w:trPr>
        <w:tc>
          <w:tcPr>
            <w:tcW w:w="0" w:type="auto"/>
            <w:gridSpan w:val="3"/>
            <w:shd w:val="clear" w:color="auto" w:fill="auto"/>
            <w:vAlign w:val="bottom"/>
          </w:tcPr>
          <w:p w14:paraId="67538D2D" w14:textId="77777777" w:rsidR="001B77DD" w:rsidRDefault="001B77DD">
            <w:pPr>
              <w:rPr>
                <w:rFonts w:ascii="宋体"/>
                <w:vanish/>
              </w:rPr>
            </w:pPr>
          </w:p>
        </w:tc>
        <w:tc>
          <w:tcPr>
            <w:tcW w:w="0" w:type="auto"/>
            <w:gridSpan w:val="3"/>
            <w:shd w:val="clear" w:color="auto" w:fill="auto"/>
            <w:vAlign w:val="bottom"/>
          </w:tcPr>
          <w:p w14:paraId="67538D2E" w14:textId="77777777" w:rsidR="001B77DD" w:rsidRDefault="001B77DD">
            <w:pPr>
              <w:rPr>
                <w:rFonts w:ascii="宋体"/>
                <w:vanish/>
              </w:rPr>
            </w:pPr>
          </w:p>
        </w:tc>
        <w:tc>
          <w:tcPr>
            <w:tcW w:w="0" w:type="auto"/>
            <w:gridSpan w:val="3"/>
            <w:shd w:val="clear" w:color="auto" w:fill="auto"/>
            <w:vAlign w:val="bottom"/>
          </w:tcPr>
          <w:p w14:paraId="67538D2F" w14:textId="77777777" w:rsidR="001B77DD" w:rsidRDefault="001B77DD">
            <w:pPr>
              <w:rPr>
                <w:rFonts w:ascii="宋体"/>
                <w:vanish/>
              </w:rPr>
            </w:pPr>
          </w:p>
        </w:tc>
        <w:tc>
          <w:tcPr>
            <w:tcW w:w="0" w:type="auto"/>
            <w:gridSpan w:val="3"/>
            <w:shd w:val="clear" w:color="auto" w:fill="auto"/>
            <w:vAlign w:val="bottom"/>
          </w:tcPr>
          <w:p w14:paraId="67538D30" w14:textId="77777777" w:rsidR="001B77DD" w:rsidRDefault="001B77DD">
            <w:pPr>
              <w:rPr>
                <w:rFonts w:ascii="宋体"/>
                <w:vanish/>
              </w:rPr>
            </w:pPr>
          </w:p>
        </w:tc>
        <w:tc>
          <w:tcPr>
            <w:tcW w:w="0" w:type="auto"/>
            <w:gridSpan w:val="3"/>
            <w:shd w:val="clear" w:color="auto" w:fill="auto"/>
            <w:vAlign w:val="bottom"/>
          </w:tcPr>
          <w:p w14:paraId="67538D31" w14:textId="77777777" w:rsidR="001B77DD" w:rsidRDefault="001B77DD">
            <w:pPr>
              <w:rPr>
                <w:rFonts w:ascii="宋体"/>
                <w:vanish/>
              </w:rPr>
            </w:pPr>
          </w:p>
        </w:tc>
      </w:tr>
    </w:tbl>
    <w:p w14:paraId="67538D33" w14:textId="77777777" w:rsidR="001B77DD" w:rsidRDefault="00BF0A28">
      <w:pPr>
        <w:spacing w:after="180"/>
      </w:pPr>
      <w:r>
        <w:rPr>
          <w:rFonts w:ascii="Arial" w:eastAsia="宋体" w:hAnsi="Arial" w:cs="Arial"/>
          <w:color w:val="262626"/>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77"/>
        <w:gridCol w:w="450"/>
        <w:gridCol w:w="36"/>
        <w:gridCol w:w="69"/>
        <w:gridCol w:w="4416"/>
        <w:gridCol w:w="36"/>
        <w:gridCol w:w="70"/>
        <w:gridCol w:w="3146"/>
        <w:gridCol w:w="36"/>
      </w:tblGrid>
      <w:tr w:rsidR="001B77DD" w14:paraId="67538D3D" w14:textId="77777777">
        <w:tc>
          <w:tcPr>
            <w:tcW w:w="50" w:type="pct"/>
            <w:shd w:val="clear" w:color="auto" w:fill="auto"/>
            <w:vAlign w:val="bottom"/>
          </w:tcPr>
          <w:p w14:paraId="67538D34" w14:textId="77777777" w:rsidR="001B77DD" w:rsidRDefault="001B77DD">
            <w:pPr>
              <w:rPr>
                <w:rFonts w:ascii="宋体"/>
              </w:rPr>
            </w:pPr>
          </w:p>
        </w:tc>
        <w:tc>
          <w:tcPr>
            <w:tcW w:w="283" w:type="pct"/>
            <w:shd w:val="clear" w:color="auto" w:fill="auto"/>
            <w:vAlign w:val="bottom"/>
          </w:tcPr>
          <w:p w14:paraId="67538D35" w14:textId="77777777" w:rsidR="001B77DD" w:rsidRDefault="001B77DD">
            <w:pPr>
              <w:rPr>
                <w:rFonts w:ascii="宋体"/>
              </w:rPr>
            </w:pPr>
          </w:p>
        </w:tc>
        <w:tc>
          <w:tcPr>
            <w:tcW w:w="5" w:type="pct"/>
            <w:shd w:val="clear" w:color="auto" w:fill="auto"/>
            <w:vAlign w:val="bottom"/>
          </w:tcPr>
          <w:p w14:paraId="67538D36" w14:textId="77777777" w:rsidR="001B77DD" w:rsidRDefault="001B77DD">
            <w:pPr>
              <w:rPr>
                <w:rFonts w:ascii="宋体"/>
              </w:rPr>
            </w:pPr>
          </w:p>
        </w:tc>
        <w:tc>
          <w:tcPr>
            <w:tcW w:w="50" w:type="pct"/>
            <w:shd w:val="clear" w:color="auto" w:fill="auto"/>
            <w:vAlign w:val="bottom"/>
          </w:tcPr>
          <w:p w14:paraId="67538D37" w14:textId="77777777" w:rsidR="001B77DD" w:rsidRDefault="001B77DD">
            <w:pPr>
              <w:rPr>
                <w:rFonts w:ascii="宋体"/>
              </w:rPr>
            </w:pPr>
          </w:p>
        </w:tc>
        <w:tc>
          <w:tcPr>
            <w:tcW w:w="2656" w:type="pct"/>
            <w:shd w:val="clear" w:color="auto" w:fill="auto"/>
            <w:vAlign w:val="bottom"/>
          </w:tcPr>
          <w:p w14:paraId="67538D38" w14:textId="77777777" w:rsidR="001B77DD" w:rsidRDefault="001B77DD">
            <w:pPr>
              <w:rPr>
                <w:rFonts w:ascii="宋体"/>
              </w:rPr>
            </w:pPr>
          </w:p>
        </w:tc>
        <w:tc>
          <w:tcPr>
            <w:tcW w:w="5" w:type="pct"/>
            <w:shd w:val="clear" w:color="auto" w:fill="auto"/>
            <w:vAlign w:val="bottom"/>
          </w:tcPr>
          <w:p w14:paraId="67538D39" w14:textId="77777777" w:rsidR="001B77DD" w:rsidRDefault="001B77DD">
            <w:pPr>
              <w:rPr>
                <w:rFonts w:ascii="宋体"/>
              </w:rPr>
            </w:pPr>
          </w:p>
        </w:tc>
        <w:tc>
          <w:tcPr>
            <w:tcW w:w="50" w:type="pct"/>
            <w:shd w:val="clear" w:color="auto" w:fill="auto"/>
            <w:vAlign w:val="bottom"/>
          </w:tcPr>
          <w:p w14:paraId="67538D3A" w14:textId="77777777" w:rsidR="001B77DD" w:rsidRDefault="001B77DD">
            <w:pPr>
              <w:rPr>
                <w:rFonts w:ascii="宋体"/>
              </w:rPr>
            </w:pPr>
          </w:p>
        </w:tc>
        <w:tc>
          <w:tcPr>
            <w:tcW w:w="1894" w:type="pct"/>
            <w:shd w:val="clear" w:color="auto" w:fill="auto"/>
            <w:vAlign w:val="bottom"/>
          </w:tcPr>
          <w:p w14:paraId="67538D3B" w14:textId="77777777" w:rsidR="001B77DD" w:rsidRDefault="001B77DD">
            <w:pPr>
              <w:rPr>
                <w:rFonts w:ascii="宋体"/>
              </w:rPr>
            </w:pPr>
          </w:p>
        </w:tc>
        <w:tc>
          <w:tcPr>
            <w:tcW w:w="5" w:type="pct"/>
            <w:shd w:val="clear" w:color="auto" w:fill="auto"/>
            <w:vAlign w:val="bottom"/>
          </w:tcPr>
          <w:p w14:paraId="67538D3C" w14:textId="77777777" w:rsidR="001B77DD" w:rsidRDefault="001B77DD">
            <w:pPr>
              <w:rPr>
                <w:rFonts w:ascii="宋体"/>
              </w:rPr>
            </w:pPr>
          </w:p>
        </w:tc>
      </w:tr>
      <w:tr w:rsidR="001B77DD" w14:paraId="67538D4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7538D3E" w14:textId="77777777" w:rsidR="001B77DD" w:rsidRDefault="00BF0A2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Viewer4_files/intc-20211225_g2.jpg"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7538FAB" wp14:editId="67538FAC">
                  <wp:extent cx="304800" cy="304800"/>
                  <wp:effectExtent l="0" t="0" r="0" b="0"/>
                  <wp:docPr id="135" name="图片 370"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70" descr="IMG_4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D3F" w14:textId="77777777" w:rsidR="001B77DD" w:rsidRDefault="00BF0A28">
            <w:pPr>
              <w:textAlignment w:val="center"/>
            </w:pPr>
            <w:r>
              <w:rPr>
                <w:rFonts w:ascii="Arial" w:eastAsia="宋体" w:hAnsi="Arial" w:cs="Arial"/>
                <w:color w:val="262626"/>
                <w:sz w:val="16"/>
                <w:szCs w:val="16"/>
              </w:rPr>
              <w:t>Supplemental Details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7538D40" w14:textId="77777777" w:rsidR="001B77DD" w:rsidRDefault="00BF0A28">
            <w:pPr>
              <w:jc w:val="right"/>
              <w:textAlignment w:val="center"/>
            </w:pPr>
            <w:r>
              <w:rPr>
                <w:rFonts w:ascii="Arial" w:eastAsia="宋体" w:hAnsi="Arial" w:cs="Arial"/>
                <w:color w:val="262626"/>
                <w:sz w:val="16"/>
                <w:szCs w:val="16"/>
              </w:rPr>
              <w:t>121</w:t>
            </w:r>
          </w:p>
        </w:tc>
      </w:tr>
    </w:tbl>
    <w:p w14:paraId="67538D42" w14:textId="77777777" w:rsidR="001B77DD" w:rsidRDefault="00BF0A2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7538FAD" wp14:editId="67538FAE">
                <wp:extent cx="635" cy="0"/>
                <wp:effectExtent l="0" t="0" r="0" b="0"/>
                <wp:docPr id="170" name="矩形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5TFvngECAAAc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OUxb54BAgAAHA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44" w14:textId="77777777">
        <w:trPr>
          <w:tblCellSpacing w:w="15" w:type="dxa"/>
        </w:trPr>
        <w:tc>
          <w:tcPr>
            <w:tcW w:w="0" w:type="auto"/>
            <w:shd w:val="clear" w:color="auto" w:fill="auto"/>
            <w:vAlign w:val="center"/>
          </w:tcPr>
          <w:p w14:paraId="67538D43" w14:textId="77777777" w:rsidR="001B77DD" w:rsidRDefault="001B77DD">
            <w:pPr>
              <w:rPr>
                <w:rFonts w:ascii="宋体"/>
              </w:rPr>
            </w:pPr>
          </w:p>
        </w:tc>
      </w:tr>
    </w:tbl>
    <w:p w14:paraId="67538D45"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47" w14:textId="77777777">
        <w:trPr>
          <w:tblCellSpacing w:w="15" w:type="dxa"/>
        </w:trPr>
        <w:tc>
          <w:tcPr>
            <w:tcW w:w="0" w:type="auto"/>
            <w:shd w:val="clear" w:color="auto" w:fill="auto"/>
            <w:vAlign w:val="center"/>
          </w:tcPr>
          <w:p w14:paraId="67538D46" w14:textId="77777777" w:rsidR="001B77DD" w:rsidRDefault="001B77DD">
            <w:pPr>
              <w:rPr>
                <w:rFonts w:ascii="宋体"/>
              </w:rPr>
            </w:pPr>
          </w:p>
        </w:tc>
      </w:tr>
    </w:tbl>
    <w:p w14:paraId="67538D48"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4A" w14:textId="77777777">
        <w:trPr>
          <w:tblCellSpacing w:w="15" w:type="dxa"/>
        </w:trPr>
        <w:tc>
          <w:tcPr>
            <w:tcW w:w="0" w:type="auto"/>
            <w:shd w:val="clear" w:color="auto" w:fill="auto"/>
            <w:vAlign w:val="center"/>
          </w:tcPr>
          <w:p w14:paraId="67538D49" w14:textId="77777777" w:rsidR="001B77DD" w:rsidRDefault="001B77DD">
            <w:pPr>
              <w:rPr>
                <w:rFonts w:ascii="宋体"/>
              </w:rPr>
            </w:pPr>
          </w:p>
        </w:tc>
      </w:tr>
    </w:tbl>
    <w:p w14:paraId="67538D4B"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4D" w14:textId="77777777">
        <w:trPr>
          <w:tblCellSpacing w:w="15" w:type="dxa"/>
        </w:trPr>
        <w:tc>
          <w:tcPr>
            <w:tcW w:w="0" w:type="auto"/>
            <w:shd w:val="clear" w:color="auto" w:fill="auto"/>
            <w:vAlign w:val="center"/>
          </w:tcPr>
          <w:p w14:paraId="67538D4C" w14:textId="77777777" w:rsidR="001B77DD" w:rsidRDefault="001B77DD">
            <w:pPr>
              <w:rPr>
                <w:rFonts w:ascii="宋体"/>
              </w:rPr>
            </w:pPr>
          </w:p>
        </w:tc>
      </w:tr>
    </w:tbl>
    <w:p w14:paraId="67538D4E" w14:textId="77777777" w:rsidR="001B77DD" w:rsidRDefault="00BF0A28">
      <w:r>
        <w:rPr>
          <w:rFonts w:ascii="宋体" w:eastAsia="宋体" w:hAnsi="宋体" w:cs="宋体"/>
        </w:rPr>
        <w:t xml:space="preserve">Previous Next </w:t>
      </w:r>
    </w:p>
    <w:p w14:paraId="67538D4F" w14:textId="77777777" w:rsidR="001B77DD" w:rsidRDefault="00BF0A28">
      <w:pPr>
        <w:pStyle w:val="a3"/>
      </w:pPr>
      <w:r>
        <w:t>Settings</w:t>
      </w:r>
    </w:p>
    <w:p w14:paraId="67538D50" w14:textId="77777777" w:rsidR="001B77DD" w:rsidRDefault="00BF0A28">
      <w:pPr>
        <w:pStyle w:val="Style4"/>
      </w:pPr>
      <w:r>
        <w:t>窗体顶端</w:t>
      </w:r>
    </w:p>
    <w:p w14:paraId="67538D51" w14:textId="77777777" w:rsidR="001B77DD" w:rsidRDefault="00BF0A2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7538FAF" wp14:editId="67538FB0">
                <wp:extent cx="635" cy="0"/>
                <wp:effectExtent l="0" t="0" r="0" b="0"/>
                <wp:docPr id="171" name="矩形 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9tWJgECAAAcBAAADgAAAGRycy9l&#10;Mm9Eb2MueG1srVPNbhMxEL4j8Q6W72SToBZ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fbViYBAgAAHA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67538D52" w14:textId="77777777" w:rsidR="001B77DD" w:rsidRDefault="00BF0A2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7538FB1" wp14:editId="67538FB2">
                <wp:extent cx="635" cy="0"/>
                <wp:effectExtent l="0" t="0" r="0" b="0"/>
                <wp:docPr id="133" name="矩形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e2dvgQECAAAc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tnb4EBAgAAHA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67538D53" w14:textId="77777777" w:rsidR="001B77DD" w:rsidRDefault="00BF0A28">
      <w:r>
        <w:pict w14:anchorId="67538FB3">
          <v:rect id="_x0000_i1147" style="width:415.3pt;height:1.5pt" o:hralign="center" o:hrstd="t" o:hr="t" fillcolor="#a0a0a0" stroked="f"/>
        </w:pict>
      </w:r>
    </w:p>
    <w:p w14:paraId="67538D54" w14:textId="77777777" w:rsidR="001B77DD" w:rsidRDefault="00BF0A28">
      <w:r>
        <w:rPr>
          <w:rFonts w:ascii="宋体" w:eastAsia="宋体" w:hAnsi="宋体" w:cs="宋体"/>
        </w:rPr>
        <w:t xml:space="preserve">Tagged Data </w:t>
      </w:r>
    </w:p>
    <w:p w14:paraId="67538D55" w14:textId="77777777" w:rsidR="001B77DD" w:rsidRDefault="00BF0A28">
      <w:r>
        <w:rPr>
          <w:rFonts w:ascii="monospace" w:eastAsia="monospace" w:hAnsi="monospace" w:cs="monospace"/>
          <w:noProof/>
        </w:rPr>
        <mc:AlternateContent>
          <mc:Choice Requires="wps">
            <w:drawing>
              <wp:inline distT="0" distB="0" distL="114300" distR="114300" wp14:anchorId="67538FB4" wp14:editId="67538FB5">
                <wp:extent cx="635" cy="0"/>
                <wp:effectExtent l="0" t="0" r="0" b="0"/>
                <wp:docPr id="139" name="矩形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fH16wECAAAc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nx9es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67538D56" w14:textId="77777777" w:rsidR="001B77DD" w:rsidRDefault="00BF0A28">
      <w:r>
        <w:rPr>
          <w:rFonts w:ascii="宋体" w:eastAsia="宋体" w:hAnsi="宋体" w:cs="宋体"/>
        </w:rPr>
        <w:t>Save</w:t>
      </w:r>
    </w:p>
    <w:p w14:paraId="67538D57" w14:textId="77777777" w:rsidR="001B77DD" w:rsidRDefault="00BF0A28">
      <w:r>
        <w:rPr>
          <w:rFonts w:ascii="宋体" w:eastAsia="宋体" w:hAnsi="宋体" w:cs="宋体"/>
        </w:rPr>
        <w:t>Reset</w:t>
      </w:r>
    </w:p>
    <w:p w14:paraId="67538D58" w14:textId="77777777" w:rsidR="001B77DD" w:rsidRDefault="00BF0A28">
      <w:r>
        <w:pict w14:anchorId="67538FB6">
          <v:rect id="_x0000_i1148" style="width:415.3pt;height:1.5pt" o:hralign="center" o:hrstd="t" o:hr="t" fillcolor="#a0a0a0" stroked="f"/>
        </w:pict>
      </w:r>
    </w:p>
    <w:p w14:paraId="67538D59" w14:textId="77777777" w:rsidR="001B77DD" w:rsidRDefault="00BF0A28">
      <w:r>
        <w:rPr>
          <w:rFonts w:ascii="宋体" w:eastAsia="宋体" w:hAnsi="宋体" w:cs="宋体"/>
        </w:rPr>
        <w:t xml:space="preserve">Search Results </w:t>
      </w:r>
    </w:p>
    <w:p w14:paraId="67538D5A" w14:textId="77777777" w:rsidR="001B77DD" w:rsidRDefault="00BF0A28">
      <w:r>
        <w:rPr>
          <w:rFonts w:ascii="monospace" w:eastAsia="monospace" w:hAnsi="monospace" w:cs="monospace"/>
          <w:noProof/>
        </w:rPr>
        <mc:AlternateContent>
          <mc:Choice Requires="wps">
            <w:drawing>
              <wp:inline distT="0" distB="0" distL="114300" distR="114300" wp14:anchorId="67538FB7" wp14:editId="67538FB8">
                <wp:extent cx="635" cy="0"/>
                <wp:effectExtent l="0" t="0" r="0" b="0"/>
                <wp:docPr id="134" name="矩形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8gHwECAAAc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f/IB8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67538D5B" w14:textId="77777777" w:rsidR="001B77DD" w:rsidRDefault="00BF0A28">
      <w:r>
        <w:rPr>
          <w:rFonts w:ascii="宋体" w:eastAsia="宋体" w:hAnsi="宋体" w:cs="宋体"/>
        </w:rPr>
        <w:t>Save</w:t>
      </w:r>
    </w:p>
    <w:p w14:paraId="67538D5C" w14:textId="77777777" w:rsidR="001B77DD" w:rsidRDefault="00BF0A28">
      <w:r>
        <w:rPr>
          <w:rFonts w:ascii="宋体" w:eastAsia="宋体" w:hAnsi="宋体" w:cs="宋体"/>
        </w:rPr>
        <w:t>Reset</w:t>
      </w:r>
    </w:p>
    <w:p w14:paraId="67538D5D" w14:textId="77777777" w:rsidR="001B77DD" w:rsidRDefault="00BF0A28">
      <w:r>
        <w:pict w14:anchorId="67538FB9">
          <v:rect id="_x0000_i1149" style="width:415.3pt;height:1.5pt" o:hralign="center" o:hrstd="t" o:hr="t" fillcolor="#a0a0a0" stroked="f"/>
        </w:pict>
      </w:r>
    </w:p>
    <w:p w14:paraId="67538D5E" w14:textId="77777777" w:rsidR="001B77DD" w:rsidRDefault="00BF0A28">
      <w:r>
        <w:rPr>
          <w:rFonts w:ascii="宋体" w:eastAsia="宋体" w:hAnsi="宋体" w:cs="宋体"/>
        </w:rPr>
        <w:t xml:space="preserve">Selected Fact </w:t>
      </w:r>
    </w:p>
    <w:p w14:paraId="67538D5F" w14:textId="77777777" w:rsidR="001B77DD" w:rsidRDefault="00BF0A28">
      <w:r>
        <w:rPr>
          <w:rFonts w:ascii="monospace" w:eastAsia="monospace" w:hAnsi="monospace" w:cs="monospace"/>
          <w:noProof/>
        </w:rPr>
        <mc:AlternateContent>
          <mc:Choice Requires="wps">
            <w:drawing>
              <wp:inline distT="0" distB="0" distL="114300" distR="114300" wp14:anchorId="67538FBA" wp14:editId="67538FBB">
                <wp:extent cx="635" cy="0"/>
                <wp:effectExtent l="0" t="0" r="0" b="0"/>
                <wp:docPr id="113" name="矩形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l1PKagECAAAc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dTymo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67538D60" w14:textId="77777777" w:rsidR="001B77DD" w:rsidRDefault="00BF0A28">
      <w:r>
        <w:rPr>
          <w:rFonts w:ascii="宋体" w:eastAsia="宋体" w:hAnsi="宋体" w:cs="宋体"/>
        </w:rPr>
        <w:t>Save</w:t>
      </w:r>
    </w:p>
    <w:p w14:paraId="67538D61" w14:textId="77777777" w:rsidR="001B77DD" w:rsidRDefault="00BF0A28">
      <w:r>
        <w:rPr>
          <w:rFonts w:ascii="宋体" w:eastAsia="宋体" w:hAnsi="宋体" w:cs="宋体"/>
        </w:rPr>
        <w:t>Reset</w:t>
      </w:r>
    </w:p>
    <w:p w14:paraId="67538D62" w14:textId="77777777" w:rsidR="001B77DD" w:rsidRDefault="00BF0A28">
      <w:r>
        <w:pict w14:anchorId="67538FBC">
          <v:rect id="_x0000_i1150" style="width:415.3pt;height:1.5pt" o:hralign="center" o:hrstd="t" o:hr="t" fillcolor="#a0a0a0" stroked="f"/>
        </w:pict>
      </w:r>
    </w:p>
    <w:p w14:paraId="67538D63" w14:textId="77777777" w:rsidR="001B77DD" w:rsidRDefault="00BF0A28">
      <w:r>
        <w:rPr>
          <w:rFonts w:ascii="宋体" w:eastAsia="宋体" w:hAnsi="宋体" w:cs="宋体"/>
        </w:rPr>
        <w:t xml:space="preserve">Tag Shading (hover) </w:t>
      </w:r>
    </w:p>
    <w:p w14:paraId="67538D64" w14:textId="77777777" w:rsidR="001B77DD" w:rsidRDefault="00BF0A28">
      <w:r>
        <w:rPr>
          <w:rFonts w:ascii="monospace" w:eastAsia="monospace" w:hAnsi="monospace" w:cs="monospace"/>
          <w:noProof/>
        </w:rPr>
        <mc:AlternateContent>
          <mc:Choice Requires="wps">
            <w:drawing>
              <wp:inline distT="0" distB="0" distL="114300" distR="114300" wp14:anchorId="67538FBD" wp14:editId="67538FBE">
                <wp:extent cx="635" cy="0"/>
                <wp:effectExtent l="0" t="0" r="0" b="0"/>
                <wp:docPr id="114" name="矩形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8uF9AECAAAc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vLhfQBAgAAHAQAAA4AAAAAAAAA&#10;AQAgAAAAMwEAAGRycy9lMm9Eb2MueG1sUEsFBgAAAAAGAAYAWQEAAKYFAAAAAA==&#10;">
                <v:fill on="f" focussize="0,0"/>
                <v:stroke color="#000000" joinstyle="miter"/>
                <v:imagedata o:title=""/>
                <o:lock v:ext="edit" aspectratio="t"/>
                <w10:wrap type="none"/>
                <w10:anchorlock/>
              </v:rect>
            </w:pict>
          </mc:Fallback>
        </mc:AlternateContent>
      </w:r>
    </w:p>
    <w:p w14:paraId="67538D65" w14:textId="77777777" w:rsidR="001B77DD" w:rsidRDefault="00BF0A28">
      <w:r>
        <w:rPr>
          <w:rFonts w:ascii="宋体" w:eastAsia="宋体" w:hAnsi="宋体" w:cs="宋体"/>
        </w:rPr>
        <w:t>Save</w:t>
      </w:r>
    </w:p>
    <w:p w14:paraId="67538D66" w14:textId="77777777" w:rsidR="001B77DD" w:rsidRDefault="00BF0A28">
      <w:r>
        <w:rPr>
          <w:rFonts w:ascii="宋体" w:eastAsia="宋体" w:hAnsi="宋体" w:cs="宋体"/>
        </w:rPr>
        <w:t>Reset</w:t>
      </w:r>
    </w:p>
    <w:p w14:paraId="67538D67" w14:textId="77777777" w:rsidR="001B77DD" w:rsidRDefault="00BF0A28">
      <w:pPr>
        <w:pStyle w:val="Style5"/>
      </w:pPr>
      <w:r>
        <w:t>窗体底端</w:t>
      </w:r>
    </w:p>
    <w:p w14:paraId="67538D68" w14:textId="77777777" w:rsidR="001B77DD" w:rsidRDefault="00BF0A2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7538FBF" wp14:editId="67538FC0">
                <wp:extent cx="635" cy="0"/>
                <wp:effectExtent l="0" t="0" r="0" b="0"/>
                <wp:docPr id="119" name="矩形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XFUAABAgAAHA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6A" w14:textId="77777777">
        <w:trPr>
          <w:tblCellSpacing w:w="15" w:type="dxa"/>
        </w:trPr>
        <w:tc>
          <w:tcPr>
            <w:tcW w:w="0" w:type="auto"/>
            <w:shd w:val="clear" w:color="auto" w:fill="auto"/>
            <w:vAlign w:val="center"/>
          </w:tcPr>
          <w:p w14:paraId="67538D69" w14:textId="77777777" w:rsidR="001B77DD" w:rsidRDefault="001B77DD">
            <w:pPr>
              <w:rPr>
                <w:rFonts w:ascii="宋体"/>
              </w:rPr>
            </w:pPr>
          </w:p>
        </w:tc>
      </w:tr>
    </w:tbl>
    <w:p w14:paraId="67538D6B"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6D" w14:textId="77777777">
        <w:trPr>
          <w:tblCellSpacing w:w="15" w:type="dxa"/>
        </w:trPr>
        <w:tc>
          <w:tcPr>
            <w:tcW w:w="0" w:type="auto"/>
            <w:shd w:val="clear" w:color="auto" w:fill="auto"/>
            <w:vAlign w:val="center"/>
          </w:tcPr>
          <w:p w14:paraId="67538D6C" w14:textId="77777777" w:rsidR="001B77DD" w:rsidRDefault="001B77DD">
            <w:pPr>
              <w:rPr>
                <w:rFonts w:ascii="宋体"/>
              </w:rPr>
            </w:pPr>
          </w:p>
        </w:tc>
      </w:tr>
    </w:tbl>
    <w:p w14:paraId="67538D6E"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70" w14:textId="77777777">
        <w:trPr>
          <w:tblCellSpacing w:w="15" w:type="dxa"/>
        </w:trPr>
        <w:tc>
          <w:tcPr>
            <w:tcW w:w="0" w:type="auto"/>
            <w:shd w:val="clear" w:color="auto" w:fill="auto"/>
            <w:vAlign w:val="center"/>
          </w:tcPr>
          <w:p w14:paraId="67538D6F" w14:textId="77777777" w:rsidR="001B77DD" w:rsidRDefault="001B77DD">
            <w:pPr>
              <w:rPr>
                <w:rFonts w:ascii="宋体"/>
              </w:rPr>
            </w:pPr>
          </w:p>
        </w:tc>
      </w:tr>
    </w:tbl>
    <w:p w14:paraId="67538D71"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73" w14:textId="77777777">
        <w:trPr>
          <w:tblCellSpacing w:w="15" w:type="dxa"/>
        </w:trPr>
        <w:tc>
          <w:tcPr>
            <w:tcW w:w="0" w:type="auto"/>
            <w:shd w:val="clear" w:color="auto" w:fill="auto"/>
            <w:vAlign w:val="center"/>
          </w:tcPr>
          <w:p w14:paraId="67538D72" w14:textId="77777777" w:rsidR="001B77DD" w:rsidRDefault="001B77DD">
            <w:pPr>
              <w:rPr>
                <w:rFonts w:ascii="宋体"/>
              </w:rPr>
            </w:pPr>
          </w:p>
        </w:tc>
      </w:tr>
    </w:tbl>
    <w:p w14:paraId="67538D74" w14:textId="77777777" w:rsidR="001B77DD" w:rsidRDefault="00BF0A28">
      <w:r>
        <w:rPr>
          <w:rFonts w:ascii="宋体" w:eastAsia="宋体" w:hAnsi="宋体" w:cs="宋体"/>
        </w:rPr>
        <w:t xml:space="preserve">Previous Next </w:t>
      </w:r>
    </w:p>
    <w:p w14:paraId="67538D75" w14:textId="77777777" w:rsidR="001B77DD" w:rsidRDefault="00BF0A28">
      <w:pPr>
        <w:pStyle w:val="a3"/>
      </w:pPr>
      <w:r>
        <w:t xml:space="preserve">Nested Facts / </w:t>
      </w:r>
    </w:p>
    <w:p w14:paraId="67538D76" w14:textId="77777777" w:rsidR="001B77DD" w:rsidRDefault="00BF0A28">
      <w:r>
        <w:rPr>
          <w:rFonts w:ascii="宋体" w:eastAsia="宋体" w:hAnsi="宋体" w:cs="宋体"/>
        </w:rPr>
        <w:t xml:space="preserve">Previous Next </w:t>
      </w:r>
    </w:p>
    <w:p w14:paraId="67538D77" w14:textId="77777777" w:rsidR="001B77DD" w:rsidRDefault="00BF0A2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7538FC1" wp14:editId="67538FC2">
                <wp:extent cx="635" cy="0"/>
                <wp:effectExtent l="0" t="0" r="0" b="0"/>
                <wp:docPr id="120" name="矩形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sSG5wACAAAc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sSG5wACAAAc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79" w14:textId="77777777">
        <w:trPr>
          <w:tblCellSpacing w:w="15" w:type="dxa"/>
        </w:trPr>
        <w:tc>
          <w:tcPr>
            <w:tcW w:w="0" w:type="auto"/>
            <w:shd w:val="clear" w:color="auto" w:fill="auto"/>
            <w:vAlign w:val="center"/>
          </w:tcPr>
          <w:p w14:paraId="67538D78" w14:textId="77777777" w:rsidR="001B77DD" w:rsidRDefault="001B77DD">
            <w:pPr>
              <w:rPr>
                <w:rFonts w:ascii="宋体"/>
              </w:rPr>
            </w:pPr>
          </w:p>
        </w:tc>
      </w:tr>
    </w:tbl>
    <w:p w14:paraId="67538D7A"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7C" w14:textId="77777777">
        <w:trPr>
          <w:tblCellSpacing w:w="15" w:type="dxa"/>
        </w:trPr>
        <w:tc>
          <w:tcPr>
            <w:tcW w:w="0" w:type="auto"/>
            <w:shd w:val="clear" w:color="auto" w:fill="auto"/>
            <w:vAlign w:val="center"/>
          </w:tcPr>
          <w:p w14:paraId="67538D7B" w14:textId="77777777" w:rsidR="001B77DD" w:rsidRDefault="001B77DD">
            <w:pPr>
              <w:rPr>
                <w:rFonts w:ascii="宋体"/>
              </w:rPr>
            </w:pPr>
          </w:p>
        </w:tc>
      </w:tr>
    </w:tbl>
    <w:p w14:paraId="67538D7D"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7F" w14:textId="77777777">
        <w:trPr>
          <w:tblCellSpacing w:w="15" w:type="dxa"/>
        </w:trPr>
        <w:tc>
          <w:tcPr>
            <w:tcW w:w="0" w:type="auto"/>
            <w:shd w:val="clear" w:color="auto" w:fill="auto"/>
            <w:vAlign w:val="center"/>
          </w:tcPr>
          <w:p w14:paraId="67538D7E" w14:textId="77777777" w:rsidR="001B77DD" w:rsidRDefault="001B77DD">
            <w:pPr>
              <w:rPr>
                <w:rFonts w:ascii="宋体"/>
              </w:rPr>
            </w:pPr>
          </w:p>
        </w:tc>
      </w:tr>
    </w:tbl>
    <w:p w14:paraId="67538D80" w14:textId="77777777" w:rsidR="001B77DD" w:rsidRDefault="001B77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77DD" w14:paraId="67538D82" w14:textId="77777777">
        <w:trPr>
          <w:tblCellSpacing w:w="15" w:type="dxa"/>
        </w:trPr>
        <w:tc>
          <w:tcPr>
            <w:tcW w:w="0" w:type="auto"/>
            <w:shd w:val="clear" w:color="auto" w:fill="auto"/>
            <w:vAlign w:val="center"/>
          </w:tcPr>
          <w:p w14:paraId="67538D81" w14:textId="77777777" w:rsidR="001B77DD" w:rsidRDefault="001B77DD">
            <w:pPr>
              <w:rPr>
                <w:rFonts w:ascii="宋体"/>
              </w:rPr>
            </w:pPr>
          </w:p>
        </w:tc>
      </w:tr>
    </w:tbl>
    <w:p w14:paraId="67538D83" w14:textId="77777777" w:rsidR="001B77DD" w:rsidRDefault="00BF0A28">
      <w:r>
        <w:rPr>
          <w:rFonts w:ascii="宋体" w:eastAsia="宋体" w:hAnsi="宋体" w:cs="宋体"/>
        </w:rPr>
        <w:t xml:space="preserve">Previous Next </w:t>
      </w:r>
    </w:p>
    <w:p w14:paraId="67538D84" w14:textId="77777777" w:rsidR="001B77DD" w:rsidRDefault="001B77DD"/>
    <w:sectPr w:rsidR="001B77D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878B" w14:textId="77777777" w:rsidR="00BF0A28" w:rsidRDefault="00BF0A28" w:rsidP="00BF0A28">
      <w:r>
        <w:separator/>
      </w:r>
    </w:p>
  </w:endnote>
  <w:endnote w:type="continuationSeparator" w:id="0">
    <w:p w14:paraId="70B8D574" w14:textId="77777777" w:rsidR="00BF0A28" w:rsidRDefault="00BF0A28" w:rsidP="00BF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D65C2" w14:textId="77777777" w:rsidR="00BF0A28" w:rsidRDefault="00BF0A28" w:rsidP="00BF0A28">
      <w:r>
        <w:separator/>
      </w:r>
    </w:p>
  </w:footnote>
  <w:footnote w:type="continuationSeparator" w:id="0">
    <w:p w14:paraId="2C0282A5" w14:textId="77777777" w:rsidR="00BF0A28" w:rsidRDefault="00BF0A28" w:rsidP="00BF0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B50B8C"/>
    <w:rsid w:val="001B77DD"/>
    <w:rsid w:val="00BF0A28"/>
    <w:rsid w:val="3FB5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33B70"/>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BF0A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F0A28"/>
    <w:rPr>
      <w:rFonts w:asciiTheme="minorEastAsia" w:hAnsiTheme="minorEastAsia" w:cs="Times New Roman"/>
      <w:sz w:val="18"/>
      <w:szCs w:val="18"/>
    </w:rPr>
  </w:style>
  <w:style w:type="paragraph" w:styleId="a8">
    <w:name w:val="footer"/>
    <w:basedOn w:val="a"/>
    <w:link w:val="a9"/>
    <w:rsid w:val="00BF0A28"/>
    <w:pPr>
      <w:tabs>
        <w:tab w:val="center" w:pos="4153"/>
        <w:tab w:val="right" w:pos="8306"/>
      </w:tabs>
      <w:snapToGrid w:val="0"/>
    </w:pPr>
    <w:rPr>
      <w:sz w:val="18"/>
      <w:szCs w:val="18"/>
    </w:rPr>
  </w:style>
  <w:style w:type="character" w:customStyle="1" w:styleId="a9">
    <w:name w:val="页脚 字符"/>
    <w:basedOn w:val="a0"/>
    <w:link w:val="a8"/>
    <w:rsid w:val="00BF0A2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50863/000005086322000007/intc-20211225.htm" TargetMode="External"/><Relationship Id="rId299" Type="http://schemas.openxmlformats.org/officeDocument/2006/relationships/hyperlink" Target="https://www.sec.gov/ix?doc=/Archives/edgar/data/0000050863/000005086322000007/intc-20211225.htm" TargetMode="External"/><Relationship Id="rId21" Type="http://schemas.openxmlformats.org/officeDocument/2006/relationships/hyperlink" Target="https://www.sec.gov/ix?doc=/Archives/edgar/data/0000050863/000005086322000007/intc-20211225.htm" TargetMode="External"/><Relationship Id="rId63" Type="http://schemas.openxmlformats.org/officeDocument/2006/relationships/hyperlink" Target="https://www.sec.gov/ix?doc=/Archives/edgar/data/0000050863/000005086322000007/intc-20211225.htm" TargetMode="External"/><Relationship Id="rId159" Type="http://schemas.openxmlformats.org/officeDocument/2006/relationships/hyperlink" Target="https://www.sec.gov/ix?doc=/Archives/edgar/data/0000050863/000005086322000007/intc-20211225.htm" TargetMode="External"/><Relationship Id="rId324" Type="http://schemas.openxmlformats.org/officeDocument/2006/relationships/hyperlink" Target="https://www.sec.gov/ix?doc=/Archives/edgar/data/0000050863/000005086322000007/intc-20211225.htm" TargetMode="External"/><Relationship Id="rId170" Type="http://schemas.openxmlformats.org/officeDocument/2006/relationships/hyperlink" Target="https://www.sec.gov/ix?doc=/Archives/edgar/data/0000050863/000005086322000007/intc-20211225.htm" TargetMode="External"/><Relationship Id="rId226" Type="http://schemas.openxmlformats.org/officeDocument/2006/relationships/hyperlink" Target="http://www.sec.gov/Archives/edgar/data/50863/000119312519297652/d797009dex41.htm" TargetMode="External"/><Relationship Id="rId268" Type="http://schemas.openxmlformats.org/officeDocument/2006/relationships/hyperlink" Target="https://www.sec.gov/Archives/edgar/data/50863/000119312521009142/d82915dex101.htm" TargetMode="External"/><Relationship Id="rId32" Type="http://schemas.openxmlformats.org/officeDocument/2006/relationships/hyperlink" Target="https://www.sec.gov/ix?doc=/Archives/edgar/data/0000050863/000005086322000007/intc-20211225.htm" TargetMode="External"/><Relationship Id="rId74" Type="http://schemas.openxmlformats.org/officeDocument/2006/relationships/hyperlink" Target="https://www.sec.gov/ix?doc=/Archives/edgar/data/0000050863/000005086322000007/intc-20211225.htm" TargetMode="External"/><Relationship Id="rId128" Type="http://schemas.openxmlformats.org/officeDocument/2006/relationships/hyperlink" Target="https://www.sec.gov/ix?doc=/Archives/edgar/data/0000050863/000005086322000007/intc-20211225.htm" TargetMode="External"/><Relationship Id="rId5" Type="http://schemas.openxmlformats.org/officeDocument/2006/relationships/endnotes" Target="endnotes.xml"/><Relationship Id="rId181" Type="http://schemas.openxmlformats.org/officeDocument/2006/relationships/hyperlink" Target="https://www.sec.gov/ix?doc=/Archives/edgar/data/0000050863/000005086322000007/intc-20211225.htm" TargetMode="External"/><Relationship Id="rId237" Type="http://schemas.openxmlformats.org/officeDocument/2006/relationships/hyperlink" Target="http://www.sec.gov/Archives/edgar/data/50863/000005086319000013/a03302019ex103.htm" TargetMode="External"/><Relationship Id="rId279" Type="http://schemas.openxmlformats.org/officeDocument/2006/relationships/hyperlink" Target="https://www.sec.gov/ix?doc=/Archives/edgar/data/0000050863/000005086322000007/intc-20211225.htm" TargetMode="External"/><Relationship Id="rId43" Type="http://schemas.openxmlformats.org/officeDocument/2006/relationships/hyperlink" Target="https://www.sec.gov/ix?doc=/Archives/edgar/data/0000050863/000005086322000007/intc-20211225.htm" TargetMode="External"/><Relationship Id="rId139" Type="http://schemas.openxmlformats.org/officeDocument/2006/relationships/hyperlink" Target="https://www.sec.gov/ix?doc=/Archives/edgar/data/0000050863/000005086322000007/intc-20211225.htm" TargetMode="External"/><Relationship Id="rId290" Type="http://schemas.openxmlformats.org/officeDocument/2006/relationships/hyperlink" Target="https://www.sec.gov/ix?doc=/Archives/edgar/data/0000050863/000005086322000007/intc-20211225.htm" TargetMode="External"/><Relationship Id="rId304" Type="http://schemas.openxmlformats.org/officeDocument/2006/relationships/hyperlink" Target="https://www.sec.gov/ix?doc=/Archives/edgar/data/0000050863/000005086322000007/intc-20211225.htm" TargetMode="External"/><Relationship Id="rId85" Type="http://schemas.openxmlformats.org/officeDocument/2006/relationships/hyperlink" Target="https://www.sec.gov/ix?doc=/Archives/edgar/data/0000050863/000005086322000007/intc-20211225.htm" TargetMode="External"/><Relationship Id="rId150" Type="http://schemas.openxmlformats.org/officeDocument/2006/relationships/hyperlink" Target="https://www.sec.gov/ix?doc=/Archives/edgar/data/0000050863/000005086322000007/intc-20211225.htm" TargetMode="External"/><Relationship Id="rId192" Type="http://schemas.openxmlformats.org/officeDocument/2006/relationships/hyperlink" Target="https://www.sec.gov/ix?doc=/Archives/edgar/data/0000050863/000005086322000007/intc-20211225.htm" TargetMode="External"/><Relationship Id="rId206" Type="http://schemas.openxmlformats.org/officeDocument/2006/relationships/hyperlink" Target="https://www.sec.gov/Archives/edgar/data/50863/000119312521082782/d148850dex32.htm" TargetMode="External"/><Relationship Id="rId248" Type="http://schemas.openxmlformats.org/officeDocument/2006/relationships/hyperlink" Target="https://www.sec.gov/Archives/edgar/data/50863/000005086321000018/a3272021ex104.htm" TargetMode="External"/><Relationship Id="rId12" Type="http://schemas.openxmlformats.org/officeDocument/2006/relationships/hyperlink" Target="https://www.sec.gov/ix?doc=/Archives/edgar/data/0000050863/000005086322000007/intc-20211225.htm" TargetMode="External"/><Relationship Id="rId108" Type="http://schemas.openxmlformats.org/officeDocument/2006/relationships/hyperlink" Target="https://www.sec.gov/ix?doc=/Archives/edgar/data/0000050863/000005086322000007/intc-20211225.htm" TargetMode="External"/><Relationship Id="rId315" Type="http://schemas.openxmlformats.org/officeDocument/2006/relationships/hyperlink" Target="https://www.sec.gov/ix?doc=/Archives/edgar/data/0000050863/000005086322000007/intc-20211225.htm" TargetMode="External"/><Relationship Id="rId54" Type="http://schemas.openxmlformats.org/officeDocument/2006/relationships/hyperlink" Target="https://www.sec.gov/ix?doc=/Archives/edgar/data/0000050863/000005086322000007/intc-20211225.htm" TargetMode="External"/><Relationship Id="rId96" Type="http://schemas.openxmlformats.org/officeDocument/2006/relationships/hyperlink" Target="https://www.sec.gov/ix?doc=/Archives/edgar/data/0000050863/000005086322000007/intc-20211225.htm" TargetMode="External"/><Relationship Id="rId161" Type="http://schemas.openxmlformats.org/officeDocument/2006/relationships/hyperlink" Target="https://www.sec.gov/ix?doc=/Archives/edgar/data/0000050863/000005086322000007/intc-20211225.htm" TargetMode="External"/><Relationship Id="rId217" Type="http://schemas.openxmlformats.org/officeDocument/2006/relationships/hyperlink" Target="http://www.sec.gov/Archives/edgar/data/50863/000110465912084296/a12-27786_14ex4d01.htm" TargetMode="External"/><Relationship Id="rId259" Type="http://schemas.openxmlformats.org/officeDocument/2006/relationships/hyperlink" Target="http://www.sec.gov/Archives/edgar/data/50863/000005086309000213/exh101.htm" TargetMode="External"/><Relationship Id="rId23" Type="http://schemas.openxmlformats.org/officeDocument/2006/relationships/hyperlink" Target="https://www.sec.gov/ix?doc=/Archives/edgar/data/0000050863/000005086322000007/intc-20211225.htm" TargetMode="External"/><Relationship Id="rId119" Type="http://schemas.openxmlformats.org/officeDocument/2006/relationships/hyperlink" Target="https://www.sec.gov/ix?doc=/Archives/edgar/data/0000050863/000005086322000007/intc-20211225.htm" TargetMode="External"/><Relationship Id="rId270" Type="http://schemas.openxmlformats.org/officeDocument/2006/relationships/hyperlink" Target="https://www.sec.gov/Archives/edgar/data/50863/000119312521009142/d82915dex101.htm" TargetMode="External"/><Relationship Id="rId326" Type="http://schemas.openxmlformats.org/officeDocument/2006/relationships/theme" Target="theme/theme1.xml"/><Relationship Id="rId65" Type="http://schemas.openxmlformats.org/officeDocument/2006/relationships/hyperlink" Target="https://www.sec.gov/ix?doc=/Archives/edgar/data/0000050863/000005086322000007/intc-20211225.htm" TargetMode="External"/><Relationship Id="rId130" Type="http://schemas.openxmlformats.org/officeDocument/2006/relationships/hyperlink" Target="https://www.sec.gov/ix?doc=/Archives/edgar/data/0000050863/000005086322000007/intc-20211225.htm" TargetMode="External"/><Relationship Id="rId172" Type="http://schemas.openxmlformats.org/officeDocument/2006/relationships/hyperlink" Target="https://www.sec.gov/ix?doc=/Archives/edgar/data/0000050863/000005086322000007/intc-20211225.htm" TargetMode="External"/><Relationship Id="rId228" Type="http://schemas.openxmlformats.org/officeDocument/2006/relationships/hyperlink" Target="http://www.sec.gov/Archives/edgar/data/50863/000119312520035758/d878309dex42.htm" TargetMode="External"/><Relationship Id="rId281" Type="http://schemas.openxmlformats.org/officeDocument/2006/relationships/hyperlink" Target="https://www.sec.gov/ix?doc=/Archives/edgar/data/0000050863/000005086322000007/intc-20211225.htm" TargetMode="External"/><Relationship Id="rId34" Type="http://schemas.openxmlformats.org/officeDocument/2006/relationships/hyperlink" Target="https://www.sec.gov/ix?doc=/Archives/edgar/data/0000050863/000005086322000007/intc-20211225.htm" TargetMode="External"/><Relationship Id="rId76" Type="http://schemas.openxmlformats.org/officeDocument/2006/relationships/hyperlink" Target="https://www.sec.gov/ix?doc=/Archives/edgar/data/0000050863/000005086322000007/intc-20211225.htm" TargetMode="External"/><Relationship Id="rId141" Type="http://schemas.openxmlformats.org/officeDocument/2006/relationships/hyperlink" Target="https://www.sec.gov/ix?doc=/Archives/edgar/data/0000050863/000005086322000007/intc-20211225.htm" TargetMode="External"/><Relationship Id="rId7" Type="http://schemas.openxmlformats.org/officeDocument/2006/relationships/hyperlink" Target="https://www.sec.gov/ix?doc=/Archives/edgar/data/0000050863/000005086322000007/intc-20211225.htm" TargetMode="External"/><Relationship Id="rId162" Type="http://schemas.openxmlformats.org/officeDocument/2006/relationships/hyperlink" Target="https://www.sec.gov/ix?doc=/Archives/edgar/data/0000050863/000005086322000007/intc-20211225.htm" TargetMode="External"/><Relationship Id="rId183" Type="http://schemas.openxmlformats.org/officeDocument/2006/relationships/hyperlink" Target="https://www.sec.gov/ix?doc=/Archives/edgar/data/0000050863/000005086322000007/intc-20211225.htm" TargetMode="External"/><Relationship Id="rId218" Type="http://schemas.openxmlformats.org/officeDocument/2006/relationships/hyperlink" Target="http://www.sec.gov/Archives/edgar/data/50863/000110465912084296/a12-27786_14ex4d01.htm" TargetMode="External"/><Relationship Id="rId239" Type="http://schemas.openxmlformats.org/officeDocument/2006/relationships/hyperlink" Target="http://www.sec.gov/Archives/edgar/data/50863/000005086319000013/a03302019ex105.htm" TargetMode="External"/><Relationship Id="rId250" Type="http://schemas.openxmlformats.org/officeDocument/2006/relationships/hyperlink" Target="https://www.sec.gov/Archives/edgar/data/50863/000005086321000018/a3272021ex106.htm" TargetMode="External"/><Relationship Id="rId271" Type="http://schemas.openxmlformats.org/officeDocument/2006/relationships/hyperlink" Target="http://www.sec.gov/Archives/edgar/data/50863/000005086319000013/a03302019ex1012.htm" TargetMode="External"/><Relationship Id="rId292" Type="http://schemas.openxmlformats.org/officeDocument/2006/relationships/hyperlink" Target="https://www.sec.gov/ix?doc=/Archives/edgar/data/0000050863/000005086322000007/intc-20211225.htm" TargetMode="External"/><Relationship Id="rId306" Type="http://schemas.openxmlformats.org/officeDocument/2006/relationships/hyperlink" Target="https://www.sec.gov/ix?doc=/Archives/edgar/data/0000050863/000005086322000007/intc-20211225.htm" TargetMode="External"/><Relationship Id="rId24" Type="http://schemas.openxmlformats.org/officeDocument/2006/relationships/hyperlink" Target="https://www.sec.gov/ix?doc=/Archives/edgar/data/0000050863/000005086322000007/intc-20211225.htm" TargetMode="External"/><Relationship Id="rId45" Type="http://schemas.openxmlformats.org/officeDocument/2006/relationships/hyperlink" Target="https://www.sec.gov/ix?doc=/Archives/edgar/data/0000050863/000005086322000007/intc-20211225.htm" TargetMode="External"/><Relationship Id="rId66" Type="http://schemas.openxmlformats.org/officeDocument/2006/relationships/hyperlink" Target="https://www.sec.gov/ix?doc=/Archives/edgar/data/0000050863/000005086322000007/intc-20211225.htm" TargetMode="External"/><Relationship Id="rId87" Type="http://schemas.openxmlformats.org/officeDocument/2006/relationships/hyperlink" Target="https://www.sec.gov/ix?doc=/Archives/edgar/data/0000050863/000005086322000007/intc-20211225.htm" TargetMode="External"/><Relationship Id="rId110" Type="http://schemas.openxmlformats.org/officeDocument/2006/relationships/hyperlink" Target="https://www.sec.gov/ix?doc=/Archives/edgar/data/0000050863/000005086322000007/intc-20211225.htm" TargetMode="External"/><Relationship Id="rId131" Type="http://schemas.openxmlformats.org/officeDocument/2006/relationships/hyperlink" Target="https://www.sec.gov/ix?doc=/Archives/edgar/data/0000050863/000005086322000007/intc-20211225.htm" TargetMode="External"/><Relationship Id="rId152" Type="http://schemas.openxmlformats.org/officeDocument/2006/relationships/hyperlink" Target="https://www.sec.gov/ix?doc=/Archives/edgar/data/0000050863/000005086322000007/intc-20211225.htm" TargetMode="External"/><Relationship Id="rId173" Type="http://schemas.openxmlformats.org/officeDocument/2006/relationships/hyperlink" Target="https://www.sec.gov/ix?doc=/Archives/edgar/data/0000050863/000005086322000007/intc-20211225.htm" TargetMode="External"/><Relationship Id="rId194" Type="http://schemas.openxmlformats.org/officeDocument/2006/relationships/hyperlink" Target="https://www.sec.gov/ix?doc=/Archives/edgar/data/0000050863/000005086322000007/intc-20211225.htm" TargetMode="External"/><Relationship Id="rId208" Type="http://schemas.openxmlformats.org/officeDocument/2006/relationships/hyperlink" Target="http://www.sec.gov/Archives/edgar/data/50863/000095013406006288/f19138exv4w4.htm" TargetMode="External"/><Relationship Id="rId229" Type="http://schemas.openxmlformats.org/officeDocument/2006/relationships/hyperlink" Target="https://www.sec.gov/Archives/edgar/data/50863/000119312520085163/d851110dex41.htm" TargetMode="External"/><Relationship Id="rId240" Type="http://schemas.openxmlformats.org/officeDocument/2006/relationships/hyperlink" Target="https://www.sec.gov/Archives/edgar/data/50863/000005086320000017/a03282020q1-ex101.htm" TargetMode="External"/><Relationship Id="rId261" Type="http://schemas.openxmlformats.org/officeDocument/2006/relationships/hyperlink" Target="http://www.sec.gov/Archives/edgar/data/50863/000005086311000007/exh101.htm" TargetMode="External"/><Relationship Id="rId14" Type="http://schemas.openxmlformats.org/officeDocument/2006/relationships/hyperlink" Target="https://www.sec.gov/ix?doc=/Archives/edgar/data/0000050863/000005086322000007/intc-20211225.htm" TargetMode="External"/><Relationship Id="rId35" Type="http://schemas.openxmlformats.org/officeDocument/2006/relationships/hyperlink" Target="https://www.sec.gov/ix?doc=/Archives/edgar/data/0000050863/000005086322000007/intc-20211225.htm" TargetMode="External"/><Relationship Id="rId56" Type="http://schemas.openxmlformats.org/officeDocument/2006/relationships/hyperlink" Target="https://www.sec.gov/ix?doc=/Archives/edgar/data/0000050863/000005086322000007/intc-20211225.htm" TargetMode="External"/><Relationship Id="rId77" Type="http://schemas.openxmlformats.org/officeDocument/2006/relationships/hyperlink" Target="https://www.sec.gov/ix?doc=/Archives/edgar/data/0000050863/000005086322000007/intc-20211225.htm" TargetMode="External"/><Relationship Id="rId100" Type="http://schemas.openxmlformats.org/officeDocument/2006/relationships/hyperlink" Target="https://www.sec.gov/ix?doc=/Archives/edgar/data/0000050863/000005086322000007/intc-20211225.htm" TargetMode="External"/><Relationship Id="rId282" Type="http://schemas.openxmlformats.org/officeDocument/2006/relationships/hyperlink" Target="https://www.sec.gov/ix?doc=/Archives/edgar/data/0000050863/000005086322000007/intc-20211225.htm" TargetMode="External"/><Relationship Id="rId317" Type="http://schemas.openxmlformats.org/officeDocument/2006/relationships/hyperlink" Target="https://www.sec.gov/ix?doc=/Archives/edgar/data/0000050863/000005086322000007/intc-20211225.htm" TargetMode="External"/><Relationship Id="rId8" Type="http://schemas.openxmlformats.org/officeDocument/2006/relationships/hyperlink" Target="https://www.sec.gov/ix?doc=/Archives/edgar/data/0000050863/000005086322000007/intc-20211225.htm" TargetMode="External"/><Relationship Id="rId98" Type="http://schemas.openxmlformats.org/officeDocument/2006/relationships/hyperlink" Target="https://www.sec.gov/ix?doc=/Archives/edgar/data/0000050863/000005086322000007/intc-20211225.htm" TargetMode="External"/><Relationship Id="rId121" Type="http://schemas.openxmlformats.org/officeDocument/2006/relationships/hyperlink" Target="https://www.sec.gov/ix?doc=/Archives/edgar/data/0000050863/000005086322000007/intc-20211225.htm" TargetMode="External"/><Relationship Id="rId142" Type="http://schemas.openxmlformats.org/officeDocument/2006/relationships/hyperlink" Target="https://www.sec.gov/ix?doc=/Archives/edgar/data/0000050863/000005086322000007/intc-20211225.htm" TargetMode="External"/><Relationship Id="rId163" Type="http://schemas.openxmlformats.org/officeDocument/2006/relationships/hyperlink" Target="https://www.sec.gov/ix?doc=/Archives/edgar/data/0000050863/000005086322000007/intc-20211225.htm" TargetMode="External"/><Relationship Id="rId184" Type="http://schemas.openxmlformats.org/officeDocument/2006/relationships/hyperlink" Target="https://www.sec.gov/ix?doc=/Archives/edgar/data/0000050863/000005086322000007/intc-20211225.htm" TargetMode="External"/><Relationship Id="rId219" Type="http://schemas.openxmlformats.org/officeDocument/2006/relationships/hyperlink" Target="http://www.sec.gov/Archives/edgar/data/50863/000110465915054325/a15-13514_7ex4d1.htm" TargetMode="External"/><Relationship Id="rId230" Type="http://schemas.openxmlformats.org/officeDocument/2006/relationships/hyperlink" Target="https://www.sec.gov/Archives/edgar/data/50863/000119312521244840/d136354dex41.htm" TargetMode="External"/><Relationship Id="rId251" Type="http://schemas.openxmlformats.org/officeDocument/2006/relationships/hyperlink" Target="https://www.sec.gov/Archives/edgar/data/50863/000005086321000018/a3272021ex107.htm" TargetMode="External"/><Relationship Id="rId25" Type="http://schemas.openxmlformats.org/officeDocument/2006/relationships/hyperlink" Target="https://www.sec.gov/ix?doc=/Archives/edgar/data/0000050863/000005086322000007/intc-20211225.htm" TargetMode="External"/><Relationship Id="rId46" Type="http://schemas.openxmlformats.org/officeDocument/2006/relationships/hyperlink" Target="https://www.sec.gov/ix?doc=/Archives/edgar/data/0000050863/000005086322000007/intc-20211225.htm" TargetMode="External"/><Relationship Id="rId67" Type="http://schemas.openxmlformats.org/officeDocument/2006/relationships/hyperlink" Target="https://www.sec.gov/ix?doc=/Archives/edgar/data/0000050863/000005086322000007/intc-20211225.htm" TargetMode="External"/><Relationship Id="rId272" Type="http://schemas.openxmlformats.org/officeDocument/2006/relationships/hyperlink" Target="https://www.sec.gov/Archives/edgar/data/50863/000119312519096036/d642676dex101.htm" TargetMode="External"/><Relationship Id="rId293" Type="http://schemas.openxmlformats.org/officeDocument/2006/relationships/hyperlink" Target="https://www.sec.gov/ix?doc=/Archives/edgar/data/0000050863/000005086322000007/intc-20211225.htm" TargetMode="External"/><Relationship Id="rId307" Type="http://schemas.openxmlformats.org/officeDocument/2006/relationships/hyperlink" Target="https://www.sec.gov/ix?doc=/Archives/edgar/data/0000050863/000005086322000007/intc-20211225.htm" TargetMode="External"/><Relationship Id="rId88" Type="http://schemas.openxmlformats.org/officeDocument/2006/relationships/hyperlink" Target="https://www.sec.gov/ix?doc=/Archives/edgar/data/0000050863/000005086322000007/intc-20211225.htm" TargetMode="External"/><Relationship Id="rId111" Type="http://schemas.openxmlformats.org/officeDocument/2006/relationships/hyperlink" Target="https://www.sec.gov/ix?doc=/Archives/edgar/data/0000050863/000005086322000007/intc-20211225.htm" TargetMode="External"/><Relationship Id="rId132" Type="http://schemas.openxmlformats.org/officeDocument/2006/relationships/hyperlink" Target="https://www.sec.gov/ix?doc=/Archives/edgar/data/0000050863/000005086322000007/intc-20211225.htm" TargetMode="External"/><Relationship Id="rId153" Type="http://schemas.openxmlformats.org/officeDocument/2006/relationships/hyperlink" Target="https://www.sec.gov/ix?doc=/Archives/edgar/data/0000050863/000005086322000007/intc-20211225.htm" TargetMode="External"/><Relationship Id="rId174" Type="http://schemas.openxmlformats.org/officeDocument/2006/relationships/hyperlink" Target="https://www.sec.gov/ix?doc=/Archives/edgar/data/0000050863/000005086322000007/intc-20211225.htm" TargetMode="External"/><Relationship Id="rId195" Type="http://schemas.openxmlformats.org/officeDocument/2006/relationships/hyperlink" Target="https://www.sec.gov/ix?doc=/Archives/edgar/data/0000050863/000005086322000007/intc-20211225.htm" TargetMode="External"/><Relationship Id="rId209" Type="http://schemas.openxmlformats.org/officeDocument/2006/relationships/hyperlink" Target="http://www.sec.gov/Archives/edgar/data/50863/000089161808000106/f36442exv4w2w4.htm" TargetMode="External"/><Relationship Id="rId220" Type="http://schemas.openxmlformats.org/officeDocument/2006/relationships/hyperlink" Target="http://www.sec.gov/Archives/edgar/data/50863/000110465916121995/a16-11043_4ex4d1.htm" TargetMode="External"/><Relationship Id="rId241" Type="http://schemas.openxmlformats.org/officeDocument/2006/relationships/hyperlink" Target="https://www.sec.gov/ix?doc=/Archives/edgar/data/0000050863/000005086322000007/intc-20211225.htm" TargetMode="External"/><Relationship Id="rId15" Type="http://schemas.openxmlformats.org/officeDocument/2006/relationships/hyperlink" Target="https://www.sec.gov/ix?doc=/Archives/edgar/data/0000050863/000005086322000007/intc-20211225.htm" TargetMode="External"/><Relationship Id="rId36" Type="http://schemas.openxmlformats.org/officeDocument/2006/relationships/hyperlink" Target="https://www.sec.gov/ix?doc=/Archives/edgar/data/0000050863/000005086322000007/intc-20211225.htm" TargetMode="External"/><Relationship Id="rId57" Type="http://schemas.openxmlformats.org/officeDocument/2006/relationships/hyperlink" Target="https://www.sec.gov/ix?doc=/Archives/edgar/data/0000050863/000005086322000007/intc-20211225.htm" TargetMode="External"/><Relationship Id="rId262" Type="http://schemas.openxmlformats.org/officeDocument/2006/relationships/hyperlink" Target="https://www.sec.gov/Archives/edgar/data/50863/000005086321000030/a6262021ex101.htm" TargetMode="External"/><Relationship Id="rId283" Type="http://schemas.openxmlformats.org/officeDocument/2006/relationships/hyperlink" Target="https://www.sec.gov/ix?doc=/Archives/edgar/data/0000050863/000005086322000007/intc-20211225.htm" TargetMode="External"/><Relationship Id="rId318" Type="http://schemas.openxmlformats.org/officeDocument/2006/relationships/hyperlink" Target="https://www.sec.gov/ix?doc=/Archives/edgar/data/0000050863/000005086322000007/intc-20211225.htm" TargetMode="External"/><Relationship Id="rId78" Type="http://schemas.openxmlformats.org/officeDocument/2006/relationships/hyperlink" Target="https://www.sec.gov/ix?doc=/Archives/edgar/data/0000050863/000005086322000007/intc-20211225.htm" TargetMode="External"/><Relationship Id="rId99" Type="http://schemas.openxmlformats.org/officeDocument/2006/relationships/hyperlink" Target="https://www.sec.gov/ix?doc=/Archives/edgar/data/0000050863/000005086322000007/intc-20211225.htm" TargetMode="External"/><Relationship Id="rId101" Type="http://schemas.openxmlformats.org/officeDocument/2006/relationships/hyperlink" Target="https://www.sec.gov/ix?doc=/Archives/edgar/data/0000050863/000005086322000007/intc-20211225.htm" TargetMode="External"/><Relationship Id="rId122" Type="http://schemas.openxmlformats.org/officeDocument/2006/relationships/hyperlink" Target="https://www.sec.gov/ix?doc=/Archives/edgar/data/0000050863/000005086322000007/intc-20211225.htm" TargetMode="External"/><Relationship Id="rId143" Type="http://schemas.openxmlformats.org/officeDocument/2006/relationships/hyperlink" Target="https://www.sec.gov/ix?doc=/Archives/edgar/data/0000050863/000005086322000007/intc-20211225.htm" TargetMode="External"/><Relationship Id="rId164" Type="http://schemas.openxmlformats.org/officeDocument/2006/relationships/hyperlink" Target="https://www.sec.gov/ix?doc=/Archives/edgar/data/0000050863/000005086322000007/intc-20211225.htm" TargetMode="External"/><Relationship Id="rId185" Type="http://schemas.openxmlformats.org/officeDocument/2006/relationships/hyperlink" Target="https://www.sec.gov/ix?doc=/Archives/edgar/data/0000050863/000005086322000007/intc-20211225.htm" TargetMode="External"/><Relationship Id="rId9" Type="http://schemas.openxmlformats.org/officeDocument/2006/relationships/hyperlink" Target="https://www.sec.gov/ix?doc=/Archives/edgar/data/0000050863/000005086322000007/intc-20211225.htm" TargetMode="External"/><Relationship Id="rId210" Type="http://schemas.openxmlformats.org/officeDocument/2006/relationships/hyperlink" Target="http://www.sec.gov/Archives/edgar/data/50863/000110465911052231/a11-26646_1ex4d01.htm" TargetMode="External"/><Relationship Id="rId26" Type="http://schemas.openxmlformats.org/officeDocument/2006/relationships/hyperlink" Target="https://www.sec.gov/ix?doc=/Archives/edgar/data/0000050863/000005086322000007/intc-20211225.htm" TargetMode="External"/><Relationship Id="rId231" Type="http://schemas.openxmlformats.org/officeDocument/2006/relationships/hyperlink" Target="http://www.sec.gov/Archives/edgar/data/50863/000119312515414642/d105836dex992.htm" TargetMode="External"/><Relationship Id="rId252" Type="http://schemas.openxmlformats.org/officeDocument/2006/relationships/hyperlink" Target="https://www.sec.gov/Archives/edgar/data/50863/000005086321000018/a3272021ex108.htm" TargetMode="External"/><Relationship Id="rId273" Type="http://schemas.openxmlformats.org/officeDocument/2006/relationships/hyperlink" Target="https://www.sec.gov/Archives/edgar/data/0000050863/000005086322000007/a12252021q4-ex211.htm" TargetMode="External"/><Relationship Id="rId294" Type="http://schemas.openxmlformats.org/officeDocument/2006/relationships/hyperlink" Target="https://www.sec.gov/ix?doc=/Archives/edgar/data/0000050863/000005086322000007/intc-20211225.htm" TargetMode="External"/><Relationship Id="rId308" Type="http://schemas.openxmlformats.org/officeDocument/2006/relationships/hyperlink" Target="https://www.sec.gov/ix?doc=/Archives/edgar/data/0000050863/000005086322000007/intc-20211225.htm" TargetMode="External"/><Relationship Id="rId47" Type="http://schemas.openxmlformats.org/officeDocument/2006/relationships/hyperlink" Target="https://www.sec.gov/ix?doc=/Archives/edgar/data/0000050863/000005086322000007/intc-20211225.htm" TargetMode="External"/><Relationship Id="rId68" Type="http://schemas.openxmlformats.org/officeDocument/2006/relationships/hyperlink" Target="https://www.sec.gov/ix?doc=/Archives/edgar/data/0000050863/000005086322000007/intc-20211225.htm" TargetMode="External"/><Relationship Id="rId89" Type="http://schemas.openxmlformats.org/officeDocument/2006/relationships/hyperlink" Target="https://www.sec.gov/ix?doc=/Archives/edgar/data/0000050863/000005086322000007/intc-20211225.htm" TargetMode="External"/><Relationship Id="rId112" Type="http://schemas.openxmlformats.org/officeDocument/2006/relationships/hyperlink" Target="https://www.sec.gov/ix?doc=/Archives/edgar/data/0000050863/000005086322000007/intc-20211225.htm" TargetMode="External"/><Relationship Id="rId133" Type="http://schemas.openxmlformats.org/officeDocument/2006/relationships/hyperlink" Target="https://www.sec.gov/ix?doc=/Archives/edgar/data/0000050863/000005086322000007/intc-20211225.htm" TargetMode="External"/><Relationship Id="rId154" Type="http://schemas.openxmlformats.org/officeDocument/2006/relationships/hyperlink" Target="https://www.sec.gov/ix?doc=/Archives/edgar/data/0000050863/000005086322000007/intc-20211225.htm" TargetMode="External"/><Relationship Id="rId175" Type="http://schemas.openxmlformats.org/officeDocument/2006/relationships/hyperlink" Target="https://www.sec.gov/ix?doc=/Archives/edgar/data/0000050863/000005086322000007/intc-20211225.htm" TargetMode="External"/><Relationship Id="rId196" Type="http://schemas.openxmlformats.org/officeDocument/2006/relationships/hyperlink" Target="https://www.sec.gov/ix?doc=/Archives/edgar/data/0000050863/000005086322000007/intc-20211225.htm" TargetMode="External"/><Relationship Id="rId200" Type="http://schemas.openxmlformats.org/officeDocument/2006/relationships/hyperlink" Target="https://www.sec.gov/ix?doc=/Archives/edgar/data/0000050863/000005086322000007/intc-20211225.htm" TargetMode="External"/><Relationship Id="rId16" Type="http://schemas.openxmlformats.org/officeDocument/2006/relationships/hyperlink" Target="https://www.sec.gov/ix?doc=/Archives/edgar/data/0000050863/000005086322000007/intc-20211225.htm" TargetMode="External"/><Relationship Id="rId221" Type="http://schemas.openxmlformats.org/officeDocument/2006/relationships/hyperlink" Target="http://www.sec.gov/Archives/edgar/data/50863/000119312517167265/d357830dex41.htm" TargetMode="External"/><Relationship Id="rId242" Type="http://schemas.openxmlformats.org/officeDocument/2006/relationships/hyperlink" Target="http://www.sec.gov/Archives/edgar/data/50863/000005086319000013/a03302019ex106.htm" TargetMode="External"/><Relationship Id="rId263" Type="http://schemas.openxmlformats.org/officeDocument/2006/relationships/hyperlink" Target="https://www.sec.gov/Archives/edgar/data/50863/000005086321000030/a6262021ex101.htm" TargetMode="External"/><Relationship Id="rId284" Type="http://schemas.openxmlformats.org/officeDocument/2006/relationships/hyperlink" Target="https://www.sec.gov/ix?doc=/Archives/edgar/data/0000050863/000005086322000007/intc-20211225.htm" TargetMode="External"/><Relationship Id="rId319" Type="http://schemas.openxmlformats.org/officeDocument/2006/relationships/hyperlink" Target="https://www.sec.gov/ix?doc=/Archives/edgar/data/0000050863/000005086322000007/intc-20211225.htm" TargetMode="External"/><Relationship Id="rId37" Type="http://schemas.openxmlformats.org/officeDocument/2006/relationships/hyperlink" Target="https://www.sec.gov/ix?doc=/Archives/edgar/data/0000050863/000005086322000007/intc-20211225.htm" TargetMode="External"/><Relationship Id="rId58" Type="http://schemas.openxmlformats.org/officeDocument/2006/relationships/hyperlink" Target="https://www.sec.gov/ix?doc=/Archives/edgar/data/0000050863/000005086322000007/intc-20211225.htm" TargetMode="External"/><Relationship Id="rId79" Type="http://schemas.openxmlformats.org/officeDocument/2006/relationships/hyperlink" Target="https://www.sec.gov/ix?doc=/Archives/edgar/data/0000050863/000005086322000007/intc-20211225.htm" TargetMode="External"/><Relationship Id="rId102" Type="http://schemas.openxmlformats.org/officeDocument/2006/relationships/hyperlink" Target="https://www.sec.gov/ix?doc=/Archives/edgar/data/0000050863/000005086322000007/intc-20211225.htm" TargetMode="External"/><Relationship Id="rId123" Type="http://schemas.openxmlformats.org/officeDocument/2006/relationships/hyperlink" Target="https://www.sec.gov/ix?doc=/Archives/edgar/data/0000050863/000005086322000007/intc-20211225.htm" TargetMode="External"/><Relationship Id="rId144" Type="http://schemas.openxmlformats.org/officeDocument/2006/relationships/hyperlink" Target="https://www.sec.gov/ix?doc=/Archives/edgar/data/0000050863/000005086322000007/intc-20211225.htm" TargetMode="External"/><Relationship Id="rId90" Type="http://schemas.openxmlformats.org/officeDocument/2006/relationships/hyperlink" Target="https://www.sec.gov/ix?doc=/Archives/edgar/data/0000050863/000005086322000007/intc-20211225.htm" TargetMode="External"/><Relationship Id="rId165" Type="http://schemas.openxmlformats.org/officeDocument/2006/relationships/hyperlink" Target="https://www.sec.gov/ix?doc=/Archives/edgar/data/0000050863/000005086322000007/intc-20211225.htm" TargetMode="External"/><Relationship Id="rId186" Type="http://schemas.openxmlformats.org/officeDocument/2006/relationships/hyperlink" Target="https://www.sec.gov/ix?doc=/Archives/edgar/data/0000050863/000005086322000007/intc-20211225.htm" TargetMode="External"/><Relationship Id="rId211" Type="http://schemas.openxmlformats.org/officeDocument/2006/relationships/hyperlink" Target="http://www.sec.gov/Archives/edgar/data/50863/000110465911052231/a11-26646_1ex4d01.htm" TargetMode="External"/><Relationship Id="rId232" Type="http://schemas.openxmlformats.org/officeDocument/2006/relationships/hyperlink" Target="http://www.sec.gov/Archives/edgar/data/50863/000119312515414642/d105836dex992.htm" TargetMode="External"/><Relationship Id="rId253" Type="http://schemas.openxmlformats.org/officeDocument/2006/relationships/hyperlink" Target="https://www.sec.gov/Archives/edgar/data/50863/000119312520012078/d815779dex101.htm" TargetMode="External"/><Relationship Id="rId274" Type="http://schemas.openxmlformats.org/officeDocument/2006/relationships/hyperlink" Target="https://www.sec.gov/Archives/edgar/data/0000050863/000005086322000007/a12252021q4-ex231.htm" TargetMode="External"/><Relationship Id="rId295" Type="http://schemas.openxmlformats.org/officeDocument/2006/relationships/hyperlink" Target="https://www.sec.gov/ix?doc=/Archives/edgar/data/0000050863/000005086322000007/intc-20211225.htm" TargetMode="External"/><Relationship Id="rId309" Type="http://schemas.openxmlformats.org/officeDocument/2006/relationships/hyperlink" Target="https://www.sec.gov/ix?doc=/Archives/edgar/data/0000050863/000005086322000007/intc-20211225.htm" TargetMode="External"/><Relationship Id="rId27" Type="http://schemas.openxmlformats.org/officeDocument/2006/relationships/hyperlink" Target="https://www.sec.gov/ix?doc=/Archives/edgar/data/0000050863/000005086322000007/intc-20211225.htm" TargetMode="External"/><Relationship Id="rId48" Type="http://schemas.openxmlformats.org/officeDocument/2006/relationships/hyperlink" Target="https://www.sec.gov/ix?doc=/Archives/edgar/data/0000050863/000005086322000007/intc-20211225.htm" TargetMode="External"/><Relationship Id="rId69" Type="http://schemas.openxmlformats.org/officeDocument/2006/relationships/hyperlink" Target="https://www.sec.gov/ix?doc=/Archives/edgar/data/0000050863/000005086322000007/intc-20211225.htm" TargetMode="External"/><Relationship Id="rId113" Type="http://schemas.openxmlformats.org/officeDocument/2006/relationships/hyperlink" Target="https://www.sec.gov/ix?doc=/Archives/edgar/data/0000050863/000005086322000007/intc-20211225.htm" TargetMode="External"/><Relationship Id="rId134" Type="http://schemas.openxmlformats.org/officeDocument/2006/relationships/hyperlink" Target="https://www.sec.gov/ix?doc=/Archives/edgar/data/0000050863/000005086322000007/intc-20211225.htm" TargetMode="External"/><Relationship Id="rId320" Type="http://schemas.openxmlformats.org/officeDocument/2006/relationships/hyperlink" Target="https://www.sec.gov/ix?doc=/Archives/edgar/data/0000050863/000005086322000007/intc-20211225.htm" TargetMode="External"/><Relationship Id="rId80" Type="http://schemas.openxmlformats.org/officeDocument/2006/relationships/hyperlink" Target="https://www.sec.gov/ix?doc=/Archives/edgar/data/0000050863/000005086322000007/intc-20211225.htm" TargetMode="External"/><Relationship Id="rId155" Type="http://schemas.openxmlformats.org/officeDocument/2006/relationships/hyperlink" Target="https://www.sec.gov/ix?doc=/Archives/edgar/data/0000050863/000005086322000007/intc-20211225.htm" TargetMode="External"/><Relationship Id="rId176" Type="http://schemas.openxmlformats.org/officeDocument/2006/relationships/hyperlink" Target="https://www.sec.gov/ix?doc=/Archives/edgar/data/0000050863/000005086322000007/intc-20211225.htm" TargetMode="External"/><Relationship Id="rId197" Type="http://schemas.openxmlformats.org/officeDocument/2006/relationships/hyperlink" Target="https://www.sec.gov/ix?doc=/Archives/edgar/data/0000050863/000005086322000007/intc-20211225.htm" TargetMode="External"/><Relationship Id="rId201" Type="http://schemas.openxmlformats.org/officeDocument/2006/relationships/hyperlink" Target="https://www.sec.gov/ix?doc=/Archives/edgar/data/0000050863/000005086322000007/intc-20211225.htm" TargetMode="External"/><Relationship Id="rId222" Type="http://schemas.openxmlformats.org/officeDocument/2006/relationships/hyperlink" Target="http://www.sec.gov/Archives/edgar/data/50863/000119312517205990/d390771dex41.htm" TargetMode="External"/><Relationship Id="rId243" Type="http://schemas.openxmlformats.org/officeDocument/2006/relationships/hyperlink" Target="http://www.sec.gov/Archives/edgar/data/50863/000005086319000013/a03302019ex109.htm" TargetMode="External"/><Relationship Id="rId264" Type="http://schemas.openxmlformats.org/officeDocument/2006/relationships/hyperlink" Target="https://www.sec.gov/Archives/edgar/data/50863/000005086321000030/a6262021ex101.htm" TargetMode="External"/><Relationship Id="rId285" Type="http://schemas.openxmlformats.org/officeDocument/2006/relationships/hyperlink" Target="https://www.sec.gov/ix?doc=/Archives/edgar/data/0000050863/000005086322000007/intc-20211225.htm" TargetMode="External"/><Relationship Id="rId17" Type="http://schemas.openxmlformats.org/officeDocument/2006/relationships/hyperlink" Target="https://www.sec.gov/ix?doc=/Archives/edgar/data/0000050863/000005086322000007/intc-20211225.htm" TargetMode="External"/><Relationship Id="rId38" Type="http://schemas.openxmlformats.org/officeDocument/2006/relationships/hyperlink" Target="https://www.sec.gov/ix?doc=/Archives/edgar/data/0000050863/000005086322000007/intc-20211225.htm" TargetMode="External"/><Relationship Id="rId59" Type="http://schemas.openxmlformats.org/officeDocument/2006/relationships/hyperlink" Target="https://www.sec.gov/ix?doc=/Archives/edgar/data/0000050863/000005086322000007/intc-20211225.htm" TargetMode="External"/><Relationship Id="rId103" Type="http://schemas.openxmlformats.org/officeDocument/2006/relationships/hyperlink" Target="https://www.sec.gov/ix?doc=/Archives/edgar/data/0000050863/000005086322000007/intc-20211225.htm" TargetMode="External"/><Relationship Id="rId124" Type="http://schemas.openxmlformats.org/officeDocument/2006/relationships/hyperlink" Target="https://www.sec.gov/ix?doc=/Archives/edgar/data/0000050863/000005086322000007/intc-20211225.htm" TargetMode="External"/><Relationship Id="rId310" Type="http://schemas.openxmlformats.org/officeDocument/2006/relationships/hyperlink" Target="https://www.sec.gov/ix?doc=/Archives/edgar/data/0000050863/000005086322000007/intc-20211225.htm" TargetMode="External"/><Relationship Id="rId70" Type="http://schemas.openxmlformats.org/officeDocument/2006/relationships/hyperlink" Target="https://www.sec.gov/ix?doc=/Archives/edgar/data/0000050863/000005086322000007/intc-20211225.htm" TargetMode="External"/><Relationship Id="rId91" Type="http://schemas.openxmlformats.org/officeDocument/2006/relationships/hyperlink" Target="https://www.sec.gov/ix?doc=/Archives/edgar/data/0000050863/000005086322000007/intc-20211225.htm" TargetMode="External"/><Relationship Id="rId145" Type="http://schemas.openxmlformats.org/officeDocument/2006/relationships/hyperlink" Target="https://www.sec.gov/ix?doc=/Archives/edgar/data/0000050863/000005086322000007/intc-20211225.htm" TargetMode="External"/><Relationship Id="rId166" Type="http://schemas.openxmlformats.org/officeDocument/2006/relationships/hyperlink" Target="https://www.sec.gov/ix?doc=/Archives/edgar/data/0000050863/000005086322000007/intc-20211225.htm" TargetMode="External"/><Relationship Id="rId187" Type="http://schemas.openxmlformats.org/officeDocument/2006/relationships/hyperlink" Target="https://www.sec.gov/ix?doc=/Archives/edgar/data/0000050863/000005086322000007/intc-20211225.htm" TargetMode="External"/><Relationship Id="rId1" Type="http://schemas.openxmlformats.org/officeDocument/2006/relationships/styles" Target="styles.xml"/><Relationship Id="rId212" Type="http://schemas.openxmlformats.org/officeDocument/2006/relationships/hyperlink" Target="http://www.sec.gov/Archives/edgar/data/50863/000110465911052231/a11-26646_1ex4d01.htm" TargetMode="External"/><Relationship Id="rId233" Type="http://schemas.openxmlformats.org/officeDocument/2006/relationships/hyperlink" Target="http://www.sec.gov/Archives/edgar/data/50863/000119312515414642/d105836dex992.htm" TargetMode="External"/><Relationship Id="rId254" Type="http://schemas.openxmlformats.org/officeDocument/2006/relationships/hyperlink" Target="https://www.sec.gov/Archives/edgar/data/50863/000005086320000017/a03282020q1-ex103.htm" TargetMode="External"/><Relationship Id="rId28" Type="http://schemas.openxmlformats.org/officeDocument/2006/relationships/hyperlink" Target="https://www.sec.gov/ix?doc=/Archives/edgar/data/0000050863/000005086322000007/intc-20211225.htm" TargetMode="External"/><Relationship Id="rId49" Type="http://schemas.openxmlformats.org/officeDocument/2006/relationships/hyperlink" Target="https://www.sec.gov/ix?doc=/Archives/edgar/data/0000050863/000005086322000007/intc-20211225.htm" TargetMode="External"/><Relationship Id="rId114" Type="http://schemas.openxmlformats.org/officeDocument/2006/relationships/hyperlink" Target="https://www.sec.gov/ix?doc=/Archives/edgar/data/0000050863/000005086322000007/intc-20211225.htm" TargetMode="External"/><Relationship Id="rId275" Type="http://schemas.openxmlformats.org/officeDocument/2006/relationships/hyperlink" Target="https://www.sec.gov/Archives/edgar/data/0000050863/000005086322000007/a12252021q4-ex311.htm" TargetMode="External"/><Relationship Id="rId296" Type="http://schemas.openxmlformats.org/officeDocument/2006/relationships/hyperlink" Target="https://www.sec.gov/ix?doc=/Archives/edgar/data/0000050863/000005086322000007/intc-20211225.htm" TargetMode="External"/><Relationship Id="rId300" Type="http://schemas.openxmlformats.org/officeDocument/2006/relationships/hyperlink" Target="https://www.sec.gov/ix?doc=/Archives/edgar/data/0000050863/000005086322000007/intc-20211225.htm" TargetMode="External"/><Relationship Id="rId60" Type="http://schemas.openxmlformats.org/officeDocument/2006/relationships/hyperlink" Target="https://www.sec.gov/ix?doc=/Archives/edgar/data/0000050863/000005086322000007/intc-20211225.htm" TargetMode="External"/><Relationship Id="rId81" Type="http://schemas.openxmlformats.org/officeDocument/2006/relationships/hyperlink" Target="https://www.sec.gov/ix?doc=/Archives/edgar/data/0000050863/000005086322000007/intc-20211225.htm" TargetMode="External"/><Relationship Id="rId135" Type="http://schemas.openxmlformats.org/officeDocument/2006/relationships/hyperlink" Target="https://www.sec.gov/ix?doc=/Archives/edgar/data/0000050863/000005086322000007/intc-20211225.htm" TargetMode="External"/><Relationship Id="rId156" Type="http://schemas.openxmlformats.org/officeDocument/2006/relationships/hyperlink" Target="https://www.sec.gov/ix?doc=/Archives/edgar/data/0000050863/000005086322000007/intc-20211225.htm" TargetMode="External"/><Relationship Id="rId177" Type="http://schemas.openxmlformats.org/officeDocument/2006/relationships/hyperlink" Target="https://www.sec.gov/ix?doc=/Archives/edgar/data/0000050863/000005086322000007/intc-20211225.htm" TargetMode="External"/><Relationship Id="rId198" Type="http://schemas.openxmlformats.org/officeDocument/2006/relationships/hyperlink" Target="https://www.sec.gov/ix?doc=/Archives/edgar/data/0000050863/000005086322000007/intc-20211225.htm" TargetMode="External"/><Relationship Id="rId321" Type="http://schemas.openxmlformats.org/officeDocument/2006/relationships/hyperlink" Target="https://www.sec.gov/ix?doc=/Archives/edgar/data/0000050863/000005086322000007/intc-20211225.htm" TargetMode="External"/><Relationship Id="rId202" Type="http://schemas.openxmlformats.org/officeDocument/2006/relationships/hyperlink" Target="https://www.sec.gov/ix?doc=/Archives/edgar/data/0000050863/000005086322000007/intc-20211225.htm" TargetMode="External"/><Relationship Id="rId223" Type="http://schemas.openxmlformats.org/officeDocument/2006/relationships/hyperlink" Target="http://www.sec.gov/Archives/edgar/data/50863/000119312517256795/d632211dex41.htm" TargetMode="External"/><Relationship Id="rId244" Type="http://schemas.openxmlformats.org/officeDocument/2006/relationships/hyperlink" Target="http://www.sec.gov/Archives/edgar/data/50863/000005086319000013/a03302019ex107.htm" TargetMode="External"/><Relationship Id="rId18" Type="http://schemas.openxmlformats.org/officeDocument/2006/relationships/hyperlink" Target="https://www.sec.gov/ix?doc=/Archives/edgar/data/0000050863/000005086322000007/intc-20211225.htm" TargetMode="External"/><Relationship Id="rId39" Type="http://schemas.openxmlformats.org/officeDocument/2006/relationships/hyperlink" Target="https://www.sec.gov/ix?doc=/Archives/edgar/data/0000050863/000005086322000007/intc-20211225.htm" TargetMode="External"/><Relationship Id="rId265" Type="http://schemas.openxmlformats.org/officeDocument/2006/relationships/hyperlink" Target="https://www.sec.gov/Archives/edgar/data/50863/000005086321000030/a6262021ex101.htm" TargetMode="External"/><Relationship Id="rId286" Type="http://schemas.openxmlformats.org/officeDocument/2006/relationships/hyperlink" Target="https://www.sec.gov/ix?doc=/Archives/edgar/data/0000050863/000005086322000007/intc-20211225.htm" TargetMode="External"/><Relationship Id="rId50" Type="http://schemas.openxmlformats.org/officeDocument/2006/relationships/hyperlink" Target="https://www.sec.gov/ix?doc=/Archives/edgar/data/0000050863/000005086322000007/intc-20211225.htm" TargetMode="External"/><Relationship Id="rId104" Type="http://schemas.openxmlformats.org/officeDocument/2006/relationships/hyperlink" Target="https://www.sec.gov/ix?doc=/Archives/edgar/data/0000050863/000005086322000007/intc-20211225.htm" TargetMode="External"/><Relationship Id="rId125" Type="http://schemas.openxmlformats.org/officeDocument/2006/relationships/hyperlink" Target="https://www.sec.gov/ix?doc=/Archives/edgar/data/0000050863/000005086322000007/intc-20211225.htm" TargetMode="External"/><Relationship Id="rId146" Type="http://schemas.openxmlformats.org/officeDocument/2006/relationships/hyperlink" Target="https://www.sec.gov/ix?doc=/Archives/edgar/data/0000050863/000005086322000007/intc-20211225.htm" TargetMode="External"/><Relationship Id="rId167" Type="http://schemas.openxmlformats.org/officeDocument/2006/relationships/hyperlink" Target="https://www.sec.gov/ix?doc=/Archives/edgar/data/0000050863/000005086322000007/intc-20211225.htm" TargetMode="External"/><Relationship Id="rId188" Type="http://schemas.openxmlformats.org/officeDocument/2006/relationships/hyperlink" Target="https://www.sec.gov/ix?doc=/Archives/edgar/data/0000050863/000005086322000007/intc-20211225.htm" TargetMode="External"/><Relationship Id="rId311" Type="http://schemas.openxmlformats.org/officeDocument/2006/relationships/hyperlink" Target="https://www.sec.gov/ix?doc=/Archives/edgar/data/0000050863/000005086322000007/intc-20211225.htm" TargetMode="External"/><Relationship Id="rId71" Type="http://schemas.openxmlformats.org/officeDocument/2006/relationships/hyperlink" Target="https://www.sec.gov/ix?doc=/Archives/edgar/data/0000050863/000005086322000007/intc-20211225.htm" TargetMode="External"/><Relationship Id="rId92" Type="http://schemas.openxmlformats.org/officeDocument/2006/relationships/hyperlink" Target="https://www.sec.gov/ix?doc=/Archives/edgar/data/0000050863/000005086322000007/intc-20211225.htm" TargetMode="External"/><Relationship Id="rId213" Type="http://schemas.openxmlformats.org/officeDocument/2006/relationships/hyperlink" Target="http://www.sec.gov/Archives/edgar/data/50863/000110465912083301/a12-27786_11ex4d01.htm" TargetMode="External"/><Relationship Id="rId234" Type="http://schemas.openxmlformats.org/officeDocument/2006/relationships/hyperlink" Target="https://www.sec.gov/Archives/edgar/data/0000050863/000005086322000007/a12252021q4-ex418.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2000007/intc-20211225.htm" TargetMode="External"/><Relationship Id="rId255" Type="http://schemas.openxmlformats.org/officeDocument/2006/relationships/hyperlink" Target="https://www.sec.gov/Archives/edgar/data/50863/000005086320000026/a06272020q2-ex101.htm" TargetMode="External"/><Relationship Id="rId276" Type="http://schemas.openxmlformats.org/officeDocument/2006/relationships/hyperlink" Target="https://www.sec.gov/Archives/edgar/data/0000050863/000005086322000007/a12252021q4-ex312.htm" TargetMode="External"/><Relationship Id="rId297" Type="http://schemas.openxmlformats.org/officeDocument/2006/relationships/hyperlink" Target="https://www.sec.gov/ix?doc=/Archives/edgar/data/0000050863/000005086322000007/intc-20211225.htm" TargetMode="External"/><Relationship Id="rId40" Type="http://schemas.openxmlformats.org/officeDocument/2006/relationships/hyperlink" Target="https://www.sec.gov/ix?doc=/Archives/edgar/data/0000050863/000005086322000007/intc-20211225.htm" TargetMode="External"/><Relationship Id="rId115" Type="http://schemas.openxmlformats.org/officeDocument/2006/relationships/hyperlink" Target="https://www.sec.gov/ix?doc=/Archives/edgar/data/0000050863/000005086322000007/intc-20211225.htm" TargetMode="External"/><Relationship Id="rId136" Type="http://schemas.openxmlformats.org/officeDocument/2006/relationships/hyperlink" Target="https://www.sec.gov/ix?doc=/Archives/edgar/data/0000050863/000005086322000007/intc-20211225.htm" TargetMode="External"/><Relationship Id="rId157" Type="http://schemas.openxmlformats.org/officeDocument/2006/relationships/hyperlink" Target="https://www.sec.gov/ix?doc=/Archives/edgar/data/0000050863/000005086322000007/intc-20211225.htm" TargetMode="External"/><Relationship Id="rId178" Type="http://schemas.openxmlformats.org/officeDocument/2006/relationships/hyperlink" Target="https://www.sec.gov/ix?doc=/Archives/edgar/data/0000050863/000005086322000007/intc-20211225.htm" TargetMode="External"/><Relationship Id="rId301" Type="http://schemas.openxmlformats.org/officeDocument/2006/relationships/hyperlink" Target="https://www.sec.gov/ix?doc=/Archives/edgar/data/0000050863/000005086322000007/intc-20211225.htm" TargetMode="External"/><Relationship Id="rId322" Type="http://schemas.openxmlformats.org/officeDocument/2006/relationships/hyperlink" Target="https://www.sec.gov/ix?doc=/Archives/edgar/data/0000050863/000005086322000007/intc-20211225.htm" TargetMode="External"/><Relationship Id="rId61" Type="http://schemas.openxmlformats.org/officeDocument/2006/relationships/hyperlink" Target="https://www.sec.gov/ix?doc=/Archives/edgar/data/0000050863/000005086322000007/intc-20211225.htm" TargetMode="External"/><Relationship Id="rId82" Type="http://schemas.openxmlformats.org/officeDocument/2006/relationships/hyperlink" Target="https://www.sec.gov/ix?doc=/Archives/edgar/data/0000050863/000005086322000007/intc-20211225.htm" TargetMode="External"/><Relationship Id="rId199" Type="http://schemas.openxmlformats.org/officeDocument/2006/relationships/hyperlink" Target="https://www.sec.gov/ix?doc=/Archives/edgar/data/0000050863/000005086322000007/intc-20211225.htm" TargetMode="External"/><Relationship Id="rId203" Type="http://schemas.openxmlformats.org/officeDocument/2006/relationships/hyperlink" Target="https://www.sec.gov/ix?doc=/Archives/edgar/data/0000050863/000005086322000007/intc-20211225.htm" TargetMode="External"/><Relationship Id="rId19" Type="http://schemas.openxmlformats.org/officeDocument/2006/relationships/hyperlink" Target="https://www.sec.gov/ix?doc=/Archives/edgar/data/0000050863/000005086322000007/intc-20211225.htm" TargetMode="External"/><Relationship Id="rId224" Type="http://schemas.openxmlformats.org/officeDocument/2006/relationships/hyperlink" Target="http://www.sec.gov/Archives/edgar/data/50863/000005086318000007/a12302017q4-ex4213.htm" TargetMode="External"/><Relationship Id="rId245" Type="http://schemas.openxmlformats.org/officeDocument/2006/relationships/hyperlink" Target="http://www.sec.gov/Archives/edgar/data/50863/000005086319000013/a03302019ex1011.htm" TargetMode="External"/><Relationship Id="rId266" Type="http://schemas.openxmlformats.org/officeDocument/2006/relationships/hyperlink" Target="https://www.sec.gov/Archives/edgar/data/50863/000119312521009142/d82915dex101.htm" TargetMode="External"/><Relationship Id="rId287" Type="http://schemas.openxmlformats.org/officeDocument/2006/relationships/hyperlink" Target="https://www.sec.gov/ix?doc=/Archives/edgar/data/0000050863/000005086322000007/intc-20211225.htm" TargetMode="External"/><Relationship Id="rId30" Type="http://schemas.openxmlformats.org/officeDocument/2006/relationships/hyperlink" Target="https://www.sec.gov/ix?doc=/Archives/edgar/data/0000050863/000005086322000007/intc-20211225.htm" TargetMode="External"/><Relationship Id="rId105" Type="http://schemas.openxmlformats.org/officeDocument/2006/relationships/hyperlink" Target="https://www.sec.gov/ix?doc=/Archives/edgar/data/0000050863/000005086322000007/intc-20211225.htm" TargetMode="External"/><Relationship Id="rId126" Type="http://schemas.openxmlformats.org/officeDocument/2006/relationships/hyperlink" Target="https://www.sec.gov/ix?doc=/Archives/edgar/data/0000050863/000005086322000007/intc-20211225.htm" TargetMode="External"/><Relationship Id="rId147" Type="http://schemas.openxmlformats.org/officeDocument/2006/relationships/hyperlink" Target="https://www.sec.gov/ix?doc=/Archives/edgar/data/0000050863/000005086322000007/intc-20211225.htm" TargetMode="External"/><Relationship Id="rId168" Type="http://schemas.openxmlformats.org/officeDocument/2006/relationships/hyperlink" Target="https://www.sec.gov/ix?doc=/Archives/edgar/data/0000050863/000005086322000007/intc-20211225.htm" TargetMode="External"/><Relationship Id="rId312" Type="http://schemas.openxmlformats.org/officeDocument/2006/relationships/hyperlink" Target="https://www.sec.gov/ix?doc=/Archives/edgar/data/0000050863/000005086322000007/intc-20211225.htm" TargetMode="External"/><Relationship Id="rId51" Type="http://schemas.openxmlformats.org/officeDocument/2006/relationships/hyperlink" Target="https://www.sec.gov/ix?doc=/Archives/edgar/data/0000050863/000005086322000007/intc-20211225.htm" TargetMode="External"/><Relationship Id="rId72" Type="http://schemas.openxmlformats.org/officeDocument/2006/relationships/hyperlink" Target="https://www.sec.gov/ix?doc=/Archives/edgar/data/0000050863/000005086322000007/intc-20211225.htm" TargetMode="External"/><Relationship Id="rId93" Type="http://schemas.openxmlformats.org/officeDocument/2006/relationships/hyperlink" Target="https://www.sec.gov/ix?doc=/Archives/edgar/data/0000050863/000005086322000007/intc-20211225.htm" TargetMode="External"/><Relationship Id="rId189" Type="http://schemas.openxmlformats.org/officeDocument/2006/relationships/hyperlink" Target="https://www.sec.gov/ix?doc=/Archives/edgar/data/0000050863/000005086322000007/intc-20211225.htm" TargetMode="External"/><Relationship Id="rId3" Type="http://schemas.openxmlformats.org/officeDocument/2006/relationships/webSettings" Target="webSettings.xml"/><Relationship Id="rId214" Type="http://schemas.openxmlformats.org/officeDocument/2006/relationships/hyperlink" Target="http://www.sec.gov/Archives/edgar/data/50863/000110465912083301/a12-27786_11ex4d01.htm" TargetMode="External"/><Relationship Id="rId235" Type="http://schemas.openxmlformats.org/officeDocument/2006/relationships/hyperlink" Target="http://www.sec.gov/Archives/edgar/data/50863/000005086319000023/a06292019ex101.htm" TargetMode="External"/><Relationship Id="rId256" Type="http://schemas.openxmlformats.org/officeDocument/2006/relationships/hyperlink" Target="http://www.sec.gov/Archives/edgar/data/50863/000089161807000111/f23627exv10w41.htm" TargetMode="External"/><Relationship Id="rId277" Type="http://schemas.openxmlformats.org/officeDocument/2006/relationships/hyperlink" Target="https://www.sec.gov/Archives/edgar/data/0000050863/000005086322000007/a12252021q4-ex321.htm" TargetMode="External"/><Relationship Id="rId298" Type="http://schemas.openxmlformats.org/officeDocument/2006/relationships/hyperlink" Target="https://www.sec.gov/ix?doc=/Archives/edgar/data/0000050863/000005086322000007/intc-20211225.htm" TargetMode="External"/><Relationship Id="rId116" Type="http://schemas.openxmlformats.org/officeDocument/2006/relationships/hyperlink" Target="https://www.sec.gov/ix?doc=/Archives/edgar/data/0000050863/000005086322000007/intc-20211225.htm" TargetMode="External"/><Relationship Id="rId137" Type="http://schemas.openxmlformats.org/officeDocument/2006/relationships/hyperlink" Target="https://www.sec.gov/ix?doc=/Archives/edgar/data/0000050863/000005086322000007/intc-20211225.htm" TargetMode="External"/><Relationship Id="rId158" Type="http://schemas.openxmlformats.org/officeDocument/2006/relationships/hyperlink" Target="https://www.sec.gov/ix?doc=/Archives/edgar/data/0000050863/000005086322000007/intc-20211225.htm" TargetMode="External"/><Relationship Id="rId302" Type="http://schemas.openxmlformats.org/officeDocument/2006/relationships/hyperlink" Target="https://www.sec.gov/ix?doc=/Archives/edgar/data/0000050863/000005086322000007/intc-20211225.htm" TargetMode="External"/><Relationship Id="rId323" Type="http://schemas.openxmlformats.org/officeDocument/2006/relationships/hyperlink" Target="https://www.sec.gov/ix?doc=/Archives/edgar/data/0000050863/000005086322000007/intc-20211225.htm" TargetMode="External"/><Relationship Id="rId20" Type="http://schemas.openxmlformats.org/officeDocument/2006/relationships/hyperlink" Target="https://www.sec.gov/ix?doc=/Archives/edgar/data/0000050863/000005086322000007/intc-20211225.htm" TargetMode="External"/><Relationship Id="rId41" Type="http://schemas.openxmlformats.org/officeDocument/2006/relationships/hyperlink" Target="https://www.sec.gov/ix?doc=/Archives/edgar/data/0000050863/000005086322000007/intc-20211225.htm" TargetMode="External"/><Relationship Id="rId62" Type="http://schemas.openxmlformats.org/officeDocument/2006/relationships/hyperlink" Target="https://www.sec.gov/ix?doc=/Archives/edgar/data/0000050863/000005086322000007/intc-20211225.htm" TargetMode="External"/><Relationship Id="rId83" Type="http://schemas.openxmlformats.org/officeDocument/2006/relationships/hyperlink" Target="https://www.sec.gov/ix?doc=/Archives/edgar/data/0000050863/000005086322000007/intc-20211225.htm" TargetMode="External"/><Relationship Id="rId179" Type="http://schemas.openxmlformats.org/officeDocument/2006/relationships/hyperlink" Target="https://www.sec.gov/ix?doc=/Archives/edgar/data/0000050863/000005086322000007/intc-20211225.htm" TargetMode="External"/><Relationship Id="rId190" Type="http://schemas.openxmlformats.org/officeDocument/2006/relationships/hyperlink" Target="https://www.sec.gov/ix?doc=/Archives/edgar/data/0000050863/000005086322000007/intc-20211225.htm" TargetMode="External"/><Relationship Id="rId204" Type="http://schemas.openxmlformats.org/officeDocument/2006/relationships/hyperlink" Target="https://www.sec.gov/Archives/edgar/data/50863/000119312520272580/d76122dex21.htm" TargetMode="External"/><Relationship Id="rId225" Type="http://schemas.openxmlformats.org/officeDocument/2006/relationships/hyperlink" Target="https://www.sec.gov/ix?doc=/Archives/edgar/data/0000050863/000005086322000007/intc-20211225.htm" TargetMode="External"/><Relationship Id="rId246" Type="http://schemas.openxmlformats.org/officeDocument/2006/relationships/hyperlink" Target="https://www.sec.gov/Archives/edgar/data/50863/000119312521041697/d119051dex991.htm" TargetMode="External"/><Relationship Id="rId267" Type="http://schemas.openxmlformats.org/officeDocument/2006/relationships/hyperlink" Target="https://www.sec.gov/Archives/edgar/data/50863/000119312521009142/d82915dex101.htm" TargetMode="External"/><Relationship Id="rId288" Type="http://schemas.openxmlformats.org/officeDocument/2006/relationships/hyperlink" Target="https://www.sec.gov/ix?doc=/Archives/edgar/data/0000050863/000005086322000007/intc-20211225.htm" TargetMode="External"/><Relationship Id="rId106" Type="http://schemas.openxmlformats.org/officeDocument/2006/relationships/hyperlink" Target="https://www.sec.gov/ix?doc=/Archives/edgar/data/0000050863/000005086322000007/intc-20211225.htm" TargetMode="External"/><Relationship Id="rId127" Type="http://schemas.openxmlformats.org/officeDocument/2006/relationships/hyperlink" Target="https://www.sec.gov/ix?doc=/Archives/edgar/data/0000050863/000005086322000007/intc-20211225.htm" TargetMode="External"/><Relationship Id="rId313" Type="http://schemas.openxmlformats.org/officeDocument/2006/relationships/hyperlink" Target="https://www.sec.gov/ix?doc=/Archives/edgar/data/0000050863/000005086322000007/intc-20211225.htm" TargetMode="External"/><Relationship Id="rId10" Type="http://schemas.openxmlformats.org/officeDocument/2006/relationships/hyperlink" Target="https://www.sec.gov/ix?doc=/Archives/edgar/data/0000050863/000005086322000007/intc-20211225.htm" TargetMode="External"/><Relationship Id="rId31" Type="http://schemas.openxmlformats.org/officeDocument/2006/relationships/hyperlink" Target="https://www.sec.gov/ix?doc=/Archives/edgar/data/0000050863/000005086322000007/intc-20211225.htm" TargetMode="External"/><Relationship Id="rId52" Type="http://schemas.openxmlformats.org/officeDocument/2006/relationships/hyperlink" Target="https://www.sec.gov/ix?doc=/Archives/edgar/data/0000050863/000005086322000007/intc-20211225.htm" TargetMode="External"/><Relationship Id="rId73" Type="http://schemas.openxmlformats.org/officeDocument/2006/relationships/hyperlink" Target="https://www.sec.gov/ix?doc=/Archives/edgar/data/0000050863/000005086322000007/intc-20211225.htm" TargetMode="External"/><Relationship Id="rId94" Type="http://schemas.openxmlformats.org/officeDocument/2006/relationships/hyperlink" Target="https://www.sec.gov/ix?doc=/Archives/edgar/data/0000050863/000005086322000007/intc-20211225.htm" TargetMode="External"/><Relationship Id="rId148" Type="http://schemas.openxmlformats.org/officeDocument/2006/relationships/hyperlink" Target="https://www.sec.gov/ix?doc=/Archives/edgar/data/0000050863/000005086322000007/intc-20211225.htm" TargetMode="External"/><Relationship Id="rId169" Type="http://schemas.openxmlformats.org/officeDocument/2006/relationships/hyperlink" Target="https://www.sec.gov/ix?doc=/Archives/edgar/data/0000050863/000005086322000007/intc-20211225.htm" TargetMode="External"/><Relationship Id="rId4" Type="http://schemas.openxmlformats.org/officeDocument/2006/relationships/footnotes" Target="footnotes.xml"/><Relationship Id="rId180" Type="http://schemas.openxmlformats.org/officeDocument/2006/relationships/hyperlink" Target="https://www.sec.gov/ix?doc=/Archives/edgar/data/0000050863/000005086322000007/intc-20211225.htm" TargetMode="External"/><Relationship Id="rId215" Type="http://schemas.openxmlformats.org/officeDocument/2006/relationships/hyperlink" Target="http://www.sec.gov/Archives/edgar/data/50863/000110465912083301/a12-27786_11ex4d01.htm" TargetMode="External"/><Relationship Id="rId236" Type="http://schemas.openxmlformats.org/officeDocument/2006/relationships/hyperlink" Target="http://www.sec.gov/Archives/edgar/data/50863/000005086318000029/a09292018ex101.htm" TargetMode="External"/><Relationship Id="rId257" Type="http://schemas.openxmlformats.org/officeDocument/2006/relationships/hyperlink" Target="http://www.sec.gov/Archives/edgar/data/50863/000119312505033162/dex1015.htm" TargetMode="External"/><Relationship Id="rId278" Type="http://schemas.openxmlformats.org/officeDocument/2006/relationships/hyperlink" Target="https://www.sec.gov/Archives/edgar/data/0000050863/000005086322000007/a12252021q4-ex991.htm" TargetMode="External"/><Relationship Id="rId303" Type="http://schemas.openxmlformats.org/officeDocument/2006/relationships/hyperlink" Target="https://www.sec.gov/ix?doc=/Archives/edgar/data/0000050863/000005086322000007/intc-20211225.htm" TargetMode="External"/><Relationship Id="rId42" Type="http://schemas.openxmlformats.org/officeDocument/2006/relationships/hyperlink" Target="https://www.sec.gov/ix?doc=/Archives/edgar/data/0000050863/000005086322000007/intc-20211225.htm" TargetMode="External"/><Relationship Id="rId84" Type="http://schemas.openxmlformats.org/officeDocument/2006/relationships/hyperlink" Target="https://www.sec.gov/ix?doc=/Archives/edgar/data/0000050863/000005086322000007/intc-20211225.htm" TargetMode="External"/><Relationship Id="rId138" Type="http://schemas.openxmlformats.org/officeDocument/2006/relationships/hyperlink" Target="https://www.sec.gov/ix?doc=/Archives/edgar/data/0000050863/000005086322000007/intc-20211225.htm" TargetMode="External"/><Relationship Id="rId191" Type="http://schemas.openxmlformats.org/officeDocument/2006/relationships/hyperlink" Target="https://www.sec.gov/ix?doc=/Archives/edgar/data/0000050863/000005086322000007/intc-20211225.htm" TargetMode="External"/><Relationship Id="rId205" Type="http://schemas.openxmlformats.org/officeDocument/2006/relationships/hyperlink" Target="http://www.sec.gov/Archives/edgar/data/50863/000005086306000102/edgar8kex3.txt" TargetMode="External"/><Relationship Id="rId247" Type="http://schemas.openxmlformats.org/officeDocument/2006/relationships/hyperlink" Target="https://www.sec.gov/Archives/edgar/data/50863/000005086321000018/a3272021ex103.htm" TargetMode="External"/><Relationship Id="rId107" Type="http://schemas.openxmlformats.org/officeDocument/2006/relationships/hyperlink" Target="https://www.sec.gov/ix?doc=/Archives/edgar/data/0000050863/000005086322000007/intc-20211225.htm" TargetMode="External"/><Relationship Id="rId289" Type="http://schemas.openxmlformats.org/officeDocument/2006/relationships/hyperlink" Target="https://www.sec.gov/ix?doc=/Archives/edgar/data/0000050863/000005086322000007/intc-20211225.htm" TargetMode="External"/><Relationship Id="rId11" Type="http://schemas.openxmlformats.org/officeDocument/2006/relationships/hyperlink" Target="https://www.sec.gov/ix?doc=/Archives/edgar/data/0000050863/000005086322000007/intc-20211225.htm" TargetMode="External"/><Relationship Id="rId53" Type="http://schemas.openxmlformats.org/officeDocument/2006/relationships/hyperlink" Target="https://www.sec.gov/ix?doc=/Archives/edgar/data/0000050863/000005086322000007/intc-20211225.htm" TargetMode="External"/><Relationship Id="rId149" Type="http://schemas.openxmlformats.org/officeDocument/2006/relationships/hyperlink" Target="https://www.sec.gov/ix?doc=/Archives/edgar/data/0000050863/000005086322000007/intc-20211225.htm" TargetMode="External"/><Relationship Id="rId314" Type="http://schemas.openxmlformats.org/officeDocument/2006/relationships/hyperlink" Target="https://www.sec.gov/ix?doc=/Archives/edgar/data/0000050863/000005086322000007/intc-20211225.htm" TargetMode="External"/><Relationship Id="rId95" Type="http://schemas.openxmlformats.org/officeDocument/2006/relationships/hyperlink" Target="https://www.sec.gov/ix?doc=/Archives/edgar/data/0000050863/000005086322000007/intc-20211225.htm" TargetMode="External"/><Relationship Id="rId160" Type="http://schemas.openxmlformats.org/officeDocument/2006/relationships/hyperlink" Target="https://www.sec.gov/ix?doc=/Archives/edgar/data/0000050863/000005086322000007/intc-20211225.htm" TargetMode="External"/><Relationship Id="rId216" Type="http://schemas.openxmlformats.org/officeDocument/2006/relationships/hyperlink" Target="http://www.sec.gov/Archives/edgar/data/50863/000110465912084296/a12-27786_14ex4d01.htm" TargetMode="External"/><Relationship Id="rId258" Type="http://schemas.openxmlformats.org/officeDocument/2006/relationships/hyperlink" Target="http://www.sec.gov/Archives/edgar/data/50863/000005086316000153/intcex10210q10012016.htm" TargetMode="External"/><Relationship Id="rId22" Type="http://schemas.openxmlformats.org/officeDocument/2006/relationships/hyperlink" Target="https://www.sec.gov/ix?doc=/Archives/edgar/data/0000050863/000005086322000007/intc-20211225.htm" TargetMode="External"/><Relationship Id="rId64" Type="http://schemas.openxmlformats.org/officeDocument/2006/relationships/hyperlink" Target="https://www.sec.gov/ix?doc=/Archives/edgar/data/0000050863/000005086322000007/intc-20211225.htm" TargetMode="External"/><Relationship Id="rId118" Type="http://schemas.openxmlformats.org/officeDocument/2006/relationships/hyperlink" Target="https://www.sec.gov/ix?doc=/Archives/edgar/data/0000050863/000005086322000007/intc-20211225.htm" TargetMode="External"/><Relationship Id="rId325" Type="http://schemas.openxmlformats.org/officeDocument/2006/relationships/fontTable" Target="fontTable.xml"/><Relationship Id="rId171" Type="http://schemas.openxmlformats.org/officeDocument/2006/relationships/hyperlink" Target="https://www.sec.gov/ix?doc=/Archives/edgar/data/0000050863/000005086322000007/intc-20211225.htm" TargetMode="External"/><Relationship Id="rId227" Type="http://schemas.openxmlformats.org/officeDocument/2006/relationships/hyperlink" Target="http://www.sec.gov/Archives/edgar/data/50863/000119312520035758/d878309dex41.htm" TargetMode="External"/><Relationship Id="rId269" Type="http://schemas.openxmlformats.org/officeDocument/2006/relationships/hyperlink" Target="https://www.sec.gov/Archives/edgar/data/50863/000119312521009142/d82915dex101.htm" TargetMode="External"/><Relationship Id="rId33" Type="http://schemas.openxmlformats.org/officeDocument/2006/relationships/hyperlink" Target="https://www.sec.gov/ix?doc=/Archives/edgar/data/0000050863/000005086322000007/intc-20211225.htm" TargetMode="External"/><Relationship Id="rId129" Type="http://schemas.openxmlformats.org/officeDocument/2006/relationships/hyperlink" Target="https://www.sec.gov/ix?doc=/Archives/edgar/data/0000050863/000005086322000007/intc-20211225.htm" TargetMode="External"/><Relationship Id="rId280" Type="http://schemas.openxmlformats.org/officeDocument/2006/relationships/hyperlink" Target="https://www.sec.gov/ix?doc=/Archives/edgar/data/0000050863/000005086322000007/intc-20211225.htm" TargetMode="External"/><Relationship Id="rId75" Type="http://schemas.openxmlformats.org/officeDocument/2006/relationships/hyperlink" Target="https://www.sec.gov/ix?doc=/Archives/edgar/data/0000050863/000005086322000007/intc-20211225.htm" TargetMode="External"/><Relationship Id="rId140" Type="http://schemas.openxmlformats.org/officeDocument/2006/relationships/hyperlink" Target="https://www.sec.gov/ix?doc=/Archives/edgar/data/0000050863/000005086322000007/intc-20211225.htm" TargetMode="External"/><Relationship Id="rId182" Type="http://schemas.openxmlformats.org/officeDocument/2006/relationships/hyperlink" Target="https://www.sec.gov/ix?doc=/Archives/edgar/data/0000050863/000005086322000007/intc-20211225.htm" TargetMode="External"/><Relationship Id="rId238" Type="http://schemas.openxmlformats.org/officeDocument/2006/relationships/hyperlink" Target="http://www.sec.gov/Archives/edgar/data/50863/000005086319000013/a03302019ex104.htm" TargetMode="External"/><Relationship Id="rId291" Type="http://schemas.openxmlformats.org/officeDocument/2006/relationships/hyperlink" Target="https://www.sec.gov/ix?doc=/Archives/edgar/data/0000050863/000005086322000007/intc-20211225.htm" TargetMode="External"/><Relationship Id="rId305" Type="http://schemas.openxmlformats.org/officeDocument/2006/relationships/hyperlink" Target="https://www.sec.gov/ix?doc=/Archives/edgar/data/0000050863/000005086322000007/intc-20211225.htm" TargetMode="External"/><Relationship Id="rId44" Type="http://schemas.openxmlformats.org/officeDocument/2006/relationships/hyperlink" Target="https://www.sec.gov/ix?doc=/Archives/edgar/data/0000050863/000005086322000007/intc-20211225.htm" TargetMode="External"/><Relationship Id="rId86" Type="http://schemas.openxmlformats.org/officeDocument/2006/relationships/hyperlink" Target="https://www.sec.gov/ix?doc=/Archives/edgar/data/0000050863/000005086322000007/intc-20211225.htm" TargetMode="External"/><Relationship Id="rId151" Type="http://schemas.openxmlformats.org/officeDocument/2006/relationships/hyperlink" Target="https://www.sec.gov/ix?doc=/Archives/edgar/data/0000050863/000005086322000007/intc-20211225.htm" TargetMode="External"/><Relationship Id="rId193" Type="http://schemas.openxmlformats.org/officeDocument/2006/relationships/hyperlink" Target="https://www.sec.gov/ix?doc=/Archives/edgar/data/0000050863/000005086322000007/intc-20211225.htm" TargetMode="External"/><Relationship Id="rId207" Type="http://schemas.openxmlformats.org/officeDocument/2006/relationships/hyperlink" Target="https://www.sec.gov/Archives/edgar/data/50863/000119312521082782/d148850dex32.htm" TargetMode="External"/><Relationship Id="rId249" Type="http://schemas.openxmlformats.org/officeDocument/2006/relationships/hyperlink" Target="https://www.sec.gov/Archives/edgar/data/50863/000005086321000018/a3272021ex105.htm" TargetMode="External"/><Relationship Id="rId13" Type="http://schemas.openxmlformats.org/officeDocument/2006/relationships/hyperlink" Target="https://www.sec.gov/ix?doc=/Archives/edgar/data/0000050863/000005086322000007/intc-20211225.htm" TargetMode="External"/><Relationship Id="rId109" Type="http://schemas.openxmlformats.org/officeDocument/2006/relationships/hyperlink" Target="https://www.sec.gov/ix?doc=/Archives/edgar/data/0000050863/000005086322000007/intc-20211225.htm" TargetMode="External"/><Relationship Id="rId260" Type="http://schemas.openxmlformats.org/officeDocument/2006/relationships/hyperlink" Target="https://www.sec.gov/ix?doc=/Archives/edgar/data/0000050863/000005086322000007/intc-20211225.htm" TargetMode="External"/><Relationship Id="rId316" Type="http://schemas.openxmlformats.org/officeDocument/2006/relationships/hyperlink" Target="https://www.sec.gov/ix?doc=/Archives/edgar/data/0000050863/000005086322000007/intc-20211225.htm" TargetMode="External"/><Relationship Id="rId55" Type="http://schemas.openxmlformats.org/officeDocument/2006/relationships/hyperlink" Target="https://www.sec.gov/ix?doc=/Archives/edgar/data/0000050863/000005086322000007/intc-20211225.htm" TargetMode="External"/><Relationship Id="rId97" Type="http://schemas.openxmlformats.org/officeDocument/2006/relationships/hyperlink" Target="https://www.sec.gov/ix?doc=/Archives/edgar/data/0000050863/000005086322000007/intc-20211225.htm" TargetMode="External"/><Relationship Id="rId120" Type="http://schemas.openxmlformats.org/officeDocument/2006/relationships/hyperlink" Target="https://www.sec.gov/ix?doc=/Archives/edgar/data/0000050863/000005086322000007/intc-2021122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81320</Words>
  <Characters>463524</Characters>
  <Application>Microsoft Office Word</Application>
  <DocSecurity>0</DocSecurity>
  <Lines>3862</Lines>
  <Paragraphs>1087</Paragraphs>
  <ScaleCrop>false</ScaleCrop>
  <Company/>
  <LinksUpToDate>false</LinksUpToDate>
  <CharactersWithSpaces>543757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2023-02-11T19:54:00Z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EC3EA00B653E70060782E763C0DD51BF</vt:lpwstr>
  </property>
</Properties>
</file>